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B06F3" w14:textId="77777777" w:rsidR="00DB1B2C" w:rsidRPr="00180C46" w:rsidRDefault="00DB1B2C" w:rsidP="00DB1B2C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sk-SK"/>
        </w:rPr>
      </w:pPr>
    </w:p>
    <w:p w14:paraId="55D669B9" w14:textId="77777777" w:rsidR="00DB1B2C" w:rsidRPr="00180C46" w:rsidRDefault="00DB1B2C" w:rsidP="00DB1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k-SK" w:eastAsia="sk-SK"/>
        </w:rPr>
      </w:pPr>
      <w:r w:rsidRPr="00180C46">
        <w:rPr>
          <w:rFonts w:ascii="Times New Roman" w:eastAsia="Times New Roman" w:hAnsi="Times New Roman" w:cs="Times New Roman"/>
          <w:b/>
          <w:caps/>
          <w:lang w:val="sk-SK" w:eastAsia="sk-SK"/>
        </w:rPr>
        <w:t>Súhrn charakteristických vlastností lieku</w:t>
      </w:r>
    </w:p>
    <w:p w14:paraId="417953AC" w14:textId="11DBCF7B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8B351DD" w14:textId="77777777" w:rsidR="00DB1B2C" w:rsidRPr="00180C46" w:rsidRDefault="00DB1B2C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68BC406" w14:textId="77777777" w:rsidR="00462291" w:rsidRPr="00180C46" w:rsidRDefault="00462291" w:rsidP="00462291">
      <w:pPr>
        <w:numPr>
          <w:ilvl w:val="0"/>
          <w:numId w:val="1"/>
        </w:numPr>
        <w:spacing w:after="0" w:line="240" w:lineRule="auto"/>
        <w:ind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NÁZOV LIEKU</w:t>
      </w:r>
    </w:p>
    <w:p w14:paraId="1AEC1284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7F3D2D4" w14:textId="38DCF5CE" w:rsidR="00541A29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Plategra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="004D0D63">
        <w:rPr>
          <w:rFonts w:ascii="Times New Roman" w:eastAsia="Times New Roman" w:hAnsi="Times New Roman" w:cs="Times New Roman"/>
          <w:color w:val="000000"/>
          <w:lang w:val="sk-SK" w:eastAsia="en-GB"/>
        </w:rPr>
        <w:t>9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0 mg</w:t>
      </w:r>
    </w:p>
    <w:p w14:paraId="6D8F20DA" w14:textId="0D6E9FC4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filmom obalené tablety</w:t>
      </w:r>
    </w:p>
    <w:p w14:paraId="26EC2F4D" w14:textId="4A951DBD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5A2BA25" w14:textId="77777777" w:rsidR="00F22142" w:rsidRPr="00180C46" w:rsidRDefault="00F22142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DDF6A39" w14:textId="77777777" w:rsidR="00462291" w:rsidRPr="00180C46" w:rsidRDefault="00462291" w:rsidP="00462291">
      <w:pPr>
        <w:numPr>
          <w:ilvl w:val="0"/>
          <w:numId w:val="1"/>
        </w:numPr>
        <w:spacing w:after="0" w:line="240" w:lineRule="auto"/>
        <w:ind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KVALITATÍVNE A KVANTITATÍVNE ZLOŽENIE</w:t>
      </w:r>
    </w:p>
    <w:p w14:paraId="0EFAF0F7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BFAE88E" w14:textId="64A26BD1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Každá filmom obalená tableta obsahuje </w:t>
      </w:r>
      <w:r w:rsidR="004D0D63">
        <w:rPr>
          <w:rFonts w:ascii="Times New Roman" w:eastAsia="Times New Roman" w:hAnsi="Times New Roman" w:cs="Times New Roman"/>
          <w:color w:val="000000"/>
          <w:lang w:val="sk-SK" w:eastAsia="en-GB"/>
        </w:rPr>
        <w:t>9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61DBD824" w14:textId="77777777" w:rsidR="00F85132" w:rsidRPr="00180C46" w:rsidRDefault="00F85132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504A886" w14:textId="7219C65D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Úplný zoznam pomocných látok, pozri časť 6.1.</w:t>
      </w:r>
    </w:p>
    <w:p w14:paraId="1EC1CB5D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BA3687C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6EC0B48" w14:textId="77777777" w:rsidR="00462291" w:rsidRPr="00180C46" w:rsidRDefault="00462291" w:rsidP="00462291">
      <w:pPr>
        <w:numPr>
          <w:ilvl w:val="0"/>
          <w:numId w:val="1"/>
        </w:numPr>
        <w:spacing w:after="0" w:line="240" w:lineRule="auto"/>
        <w:ind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LIEKOVÁ FORMA</w:t>
      </w:r>
    </w:p>
    <w:p w14:paraId="78797F67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8197FBC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Filmom obalená tableta (tableta).</w:t>
      </w:r>
    </w:p>
    <w:p w14:paraId="75AB3DEA" w14:textId="77777777" w:rsidR="00F85132" w:rsidRPr="00180C46" w:rsidRDefault="00F85132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5465019" w14:textId="5EC8FF28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Okrúhle bikonvexné </w:t>
      </w:r>
      <w:r w:rsidR="002C03EC">
        <w:rPr>
          <w:rFonts w:ascii="Times New Roman" w:eastAsia="Times New Roman" w:hAnsi="Times New Roman" w:cs="Times New Roman"/>
          <w:color w:val="000000"/>
          <w:lang w:val="sk-SK" w:eastAsia="en-GB"/>
        </w:rPr>
        <w:t>žlté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tablety s </w:t>
      </w:r>
      <w:r w:rsidRPr="004D0D63">
        <w:rPr>
          <w:rFonts w:ascii="Times New Roman" w:eastAsia="Times New Roman" w:hAnsi="Times New Roman" w:cs="Times New Roman"/>
          <w:color w:val="000000"/>
          <w:lang w:val="sk-SK" w:eastAsia="en-GB"/>
        </w:rPr>
        <w:t>označením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„</w:t>
      </w:r>
      <w:r w:rsidR="004D0D63">
        <w:rPr>
          <w:rFonts w:ascii="Times New Roman" w:eastAsia="Times New Roman" w:hAnsi="Times New Roman" w:cs="Times New Roman"/>
          <w:color w:val="000000"/>
          <w:lang w:val="sk-SK" w:eastAsia="en-GB"/>
        </w:rPr>
        <w:t>9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0“ na jednej strane </w:t>
      </w:r>
      <w:r w:rsidR="00F85132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s priemerom </w:t>
      </w:r>
      <w:r w:rsidR="004D0D63">
        <w:rPr>
          <w:rFonts w:ascii="Times New Roman" w:eastAsia="Times New Roman" w:hAnsi="Times New Roman" w:cs="Times New Roman"/>
          <w:color w:val="000000"/>
          <w:lang w:val="sk-SK" w:eastAsia="en-GB"/>
        </w:rPr>
        <w:t>9</w:t>
      </w:r>
      <w:r w:rsidR="00F85132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mm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657BB223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56DC780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F8B4AB8" w14:textId="77777777" w:rsidR="00462291" w:rsidRPr="00180C46" w:rsidRDefault="00462291" w:rsidP="00462291">
      <w:pPr>
        <w:numPr>
          <w:ilvl w:val="0"/>
          <w:numId w:val="1"/>
        </w:numPr>
        <w:spacing w:after="0" w:line="240" w:lineRule="auto"/>
        <w:ind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KLINICKÉ ÚDAJE</w:t>
      </w:r>
    </w:p>
    <w:p w14:paraId="4DBE7126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E07A5D5" w14:textId="77777777" w:rsidR="00462291" w:rsidRPr="00180C46" w:rsidRDefault="00462291" w:rsidP="00462291">
      <w:pPr>
        <w:numPr>
          <w:ilvl w:val="1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Terapeutické indikácie</w:t>
      </w:r>
    </w:p>
    <w:p w14:paraId="2671ACDB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201042E" w14:textId="79C25A88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Plategra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podávan</w:t>
      </w:r>
      <w:r w:rsidR="00F85132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á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spolu s kyselinou acetylsalicylovou (ASA) je indikovan</w:t>
      </w:r>
      <w:r w:rsidR="00F85132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á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na prevenciu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aterotrombotických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príhod u dospelých pacientov s</w:t>
      </w:r>
    </w:p>
    <w:p w14:paraId="2C0A4283" w14:textId="77777777" w:rsidR="00462291" w:rsidRPr="00180C46" w:rsidRDefault="00462291" w:rsidP="00F85132">
      <w:pPr>
        <w:numPr>
          <w:ilvl w:val="2"/>
          <w:numId w:val="1"/>
        </w:numPr>
        <w:spacing w:after="0" w:line="240" w:lineRule="auto"/>
        <w:ind w:left="567" w:right="12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akútnym koronárnym syndrómom (AKS) alebo</w:t>
      </w:r>
    </w:p>
    <w:p w14:paraId="20A6615A" w14:textId="77777777" w:rsidR="00462291" w:rsidRPr="00180C46" w:rsidRDefault="00462291" w:rsidP="00F85132">
      <w:pPr>
        <w:numPr>
          <w:ilvl w:val="2"/>
          <w:numId w:val="1"/>
        </w:numPr>
        <w:spacing w:after="0" w:line="240" w:lineRule="auto"/>
        <w:ind w:left="567" w:right="12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infarktom myokardu (IM) v anamnéze a vysokým rizikom vzniku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aterotrombotickej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príhody (pozri časti 4.2 a 5.1).</w:t>
      </w:r>
    </w:p>
    <w:p w14:paraId="29F1714B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E941B8B" w14:textId="77777777" w:rsidR="00462291" w:rsidRPr="00180C46" w:rsidRDefault="00462291" w:rsidP="00462291">
      <w:pPr>
        <w:numPr>
          <w:ilvl w:val="1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Dávkovanie a spôsob podávania</w:t>
      </w:r>
    </w:p>
    <w:p w14:paraId="02F18069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5D7F89E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Dávkovanie</w:t>
      </w:r>
    </w:p>
    <w:p w14:paraId="496968EB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Pacienti užívajúci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Plategru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majú užívať aj nízku udržiavaciu dávku ASA 75 – 150 mg denne, pokiaľ to nie je výslovne kontraindikované.</w:t>
      </w:r>
    </w:p>
    <w:p w14:paraId="6BEACD96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9DDD653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Akútny koronárny syndróm</w:t>
      </w:r>
    </w:p>
    <w:p w14:paraId="3E73F81B" w14:textId="7FB57D4D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Liečba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Plategrou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má začať jednou 180 mg nárazovou dávkou (dve 90 mg tablety) a potom sa má pokračovať dávkou 90 mg dvakrát denne. Odporúča sa, aby liečba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Plategrou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90 mg dvakrát denne u pacientov s AKS trvala 12</w:t>
      </w:r>
      <w:r w:rsidR="00FC2493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mesiacov, pokiaľ nie je klinicky indikované ukončenie liečby (pozri časť 5.1).</w:t>
      </w:r>
    </w:p>
    <w:p w14:paraId="0202085E" w14:textId="77777777" w:rsidR="00462291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4C01D1B" w14:textId="77777777" w:rsidR="006C75A5" w:rsidRPr="008D4E0E" w:rsidRDefault="006C75A5" w:rsidP="006C75A5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Vysadenie ASA je možné zvážiť po 3 mesiacoch u pacientov s AKS, ktorí podstúpili </w:t>
      </w:r>
      <w:proofErr w:type="spellStart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perkutánnu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koronárnu intervenciu (</w:t>
      </w:r>
      <w:proofErr w:type="spellStart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>percutaneous</w:t>
      </w:r>
      <w:proofErr w:type="spellEnd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 xml:space="preserve"> </w:t>
      </w:r>
      <w:proofErr w:type="spellStart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>coronary</w:t>
      </w:r>
      <w:proofErr w:type="spellEnd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 xml:space="preserve"> </w:t>
      </w:r>
      <w:proofErr w:type="spellStart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>intervention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PCI) a majú zvýšené riziko krvácania. V takom prípade sa má </w:t>
      </w:r>
      <w:proofErr w:type="spellStart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ako jediná </w:t>
      </w:r>
      <w:proofErr w:type="spellStart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protidoštičková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liečba podávať po dobu 9 mesiacov (pozri časť 4.4).</w:t>
      </w:r>
    </w:p>
    <w:p w14:paraId="78049E3C" w14:textId="77777777" w:rsidR="006C75A5" w:rsidRPr="00180C46" w:rsidRDefault="006C75A5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307A87C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Infarkt myokardu v anamnéze</w:t>
      </w:r>
    </w:p>
    <w:p w14:paraId="6BAE2761" w14:textId="4B2476D6" w:rsidR="0030366A" w:rsidRDefault="0030366A" w:rsidP="0030366A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*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Poznámka</w:t>
      </w:r>
      <w:r w:rsidRPr="000068A7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Nasledujúce 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6</w:t>
      </w:r>
      <w:r w:rsidRPr="000068A7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0 mg dávky nemožno </w:t>
      </w:r>
      <w:r w:rsidRPr="0053770D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zaistiť </w:t>
      </w:r>
      <w:r w:rsidRPr="000068A7">
        <w:rPr>
          <w:rFonts w:ascii="Times New Roman" w:eastAsia="Times New Roman" w:hAnsi="Times New Roman" w:cs="Times New Roman"/>
          <w:color w:val="000000"/>
          <w:lang w:val="sk-SK" w:eastAsia="en-GB"/>
        </w:rPr>
        <w:t>touto silou (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9</w:t>
      </w:r>
      <w:r w:rsidRPr="000068A7">
        <w:rPr>
          <w:rFonts w:ascii="Times New Roman" w:eastAsia="Times New Roman" w:hAnsi="Times New Roman" w:cs="Times New Roman"/>
          <w:color w:val="000000"/>
          <w:lang w:val="sk-SK" w:eastAsia="en-GB"/>
        </w:rPr>
        <w:t>0 mg). P</w:t>
      </w: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reto sa m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aj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ú</w:t>
      </w: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tomto prípade použiť filmom obalené tablety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sk-SK" w:eastAsia="en-GB"/>
        </w:rPr>
        <w:t>Plategra</w:t>
      </w:r>
      <w:proofErr w:type="spellEnd"/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6</w:t>
      </w: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0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mg.</w:t>
      </w:r>
    </w:p>
    <w:p w14:paraId="1329925A" w14:textId="77777777" w:rsidR="0030366A" w:rsidRDefault="0030366A" w:rsidP="0030366A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7D76893" w14:textId="5F3F822E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Plategra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60 mg</w:t>
      </w:r>
      <w:r w:rsidR="0030366A" w:rsidRPr="0030366A">
        <w:rPr>
          <w:rFonts w:ascii="Times New Roman" w:eastAsia="Times New Roman" w:hAnsi="Times New Roman" w:cs="Times New Roman"/>
          <w:color w:val="000000"/>
          <w:lang w:val="sk-SK" w:eastAsia="en-GB"/>
        </w:rPr>
        <w:t>*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dvakrát denne je odporúčanou dávkou na predĺženú liečbu pacientov s IM v anamnéze aspoň jeden rok a vysokým rizikom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aterotrombotickej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príhody (pozri časť 5.1). Liečba </w:t>
      </w:r>
      <w:r w:rsidR="00FC2493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má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lastRenderedPageBreak/>
        <w:t xml:space="preserve">začať bez prerušenia ako liečba nasledujúca po úvodnej jednoročnej liečbe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Plategrou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90 mg alebo liečbe iným inhibítorom receptora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adenozíndifosfátu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(ADP) u pacientov s AKS s vysokým rizikom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aterotrombotickej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príhody. Liečbu tiež možno začať až do 2 rokov po IM alebo v priebehu jedného roka po ukončení predchádzajúcej liečby inhibítorom receptora ADP. K dispozícii sú obmedzené údaje o účinnosti a bezpečnosti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pri predĺženej liečbe presahujúcej 3 roky.</w:t>
      </w:r>
    </w:p>
    <w:p w14:paraId="6B86908D" w14:textId="77777777" w:rsidR="00FC2493" w:rsidRPr="00180C46" w:rsidRDefault="00FC2493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DD3C3D8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Ak je potrebné prestaviť pacientov na liečbu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Plategrou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prvá dávka sa má podať 24 hodín po poslednej dávke predchádzajúceho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protidoštičkového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lieku.</w:t>
      </w:r>
    </w:p>
    <w:p w14:paraId="600CF36F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BE3CB7A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Vynechaná dávka</w:t>
      </w:r>
    </w:p>
    <w:p w14:paraId="1D020594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Tiež je potrebné sa vyvarovať vynechaniu liečby. Pacient, ktorý vynechá dávku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Plategry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má užiť iba jednu tabletu (svoju ďalšiu dávku) v obvyklom čase užitia ďalšej dávky.</w:t>
      </w:r>
    </w:p>
    <w:p w14:paraId="719CB4C9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3D081CD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Osobitné skupiny pacientov</w:t>
      </w:r>
    </w:p>
    <w:p w14:paraId="111055D7" w14:textId="646603E9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Starš</w:t>
      </w:r>
      <w:r w:rsidR="00C951FB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ie osoby</w:t>
      </w:r>
    </w:p>
    <w:p w14:paraId="3AB9CDB5" w14:textId="38B0F170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U</w:t>
      </w:r>
      <w:r w:rsidR="00FC2EDD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starších </w:t>
      </w:r>
      <w:r w:rsidR="00C951FB">
        <w:rPr>
          <w:rFonts w:ascii="Times New Roman" w:eastAsia="Times New Roman" w:hAnsi="Times New Roman" w:cs="Times New Roman"/>
          <w:color w:val="000000"/>
          <w:lang w:val="sk-SK" w:eastAsia="en-GB"/>
        </w:rPr>
        <w:t>osôb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nie je potrebná žiadna úprava dávky (pozri časť 5.2).</w:t>
      </w:r>
    </w:p>
    <w:p w14:paraId="05155FDD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00B6339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Porucha funkcie obličiek</w:t>
      </w:r>
    </w:p>
    <w:p w14:paraId="6FEA558D" w14:textId="559A18BC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U</w:t>
      </w:r>
      <w:r w:rsidR="00FC2EDD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pacientov s poruchou funkcie obličiek nie je potrebná žiadna úprava dávky (pozri časť 5.2).</w:t>
      </w:r>
    </w:p>
    <w:p w14:paraId="0BE0E5E1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DDFB2B1" w14:textId="77777777" w:rsidR="00462291" w:rsidRPr="00180C46" w:rsidRDefault="00462291" w:rsidP="00462291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Porucha funkcie pečene</w:t>
      </w:r>
    </w:p>
    <w:p w14:paraId="19D714DB" w14:textId="4ED69F32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neskúmal u pacientov s</w:t>
      </w:r>
      <w:r w:rsidR="00C951FB">
        <w:rPr>
          <w:rFonts w:ascii="Times New Roman" w:eastAsia="Times New Roman" w:hAnsi="Times New Roman" w:cs="Times New Roman"/>
          <w:color w:val="000000"/>
          <w:lang w:val="sk-SK" w:eastAsia="en-GB"/>
        </w:rPr>
        <w:t>o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="00C951FB">
        <w:rPr>
          <w:rFonts w:ascii="Times New Roman" w:eastAsia="Times New Roman" w:hAnsi="Times New Roman" w:cs="Times New Roman"/>
          <w:color w:val="000000"/>
          <w:lang w:val="sk-SK" w:eastAsia="en-GB"/>
        </w:rPr>
        <w:t>závažn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ou poruchou funkcie pečene a jeho použitie u týchto pacientov je preto kontraindikované (pozri časť 4.3). K dispozícii sú len obmedzené údaje u pacientov so stredne </w:t>
      </w:r>
      <w:r w:rsidR="00C951FB">
        <w:rPr>
          <w:rFonts w:ascii="Times New Roman" w:eastAsia="Times New Roman" w:hAnsi="Times New Roman" w:cs="Times New Roman"/>
          <w:color w:val="000000"/>
          <w:lang w:val="sk-SK" w:eastAsia="en-GB"/>
        </w:rPr>
        <w:t>závažn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ou poruchou funkcie pečene. Úprava dávky sa neodporúča,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však má používať s opatrnosťou (pozri časti 4.4 a 5.2). U pacientov s miernou poruchou funkcie pečene nie je potrebná žiadna úprava dávky (pozri časť 5.2).</w:t>
      </w:r>
    </w:p>
    <w:p w14:paraId="6B47E641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0593D81" w14:textId="77777777" w:rsidR="00462291" w:rsidRPr="00180C46" w:rsidRDefault="00462291" w:rsidP="00462291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Pediatrická populácia</w:t>
      </w:r>
    </w:p>
    <w:p w14:paraId="3A995B4D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Bezpečnosť a účinnosť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detí mladších ako 18 rokov neboli stanovené. Použitie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netýka detí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kosáčikovitou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anémiou (pozri časti 5.1 a 5.2).</w:t>
      </w:r>
    </w:p>
    <w:p w14:paraId="28505FDB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E7A27F5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Spôsob podávania</w:t>
      </w:r>
    </w:p>
    <w:p w14:paraId="1F5B9BDA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Na perorálne použitie.</w:t>
      </w:r>
    </w:p>
    <w:p w14:paraId="1876B65E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Plategra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môže podávať s jedlom alebo bez jedla.</w:t>
      </w:r>
    </w:p>
    <w:p w14:paraId="1D3EE228" w14:textId="59782F3F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Pre pacientov, ktorí nie sú schopní prehltnúť tabletu (tablety) vcelku, sa tablety môžu rozdrviť na</w:t>
      </w:r>
      <w:r w:rsidR="00D610CA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jemný prášok a zmiešať v pol pohári vody a ihneď vypiť. Pohár sa má opláchnuť ďalším pol pohárom vody a obsah sa má vypiť. Zmes sa môže podávať aj pomocou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nazogastrickej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sondy (CH8 alebo širšou). Po podaní zmesi je dôležité prepláchnuť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nazogastrickú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sondu vodou.</w:t>
      </w:r>
    </w:p>
    <w:p w14:paraId="1076E03E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B85577B" w14:textId="77777777" w:rsidR="00462291" w:rsidRPr="00180C46" w:rsidRDefault="00462291" w:rsidP="00FC2ED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4.3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  <w:t>Kontraindikácie</w:t>
      </w:r>
    </w:p>
    <w:p w14:paraId="33BEEFD8" w14:textId="77777777" w:rsidR="00FC2EDD" w:rsidRPr="00180C46" w:rsidRDefault="00FC2EDD" w:rsidP="00FC2EDD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579E2ED" w14:textId="3FFEF9B8" w:rsidR="00462291" w:rsidRPr="00180C46" w:rsidRDefault="00462291" w:rsidP="00462291">
      <w:pPr>
        <w:numPr>
          <w:ilvl w:val="0"/>
          <w:numId w:val="2"/>
        </w:numPr>
        <w:spacing w:after="0" w:line="240" w:lineRule="auto"/>
        <w:ind w:right="12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Precitlivenosť na liečivo alebo na ktorúkoľvek z pomocných látok uvedených v časti 6.1 (pozri časť 4.8).</w:t>
      </w:r>
    </w:p>
    <w:p w14:paraId="30035E63" w14:textId="77777777" w:rsidR="00462291" w:rsidRPr="00180C46" w:rsidRDefault="00462291" w:rsidP="00462291">
      <w:pPr>
        <w:numPr>
          <w:ilvl w:val="0"/>
          <w:numId w:val="2"/>
        </w:numPr>
        <w:spacing w:after="0" w:line="240" w:lineRule="auto"/>
        <w:ind w:right="12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Aktívne patologické krvácanie.</w:t>
      </w:r>
    </w:p>
    <w:p w14:paraId="0C48CFF7" w14:textId="77777777" w:rsidR="00462291" w:rsidRPr="00180C46" w:rsidRDefault="00462291" w:rsidP="00462291">
      <w:pPr>
        <w:numPr>
          <w:ilvl w:val="0"/>
          <w:numId w:val="2"/>
        </w:numPr>
        <w:spacing w:after="0" w:line="240" w:lineRule="auto"/>
        <w:ind w:right="12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krvácanie v anamnéze (pozri časť 4.8).</w:t>
      </w:r>
    </w:p>
    <w:p w14:paraId="605EDB98" w14:textId="77777777" w:rsidR="00462291" w:rsidRPr="00180C46" w:rsidRDefault="00462291" w:rsidP="00462291">
      <w:pPr>
        <w:numPr>
          <w:ilvl w:val="0"/>
          <w:numId w:val="2"/>
        </w:numPr>
        <w:spacing w:after="0" w:line="240" w:lineRule="auto"/>
        <w:ind w:right="12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Ťažká porucha funkcie pečene (pozri časti 4.2, 4.4 a 5.2).</w:t>
      </w:r>
    </w:p>
    <w:p w14:paraId="321B3E25" w14:textId="77777777" w:rsidR="00462291" w:rsidRPr="00180C46" w:rsidRDefault="00462291" w:rsidP="00462291">
      <w:pPr>
        <w:numPr>
          <w:ilvl w:val="0"/>
          <w:numId w:val="2"/>
        </w:numPr>
        <w:spacing w:after="0" w:line="240" w:lineRule="auto"/>
        <w:ind w:right="12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Súbežné podávanie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so silnými inhibítormi CYP3A4 (napr.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ketokonazolom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klaritromycínom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nefazodónom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ritonavirom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atazanavirom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) môže viesť k podstatnému zvýšeniu expozície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(pozri časť 4.5).</w:t>
      </w:r>
    </w:p>
    <w:p w14:paraId="5A2BE8CE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18F1F18" w14:textId="77777777" w:rsidR="00462291" w:rsidRPr="00180C46" w:rsidRDefault="00462291" w:rsidP="00FC2ED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4.4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  <w:t>Osobitné upozornenia a opatrenia pri používaní</w:t>
      </w:r>
    </w:p>
    <w:p w14:paraId="4AA8CA03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85ABD51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Riziko krvácania</w:t>
      </w:r>
    </w:p>
    <w:p w14:paraId="5C1D994D" w14:textId="77777777" w:rsidR="00462291" w:rsidRPr="00180C46" w:rsidRDefault="00462291" w:rsidP="00462291">
      <w:pPr>
        <w:spacing w:after="0" w:line="240" w:lineRule="auto"/>
        <w:ind w:right="178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Pri použití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pacientov so známym zvýšeným rizikom krvácania sa má zvážiť prínos z hľadiska prevencie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aterotrombotických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príhod (pozri časti 4.8 a 5.1). Pri klinickom opodstatnení sa má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používať s opatrnosťou v nasledujúcich skupinách pacientov:</w:t>
      </w:r>
    </w:p>
    <w:p w14:paraId="768F06BF" w14:textId="030CA9D4" w:rsidR="00462291" w:rsidRPr="00180C46" w:rsidRDefault="00462291" w:rsidP="00462291">
      <w:pPr>
        <w:numPr>
          <w:ilvl w:val="0"/>
          <w:numId w:val="3"/>
        </w:numPr>
        <w:spacing w:after="0" w:line="240" w:lineRule="auto"/>
        <w:ind w:right="145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lastRenderedPageBreak/>
        <w:t xml:space="preserve">Pacienti náchylní na krvácanie (napr. kvôli nedávnemu zraneniu, nedávnemu chirurgickému zákroku, poruchám koagulácie, aktívnemu alebo nedávnemu gastrointestinálnemu krvácaniu) alebo pacienti vystavení zvýšenému riziku úrazu. Použitie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je kontraindikované u pacientov s aktívnym patologickým krvácaním, u pacientov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intrakraniálnym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krvácaním v anamnéze a</w:t>
      </w:r>
      <w:r w:rsidR="00634E0C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u pacientov s ťažkou poruchou funkcie pečene (pozri časť 4.3).</w:t>
      </w:r>
    </w:p>
    <w:p w14:paraId="6802BD2D" w14:textId="77777777" w:rsidR="00462291" w:rsidRPr="00180C46" w:rsidRDefault="00462291" w:rsidP="00462291">
      <w:pPr>
        <w:numPr>
          <w:ilvl w:val="0"/>
          <w:numId w:val="3"/>
        </w:numPr>
        <w:spacing w:after="0" w:line="240" w:lineRule="auto"/>
        <w:ind w:right="145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Pacienti súbežne liečení liekmi, ktoré môžu zvyšovať riziko krvácania (napr.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nesteroidové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protizápalové lieky (NSAID), perorálne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antikoagulanciá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a/alebo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fibrinolytiká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), v priebehu 24 hodín od podania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4C2067D9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AF68F29" w14:textId="77777777" w:rsidR="000E189F" w:rsidRDefault="000E189F" w:rsidP="000E189F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dvoch </w:t>
      </w:r>
      <w:proofErr w:type="spellStart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randomizovaných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kontrolovaných štúdiách (TICO a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TWILIGHT) u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pacientov s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AKS, ktorí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podstúpili PCI so </w:t>
      </w:r>
      <w:proofErr w:type="spellStart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stentom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uvoľňujúcim liečivo, sa preukázalo, že vysadenie ASA po 3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mesiacoch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duálnej </w:t>
      </w:r>
      <w:proofErr w:type="spellStart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protidoštičkovej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liečby </w:t>
      </w:r>
      <w:proofErr w:type="spellStart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ASA (</w:t>
      </w:r>
      <w:proofErr w:type="spellStart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>dual</w:t>
      </w:r>
      <w:proofErr w:type="spellEnd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 xml:space="preserve"> </w:t>
      </w:r>
      <w:proofErr w:type="spellStart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>antiplatelet</w:t>
      </w:r>
      <w:proofErr w:type="spellEnd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 xml:space="preserve"> </w:t>
      </w:r>
      <w:proofErr w:type="spellStart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>therapy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, DAPT) a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pokračovanie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s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proofErr w:type="spellStart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ako jedinou </w:t>
      </w:r>
      <w:proofErr w:type="spellStart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protidoštičkovou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liečbou (</w:t>
      </w:r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 xml:space="preserve">single </w:t>
      </w:r>
      <w:proofErr w:type="spellStart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>antiplatelet</w:t>
      </w:r>
      <w:proofErr w:type="spellEnd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 xml:space="preserve"> </w:t>
      </w:r>
      <w:proofErr w:type="spellStart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>therapy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, SAPT) po dobu 9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12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mesiacov (v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uvedenom poradí) znižuje riziko krvácania bez pozorovaného zvýšenia rizika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závažných nežiaducich kardiovaskulárnych príhod (</w:t>
      </w:r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 xml:space="preserve">major </w:t>
      </w:r>
      <w:proofErr w:type="spellStart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>adverse</w:t>
      </w:r>
      <w:proofErr w:type="spellEnd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 xml:space="preserve"> </w:t>
      </w:r>
      <w:proofErr w:type="spellStart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>cardiovascular</w:t>
      </w:r>
      <w:proofErr w:type="spellEnd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 xml:space="preserve"> </w:t>
      </w:r>
      <w:proofErr w:type="spellStart"/>
      <w:r w:rsidRPr="008D4E0E">
        <w:rPr>
          <w:rFonts w:ascii="Times New Roman" w:eastAsia="Times New Roman" w:hAnsi="Times New Roman" w:cs="Times New Roman"/>
          <w:i/>
          <w:iCs/>
          <w:color w:val="000000"/>
          <w:lang w:val="sk-SK" w:eastAsia="en-GB"/>
        </w:rPr>
        <w:t>events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, MACE)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porovnaní s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pokračujúcou DAPT. O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vysadení ASA po 3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mesiacoch a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pokračovaní v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liečbe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ako jedinou </w:t>
      </w:r>
      <w:proofErr w:type="spellStart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protidoštičkovou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liečbou po dobu 9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mesiacov u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pacientov so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zvýšeným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rizikom krvácania sa má rozhodnúť na základe klinického posúdenia rizika krvácania oproti riziku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>trombotických</w:t>
      </w:r>
      <w:proofErr w:type="spellEnd"/>
      <w:r w:rsidRPr="008D4E0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príhod (pozri časť 4.2).</w:t>
      </w:r>
    </w:p>
    <w:p w14:paraId="3E8F3D7C" w14:textId="77777777" w:rsidR="000E189F" w:rsidRDefault="000E189F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23CDD61" w14:textId="421519E5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Transfúzia krvných doštičiek nezvrátila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protidoštičkový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účinok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zdravých dobrovoľníkov a preto pravdepodobne nepredstavuje klinický prínos pre pacientov s krvácaním. Keďže podávaním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spolu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dezmopresínom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štandardizovaný čas krvácania neskrátil, nie je pravdepodobné, že by bol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dezmopresín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účinný pri zvládaní klinických krvácavých príhod (pozri časť 4.5).</w:t>
      </w:r>
    </w:p>
    <w:p w14:paraId="6AF4E39D" w14:textId="77777777" w:rsidR="00634E0C" w:rsidRPr="00180C46" w:rsidRDefault="00634E0C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4059B25" w14:textId="17DBEBE1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Antifibrinolytická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liečba (kyselinou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aminokaprónovou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alebo kyselinou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tranexámovou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) a/alebo liečba rekombinantným faktorom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VIIa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môže zvyšovať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hemostázu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možno znovu začať podávať po tom, ako bola príčina krvácania identifikovaná a je pod kontrolou.</w:t>
      </w:r>
    </w:p>
    <w:p w14:paraId="261DAA2B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B15F149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Chirurgický zákrok</w:t>
      </w:r>
    </w:p>
    <w:p w14:paraId="73D66A2A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Pacientov je potrebné poučiť, aby pred akýmkoľvek plánovaným chirurgickým zákrokom a pred užívaním akéhokoľvek nového lieku informovali lekárov a zubných lekárov, že užívajú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060B9E4B" w14:textId="77777777" w:rsidR="00634E0C" w:rsidRPr="00180C46" w:rsidRDefault="00634E0C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3B3B5A3" w14:textId="33B72842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 štúdii PLATO bol výskyt krvácania u pacientov, ktorí podstúpili koronárny artériový by-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pass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coronary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artery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bypass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grafting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CABG), vyšší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ako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pri jeho vysadení v priebehu 1</w:t>
      </w:r>
      <w:r w:rsidR="00634E0C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dňa pred chirurgickým zákrokom, ale výskyt veľkého krvácania pri vysadení liečby 2 alebo viac dní pred chirurgickým zákrokom bol podobný ako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(pozri časť 4.8). Ak má pacient podstúpiť plánovaný chirurgický zákrok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protidoštičkový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účinok nie je požadovaný,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má vysadiť 5</w:t>
      </w:r>
      <w:r w:rsidR="00634E0C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dní pred chirurgickým zákrokom (pozri časť 5.1).</w:t>
      </w:r>
    </w:p>
    <w:p w14:paraId="204BE2BE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A46532A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Pacienti s predchádzajúcou ischemickou cievnou mozgovou príhodou</w:t>
      </w:r>
    </w:p>
    <w:p w14:paraId="16F13852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Pacienti s AKS s predchádzajúcou ischemickou cievnou mozgovou príhodou môžu byť liečení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až 12 mesiacov (štúdia PLATO).</w:t>
      </w:r>
    </w:p>
    <w:p w14:paraId="798C05DE" w14:textId="77777777" w:rsidR="00634E0C" w:rsidRPr="00180C46" w:rsidRDefault="00634E0C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F0A4EE5" w14:textId="14902945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Do štúdie PEGASUS neboli zahrnutí pacienti s IM v anamnéze a predchádzajúcou ischemickou cievnou mozgovou príhodou. Vzhľadom na chýbajúce údaje sa u týchto pacientov liečba presahujúca jeden rok neodporúča.</w:t>
      </w:r>
    </w:p>
    <w:p w14:paraId="09818E5F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A3F8A8F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Porucha funkcie pečene</w:t>
      </w:r>
    </w:p>
    <w:p w14:paraId="02B364B2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Použitie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je kontraindikované u pacientov s ťažkou poruchou funkcie pečene (pozri časti 4.2 a 4.3). K dispozícii sú obmedzené skúsenosti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pacientov so stredne ťažkou poruchou funkcie pečene, u týchto pacientov sa preto odporúča opatrnosť (pozri časti 4.2 a 5.2).</w:t>
      </w:r>
    </w:p>
    <w:p w14:paraId="372AC4DA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ECE9DE9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Pacienti s rizikom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bradykardických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 príhod</w:t>
      </w:r>
    </w:p>
    <w:p w14:paraId="578CE5C2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Holterovo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monitorovanie EKG preukázalo zvýšenú frekvenciu väčšinou asymptomatických prípadov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ventrikulárnej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pauzy počas liečby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porovnaní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Z hlavných štúdií hodnotiacich bezpečnosť a účinnosť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boli vyradení pacienti so zvýšeným rizikom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lastRenderedPageBreak/>
        <w:t>bradykardických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príhod (napr. pacienti bez kardiostimulátora so syndrómom chorého sínusového uzla, AV blokádou 2. alebo 3. stupňa alebo synkopou súvisiacou s bradykardiou). Vzhľadom na obmedzené klinické skúsenosti sa má preto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týchto pacientov používať s opatrnosťou (pozri časť 5.1).</w:t>
      </w:r>
    </w:p>
    <w:p w14:paraId="69A03298" w14:textId="77777777" w:rsidR="00563A7C" w:rsidRPr="00180C46" w:rsidRDefault="00563A7C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35735E4" w14:textId="6A1603E4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Okrem toho je potrebná opatrnosť aj pri súbežnom podávaní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 liekmi, o ktorých je známe, že vyvolávajú bradykardiu. V štúdii PLATO sa však po súbežnom podaní s jedným alebo viacerými liekmi, o ktorých je známe, že vyvolávajú bradykardiu (napr. 96 %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betablokátory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33 %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blokátory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kalciových kanálov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diltiazem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verapamil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4 %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digoxín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), nepozorovali žiadne klinicky významné nežiaduce reakcie (pozri časť 4.5).</w:t>
      </w:r>
    </w:p>
    <w:p w14:paraId="53BB53AE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4860A9C" w14:textId="0A505E86" w:rsidR="00462291" w:rsidRPr="00180C46" w:rsidRDefault="00462291" w:rsidP="00462291">
      <w:pPr>
        <w:spacing w:after="0" w:line="240" w:lineRule="auto"/>
        <w:ind w:right="129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V priebehu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podštúdie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Holterovým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monitorovaním v štúdii PLATO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ventrikulárne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pauzy trvajúce ≥ 3 sekundy vyskytli u väčšieho počtu pacientov užívajúcich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ako pacientov užívajúcich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akútnej fáze ich AKS. Nárast počtu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ventrikulárnych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páuz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odhalených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Holterovým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monitorovaním, bol u pacientov s chronickým srdcovým zlyhávaním (CHF) vyšší ako u celkového počtu pacientov v štúdii počas akútnej fázy AKS, avšak nie po </w:t>
      </w:r>
      <w:r w:rsidR="00563A7C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jednom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mesiaci liečby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alebo v porovnaní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 Z tejto nerovnováhy však u tejto skupiny pacientov nevyplývali žiadne nežiaduce klinické dôsledky (vrátane synkopy alebo zavedenia kardiostimulátora) (pozri časť 5.1).</w:t>
      </w:r>
    </w:p>
    <w:p w14:paraId="4489144A" w14:textId="77777777" w:rsidR="00E53A11" w:rsidRDefault="00E53A11" w:rsidP="00E53A11">
      <w:pPr>
        <w:spacing w:after="0" w:line="240" w:lineRule="auto"/>
        <w:ind w:right="129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9DC2C1B" w14:textId="77777777" w:rsidR="00E53A11" w:rsidRDefault="00E53A11" w:rsidP="00E53A11">
      <w:pPr>
        <w:spacing w:after="0" w:line="240" w:lineRule="auto"/>
        <w:ind w:right="129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Po uvedení lieku na trh sa u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pacientov užívajúcich </w:t>
      </w:r>
      <w:proofErr w:type="spellStart"/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zaznamenali </w:t>
      </w:r>
      <w:proofErr w:type="spellStart"/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bradyarytmické</w:t>
      </w:r>
      <w:proofErr w:type="spellEnd"/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príhody a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AV blokády (pozri časť 4.8), predovšetkým u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pacientov s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AKS, kde srdcová ischémia a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súbežne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podávané lieky znižujúce srdcovú frekvenciu alebo ovplyvňujúce vedenie vzruchu sú potenciálne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prispievajúce</w:t>
      </w:r>
      <w:proofErr w:type="spellEnd"/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faktory. Pred úpravou liečby sa má zhodnotiť klinický stav pacienta a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súbežná liečba ako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235EC9">
        <w:rPr>
          <w:rFonts w:ascii="Times New Roman" w:eastAsia="Times New Roman" w:hAnsi="Times New Roman" w:cs="Times New Roman"/>
          <w:color w:val="000000"/>
          <w:lang w:val="sk-SK" w:eastAsia="en-GB"/>
        </w:rPr>
        <w:t>potenciálne príčiny.</w:t>
      </w:r>
    </w:p>
    <w:p w14:paraId="3551D8B1" w14:textId="77777777" w:rsidR="00462291" w:rsidRPr="00180C46" w:rsidRDefault="00462291" w:rsidP="00462291">
      <w:pPr>
        <w:spacing w:after="0" w:line="240" w:lineRule="auto"/>
        <w:ind w:right="129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FF2C5DC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Dyspnoe</w:t>
      </w:r>
      <w:proofErr w:type="spellEnd"/>
    </w:p>
    <w:p w14:paraId="3F9D4E4E" w14:textId="4846E563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U pacientov liečených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hlásilo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je zvyčajne miernej až stredne ťažkej intenzity a často ustúpi bez potreby ukončenia liečby. Absolútne riziko výskytu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pri užívaní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môže byť vyššie u pacientov s astmou/chronickou obštrukčnou chorobou pľúc (CHOCHP).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má používať opatrne u pacientov s astmou a/alebo CHOCHP v anamnéze. Mechanizmus nie je objasnený. Ak pacient hlási nové, dlhotrvajúce alebo zhoršené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má dôkladne vyšetriť a pri neznášanlivosti sa má liečba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ukončiť. Pre ďalšie informácie pozri časť 4.8.</w:t>
      </w:r>
    </w:p>
    <w:p w14:paraId="62DAF555" w14:textId="77777777" w:rsidR="00563A7C" w:rsidRPr="00180C46" w:rsidRDefault="00563A7C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0D1E7D2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Centrálne spánkové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apnoe</w:t>
      </w:r>
      <w:proofErr w:type="spellEnd"/>
    </w:p>
    <w:p w14:paraId="5FB722D4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Po uvedení lieku na trh sa u pacientov užívajúcich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hlásilo centrálne spánkové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vrátane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Cheynovho-Stokesovho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dýchania. Pri podozrení na centrálne spánkové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má zvážiť ďalšie klinické zhodnotenie.</w:t>
      </w:r>
    </w:p>
    <w:p w14:paraId="0FBFFA0F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2E8B929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Zvýšenie kreatinínu</w:t>
      </w:r>
    </w:p>
    <w:p w14:paraId="45143E13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Počas liečby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môžu zvýšiť hladiny kreatinínu. Mechanizmus nie je objasnený. Funkcia obličiek sa má kontrolovať v súlade s bežnou lekárskou praxou. U pacientov s AKS sa tiež odporúča skontrolovať funkciu obličiek jeden mesiac po začatí liečby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 venovaním osobitnej pozornosti pacientom vo veku ≥ 75 rokov, pacientom so stredne ťažkou/ťažkou poruchou funkcie obličiek a pacientom súbežne liečeným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blokátorom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receptora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angiotenzínu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(ARB).</w:t>
      </w:r>
    </w:p>
    <w:p w14:paraId="349E331F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41C0C65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Zvýšenie kyseliny močovej</w:t>
      </w:r>
    </w:p>
    <w:p w14:paraId="33145A41" w14:textId="77777777" w:rsidR="00462291" w:rsidRPr="00180C46" w:rsidRDefault="00462291" w:rsidP="00462291">
      <w:pPr>
        <w:spacing w:after="0" w:line="240" w:lineRule="auto"/>
        <w:ind w:right="710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Počas liečby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môže objaviť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hyperurikémia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(pozri časť 4.8). U pacientov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hyperurikémiou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alebo dnovou artritídou v anamnéze sa odporúča opatrnosť. Ako preventívne opatrenie je potrebné zabrániť použitiu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pacientov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urátovou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nefropatiou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2ED7481B" w14:textId="77777777" w:rsidR="00462291" w:rsidRPr="00180C46" w:rsidRDefault="00462291" w:rsidP="00462291">
      <w:pPr>
        <w:spacing w:after="0" w:line="240" w:lineRule="auto"/>
        <w:ind w:right="710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3F5FB25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Trombotická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trombocytopenická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purpura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 (TTP)</w:t>
      </w:r>
    </w:p>
    <w:p w14:paraId="5EB06AEB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Trombotická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trombocytopenická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purpura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(TTP) bola po užívaní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hlásená veľmi zriedkavo. Charakterizuje ju trombocytopénia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mikroangiopatická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hemolytická anémia sprevádzaná buď neurologickými príznakmi,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renálnou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dysfunkciou alebo horúčkou. TTP je stav, ktorý je potenciálne fatálny a vyžaduje si okamžitú liečbu vrátane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plazmaferézy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3102A738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DD5CDC2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Interferencia s funkčnými testami krvných doštičiek používanými na diagnostiku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heparínom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u w:color="000000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indukovanej trombocytopénie (HIT)</w:t>
      </w:r>
    </w:p>
    <w:p w14:paraId="1C55F1CC" w14:textId="06A6125D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8C5915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teste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heparínom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indukovanej aktivácie krvných doštičiek (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heparin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induced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platelet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activation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HIPA), ktorý sa používa na diagnostiku HIT,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protidoštičkový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faktor 4/protilátky proti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heparínu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sére pacienta aktivujú za prítomnosti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heparínu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krvné doštičky zdravých darcov.</w:t>
      </w:r>
      <w:r w:rsidR="008C5915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U</w:t>
      </w:r>
      <w:r w:rsidR="008C5915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pacientov, ktorým bol podaný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sa zaznamenali falošne negatívne výsledky funkčného testu krvných doštičiek na</w:t>
      </w:r>
      <w:r w:rsidR="008C5915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HIT (vrátane HIPA testu, a nielen jeho). Súvisí to s inhibíciou P2Y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12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receptora na krvných doštičkách zdravých darcov v teste spôsobenou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sére/plazme pacienta. Na interpretáciu funkčných HIT testov krvných doštičiek je potrebná informácia o súbežnej liečbe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2829D74F" w14:textId="62803AE4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U</w:t>
      </w:r>
      <w:r w:rsidR="008C5915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pacientov, u ktorých sa vyvinula HIT, je potrebné zhodnotiť pomer prínosu a rizika pri pokračovaní v liečbe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pričom je potrebné vziať do úvahy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protrombotický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stav HIT a tiež zvýšené riziko krvácania pri súbežnej liečbe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antikoagulanciami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6835AE04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E61B1C2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Iné</w:t>
      </w:r>
    </w:p>
    <w:p w14:paraId="34ED454E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Na základe vzťahu zaznamenaného v štúdii PLATO medzi udržiavacou dávkou ASA a relatívnou účinnosťou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porovnaní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súbežné podávanie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vysokej udržiavacej dávky ASA (&gt; 300 mg) neodporúča (pozri časť 5.1).</w:t>
      </w:r>
    </w:p>
    <w:p w14:paraId="0D88957C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BDB68D9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Predčasné ukončenie liečby</w:t>
      </w:r>
    </w:p>
    <w:p w14:paraId="3B522C84" w14:textId="14DC9F12" w:rsidR="00462291" w:rsidRPr="00180C46" w:rsidRDefault="00462291" w:rsidP="00462291">
      <w:pPr>
        <w:spacing w:after="0" w:line="240" w:lineRule="auto"/>
        <w:ind w:right="418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Predčasné ukončenie akejkoľvek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protidoštičkovej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liečby, vrátane </w:t>
      </w:r>
      <w:proofErr w:type="spellStart"/>
      <w:r w:rsidR="00AF46A0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môže viesť k zvýšenému riziku kardiovaskulárnej (KV) smrti, IM alebo cievnej mozgovej príhody v dôsledku základného ochorenia pacienta. Preto sa treba vyhnúť predčasnému ukončeniu liečby.</w:t>
      </w:r>
    </w:p>
    <w:p w14:paraId="5A829C11" w14:textId="737E9835" w:rsidR="00462291" w:rsidRPr="00180C46" w:rsidRDefault="00462291" w:rsidP="00462291">
      <w:pPr>
        <w:spacing w:after="0" w:line="240" w:lineRule="auto"/>
        <w:ind w:right="418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CB52BA2" w14:textId="1B8F731B" w:rsidR="00AF46A0" w:rsidRPr="00DF486E" w:rsidRDefault="00AF46A0" w:rsidP="00AF46A0">
      <w:pPr>
        <w:spacing w:after="0" w:line="240" w:lineRule="auto"/>
        <w:ind w:right="418"/>
        <w:rPr>
          <w:rFonts w:ascii="Times New Roman" w:eastAsia="Times New Roman" w:hAnsi="Times New Roman" w:cs="Times New Roman"/>
          <w:color w:val="000000"/>
          <w:u w:val="single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/>
          <w:lang w:val="sk-SK" w:eastAsia="en-GB"/>
        </w:rPr>
        <w:t>Pomocné látky</w:t>
      </w:r>
    </w:p>
    <w:p w14:paraId="1908C643" w14:textId="58061735" w:rsidR="00AF46A0" w:rsidRPr="00AF46A0" w:rsidRDefault="00AF46A0" w:rsidP="00AF46A0">
      <w:pPr>
        <w:spacing w:after="0" w:line="240" w:lineRule="auto"/>
        <w:ind w:right="418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Tento liek</w:t>
      </w:r>
      <w:r w:rsidRPr="00AF46A0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obsahuje menej ako 1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AF46A0">
        <w:rPr>
          <w:rFonts w:ascii="Times New Roman" w:eastAsia="Times New Roman" w:hAnsi="Times New Roman" w:cs="Times New Roman"/>
          <w:color w:val="000000"/>
          <w:lang w:val="sk-SK" w:eastAsia="en-GB"/>
        </w:rPr>
        <w:t>mmol sodíka (23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AF46A0">
        <w:rPr>
          <w:rFonts w:ascii="Times New Roman" w:eastAsia="Times New Roman" w:hAnsi="Times New Roman" w:cs="Times New Roman"/>
          <w:color w:val="000000"/>
          <w:lang w:val="sk-SK" w:eastAsia="en-GB"/>
        </w:rPr>
        <w:t>mg) v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AF46A0">
        <w:rPr>
          <w:rFonts w:ascii="Times New Roman" w:eastAsia="Times New Roman" w:hAnsi="Times New Roman" w:cs="Times New Roman"/>
          <w:color w:val="000000"/>
          <w:lang w:val="sk-SK" w:eastAsia="en-GB"/>
        </w:rPr>
        <w:t>jednej dávke, t.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AF46A0">
        <w:rPr>
          <w:rFonts w:ascii="Times New Roman" w:eastAsia="Times New Roman" w:hAnsi="Times New Roman" w:cs="Times New Roman"/>
          <w:color w:val="000000"/>
          <w:lang w:val="sk-SK" w:eastAsia="en-GB"/>
        </w:rPr>
        <w:t>j. v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AF46A0">
        <w:rPr>
          <w:rFonts w:ascii="Times New Roman" w:eastAsia="Times New Roman" w:hAnsi="Times New Roman" w:cs="Times New Roman"/>
          <w:color w:val="000000"/>
          <w:lang w:val="sk-SK" w:eastAsia="en-GB"/>
        </w:rPr>
        <w:t>podstate zanedbateľné množstvo sodíka.</w:t>
      </w:r>
    </w:p>
    <w:p w14:paraId="22CFCD6E" w14:textId="77777777" w:rsidR="00AF46A0" w:rsidRPr="00180C46" w:rsidRDefault="00AF46A0" w:rsidP="00462291">
      <w:pPr>
        <w:spacing w:after="0" w:line="240" w:lineRule="auto"/>
        <w:ind w:right="418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FAA2964" w14:textId="77777777" w:rsidR="00462291" w:rsidRPr="00180C46" w:rsidRDefault="00462291" w:rsidP="00FC2ED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4.5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  <w:t>Liekové a iné interakcie</w:t>
      </w:r>
    </w:p>
    <w:p w14:paraId="1E02CCC7" w14:textId="77777777" w:rsidR="00462291" w:rsidRPr="00180C46" w:rsidRDefault="00462291" w:rsidP="00462291">
      <w:pPr>
        <w:spacing w:after="0" w:line="240" w:lineRule="auto"/>
        <w:ind w:right="110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C76B3E6" w14:textId="77777777" w:rsidR="00462291" w:rsidRPr="00180C46" w:rsidRDefault="00462291" w:rsidP="00462291">
      <w:pPr>
        <w:spacing w:after="0" w:line="240" w:lineRule="auto"/>
        <w:ind w:right="110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je predovšetkým substrátom CYP3A4 a miernym inhibítorom CYP3A4.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je tiež substrátom P-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glykoproteínu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(P-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gp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) a slabým inhibítorom P-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gp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môže zvyšovať expozíciu substrátom P-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gp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20E074F2" w14:textId="77777777" w:rsidR="00462291" w:rsidRPr="00180C46" w:rsidRDefault="00462291" w:rsidP="00462291">
      <w:pPr>
        <w:spacing w:after="0" w:line="240" w:lineRule="auto"/>
        <w:ind w:right="110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DF31B17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Účinky liekov a iných produktov na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tikagrelor</w:t>
      </w:r>
      <w:proofErr w:type="spellEnd"/>
    </w:p>
    <w:p w14:paraId="52631D84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Inhibítory CYP3A4</w:t>
      </w:r>
    </w:p>
    <w:p w14:paraId="4F8DA3BE" w14:textId="0F62AECE" w:rsidR="00462291" w:rsidRPr="00180C46" w:rsidRDefault="00462291" w:rsidP="00462291">
      <w:pPr>
        <w:numPr>
          <w:ilvl w:val="0"/>
          <w:numId w:val="4"/>
        </w:numPr>
        <w:spacing w:after="0" w:line="240" w:lineRule="auto"/>
        <w:ind w:right="12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 xml:space="preserve">Silné inhibítory CYP3A4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– pri súbežnom podávaní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ketokonazolu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zvýšil</w:t>
      </w:r>
      <w:r w:rsidR="00427718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2,4-násobne a AUC 7,3-násobne.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aktívneho metabolitu sa znížil</w:t>
      </w:r>
      <w:r w:rsidR="00427718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 89 % a AUC o 56 %. Dá sa predpokladať, že účinky iných silných inhibítorov CYP3A4 (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klaritromycín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nefazodón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ritonavir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atazanavir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) sú podobné a preto je súbežné použitie silných inhibítorov CYP3A4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kontraindikované (pozri časť 4.3).</w:t>
      </w:r>
    </w:p>
    <w:p w14:paraId="07CF89DE" w14:textId="57D8C2C4" w:rsidR="00462291" w:rsidRPr="00180C46" w:rsidRDefault="00462291" w:rsidP="00462291">
      <w:pPr>
        <w:numPr>
          <w:ilvl w:val="0"/>
          <w:numId w:val="4"/>
        </w:numPr>
        <w:spacing w:after="0" w:line="240" w:lineRule="auto"/>
        <w:ind w:right="12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 xml:space="preserve">Stredne silné inhibítory CYP3A4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– pri súbežnom podávaní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diltiazemu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zvýšil</w:t>
      </w:r>
      <w:r w:rsidR="00427718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 69 % a AUC 2,7-násobne a</w:t>
      </w:r>
      <w:r w:rsidR="00AF46A0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v prípade aktívneho metabolitu došlo k zníženiu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A11E25">
        <w:rPr>
          <w:rFonts w:ascii="Times New Roman" w:eastAsia="Times New Roman" w:hAnsi="Times New Roman" w:cs="Times New Roman"/>
          <w:color w:val="000000"/>
          <w:lang w:val="sk-SK" w:eastAsia="en-GB"/>
        </w:rPr>
        <w:t>o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38 % a AUC ostala nezmenená.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nemal žiadny vplyv na hladiny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diltiazemu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plazme. Podobný účinok možno predpokladať aj u iných stredne silných inhibítorov CYP3A4 (napr.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amprenavir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aprepitant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erytromycín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flukonazol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) a tiež ich možno podávať súbežne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3FE8B4F5" w14:textId="2D89F2B3" w:rsidR="00462291" w:rsidRPr="00180C46" w:rsidRDefault="00462291" w:rsidP="00462291">
      <w:pPr>
        <w:numPr>
          <w:ilvl w:val="0"/>
          <w:numId w:val="4"/>
        </w:numPr>
        <w:spacing w:after="0" w:line="240" w:lineRule="auto"/>
        <w:ind w:right="12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Pri dennej konzumácii väčšieho množstva grapefruitovej šťavy (3</w:t>
      </w:r>
      <w:r w:rsidR="00BF48B2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x</w:t>
      </w:r>
      <w:r w:rsidR="00BF48B2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200</w:t>
      </w:r>
      <w:r w:rsidR="00BF48B2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ml) sa pozorovalo 2</w:t>
      </w:r>
      <w:r w:rsidR="00BF48B2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noBreakHyphen/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násobné zvýšenie expozície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 Neočakáva sa, že rozsah tejto zvýšenej expozície bude klinicky významný pre väčšinu pacientov.</w:t>
      </w:r>
    </w:p>
    <w:p w14:paraId="5D72F464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E1694EB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Induktory CYP3A4</w:t>
      </w:r>
    </w:p>
    <w:p w14:paraId="635BC71F" w14:textId="2431C518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Pri súbežnom podávaní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rifampicínu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znížil</w:t>
      </w:r>
      <w:r w:rsidR="00427718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 73 % a AUC o 86 %.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aktívneho metabolitu ostal</w:t>
      </w:r>
      <w:r w:rsidR="00427718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nezmenen</w:t>
      </w:r>
      <w:r w:rsidR="00427718">
        <w:rPr>
          <w:rFonts w:ascii="Times New Roman" w:eastAsia="Times New Roman" w:hAnsi="Times New Roman" w:cs="Times New Roman"/>
          <w:color w:val="000000"/>
          <w:lang w:val="sk-SK" w:eastAsia="en-GB"/>
        </w:rPr>
        <w:t>á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AUC sa znížila o 46 %. Dá sa predpokladať, že aj ďalšie induktory CYP3A4 (napr.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fenytoín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karbamazepín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fenobarbital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) znižujú expozíciu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Súbežné podávanie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so silnými induktormi CYP3A4 môže znižovať expozíciu a účinnosť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preto sa má zabrániť ich súbežnému použitiu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52F2E29A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AEC0ED4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Cyklosporín</w:t>
      </w:r>
      <w:proofErr w:type="spellEnd"/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 xml:space="preserve"> (inhibítor P-</w:t>
      </w:r>
      <w:proofErr w:type="spellStart"/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gp</w:t>
      </w:r>
      <w:proofErr w:type="spellEnd"/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 xml:space="preserve"> a CYP3A)</w:t>
      </w:r>
    </w:p>
    <w:p w14:paraId="5D01AF89" w14:textId="35FFAAD3" w:rsidR="00462291" w:rsidRPr="00180C46" w:rsidRDefault="00462291" w:rsidP="00462291">
      <w:pPr>
        <w:spacing w:after="0" w:line="240" w:lineRule="auto"/>
        <w:ind w:right="15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Pri súbežnom podávaní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cyklosporínu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(600 mg)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zvýšil</w:t>
      </w:r>
      <w:r w:rsidR="00427718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2,3-násobne a AUC 2,8-násobne. V prítomnosti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cyklosporínu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AUC aktívneho metabolitu zvýšila o 32 %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sa znížil</w:t>
      </w:r>
      <w:r w:rsidR="00427718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 15 %.</w:t>
      </w:r>
    </w:p>
    <w:p w14:paraId="03914EE5" w14:textId="77777777" w:rsidR="00BF48B2" w:rsidRPr="00180C46" w:rsidRDefault="00BF48B2" w:rsidP="00462291">
      <w:pPr>
        <w:spacing w:after="0" w:line="240" w:lineRule="auto"/>
        <w:ind w:right="157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4B7F06A" w14:textId="22707E32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</w:t>
      </w:r>
      <w:r w:rsidR="00BF48B2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dispozícii nie sú žiadne údaje týkajúce sa súbežného podávania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ďalších liečiv, ktoré sú tiež silnými inhibítormi P-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gp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stredne silnými inhibítormi CYP3A4 (napr.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verapamil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chinidín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), ktoré takisto môžu zvyšovať expozíciu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 Ak sa takejto kombinácii nie je možné vyhnúť, ich súbežné použitie si vyžaduje opatrnosť.</w:t>
      </w:r>
    </w:p>
    <w:p w14:paraId="3F8EDD96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6D79D7B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Iné</w:t>
      </w:r>
    </w:p>
    <w:p w14:paraId="78C1574A" w14:textId="77777777" w:rsidR="00462291" w:rsidRPr="00180C46" w:rsidRDefault="00462291" w:rsidP="00462291">
      <w:pPr>
        <w:spacing w:after="0" w:line="240" w:lineRule="auto"/>
        <w:ind w:right="469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Klinické štúdie farmakologických interakcií preukázali, že súbežné podávanie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heparínom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enoxaparínom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ASA 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dezmopresínom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porovnaní s podávaním samotného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nemalo žiadny vplyv na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farmakokinetiku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alebo jeho aktívneho metabolitu, alebo na agregáciu krvných doštičiek indukovanú ADP. Ak je to klinicky indikované, lieky ovplyvňujúce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hemostázu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majú v kombinácii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používať opatrne.</w:t>
      </w:r>
    </w:p>
    <w:p w14:paraId="0D92584B" w14:textId="77777777" w:rsidR="00BF48B2" w:rsidRPr="00180C46" w:rsidRDefault="00BF48B2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C3EA965" w14:textId="50A60ECB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Oneskorená a znížená expozícia perorálnym inhibítorom P2Y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12,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vrátane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jeho aktívnemu metabolitu, sa pozorovala u pacientov s AKS liečených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morfínom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(35 % zníženie expozície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). Táto interakcia môže súvisieť so zníženou gastrointestinálnou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motilitou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vzťahovať sa aj na iné opioidy. Klinický význam nie je známy, ale údaje naznačujú možnosť zníženej účinnosti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pacientov, ktorým sa súbežne podáva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morfín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U pacientov s AKS, u ktorých nie je možné prerušiť podávanie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morfínu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rýchla inhibícia P2Y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12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sa považuje za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kruciálnu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sa má zvážiť použitie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parenterálneho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inhibítora P2Y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12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7AF556BD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10D82B4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Účinky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 na iné lieky</w:t>
      </w:r>
    </w:p>
    <w:p w14:paraId="6E5BF88C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Liečivá metabolizované prostredníctvom CYP3A4</w:t>
      </w:r>
    </w:p>
    <w:p w14:paraId="595B05CC" w14:textId="228EF7A3" w:rsidR="00462291" w:rsidRPr="00180C46" w:rsidRDefault="00462291" w:rsidP="00462291">
      <w:pPr>
        <w:numPr>
          <w:ilvl w:val="0"/>
          <w:numId w:val="5"/>
        </w:numPr>
        <w:spacing w:after="0" w:line="240" w:lineRule="auto"/>
        <w:ind w:right="279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Simvastatín</w:t>
      </w:r>
      <w:proofErr w:type="spellEnd"/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– pri súbežnom podávaní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simvastatínu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simvastatínu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zvýšil</w:t>
      </w:r>
      <w:r w:rsidR="00427718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 81 % a AUC o 56 %,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kyseliny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simvastatínovej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zvýšil</w:t>
      </w:r>
      <w:r w:rsidR="00646449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 64 % a AUC o 52 %, v niektorých jednotlivých prípadoch boli zvýšenia 2- až 3-násobné. Súbežné podávanie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simvastatínom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dávkach vyšších ako 40 mg denne môže spôsobiť nežiaduce reakcie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simvastatínu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potenciálny prínos tejto kombinácie je potrebné zvážiť.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Simvastatín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nemal žiadny vplyv na hladiny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plazme.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môže mať podobný účinok na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lovastatín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Súbežné použitie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simvastatínom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lovastatínom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dávkach vyšších ako 40 mg sa neodporúča.</w:t>
      </w:r>
    </w:p>
    <w:p w14:paraId="13FA5587" w14:textId="61BEF35E" w:rsidR="00462291" w:rsidRPr="00180C46" w:rsidRDefault="00462291" w:rsidP="00462291">
      <w:pPr>
        <w:numPr>
          <w:ilvl w:val="0"/>
          <w:numId w:val="5"/>
        </w:numPr>
        <w:spacing w:after="0" w:line="240" w:lineRule="auto"/>
        <w:ind w:right="279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Atorvastatín</w:t>
      </w:r>
      <w:proofErr w:type="spellEnd"/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– pri súbežnom podávaní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atorvastatínu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kyseliny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atorvastatínovej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zvýšil</w:t>
      </w:r>
      <w:r w:rsidR="00646449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 23 % a AUC o 36 %. Podobné zvýšenia AUC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sa pozorovali u všetkých metabolitov kyseliny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atorvastatínovej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 Tieto zvýšenia sa nepovažujú za klinicky významné.</w:t>
      </w:r>
    </w:p>
    <w:p w14:paraId="05AFDD89" w14:textId="77777777" w:rsidR="00462291" w:rsidRPr="00180C46" w:rsidRDefault="00462291" w:rsidP="00462291">
      <w:pPr>
        <w:numPr>
          <w:ilvl w:val="0"/>
          <w:numId w:val="5"/>
        </w:numPr>
        <w:spacing w:after="0" w:line="240" w:lineRule="auto"/>
        <w:ind w:right="279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Podobný účinok na iné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statíny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metabolizované prostredníctvom CYP3A4 nemožno vylúčiť. U pacientov dostávajúcich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štúdii PLATO, ktorí užívali rôzne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statíny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nevznikli v súvislosti s bezpečnosťou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statínov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žiadne obavy u 93 % pacientov v kohorte štúdie PLATO užívajúcej tieto lieky.</w:t>
      </w:r>
    </w:p>
    <w:p w14:paraId="46D27ACE" w14:textId="77777777" w:rsidR="00462291" w:rsidRPr="00180C46" w:rsidRDefault="00462291" w:rsidP="00462291">
      <w:pPr>
        <w:spacing w:after="0" w:line="240" w:lineRule="auto"/>
        <w:ind w:right="279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3BE06DB" w14:textId="77777777" w:rsidR="00462291" w:rsidRPr="00180C46" w:rsidRDefault="00462291" w:rsidP="00462291">
      <w:pPr>
        <w:spacing w:after="0" w:line="240" w:lineRule="auto"/>
        <w:ind w:right="177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je miernym inhibítorom CYP3A4. Súbežné podávanie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substrátov CYP3A4 s úzkym terapeutickým indexom (napr.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cisaprid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námeľové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alkaloidy) sa neodporúča, nakoľko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môže zvyšovať expozíciu týchto liekov.</w:t>
      </w:r>
    </w:p>
    <w:p w14:paraId="7C19C71D" w14:textId="77777777" w:rsidR="00462291" w:rsidRPr="00180C46" w:rsidRDefault="00462291" w:rsidP="00462291">
      <w:pPr>
        <w:spacing w:after="0" w:line="240" w:lineRule="auto"/>
        <w:ind w:right="177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3F88F49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Substráty P-</w:t>
      </w:r>
      <w:proofErr w:type="spellStart"/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gp</w:t>
      </w:r>
      <w:proofErr w:type="spellEnd"/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 xml:space="preserve"> (vrátane </w:t>
      </w:r>
      <w:proofErr w:type="spellStart"/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digoxínu</w:t>
      </w:r>
      <w:proofErr w:type="spellEnd"/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cyklosporínu</w:t>
      </w:r>
      <w:proofErr w:type="spellEnd"/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)</w:t>
      </w:r>
    </w:p>
    <w:p w14:paraId="719D9EC9" w14:textId="01F75FE1" w:rsidR="00462291" w:rsidRPr="00180C46" w:rsidRDefault="00462291" w:rsidP="00462291">
      <w:pPr>
        <w:spacing w:after="0" w:line="240" w:lineRule="auto"/>
        <w:ind w:right="130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Pri súbežnom podávaní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digoxínu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zvýšil</w:t>
      </w:r>
      <w:r w:rsidR="00646449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 75 % a AUC o 28 %. Priemerné hladiny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digoxínu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pred podaním ďalšej dávky sa pri súbežnom podávaní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zvýšili približne o 30 %, v niektorých jednotlivých prípadoch maximálne až na 2-násobok. V prítomnosti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digoxínu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nebol</w:t>
      </w:r>
      <w:r w:rsidR="00646449">
        <w:rPr>
          <w:rFonts w:ascii="Times New Roman" w:eastAsia="Times New Roman" w:hAnsi="Times New Roman" w:cs="Times New Roman"/>
          <w:color w:val="000000"/>
          <w:lang w:val="sk-SK" w:eastAsia="en-GB"/>
        </w:rPr>
        <w:t>i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ovplyvnen</w:t>
      </w:r>
      <w:r w:rsidR="00646449">
        <w:rPr>
          <w:rFonts w:ascii="Times New Roman" w:eastAsia="Times New Roman" w:hAnsi="Times New Roman" w:cs="Times New Roman"/>
          <w:color w:val="000000"/>
          <w:lang w:val="sk-SK" w:eastAsia="en-GB"/>
        </w:rPr>
        <w:t>é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a AUC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</w:t>
      </w:r>
      <w:r w:rsidR="00646449">
        <w:rPr>
          <w:rFonts w:ascii="Times New Roman" w:eastAsia="Times New Roman" w:hAnsi="Times New Roman" w:cs="Times New Roman"/>
          <w:color w:val="000000"/>
          <w:lang w:val="sk-SK" w:eastAsia="en-GB"/>
        </w:rPr>
        <w:t>ni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jeho aktívneho metabolitu. Pri podávaní P-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gp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dependentných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liečiv s úzkym terapeutickým indexom, ako je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digoxín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súbežne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preto odporúča náležité klinické a/alebo laboratórne monitorovanie.</w:t>
      </w:r>
    </w:p>
    <w:p w14:paraId="458B6EA8" w14:textId="77777777" w:rsidR="007C5EE4" w:rsidRPr="00180C46" w:rsidRDefault="007C5EE4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6E178DC" w14:textId="38D6F11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lastRenderedPageBreak/>
        <w:t xml:space="preserve">Nebol pozorovaný žiadny vplyv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na hladinu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cyklosporínu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krvi. Vplyv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na</w:t>
      </w:r>
      <w:r w:rsidR="007C5EE4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ďalšie substráty P-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gp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neskúmal.</w:t>
      </w:r>
    </w:p>
    <w:p w14:paraId="52E662DE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B6BBB68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Liečivá metabolizované CYP2C9</w:t>
      </w:r>
    </w:p>
    <w:p w14:paraId="1F01800A" w14:textId="77777777" w:rsidR="00462291" w:rsidRPr="00180C46" w:rsidRDefault="00462291" w:rsidP="00462291">
      <w:pPr>
        <w:spacing w:after="0" w:line="240" w:lineRule="auto"/>
        <w:ind w:right="494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Súbežné podávanie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tolbutamidu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neviedlo k zmenám plazmatických hladín žiadneho z liečiv, čo naznačuje, že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nie je inhibítorom CYP2C9 a nie je pravdepodobné, že by spôsoboval zmeny v metabolizme sprostredkovanom CYP2C9 u liečiv, akými sú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warfarín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tolbutamid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1799D1D5" w14:textId="77777777" w:rsidR="00462291" w:rsidRPr="00180C46" w:rsidRDefault="00462291" w:rsidP="00462291">
      <w:pPr>
        <w:spacing w:after="0" w:line="240" w:lineRule="auto"/>
        <w:ind w:right="494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31395D3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Rosuvastatín</w:t>
      </w:r>
      <w:proofErr w:type="spellEnd"/>
    </w:p>
    <w:p w14:paraId="21677108" w14:textId="77777777" w:rsidR="00462291" w:rsidRPr="00180C46" w:rsidRDefault="00462291" w:rsidP="00462291">
      <w:pPr>
        <w:spacing w:after="0" w:line="240" w:lineRule="auto"/>
        <w:ind w:right="211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môže ovplyvniť vylučovanie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rosuvastatínu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obličkami, a tým zvýšiť riziko kumulácie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rosuvastatínu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Aj keď presný mechanizmus nie je známy, v niektorých prípadoch súbežné podávanie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rosuvastatínu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viedlo k zníženej funkcii obličiek, zvýšeniu hladiny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kreatínfosfokinázy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rabdomyolýze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18680E49" w14:textId="77777777" w:rsidR="00462291" w:rsidRPr="00180C46" w:rsidRDefault="00462291" w:rsidP="00462291">
      <w:pPr>
        <w:spacing w:after="0" w:line="240" w:lineRule="auto"/>
        <w:ind w:right="211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AF8D0D9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 xml:space="preserve">Perorálne </w:t>
      </w:r>
      <w:proofErr w:type="spellStart"/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kontraceptíva</w:t>
      </w:r>
      <w:proofErr w:type="spellEnd"/>
    </w:p>
    <w:p w14:paraId="6670F5DD" w14:textId="0A25F809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Pri súbežn</w:t>
      </w:r>
      <w:r w:rsidR="00C951FB">
        <w:rPr>
          <w:rFonts w:ascii="Times New Roman" w:eastAsia="Times New Roman" w:hAnsi="Times New Roman" w:cs="Times New Roman"/>
          <w:color w:val="000000"/>
          <w:lang w:val="sk-SK" w:eastAsia="en-GB"/>
        </w:rPr>
        <w:t>o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m podávaní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levonorgestrelu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etinylestradiolu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expozícia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etinylestradiolu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zvýšila približne o 20 %, ale k zmenám vo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farmakokinetike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levonorgestrelu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nedošlo. Pri súbežnom podávaní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levonorgestrelu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etinylestradiolu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nepredpokladá žiadny klinicky významný vplyv na účinnosť perorálnych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kontraceptív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169501D2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D73834B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Liečivá, ktoré vyvolávajú bradykardiu</w:t>
      </w:r>
    </w:p>
    <w:p w14:paraId="0380C252" w14:textId="77777777" w:rsidR="00462291" w:rsidRPr="00180C46" w:rsidRDefault="00462291" w:rsidP="00462291">
      <w:pPr>
        <w:spacing w:after="0" w:line="240" w:lineRule="auto"/>
        <w:ind w:right="155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Pri súbežnom podávaní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 liekmi, o ktorých je známe, že vyvolávajú bradykardiu, je potrebná opatrnosť vzhľadom na pozorované prípady zväčša asymptomatickej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ventrikulárnej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pauzy a bradykardie (pozri časť 4.4). V štúdii PLATO sa však po súbežnom podaní s jedným alebo viacerými liekmi, o ktorých je známe, že vyvolávajú bradykardiu (napr. 96 %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betablokátory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33 %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blokátory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kalciových kanálov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diltiazem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verapamil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4 %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digoxín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) nepozorovali žiadne klinicky významné nežiaduce reakcie.</w:t>
      </w:r>
    </w:p>
    <w:p w14:paraId="7DAB70D1" w14:textId="77777777" w:rsidR="00462291" w:rsidRPr="00180C46" w:rsidRDefault="00462291" w:rsidP="00462291">
      <w:pPr>
        <w:spacing w:after="0" w:line="240" w:lineRule="auto"/>
        <w:ind w:right="155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514087F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Ďalšia súbežná liečba</w:t>
      </w:r>
    </w:p>
    <w:p w14:paraId="5C96D2AA" w14:textId="2689CAC6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FC2EDD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klinických štúdiách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bežne podával spolu s ASA, inhibítormi protónovej pumpy,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statínmi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betablokátormi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inhibítormi enzýmu konvertujúceho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angiotenzín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(ACE) a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blokátormi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receptorov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angiotenzínu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dlhodobo, ak si to súbežné ochorenia vyžadovali a tiež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heparínom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nízkomolekulovým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heparínom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intravenóznymi inhibítormi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GpIIb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/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IIIa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pri krátkodobom podávaní (pozri časť 5.1). Nepozorovali sa žiadne klinicky významné nežiaduce interakcie s týmito liečivami.</w:t>
      </w:r>
    </w:p>
    <w:p w14:paraId="0F34D6B0" w14:textId="77777777" w:rsidR="007C5EE4" w:rsidRPr="00180C46" w:rsidRDefault="007C5EE4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11CBE7E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Súbežné podávanie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heparínom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enoxaparínom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dezmopresínom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nemalo žiadny vplyv na aktivovaný parciálny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tromboplastínový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čas (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aPTT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), aktivovaný koagulačný čas (ACT) alebo na testy faktora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Xa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Pri súbežnom podávaní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 liekmi, o ktorých je známe, že ovplyvňujú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hemostázu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je však potrebné postupovať s opatrnosťou pre možné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farmakodynamické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interakcie.</w:t>
      </w:r>
    </w:p>
    <w:p w14:paraId="7ACD06C6" w14:textId="77777777" w:rsidR="007C5EE4" w:rsidRPr="00180C46" w:rsidRDefault="007C5EE4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6C4AF7A" w14:textId="28EBD813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Vzhľadom na hlásenia abnormalít kožného krvácania so SSRI (napr.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paroxetín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sertralín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citalopram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) sa pri súbežnom podávaní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so SSRI odporúča opatrnosť, pretože to môže zvýšiť riziko krvácania.</w:t>
      </w:r>
    </w:p>
    <w:p w14:paraId="228CD502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FD4609B" w14:textId="77777777" w:rsidR="00462291" w:rsidRPr="00180C46" w:rsidRDefault="00462291" w:rsidP="00FC2ED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4.6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</w:r>
      <w:proofErr w:type="spellStart"/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Fertilita</w:t>
      </w:r>
      <w:proofErr w:type="spellEnd"/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, gravidita a laktácia</w:t>
      </w:r>
    </w:p>
    <w:p w14:paraId="618ADA98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6F0F394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Ženy v reprodukčnom veku</w:t>
      </w:r>
    </w:p>
    <w:p w14:paraId="04BD3FFF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Ženy v reprodukčnom veku majú počas liečby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používať vhodné antikoncepčné metódy na zabránenie gravidity.</w:t>
      </w:r>
    </w:p>
    <w:p w14:paraId="6B4CDB32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E820AE4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Gravidita</w:t>
      </w:r>
    </w:p>
    <w:p w14:paraId="5DE8C53D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Nie sú k dispozícii alebo je iba obmedzené množstvo údajov o použití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gravidných žien. Štúdie na zvieratách preukázali reprodukčnú toxicitu (pozri časť 5.3).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neodporúča užívať počas gravidity.</w:t>
      </w:r>
    </w:p>
    <w:p w14:paraId="45E38B1A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55C4B66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lastRenderedPageBreak/>
        <w:t>Dojčenie</w:t>
      </w:r>
    </w:p>
    <w:p w14:paraId="00C55190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Dostupné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farmakodynamické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/toxikologické údaje u zvierat preukázali vylučovanie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jeho aktívnych metabolitov do mlieka (pozri časť 5.3). Riziko u novorodencov/dojčiat nemôže byť vylúčené. Rozhodnutie, či ukončiť dojčenie alebo či ukončiť/prerušiť liečbu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má urobiť po zvážení prínosu dojčenia pre dieťa a prínosu liečby pre ženu.</w:t>
      </w:r>
    </w:p>
    <w:p w14:paraId="2CD6BC0F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4F94E83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Fertilita</w:t>
      </w:r>
      <w:proofErr w:type="spellEnd"/>
    </w:p>
    <w:p w14:paraId="2B45CC5F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nemal žiadny vplyv na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fertilitu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samcov alebo samíc zvierat (pozri časť 5.3).</w:t>
      </w:r>
    </w:p>
    <w:p w14:paraId="2FBE3353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EC3D6B0" w14:textId="77777777" w:rsidR="00462291" w:rsidRPr="00180C46" w:rsidRDefault="00462291" w:rsidP="00FC2ED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4.7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  <w:t>Ovplyvnenie schopnosti viesť vozidlá a obsluhovať stroje</w:t>
      </w:r>
    </w:p>
    <w:p w14:paraId="2A0FE81E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F4899FF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nemá žiadny alebo má zanedbateľný vplyv na schopnosť viesť vozidlá a obsluhovať stroje. Počas liečby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hlásil závrat a zmätenosť. Pacienti, u ktorých sa objavia tieto príznaky, majú byť preto pri vedení vozidiel alebo obsluhe strojov opatrní.</w:t>
      </w:r>
    </w:p>
    <w:p w14:paraId="5F488FF8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DC8101B" w14:textId="77777777" w:rsidR="00462291" w:rsidRPr="00180C46" w:rsidRDefault="00462291" w:rsidP="00A36E77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4.8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  <w:t>Nežiaduce účinky</w:t>
      </w:r>
    </w:p>
    <w:p w14:paraId="7F1ED50A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CDFDCF0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Súhrn bezpečnostného profilu</w:t>
      </w:r>
    </w:p>
    <w:p w14:paraId="132BCA38" w14:textId="37A8DB8F" w:rsidR="00462291" w:rsidRPr="00180C46" w:rsidRDefault="00462291" w:rsidP="00462291">
      <w:pPr>
        <w:spacing w:after="0" w:line="240" w:lineRule="auto"/>
        <w:ind w:right="808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Bezpečnostný profil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hodnotil v dvoch rozsiahlych skúšaniach fázy 3 (PLATO a PEGASUS), ktoré zahŕňali viac ako 39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000 pacientov (pozri časť 5.1).</w:t>
      </w:r>
    </w:p>
    <w:p w14:paraId="2299651E" w14:textId="77777777" w:rsidR="00A36E77" w:rsidRPr="00180C46" w:rsidRDefault="00A36E77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1F97075" w14:textId="27E1330C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štúdii PLATO bol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vyšší výskyt pacientov, ktorí ukončili liečbu pre nežiaduce udalosti, ako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(7,4 % oproti 5,4 %). V štúdii PEGASUS bol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vyšší výskyt pacientov, ktorí ukončili liečbu pre nežiaduce udalosti, v porovnaní s liečbou samotnou ASA (16,1 % pre 60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 ASA oproti 8,5 % pre liečbu samotnou ASA). Najčastejšie hlásenými nežiaducimi reakciami u pacientov liečených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boli krvácanie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(pozri časť 4.4).</w:t>
      </w:r>
    </w:p>
    <w:p w14:paraId="295BEF21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6F1886C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Tabuľkový zoznam nežiaducich reakcií</w:t>
      </w:r>
    </w:p>
    <w:p w14:paraId="3B0B835B" w14:textId="0F326D40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klinických štúdiách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alebo v období po uvedení lieku na trh sa zistili a hlásili nasledujúce nežiaduce reakcie (tabuľka 1).</w:t>
      </w:r>
    </w:p>
    <w:p w14:paraId="3F031496" w14:textId="77777777" w:rsidR="00A36E77" w:rsidRPr="00180C46" w:rsidRDefault="00A36E77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3BB1805" w14:textId="2D67AC3A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Nežiaduce reakcie sú uvedené podľa tried orgánových systémov (TOS)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MedDRA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 V rámci každej TOS sú nežiaduce reakcie usporiadané podľa kategórie frekvencie. Kategórie frekvencie sú definované podľa nasledovných pravidiel: veľmi časté (≥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1/10), časté (≥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1/100 až &lt;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1/10), menej časté (≥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1/1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000 až &lt;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1/100), zriedkavé (≥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1/10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000 až &lt;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1/1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000), veľmi zriedkavé (&lt;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1/10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000), neznáme (z</w:t>
      </w:r>
      <w:r w:rsidR="00A36E77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dostupných údajov).</w:t>
      </w:r>
    </w:p>
    <w:p w14:paraId="7B95491C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922BA73" w14:textId="780DF990" w:rsidR="00462291" w:rsidRPr="00180C46" w:rsidRDefault="00462291" w:rsidP="008837E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Tabuľka 1</w:t>
      </w:r>
      <w:r w:rsidR="008837E8"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Nežiaduce reakcie podľa frekvencie a triedy orgánových systémov (TOS)</w:t>
      </w:r>
    </w:p>
    <w:tbl>
      <w:tblPr>
        <w:tblStyle w:val="TableGrid"/>
        <w:tblW w:w="9288" w:type="dxa"/>
        <w:tblInd w:w="-110" w:type="dxa"/>
        <w:tblCellMar>
          <w:top w:w="47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2116"/>
        <w:gridCol w:w="1554"/>
        <w:gridCol w:w="1842"/>
        <w:gridCol w:w="1835"/>
        <w:gridCol w:w="1941"/>
      </w:tblGrid>
      <w:tr w:rsidR="00462291" w:rsidRPr="00180C46" w14:paraId="6067B6F4" w14:textId="77777777" w:rsidTr="00161B2C">
        <w:trPr>
          <w:trHeight w:val="26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8A3F" w14:textId="77777777" w:rsidR="00462291" w:rsidRPr="00180C46" w:rsidRDefault="00462291" w:rsidP="00462291">
            <w:pPr>
              <w:ind w:right="24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TOS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5CC5" w14:textId="77777777" w:rsidR="00462291" w:rsidRPr="00180C46" w:rsidRDefault="00462291" w:rsidP="00462291">
            <w:pPr>
              <w:ind w:right="15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Veľmi časté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A8C9" w14:textId="77777777" w:rsidR="00462291" w:rsidRPr="00180C46" w:rsidRDefault="00462291" w:rsidP="00462291">
            <w:pPr>
              <w:ind w:right="25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Časté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2233" w14:textId="77777777" w:rsidR="00462291" w:rsidRPr="00180C46" w:rsidRDefault="00462291" w:rsidP="00462291">
            <w:pPr>
              <w:ind w:right="30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Menej časté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F00C" w14:textId="77777777" w:rsidR="00462291" w:rsidRPr="00180C46" w:rsidRDefault="00462291" w:rsidP="00462291">
            <w:pPr>
              <w:ind w:right="20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Neznáme</w:t>
            </w:r>
          </w:p>
        </w:tc>
      </w:tr>
      <w:tr w:rsidR="00462291" w:rsidRPr="00180C46" w14:paraId="63B262E4" w14:textId="77777777" w:rsidTr="00161B2C">
        <w:trPr>
          <w:trHeight w:val="1277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8A22" w14:textId="77777777" w:rsidR="00462291" w:rsidRPr="00180C46" w:rsidRDefault="00462291" w:rsidP="00462291">
            <w:pPr>
              <w:ind w:right="183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Benígne a malígne nádory, vrátane nešpecifikovaných novotvarov (cysty a polypy)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E582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9E0A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E276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krvácanie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nádoru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BA3B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180C46" w14:paraId="26DD7E2C" w14:textId="77777777" w:rsidTr="00161B2C">
        <w:trPr>
          <w:trHeight w:val="76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AF9A" w14:textId="77777777" w:rsidR="00462291" w:rsidRPr="00180C46" w:rsidRDefault="00462291" w:rsidP="00462291">
            <w:pPr>
              <w:ind w:right="612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Poruchy krvi a lymfatického systému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7A92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krvácavá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porucha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b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DB6D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BAC4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C6B2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trombotická</w:t>
            </w:r>
            <w:proofErr w:type="spellEnd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trombocytopenická</w:t>
            </w:r>
            <w:proofErr w:type="spellEnd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purpura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c</w:t>
            </w:r>
            <w:proofErr w:type="spellEnd"/>
          </w:p>
        </w:tc>
      </w:tr>
      <w:tr w:rsidR="00462291" w:rsidRPr="00180C46" w14:paraId="1D74AE12" w14:textId="77777777" w:rsidTr="00161B2C">
        <w:trPr>
          <w:trHeight w:val="76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19DB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Poruchy imunitného systému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9F0E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B447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435C" w14:textId="26DB8199" w:rsidR="00462291" w:rsidRPr="00180C46" w:rsidRDefault="00462291" w:rsidP="00A36E77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precitlivenosť vrátane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angioedému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c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0CC5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180C46" w14:paraId="7572689F" w14:textId="77777777" w:rsidTr="00161B2C">
        <w:trPr>
          <w:trHeight w:val="76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AD7A" w14:textId="77777777" w:rsidR="00462291" w:rsidRPr="00180C46" w:rsidRDefault="00462291" w:rsidP="00462291">
            <w:pPr>
              <w:ind w:right="610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Poruchy metabolizmu a výživy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608A" w14:textId="7D46F96B" w:rsidR="00462291" w:rsidRPr="00180C46" w:rsidRDefault="00462291" w:rsidP="00A36E77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hyperurikémia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d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6EC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dna/dnová artritída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4EF0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39E9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180C46" w14:paraId="6D8599F8" w14:textId="77777777" w:rsidTr="00161B2C">
        <w:trPr>
          <w:trHeight w:val="26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98D1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Psychické poruchy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69E9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DD46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80CD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zmätenosť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FF0F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180C46" w14:paraId="1E30C4BC" w14:textId="77777777" w:rsidTr="00161B2C">
        <w:trPr>
          <w:trHeight w:val="51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AFC9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lastRenderedPageBreak/>
              <w:t>Poruchy nervového systému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930E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3C2E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závrat, synkopa, bolesť hlavy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7E1D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intrakraniálne</w:t>
            </w:r>
            <w:proofErr w:type="spellEnd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krvácanie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m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EA5D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180C46" w14:paraId="52B3DCA9" w14:textId="77777777" w:rsidTr="00161B2C">
        <w:trPr>
          <w:trHeight w:val="25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16B2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Poruchy oka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7F8E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6312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8660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krvácanie do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oka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e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ECBD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180C46" w14:paraId="1C8AF820" w14:textId="77777777" w:rsidTr="00161B2C">
        <w:trPr>
          <w:trHeight w:val="51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1C9B" w14:textId="77777777" w:rsidR="00462291" w:rsidRPr="00180C46" w:rsidRDefault="00462291" w:rsidP="00462291">
            <w:pPr>
              <w:ind w:right="514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Poruchy ucha a labyrintu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3EA5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4611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vertigo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B30C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krvácanie do ucha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A807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E53A11" w:rsidRPr="00180C46" w14:paraId="7A570D81" w14:textId="77777777" w:rsidTr="00161B2C">
        <w:trPr>
          <w:trHeight w:val="26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C6D5" w14:textId="59481C00" w:rsidR="00E53A11" w:rsidRPr="00180C46" w:rsidRDefault="00E53A1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E53A11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Poruchy srdca a srdcovej činnosti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95FF" w14:textId="77777777" w:rsidR="00E53A11" w:rsidRPr="00180C46" w:rsidRDefault="00E53A1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2F74" w14:textId="77777777" w:rsidR="00E53A11" w:rsidRPr="00180C46" w:rsidRDefault="00E53A1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4A7C" w14:textId="77777777" w:rsidR="00E53A11" w:rsidRPr="00180C46" w:rsidRDefault="00E53A1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4C9D" w14:textId="11CEE5A0" w:rsidR="00E53A11" w:rsidRPr="00180C46" w:rsidRDefault="00E53A11" w:rsidP="00E53A1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proofErr w:type="spellStart"/>
            <w:r w:rsidRPr="00E53A11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bradyarytmia</w:t>
            </w:r>
            <w:proofErr w:type="spellEnd"/>
            <w:r w:rsidRPr="00E53A11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, AV</w:t>
            </w:r>
            <w:r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 </w:t>
            </w:r>
            <w:proofErr w:type="spellStart"/>
            <w:r w:rsidRPr="00E53A11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blokáda</w:t>
            </w:r>
            <w:r w:rsidRPr="00E53A1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c</w:t>
            </w:r>
            <w:proofErr w:type="spellEnd"/>
          </w:p>
        </w:tc>
      </w:tr>
      <w:tr w:rsidR="00462291" w:rsidRPr="00180C46" w14:paraId="488783E5" w14:textId="77777777" w:rsidTr="00161B2C">
        <w:trPr>
          <w:trHeight w:val="26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A677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Poruchy ciev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79C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2DE0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hypotenzia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B8AC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9791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180C46" w14:paraId="79AE9920" w14:textId="77777777" w:rsidTr="00161B2C">
        <w:trPr>
          <w:trHeight w:val="76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C987" w14:textId="77777777" w:rsidR="00462291" w:rsidRPr="00180C46" w:rsidRDefault="00462291" w:rsidP="00462291">
            <w:pPr>
              <w:ind w:right="324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Poruchy dýchacej sústavy, hrudníka a 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mediastína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F1A5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dyspnoe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2A39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krvácanie do dýchacích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ciest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f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9A08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1021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180C46" w14:paraId="17F19661" w14:textId="77777777" w:rsidTr="00161B2C">
        <w:trPr>
          <w:trHeight w:val="1022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6A58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Poruchy </w:t>
            </w:r>
          </w:p>
          <w:p w14:paraId="2E3D866A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gastrointestinálneho traktu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5F30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5D45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gastrointestinálne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krvácanie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g</w:t>
            </w:r>
            <w:proofErr w:type="spellEnd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, hnačka, nauzea,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dyspepsia</w:t>
            </w:r>
            <w:proofErr w:type="spellEnd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, zápcha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200B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retroperitoneálne</w:t>
            </w:r>
            <w:proofErr w:type="spellEnd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 krvácanie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2921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B21C94" w14:paraId="78A0966C" w14:textId="77777777" w:rsidTr="00161B2C">
        <w:trPr>
          <w:trHeight w:val="76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D457" w14:textId="77777777" w:rsidR="00462291" w:rsidRPr="00180C46" w:rsidRDefault="00462291" w:rsidP="00462291">
            <w:pPr>
              <w:ind w:right="684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Poruchy kože a podkožného tkaniva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E3ED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B82A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podkožné alebo kožné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krvácanie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h</w:t>
            </w:r>
            <w:proofErr w:type="spellEnd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, vyrážka,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pruritus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FE86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174C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180C46" w14:paraId="2F1BC275" w14:textId="77777777" w:rsidTr="00161B2C">
        <w:trPr>
          <w:trHeight w:val="1022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A8F1" w14:textId="77777777" w:rsidR="00462291" w:rsidRPr="00180C46" w:rsidRDefault="00462291" w:rsidP="00462291">
            <w:pPr>
              <w:ind w:right="149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Poruchy kostrovej a svalovej sústavy a spojivového tkaniva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FB31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783E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BCAB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krvácanie do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svalu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i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8CF1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180C46" w14:paraId="3BEE55A5" w14:textId="77777777" w:rsidTr="00161B2C">
        <w:trPr>
          <w:trHeight w:val="51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D23A" w14:textId="77777777" w:rsidR="00462291" w:rsidRPr="00180C46" w:rsidRDefault="00462291" w:rsidP="00462291">
            <w:pPr>
              <w:ind w:right="245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Poruchy obličiek a močových ciest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DF1A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AEBB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krvácanie do močových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ciest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j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FDF1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07BB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180C46" w14:paraId="456E5DC0" w14:textId="77777777" w:rsidTr="00161B2C">
        <w:trPr>
          <w:trHeight w:val="77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6412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Poruchy reprodukčného systému a prsníkov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EB2A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A849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E670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krvácanie do reprodukčného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systému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k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4283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180C46" w14:paraId="6F8EAF2D" w14:textId="77777777" w:rsidTr="00161B2C">
        <w:trPr>
          <w:trHeight w:val="51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7780" w14:textId="77777777" w:rsidR="00462291" w:rsidRPr="00180C46" w:rsidRDefault="00462291" w:rsidP="00462291">
            <w:pPr>
              <w:ind w:right="94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Laboratórne a funkčné vyšetrenia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40CC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76AC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zvýšený kreatinín v 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krvi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d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96E6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DD68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B21C94" w14:paraId="1730508D" w14:textId="77777777" w:rsidTr="00161B2C">
        <w:trPr>
          <w:trHeight w:val="1022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4723" w14:textId="77777777" w:rsidR="00462291" w:rsidRPr="00180C46" w:rsidRDefault="00462291" w:rsidP="00462291">
            <w:pPr>
              <w:ind w:right="64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Úrazy, otravy a komplikácie liečebného postupu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EDE4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3E6A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krvácanie po zákroku, poúrazové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krvácanie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l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2248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D95B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</w:tbl>
    <w:p w14:paraId="0E5EE801" w14:textId="77777777" w:rsidR="00161B2C" w:rsidRPr="00773327" w:rsidRDefault="00462291" w:rsidP="00161B2C">
      <w:pPr>
        <w:spacing w:after="0" w:line="240" w:lineRule="auto"/>
        <w:ind w:left="567" w:right="-4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vertAlign w:val="superscript"/>
          <w:lang w:val="sk-SK" w:eastAsia="en-GB"/>
        </w:rPr>
        <w:t>a</w:t>
      </w:r>
      <w:r w:rsidR="00161B2C" w:rsidRPr="00180C46">
        <w:rPr>
          <w:rFonts w:ascii="Times New Roman" w:eastAsia="Times New Roman" w:hAnsi="Times New Roman" w:cs="Times New Roman"/>
          <w:color w:val="000000"/>
          <w:vertAlign w:val="superscript"/>
          <w:lang w:val="sk-SK" w:eastAsia="en-GB"/>
        </w:rPr>
        <w:tab/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napr. krvácanie z nádoru močového mechúra, nádoru žalúdka, nádoru hrubého čreva</w:t>
      </w:r>
    </w:p>
    <w:p w14:paraId="49D50FD2" w14:textId="77777777" w:rsidR="00161B2C" w:rsidRPr="00773327" w:rsidRDefault="00462291" w:rsidP="00161B2C">
      <w:pPr>
        <w:spacing w:after="0" w:line="240" w:lineRule="auto"/>
        <w:ind w:left="567" w:right="-4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sk-SK" w:eastAsia="en-GB"/>
        </w:rPr>
        <w:t>b</w:t>
      </w:r>
      <w:r w:rsidR="00161B2C" w:rsidRPr="0077332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sk-SK" w:eastAsia="en-GB"/>
        </w:rPr>
        <w:tab/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napr. zvýšený sklon k tvorbe krvných podliatin, spontánny hematóm,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hemoragická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diatéza</w:t>
      </w:r>
    </w:p>
    <w:p w14:paraId="338EF88E" w14:textId="1F4110B9" w:rsidR="00462291" w:rsidRPr="00773327" w:rsidRDefault="00462291" w:rsidP="00161B2C">
      <w:pPr>
        <w:spacing w:after="0" w:line="240" w:lineRule="auto"/>
        <w:ind w:left="567" w:right="-4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sk-SK" w:eastAsia="en-GB"/>
        </w:rPr>
        <w:t>c</w:t>
      </w:r>
      <w:r w:rsidR="00161B2C" w:rsidRPr="0077332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sk-SK" w:eastAsia="en-GB"/>
        </w:rPr>
        <w:tab/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Identifikované v období po uvedení lieku na trh</w:t>
      </w:r>
    </w:p>
    <w:p w14:paraId="0EE2366E" w14:textId="55C358BE" w:rsidR="00462291" w:rsidRPr="00773327" w:rsidRDefault="00462291" w:rsidP="00161B2C">
      <w:pPr>
        <w:numPr>
          <w:ilvl w:val="0"/>
          <w:numId w:val="6"/>
        </w:numPr>
        <w:spacing w:after="0" w:line="240" w:lineRule="auto"/>
        <w:ind w:left="567" w:right="-4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Frekvencie odvodené z laboratórnych pozorovaní (Zvýšenia kyseliny močovej </w:t>
      </w:r>
      <w:r w:rsidR="00161B2C"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na </w:t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˃</w:t>
      </w:r>
      <w:r w:rsidR="00161B2C"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</w:t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horná hranica normálu oproti východiskovej hodnote, pod alebo v rámci referenčného rozmedzia. Zvýšenia kreatinínu </w:t>
      </w:r>
      <w:r w:rsidR="00161B2C"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o </w:t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˃</w:t>
      </w:r>
      <w:r w:rsidR="00161B2C"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</w:t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50 % oproti východiskovej hodnote.) a nie neprepočítané frekvencie hlásených nežiaducich udalostí.</w:t>
      </w:r>
    </w:p>
    <w:p w14:paraId="7B82E2F2" w14:textId="77777777" w:rsidR="00161B2C" w:rsidRPr="00773327" w:rsidRDefault="00462291" w:rsidP="00161B2C">
      <w:pPr>
        <w:numPr>
          <w:ilvl w:val="0"/>
          <w:numId w:val="6"/>
        </w:numPr>
        <w:spacing w:after="0" w:line="240" w:lineRule="auto"/>
        <w:ind w:left="567" w:right="-4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napr. krvácanie do spojovky, sietnice,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vnútroočné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krvácanie</w:t>
      </w:r>
    </w:p>
    <w:p w14:paraId="51BD94D2" w14:textId="77777777" w:rsidR="00161B2C" w:rsidRPr="00773327" w:rsidRDefault="00462291" w:rsidP="00161B2C">
      <w:pPr>
        <w:numPr>
          <w:ilvl w:val="0"/>
          <w:numId w:val="6"/>
        </w:numPr>
        <w:spacing w:after="0" w:line="240" w:lineRule="auto"/>
        <w:ind w:left="567" w:right="-4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napr.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epistaxa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,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hemoptýza</w:t>
      </w:r>
      <w:proofErr w:type="spellEnd"/>
    </w:p>
    <w:p w14:paraId="5127B4B0" w14:textId="77777777" w:rsidR="00161B2C" w:rsidRPr="00773327" w:rsidRDefault="00462291" w:rsidP="00161B2C">
      <w:pPr>
        <w:numPr>
          <w:ilvl w:val="0"/>
          <w:numId w:val="6"/>
        </w:numPr>
        <w:spacing w:after="0" w:line="240" w:lineRule="auto"/>
        <w:ind w:left="567" w:right="-4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napr. krvácanie ďasien, rektálne krvácanie, krvácanie žalúdkového vredu</w:t>
      </w:r>
    </w:p>
    <w:p w14:paraId="1F6687AA" w14:textId="77777777" w:rsidR="00161B2C" w:rsidRPr="00773327" w:rsidRDefault="00462291" w:rsidP="00161B2C">
      <w:pPr>
        <w:numPr>
          <w:ilvl w:val="0"/>
          <w:numId w:val="6"/>
        </w:numPr>
        <w:spacing w:after="0" w:line="240" w:lineRule="auto"/>
        <w:ind w:left="567" w:right="-4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sk-SK" w:eastAsia="en-GB"/>
        </w:rPr>
        <w:t xml:space="preserve"> </w:t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napr.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ekchymóza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, krvácanie do kože,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petechie</w:t>
      </w:r>
      <w:proofErr w:type="spellEnd"/>
    </w:p>
    <w:p w14:paraId="1ADD7498" w14:textId="77777777" w:rsidR="00161B2C" w:rsidRPr="00773327" w:rsidRDefault="00462291" w:rsidP="00161B2C">
      <w:pPr>
        <w:numPr>
          <w:ilvl w:val="0"/>
          <w:numId w:val="6"/>
        </w:numPr>
        <w:spacing w:after="0" w:line="240" w:lineRule="auto"/>
        <w:ind w:left="567" w:right="-4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napr.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hemartróza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, krvácanie do svalu</w:t>
      </w:r>
    </w:p>
    <w:p w14:paraId="14B04C08" w14:textId="6A742E2B" w:rsidR="00161B2C" w:rsidRPr="00773327" w:rsidRDefault="00462291" w:rsidP="00161B2C">
      <w:pPr>
        <w:numPr>
          <w:ilvl w:val="0"/>
          <w:numId w:val="6"/>
        </w:numPr>
        <w:spacing w:after="0" w:line="240" w:lineRule="auto"/>
        <w:ind w:left="567" w:right="-4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napr.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hematúria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,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hemoragická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cystitída</w:t>
      </w:r>
      <w:proofErr w:type="spellEnd"/>
    </w:p>
    <w:p w14:paraId="60B5E149" w14:textId="1262917D" w:rsidR="00161B2C" w:rsidRPr="00773327" w:rsidRDefault="00462291" w:rsidP="00161B2C">
      <w:pPr>
        <w:numPr>
          <w:ilvl w:val="0"/>
          <w:numId w:val="6"/>
        </w:numPr>
        <w:spacing w:after="0" w:line="240" w:lineRule="auto"/>
        <w:ind w:left="567" w:right="-4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napr. vaginálne krvácanie,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hematospermia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,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postmenopauzálne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krvácanie</w:t>
      </w:r>
    </w:p>
    <w:p w14:paraId="48163F54" w14:textId="77777777" w:rsidR="00161B2C" w:rsidRPr="00773327" w:rsidRDefault="00462291" w:rsidP="00161B2C">
      <w:pPr>
        <w:numPr>
          <w:ilvl w:val="0"/>
          <w:numId w:val="6"/>
        </w:numPr>
        <w:spacing w:after="0" w:line="240" w:lineRule="auto"/>
        <w:ind w:left="567" w:right="-4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napr.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kontúzia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, poúrazový hematóm, poúrazové krvácanie</w:t>
      </w:r>
    </w:p>
    <w:p w14:paraId="174EE172" w14:textId="400DDCDB" w:rsidR="00462291" w:rsidRPr="00773327" w:rsidRDefault="00462291" w:rsidP="00161B2C">
      <w:pPr>
        <w:numPr>
          <w:ilvl w:val="0"/>
          <w:numId w:val="6"/>
        </w:numPr>
        <w:spacing w:after="0" w:line="240" w:lineRule="auto"/>
        <w:ind w:left="567" w:right="-4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napr. spontánne, súvisiace s liečebným postupom alebo traumatické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intrakraniálne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krvácanie</w:t>
      </w:r>
    </w:p>
    <w:p w14:paraId="482B90D4" w14:textId="77777777" w:rsidR="00462291" w:rsidRPr="00180C46" w:rsidRDefault="00462291" w:rsidP="00462291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A5FFA9E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Popis vybraných nežiaducich reakcií</w:t>
      </w:r>
    </w:p>
    <w:p w14:paraId="5F1E64ED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Krvácanie</w:t>
      </w:r>
    </w:p>
    <w:p w14:paraId="2C12B6A9" w14:textId="77777777" w:rsidR="00462291" w:rsidRPr="00180C46" w:rsidRDefault="00462291" w:rsidP="00462291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Zistenia týkajúce sa krvácania v štúdii PLATO</w:t>
      </w:r>
    </w:p>
    <w:p w14:paraId="64F62DB6" w14:textId="56935871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FC2EDD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tabuľke 2 sú uvedené celkové výsledky miery krvácania v štúdii PLATO.</w:t>
      </w:r>
    </w:p>
    <w:p w14:paraId="4B641079" w14:textId="77777777" w:rsidR="00FC2EDD" w:rsidRPr="00180C46" w:rsidRDefault="00FC2EDD" w:rsidP="004622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sk-SK" w:eastAsia="en-GB"/>
        </w:rPr>
      </w:pPr>
    </w:p>
    <w:p w14:paraId="5344816C" w14:textId="1528CE01" w:rsidR="00462291" w:rsidRPr="00180C46" w:rsidRDefault="00462291" w:rsidP="008837E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lastRenderedPageBreak/>
        <w:t>Tabuľka 2</w:t>
      </w:r>
      <w:r w:rsidR="008837E8"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Analýza celkových krvácavých príhod, </w:t>
      </w:r>
      <w:proofErr w:type="spellStart"/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Kaplanov-Meierov</w:t>
      </w:r>
      <w:proofErr w:type="spellEnd"/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 odhad v 12.</w:t>
      </w:r>
      <w:r w:rsidR="00254D9C"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mesiaci (štúdia PLATO)</w:t>
      </w:r>
    </w:p>
    <w:tbl>
      <w:tblPr>
        <w:tblStyle w:val="TableGrid"/>
        <w:tblW w:w="5000" w:type="pct"/>
        <w:tblInd w:w="0" w:type="dxa"/>
        <w:tblCellMar>
          <w:top w:w="49" w:type="dxa"/>
          <w:left w:w="110" w:type="dxa"/>
          <w:right w:w="118" w:type="dxa"/>
        </w:tblCellMar>
        <w:tblLook w:val="04A0" w:firstRow="1" w:lastRow="0" w:firstColumn="1" w:lastColumn="0" w:noHBand="0" w:noVBand="1"/>
      </w:tblPr>
      <w:tblGrid>
        <w:gridCol w:w="4416"/>
        <w:gridCol w:w="1792"/>
        <w:gridCol w:w="1489"/>
        <w:gridCol w:w="1363"/>
      </w:tblGrid>
      <w:tr w:rsidR="00462291" w:rsidRPr="00180C46" w14:paraId="2C995905" w14:textId="77777777" w:rsidTr="008837E8">
        <w:trPr>
          <w:trHeight w:val="1022"/>
        </w:trPr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211" w14:textId="77777777" w:rsidR="00462291" w:rsidRPr="00180C46" w:rsidRDefault="00462291" w:rsidP="008837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23E1" w14:textId="77777777" w:rsidR="00462291" w:rsidRPr="00180C46" w:rsidRDefault="00462291" w:rsidP="008837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tikagrelor</w:t>
            </w:r>
            <w:proofErr w:type="spellEnd"/>
          </w:p>
          <w:p w14:paraId="17A1674D" w14:textId="77777777" w:rsidR="00462291" w:rsidRPr="00180C46" w:rsidRDefault="00462291" w:rsidP="008837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90 mg dvakrát denne</w:t>
            </w:r>
          </w:p>
          <w:p w14:paraId="2604B27E" w14:textId="2CC3B28B" w:rsidR="00462291" w:rsidRPr="00180C46" w:rsidRDefault="00FC2EDD" w:rsidP="008837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n</w:t>
            </w:r>
            <w:r w:rsidR="00C02F98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 = </w:t>
            </w:r>
            <w:r w:rsidR="00462291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9235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441F" w14:textId="60A5B62B" w:rsidR="00462291" w:rsidRPr="00180C46" w:rsidRDefault="00462291" w:rsidP="008837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klopidogrel</w:t>
            </w:r>
            <w:proofErr w:type="spellEnd"/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 xml:space="preserve"> </w:t>
            </w:r>
            <w:r w:rsidR="00FC2EDD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n</w:t>
            </w:r>
            <w:r w:rsidR="00C02F98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 = 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9186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2384" w14:textId="77777777" w:rsidR="00462291" w:rsidRPr="00180C46" w:rsidRDefault="00462291" w:rsidP="008837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i/>
                <w:color w:val="000000"/>
                <w:lang w:val="sk-SK"/>
              </w:rPr>
              <w:t>p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-hodnota*</w:t>
            </w:r>
          </w:p>
        </w:tc>
      </w:tr>
      <w:tr w:rsidR="00462291" w:rsidRPr="00180C46" w14:paraId="02B505A9" w14:textId="77777777" w:rsidTr="00FC2EDD">
        <w:trPr>
          <w:trHeight w:val="264"/>
        </w:trPr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508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Veľké krvácania podľa PLATO celkovo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60F0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11,6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802C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11,2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FF89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0,4336</w:t>
            </w:r>
          </w:p>
        </w:tc>
      </w:tr>
      <w:tr w:rsidR="00462291" w:rsidRPr="00180C46" w14:paraId="40646E8D" w14:textId="77777777" w:rsidTr="00FC2EDD">
        <w:trPr>
          <w:trHeight w:val="518"/>
        </w:trPr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E488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Veľké fatálne/život ohrozujúce krvácania podľa PLATO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21D5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5,8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AC7E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5,8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1586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0,6988</w:t>
            </w:r>
          </w:p>
        </w:tc>
      </w:tr>
      <w:tr w:rsidR="00462291" w:rsidRPr="00180C46" w14:paraId="2AAFD86D" w14:textId="77777777" w:rsidTr="00FC2EDD">
        <w:trPr>
          <w:trHeight w:val="514"/>
        </w:trPr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6D68" w14:textId="22CE324F" w:rsidR="00462291" w:rsidRPr="00180C46" w:rsidRDefault="00462291" w:rsidP="00FC2EDD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Veľké krvácania podľa PLATO nesúvisiace s</w:t>
            </w:r>
            <w:r w:rsidR="00FC2EDD"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CABG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17FC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4,5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D2EB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3,8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804D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0,0264</w:t>
            </w:r>
          </w:p>
        </w:tc>
      </w:tr>
      <w:tr w:rsidR="00462291" w:rsidRPr="00180C46" w14:paraId="3826E2CA" w14:textId="77777777" w:rsidTr="00FC2EDD">
        <w:trPr>
          <w:trHeight w:val="514"/>
        </w:trPr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87E5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Veľké krvácania podľa PLATO nesúvisiace s liečebným postupom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1BCE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3,1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8FD8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1B6D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0,0058</w:t>
            </w:r>
          </w:p>
        </w:tc>
      </w:tr>
      <w:tr w:rsidR="00462291" w:rsidRPr="00180C46" w14:paraId="01095238" w14:textId="77777777" w:rsidTr="00FC2EDD">
        <w:trPr>
          <w:trHeight w:val="518"/>
        </w:trPr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3015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Veľké + malé krvácania podľa PLATO celkovo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6128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16,1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18F8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14,6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A8FA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0,0084</w:t>
            </w:r>
          </w:p>
        </w:tc>
      </w:tr>
      <w:tr w:rsidR="00462291" w:rsidRPr="00180C46" w14:paraId="71BAD4A6" w14:textId="77777777" w:rsidTr="00FC2EDD">
        <w:trPr>
          <w:trHeight w:val="514"/>
        </w:trPr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830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Veľké + malé krvácania podľa PLATO nesúvisiace s liečebným postupom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5BF7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5,9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18EE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4,3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223A" w14:textId="532BDC5B" w:rsidR="00462291" w:rsidRPr="00180C46" w:rsidRDefault="008837E8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hAnsi="Times New Roman" w:cs="Times New Roman"/>
              </w:rPr>
              <w:t>&lt;</w:t>
            </w:r>
            <w:r w:rsidRPr="00180C46">
              <w:rPr>
                <w:rFonts w:ascii="Times New Roman" w:hAnsi="Times New Roman" w:cs="Times New Roman"/>
                <w:lang w:val="en-US"/>
              </w:rPr>
              <w:t> </w:t>
            </w:r>
            <w:r w:rsidR="00462291"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0,0001</w:t>
            </w:r>
          </w:p>
        </w:tc>
      </w:tr>
      <w:tr w:rsidR="00462291" w:rsidRPr="00180C46" w14:paraId="6C27A8D9" w14:textId="77777777" w:rsidTr="00FC2EDD">
        <w:trPr>
          <w:trHeight w:val="518"/>
        </w:trPr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8A9D" w14:textId="5B6CBC31" w:rsidR="00462291" w:rsidRPr="00180C46" w:rsidRDefault="00462291" w:rsidP="00FC2EDD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Veľké krvácania definované podľa kritérií TIMI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A005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7,9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ABD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7,7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9637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0,5669</w:t>
            </w:r>
          </w:p>
        </w:tc>
      </w:tr>
      <w:tr w:rsidR="00462291" w:rsidRPr="00180C46" w14:paraId="0C3A42BC" w14:textId="77777777" w:rsidTr="00FC2EDD">
        <w:trPr>
          <w:trHeight w:val="518"/>
        </w:trPr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8A1D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Veľké + malé krvácania definované podľa kritérií TIMI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48FC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11,4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CC33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10,9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CCDE" w14:textId="77777777" w:rsidR="00462291" w:rsidRPr="00180C46" w:rsidRDefault="00462291" w:rsidP="00FC2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0,3272</w:t>
            </w:r>
          </w:p>
        </w:tc>
      </w:tr>
    </w:tbl>
    <w:p w14:paraId="633F41FD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Definície kategórií krvácania:</w:t>
      </w:r>
    </w:p>
    <w:p w14:paraId="0CD37E59" w14:textId="7ED1E209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Veľké fatálne/život ohrozujúce krvácanie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: Klinicky zjavné krvácanie súvisiace s poklesom hemoglobínu o viac ako 50</w:t>
      </w:r>
      <w:r w:rsidR="00FC2EDD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g/l alebo s transfúziou ≥</w:t>
      </w:r>
      <w:r w:rsidR="00FC2EDD" w:rsidRPr="00180C46">
        <w:rPr>
          <w:rFonts w:ascii="Times New Roman" w:hAnsi="Times New Roman" w:cs="Times New Roman"/>
          <w:lang w:val="sk-SK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4 jednotiek erytrocytov </w:t>
      </w: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alebo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fatálne </w:t>
      </w: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intraperikardiálne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krvácanie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tamponádou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srdca</w:t>
      </w:r>
      <w:r w:rsidRPr="00180C46">
        <w:rPr>
          <w:rFonts w:ascii="Times New Roman" w:eastAsia="Segoe UI Symbol" w:hAnsi="Times New Roman" w:cs="Times New Roman"/>
          <w:color w:val="000000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hypovolemickým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šokom alebo ťažkou hypotenziou vyžadujúcou si podanie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vazopresorov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alebo chirurgickú intervenciu.</w:t>
      </w:r>
    </w:p>
    <w:p w14:paraId="28A2E457" w14:textId="5DDC6C3B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Veľké iné: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Klinicky zjavné krvácanie súvisiace s poklesom hemoglobínu o</w:t>
      </w:r>
      <w:r w:rsid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30</w:t>
      </w:r>
      <w:r w:rsidR="00180C46">
        <w:rPr>
          <w:rFonts w:ascii="Times New Roman" w:eastAsia="Times New Roman" w:hAnsi="Times New Roman" w:cs="Times New Roman"/>
          <w:color w:val="000000"/>
          <w:lang w:val="sk-SK" w:eastAsia="en-GB"/>
        </w:rPr>
        <w:t> –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50</w:t>
      </w:r>
      <w:r w:rsidR="00FC2EDD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g/l alebo s transfúziou 2 až 3 jednotiek erytrocytov</w:t>
      </w:r>
      <w:r w:rsidRPr="00180C46">
        <w:rPr>
          <w:rFonts w:ascii="Times New Roman" w:eastAsia="Segoe UI Symbol" w:hAnsi="Times New Roman" w:cs="Times New Roman"/>
          <w:color w:val="000000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alebo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významne vysiľujúce krvácanie.</w:t>
      </w:r>
    </w:p>
    <w:p w14:paraId="0C1EA670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Malé krvácanie:</w:t>
      </w:r>
      <w:r w:rsidRPr="00180C46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Vyžaduje si lekársky zásah na zastavenie alebo zvládnutie krvácania.</w:t>
      </w:r>
    </w:p>
    <w:p w14:paraId="0EE3DF72" w14:textId="0D0F9B09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Veľké krvácanie podľa TIMI: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Klinicky zjavné krvácanie s poklesom hemoglobínu </w:t>
      </w:r>
      <w:r w:rsidR="00180C46" w:rsidRPr="00180C46">
        <w:rPr>
          <w:rFonts w:ascii="Times New Roman" w:eastAsia="Segoe UI Symbol" w:hAnsi="Times New Roman" w:cs="Times New Roman"/>
          <w:color w:val="000000"/>
          <w:lang w:val="sk-SK" w:eastAsia="en-GB"/>
        </w:rPr>
        <w:t>&gt;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50</w:t>
      </w:r>
      <w:r w:rsidR="00FC2EDD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g/l </w:t>
      </w: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krvácanie.</w:t>
      </w:r>
    </w:p>
    <w:p w14:paraId="56FFDA33" w14:textId="1FE5A669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Malé krvácanie podľa TIMI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: Klinicky zjavné krvácanie súvisiace s poklesom hemoglobínu o</w:t>
      </w:r>
      <w:r w:rsid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30</w:t>
      </w:r>
      <w:r w:rsidR="00180C46">
        <w:rPr>
          <w:rFonts w:ascii="Times New Roman" w:eastAsia="Times New Roman" w:hAnsi="Times New Roman" w:cs="Times New Roman"/>
          <w:color w:val="000000"/>
          <w:lang w:val="sk-SK" w:eastAsia="en-GB"/>
        </w:rPr>
        <w:t> –</w:t>
      </w:r>
      <w:r w:rsidR="00180C46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50</w:t>
      </w:r>
      <w:r w:rsidR="00FC2B11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g/l.</w:t>
      </w:r>
    </w:p>
    <w:p w14:paraId="3062C2CD" w14:textId="482DC32A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*</w:t>
      </w: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p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-hodnota vypočítaná na základe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Coxovho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modelu proporcionálneho rizika s liečebnou skupinou ako jedinou vysvetľujúcou premennou</w:t>
      </w:r>
      <w:r w:rsid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677CE87A" w14:textId="77777777" w:rsidR="00FC2B11" w:rsidRPr="00180C46" w:rsidRDefault="00FC2B1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7D7F801" w14:textId="06402FF8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neodlišovali vo výskyte veľkého fatálneho/život ohrozujúceho krvácania podľa definície PLATO, veľkého krvácania podľa definície PLATO celkovo, veľkého krvácania podľa kritérií TIMI alebo malého krvácania podľa kritérií TIMI (tabuľka 2). V porovnaní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však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vyskytlo spolu viac veľkých a malých krvácaní podľa definície PLATO. Niekoľko pacientov v štúdii PLATO malo fatálne krvácania: 20 (0,2 %)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23 (0,3 %)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(pozri časť 4.4).</w:t>
      </w:r>
    </w:p>
    <w:p w14:paraId="25C28D51" w14:textId="77777777" w:rsidR="00FC2B11" w:rsidRPr="00180C46" w:rsidRDefault="00FC2B1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3522DC9" w14:textId="3DEF70AE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Vek, pohlavie, hmotnosť, rasa, geografické územie, súbežné ochorenia, súbežná liečba a anamnéza pacienta, vrátane prekonanej cievnej mozgovej príhody alebo prekonaného prechodného ischemického záchvatu, neboli prediktívne z hľadiska celkového výskytu krvácaní, ani z hľadiska výskytu veľkého krvácania podľa definície PLATO nesúvisiaceho s liečebným postupom. Preto pre žiaden podtyp krvácania nebola konkrétna skupina identifikovaná ako riziková.</w:t>
      </w:r>
    </w:p>
    <w:p w14:paraId="24EED863" w14:textId="77777777" w:rsidR="00F55C3C" w:rsidRDefault="00F55C3C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2B32F51" w14:textId="22F17A55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Krvácanie súvisiace s CABG:</w:t>
      </w:r>
    </w:p>
    <w:p w14:paraId="3F2B1237" w14:textId="750DCE58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FC2B11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štúdii PLATO sa u 42 % z</w:t>
      </w:r>
      <w:r w:rsidR="00F55C3C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</w:t>
      </w:r>
      <w:r w:rsidR="00F55C3C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584 pacientov (12 % kohorty), ktorí podstúpili zákrok CABG, vyskytlo veľké fatálne/život ohrozujúce krvácanie podľa definície PLATO, bez rozdielu medzi liečebnými skupinami. Fatálne krvácanie súvisiace s CABG sa vyskytlo v každej liečebnej skupine u 6 pacientov (pozri časť 4.4).</w:t>
      </w:r>
    </w:p>
    <w:p w14:paraId="3609B781" w14:textId="77777777" w:rsidR="00FC2B11" w:rsidRPr="00180C46" w:rsidRDefault="00FC2B1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2668F02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lastRenderedPageBreak/>
        <w:t>Krvácanie nesúvisiace s CABG a krvácanie nesúvisiace s liečebným postupom:</w:t>
      </w:r>
    </w:p>
    <w:p w14:paraId="6389476B" w14:textId="0AA48282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neodlišovali vo výskyte veľkého fatálneho/život ohrozujúceho krvácania podľa definície PLATO nesúvisiaceho s CABG, ale výskyt veľkého krvácania podľa definície PLATO celkovo, veľkého krvácania podľa kritérií TIMI a výskyt veľkého a malého krvácania podľa kritérií TIMI bol častejší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Rovnako, po vylúčení všetkých krvácaní súvisiacich s liečebným postupom, sa viac krvácaní vyskytlo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ako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(tabuľka 2). Ukončenie liečby pre krvácanie nesúvisiace s liečebným postupom bolo častejšie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(2,9 %) ako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(1,2 %; p</w:t>
      </w:r>
      <w:r w:rsidR="00F55C3C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&lt;</w:t>
      </w:r>
      <w:r w:rsidR="00F55C3C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0,001).</w:t>
      </w:r>
    </w:p>
    <w:p w14:paraId="5C62F2DA" w14:textId="77777777" w:rsidR="00FC2B11" w:rsidRPr="00180C46" w:rsidRDefault="00FC2B1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485D247" w14:textId="2DD1958C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krvácanie:</w:t>
      </w:r>
    </w:p>
    <w:p w14:paraId="3CE0B1AE" w14:textId="44A5F816" w:rsidR="00462291" w:rsidRPr="00180C46" w:rsidRDefault="00462291" w:rsidP="00462291">
      <w:pPr>
        <w:spacing w:after="0" w:line="240" w:lineRule="auto"/>
        <w:ind w:right="32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F55C3C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skupine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vyskytlo viac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intrakraniálnych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krvácaní nesúvisiacich s liečebným postupom (n</w:t>
      </w:r>
      <w:r w:rsidR="00C02F9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=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27 krvácaní u 26 pacientov, 0,3 %) ako v skupine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(n</w:t>
      </w:r>
      <w:r w:rsidR="00C02F98" w:rsidRPr="00180C46">
        <w:rPr>
          <w:rFonts w:ascii="Times New Roman" w:hAnsi="Times New Roman" w:cs="Times New Roman"/>
          <w:lang w:val="sk-SK"/>
        </w:rPr>
        <w:t> =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14 krvácaní, 0,2 %), z ktorých bolo fatálnych 11 v skupine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1 v skupine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 V celkovom výskyte fatálnych krvácaní nebol žiadny rozdiel.</w:t>
      </w:r>
    </w:p>
    <w:p w14:paraId="130D296B" w14:textId="77777777" w:rsidR="00462291" w:rsidRPr="00180C46" w:rsidRDefault="00462291" w:rsidP="00462291">
      <w:pPr>
        <w:spacing w:after="0" w:line="240" w:lineRule="auto"/>
        <w:ind w:right="32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AFAB31A" w14:textId="77777777" w:rsidR="00462291" w:rsidRPr="00180C46" w:rsidRDefault="00462291" w:rsidP="00462291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Zistenia týkajúce sa krvácania v štúdii PEGASUS</w:t>
      </w:r>
    </w:p>
    <w:p w14:paraId="7EB5E65A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 tabuľke 3 sú uvedené celkové výsledky udalostí súvisiacich s krvácaním v štúdii PEGASUS.</w:t>
      </w:r>
    </w:p>
    <w:p w14:paraId="2352F8EB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1240A57" w14:textId="680DDBB4" w:rsidR="00462291" w:rsidRPr="00180C46" w:rsidRDefault="00462291" w:rsidP="00F55C3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Tabuľka 3</w:t>
      </w:r>
      <w:r w:rsidR="00F55C3C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Analýza celkových krvácavých príhod, </w:t>
      </w:r>
      <w:proofErr w:type="spellStart"/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Kaplanov-Meierov</w:t>
      </w:r>
      <w:proofErr w:type="spellEnd"/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 odhad v 36.</w:t>
      </w:r>
      <w:r w:rsidR="00F55C3C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mesiaci (štúdia PEGASUS)</w:t>
      </w:r>
    </w:p>
    <w:tbl>
      <w:tblPr>
        <w:tblStyle w:val="TableGrid"/>
        <w:tblW w:w="9230" w:type="dxa"/>
        <w:tblInd w:w="-110" w:type="dxa"/>
        <w:tblCellMar>
          <w:top w:w="53" w:type="dxa"/>
          <w:left w:w="110" w:type="dxa"/>
          <w:right w:w="143" w:type="dxa"/>
        </w:tblCellMar>
        <w:tblLook w:val="04A0" w:firstRow="1" w:lastRow="0" w:firstColumn="1" w:lastColumn="0" w:noHBand="0" w:noVBand="1"/>
      </w:tblPr>
      <w:tblGrid>
        <w:gridCol w:w="3442"/>
        <w:gridCol w:w="1058"/>
        <w:gridCol w:w="1846"/>
        <w:gridCol w:w="1130"/>
        <w:gridCol w:w="1754"/>
      </w:tblGrid>
      <w:tr w:rsidR="00F55C3C" w:rsidRPr="00180C46" w14:paraId="4738EB09" w14:textId="77777777" w:rsidTr="00C951FB">
        <w:trPr>
          <w:trHeight w:val="768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8393" w14:textId="77777777" w:rsidR="00F55C3C" w:rsidRPr="00180C46" w:rsidRDefault="00F55C3C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8FD6" w14:textId="77777777" w:rsidR="00F55C3C" w:rsidRDefault="00F55C3C" w:rsidP="00FC2B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tikagrelor</w:t>
            </w:r>
            <w:proofErr w:type="spellEnd"/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 xml:space="preserve"> 60 mg</w:t>
            </w:r>
          </w:p>
          <w:p w14:paraId="019D5B53" w14:textId="709DB599" w:rsidR="00F55C3C" w:rsidRPr="00180C46" w:rsidRDefault="00F55C3C" w:rsidP="00FC2B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dvakrát denne + ASA</w:t>
            </w:r>
          </w:p>
          <w:p w14:paraId="0CC5261E" w14:textId="083A7BFF" w:rsidR="00F55C3C" w:rsidRPr="00180C46" w:rsidRDefault="00F55C3C" w:rsidP="00FC2B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n = 6 958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1C5A" w14:textId="77777777" w:rsidR="00F55C3C" w:rsidRDefault="00F55C3C" w:rsidP="00FC2B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samotná ASA</w:t>
            </w:r>
          </w:p>
          <w:p w14:paraId="78DB44E2" w14:textId="77777777" w:rsidR="00F55C3C" w:rsidRDefault="00F55C3C" w:rsidP="00FC2B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14:paraId="6E3A220B" w14:textId="6467B017" w:rsidR="00F55C3C" w:rsidRPr="00180C46" w:rsidRDefault="00F55C3C" w:rsidP="00FC2B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 = 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6 996</w:t>
            </w:r>
          </w:p>
        </w:tc>
      </w:tr>
      <w:tr w:rsidR="00462291" w:rsidRPr="00180C46" w14:paraId="4FCD8250" w14:textId="77777777" w:rsidTr="003016E1">
        <w:trPr>
          <w:trHeight w:val="768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81C6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Koncový ukazovateľ bezpečnosti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6A09" w14:textId="77777777" w:rsidR="00462291" w:rsidRPr="00180C46" w:rsidRDefault="00462291" w:rsidP="00FC2B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KM 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C4B1" w14:textId="77777777" w:rsidR="00462291" w:rsidRPr="00180C46" w:rsidRDefault="00462291" w:rsidP="00FC2B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Pomer rizika</w:t>
            </w:r>
          </w:p>
          <w:p w14:paraId="027EA9F3" w14:textId="77777777" w:rsidR="00462291" w:rsidRPr="00180C46" w:rsidRDefault="00462291" w:rsidP="00FC2B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(95 % IS)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751E" w14:textId="77777777" w:rsidR="00462291" w:rsidRPr="00180C46" w:rsidRDefault="00462291" w:rsidP="00FC2B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KM %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CF53" w14:textId="77777777" w:rsidR="00462291" w:rsidRPr="00180C46" w:rsidRDefault="00462291" w:rsidP="00FC2B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i/>
                <w:color w:val="000000"/>
                <w:lang w:val="sk-SK"/>
              </w:rPr>
              <w:t>p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-hodnota</w:t>
            </w:r>
          </w:p>
        </w:tc>
      </w:tr>
      <w:tr w:rsidR="00462291" w:rsidRPr="00B21C94" w14:paraId="39BD4744" w14:textId="77777777" w:rsidTr="003016E1">
        <w:trPr>
          <w:trHeight w:val="264"/>
        </w:trPr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D04C4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Kategórie krvácania podľa kritérií TIMI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7C948B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B5AF5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462291" w:rsidRPr="00180C46" w14:paraId="12BC554A" w14:textId="77777777" w:rsidTr="003016E1">
        <w:trPr>
          <w:trHeight w:val="39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CDFA" w14:textId="77777777" w:rsidR="00462291" w:rsidRPr="00180C46" w:rsidRDefault="00462291" w:rsidP="003016E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Veľké krvácania podľa TIMI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B43A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0F0E" w14:textId="77777777" w:rsidR="00462291" w:rsidRPr="00180C46" w:rsidRDefault="00462291" w:rsidP="003016E1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2,32 (1,68; 3,21)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5AD5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99E9" w14:textId="317818AA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&lt;</w:t>
            </w:r>
            <w:r w:rsidR="00F55C3C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0,0001</w:t>
            </w:r>
          </w:p>
        </w:tc>
      </w:tr>
      <w:tr w:rsidR="00462291" w:rsidRPr="00180C46" w14:paraId="69CE7CB4" w14:textId="77777777" w:rsidTr="003016E1">
        <w:trPr>
          <w:trHeight w:val="37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C2F6" w14:textId="77777777" w:rsidR="00462291" w:rsidRPr="00180C46" w:rsidRDefault="00462291" w:rsidP="003016E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Fatálne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315C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4FAB" w14:textId="77777777" w:rsidR="00462291" w:rsidRPr="00180C46" w:rsidRDefault="00462291" w:rsidP="003016E1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1,00 (0,44; 2,27)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2445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3A0A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1,0000</w:t>
            </w:r>
          </w:p>
        </w:tc>
      </w:tr>
      <w:tr w:rsidR="00462291" w:rsidRPr="00180C46" w14:paraId="457C2762" w14:textId="77777777" w:rsidTr="003016E1">
        <w:trPr>
          <w:trHeight w:val="36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F4F6" w14:textId="77777777" w:rsidR="00462291" w:rsidRPr="00180C46" w:rsidRDefault="00462291" w:rsidP="003016E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ICH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4699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557D" w14:textId="77777777" w:rsidR="00462291" w:rsidRPr="00180C46" w:rsidRDefault="00462291" w:rsidP="003016E1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1,33 (0,77; 2,31)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8AA2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23BF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0,3130</w:t>
            </w:r>
          </w:p>
        </w:tc>
      </w:tr>
      <w:tr w:rsidR="00462291" w:rsidRPr="00180C46" w14:paraId="2DC8533D" w14:textId="77777777" w:rsidTr="003016E1">
        <w:trPr>
          <w:trHeight w:val="34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6D50" w14:textId="728BF073" w:rsidR="00462291" w:rsidRPr="00180C46" w:rsidRDefault="00462291" w:rsidP="003016E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Iné veľké krvácania podľa TIMI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84CF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BE82" w14:textId="77777777" w:rsidR="00462291" w:rsidRPr="00180C46" w:rsidRDefault="00462291" w:rsidP="003016E1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3,61 (2,31; 5,65)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5BBE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4BAF" w14:textId="0F4576B3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&lt;</w:t>
            </w:r>
            <w:r w:rsidR="00F55C3C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0,0001</w:t>
            </w:r>
          </w:p>
        </w:tc>
      </w:tr>
      <w:tr w:rsidR="00462291" w:rsidRPr="00180C46" w14:paraId="194C77D5" w14:textId="77777777" w:rsidTr="003016E1">
        <w:trPr>
          <w:trHeight w:val="50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3437" w14:textId="5F97C357" w:rsidR="00462291" w:rsidRPr="00180C46" w:rsidRDefault="00462291" w:rsidP="003016E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Veľké alebo malé krvácania podľa TIMI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02DD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3,4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ACCE" w14:textId="77777777" w:rsidR="00462291" w:rsidRPr="00180C46" w:rsidRDefault="00462291" w:rsidP="003016E1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2,54 (1,93; 3,35)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307B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A9C3" w14:textId="64F5236F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&lt;</w:t>
            </w:r>
            <w:r w:rsidR="003016E1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0,0001</w:t>
            </w:r>
          </w:p>
        </w:tc>
      </w:tr>
      <w:tr w:rsidR="00462291" w:rsidRPr="00180C46" w14:paraId="1117988D" w14:textId="77777777" w:rsidTr="003016E1">
        <w:trPr>
          <w:trHeight w:val="768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DFA0" w14:textId="77777777" w:rsidR="00462291" w:rsidRPr="00180C46" w:rsidRDefault="00462291" w:rsidP="003016E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Veľké alebo malé krvácania alebo krvácania vyžadujúce lekársku starostlivosť podľa TIMI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CE46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16,6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2267" w14:textId="77777777" w:rsidR="00462291" w:rsidRPr="00180C46" w:rsidRDefault="00462291" w:rsidP="003016E1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2,64 (2,35; 2,97)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B47E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7,0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0EE8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&lt; 0,0001</w:t>
            </w:r>
          </w:p>
        </w:tc>
      </w:tr>
      <w:tr w:rsidR="00462291" w:rsidRPr="00B21C94" w14:paraId="3A54A473" w14:textId="77777777" w:rsidTr="003016E1">
        <w:trPr>
          <w:trHeight w:val="264"/>
        </w:trPr>
        <w:tc>
          <w:tcPr>
            <w:tcW w:w="9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0A86" w14:textId="77777777" w:rsidR="00462291" w:rsidRPr="00180C46" w:rsidRDefault="00462291" w:rsidP="003016E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Kategórie krvácania podľa definície PLATO</w:t>
            </w:r>
          </w:p>
        </w:tc>
      </w:tr>
      <w:tr w:rsidR="00462291" w:rsidRPr="00180C46" w14:paraId="0829DE53" w14:textId="77777777" w:rsidTr="003016E1">
        <w:trPr>
          <w:trHeight w:val="34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AD96" w14:textId="77777777" w:rsidR="00462291" w:rsidRPr="00180C46" w:rsidRDefault="00462291" w:rsidP="003016E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Veľké krvácania podľa PLATO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3D38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3,5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4C22" w14:textId="77777777" w:rsidR="00462291" w:rsidRPr="00180C46" w:rsidRDefault="00462291" w:rsidP="003016E1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2,57 (1,95; 3,37)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966E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F13F" w14:textId="36156F2A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&lt;</w:t>
            </w:r>
            <w:r w:rsidR="003016E1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0,0001</w:t>
            </w:r>
          </w:p>
        </w:tc>
      </w:tr>
      <w:tr w:rsidR="00462291" w:rsidRPr="00180C46" w14:paraId="11F44701" w14:textId="77777777" w:rsidTr="003016E1">
        <w:trPr>
          <w:trHeight w:val="36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C0DC" w14:textId="77777777" w:rsidR="00462291" w:rsidRPr="00180C46" w:rsidRDefault="00462291" w:rsidP="003016E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Fatálne/život ohrozujúce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A64B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5413" w14:textId="77777777" w:rsidR="00462291" w:rsidRPr="00180C46" w:rsidRDefault="00462291" w:rsidP="003016E1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2,38 (1,73; 3,26)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4C06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43F7" w14:textId="6435DE26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&lt;</w:t>
            </w:r>
            <w:r w:rsidR="003016E1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0,0001</w:t>
            </w:r>
          </w:p>
        </w:tc>
      </w:tr>
      <w:tr w:rsidR="00462291" w:rsidRPr="00180C46" w14:paraId="7B41B676" w14:textId="77777777" w:rsidTr="003016E1">
        <w:trPr>
          <w:trHeight w:val="358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5E9C" w14:textId="5C2DC6BB" w:rsidR="00462291" w:rsidRPr="00180C46" w:rsidRDefault="00462291" w:rsidP="003016E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Iné veľké krvácania podľa PLATO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6455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ECAA" w14:textId="77777777" w:rsidR="00462291" w:rsidRPr="00180C46" w:rsidRDefault="00462291" w:rsidP="003016E1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3,37 (1,95; 5,83)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2327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7080" w14:textId="47BDCCB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&lt;</w:t>
            </w:r>
            <w:r w:rsidR="003016E1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0,0001</w:t>
            </w:r>
          </w:p>
        </w:tc>
      </w:tr>
      <w:tr w:rsidR="00462291" w:rsidRPr="00180C46" w14:paraId="4C95855F" w14:textId="77777777" w:rsidTr="003016E1">
        <w:trPr>
          <w:trHeight w:val="54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2CFE" w14:textId="632DE3E0" w:rsidR="00462291" w:rsidRPr="00180C46" w:rsidRDefault="00462291" w:rsidP="003016E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Veľké alebo malé krvácania podľa PLATO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D81A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15,2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3064" w14:textId="77777777" w:rsidR="00462291" w:rsidRPr="00180C46" w:rsidRDefault="00462291" w:rsidP="003016E1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2,71 (2,40; 3,08)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4918" w14:textId="77777777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6,2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CC40" w14:textId="1B5AF9F2" w:rsidR="00462291" w:rsidRPr="00180C46" w:rsidRDefault="00462291" w:rsidP="003016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&lt;</w:t>
            </w:r>
            <w:r w:rsidR="003016E1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0,0001</w:t>
            </w:r>
          </w:p>
        </w:tc>
      </w:tr>
    </w:tbl>
    <w:p w14:paraId="393EB432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Definície kategórií krvácania:</w:t>
      </w:r>
    </w:p>
    <w:p w14:paraId="3593B02A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Veľké krvácanie podľa TIMI: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Fatálne krvácanie, ALEBO akékoľvek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krvácanie, ALEBO klinicky zjavné prejavy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hemorágie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spojené s poklesom hemoglobínu (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Hgb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) ≥ 50 g/l, alebo 15 % pokles hematokritu (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Hct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) v prípade nedostupnosti údajov o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Hgb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7DDA1877" w14:textId="60F7CE66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Fatálne krvácanie:</w:t>
      </w:r>
      <w:r w:rsidRPr="003016E1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Krvácavá príhoda, ktorá viedla priamo k smrti v priebehu 7</w:t>
      </w:r>
      <w:r w:rsidR="003016E1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dní.</w:t>
      </w:r>
    </w:p>
    <w:p w14:paraId="32E98BEF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ICH: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krvácanie.</w:t>
      </w:r>
    </w:p>
    <w:p w14:paraId="44AA2FA8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Iné veľké krvácanie podľa TIMI: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Veľké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non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-fatálne krvácanie podľa TIMI iné než ICH.</w:t>
      </w:r>
    </w:p>
    <w:p w14:paraId="4FF32615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Malé krvácanie podľa TIMI:</w:t>
      </w:r>
      <w:r w:rsidRPr="003016E1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Klinicky zjavné krvácanie s poklesom hemoglobínu o 30 – 50 g/l.</w:t>
      </w:r>
    </w:p>
    <w:p w14:paraId="3E08DC9B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lastRenderedPageBreak/>
        <w:t xml:space="preserve">Krvácanie vyžadujúce lekársku starostlivosť podľa TIMI: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Vyžadujúce zásah, ALEBO vedúce k hospitalizácii, ALEBO vyžadujúce vyšetrenie.</w:t>
      </w:r>
    </w:p>
    <w:p w14:paraId="7503EC24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Veľké fatálne/život ohrozujúce krvácanie podľa PLATO: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Fatálne krvácanie, ALEBO akékoľvek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krvácanie, 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intraperikardiálne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krvácanie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tamponádou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srdca, ALEBO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hypovolemickým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šokom alebo ťažkou hypotenziou vyžadujúcou si podanie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vazopresorov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/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inotropík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alebo chirurgickú intervenciu, ALEBO klinicky zjavné krvácanie s poklesom hemoglobínu ˃ 50 g/l alebo s transfúziou ≥ 4 jednotiek erytrocytov.</w:t>
      </w:r>
    </w:p>
    <w:p w14:paraId="32870602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Iné veľké krvácanie podľa PLATO: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Významne vysiľujúce krvácanie, ALEBO klinicky zjavné krvácanie s poklesom hemoglobínu o 30</w:t>
      </w:r>
      <w:bookmarkStart w:id="0" w:name="_Hlk91075003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– </w:t>
      </w:r>
      <w:bookmarkEnd w:id="0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50 g/l </w:t>
      </w:r>
      <w:r w:rsidRPr="003016E1">
        <w:rPr>
          <w:rFonts w:ascii="Times New Roman" w:eastAsia="Times New Roman" w:hAnsi="Times New Roman" w:cs="Times New Roman"/>
          <w:caps/>
          <w:color w:val="000000"/>
          <w:lang w:val="sk-SK" w:eastAsia="en-GB"/>
        </w:rPr>
        <w:t>alebo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 transfúziou 2 – 3 jednotiek erytrocytov.</w:t>
      </w:r>
    </w:p>
    <w:p w14:paraId="00FE47FB" w14:textId="7D945114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Malé krvácanie podľa PLATO: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Vyžaduje si lekársky zásah na zastavenie alebo zvládnutie krvácania.</w:t>
      </w:r>
    </w:p>
    <w:p w14:paraId="3DF75C49" w14:textId="77777777" w:rsidR="00FC2B11" w:rsidRPr="00180C46" w:rsidRDefault="00FC2B1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61C2613" w14:textId="6A65EA60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FC2B11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štúdii PEGASUS bol výskyt veľkého krvácania podľa kritérií TIMI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dávke 60 mg dvakrát denne vyšší ako pri samotnej ASA. Nepozorovalo sa zvýšené riziko fatálneho krvácania a pozorovalo sa len menej významné zvýšenie výskytu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krvácania v porovnaní s liečbou samotnou ASA. V štúdii sa vyskytlo niekoľko fatálnych krvácavých príhod, 11 (0,3 %) pri 60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12 (0,3 %) pri liečbe samotnou ASA. Pozorované zvýšené riziko výskytu veľkého krvácania podľa kritérií TIMI pri 60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bolo zapríčinené predovšetkým vyššou frekvenciou výskytu iného veľkého krvácania podľa kritérií TIMI zastúpeného udalosťami v gastrointestinálnej TOS.</w:t>
      </w:r>
    </w:p>
    <w:p w14:paraId="62DD6334" w14:textId="77777777" w:rsidR="00FC2B11" w:rsidRPr="00180C46" w:rsidRDefault="00FC2B1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0ED8217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Podobne zvýšený výskyt veľkého krvácania podľa kritérií TIMI bol pozorovaný aj pri kategóriách krvácania zahŕňajúcich veľké alebo malé krvácania podľa kritérií TIMI, veľké krvácania podľa definície PLATO a veľké alebo malé krvácania podľa definície PLATO (pozri tabuľku 3). Ukončenie liečby pre krvácanie bolo častejšie pri 60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(6,2 %) v porovnaní s liečbou samotnou ASA (1,5 %). Väčšina týchto krvácaní bola menej závažná (klasifikované ako krvácania vyžadujúce lekársku starostlivosť podľa kritérií TIMI), napr.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epistaxa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tvorba krvných podliatin a hematómov.</w:t>
      </w:r>
    </w:p>
    <w:p w14:paraId="39F76A75" w14:textId="77777777" w:rsidR="00EE608B" w:rsidRDefault="00EE608B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2A493D4" w14:textId="7F2B44B2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Profil krvácania pri 60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bol pre udalosti veľkého krvácania podľa kritérií TIMI, veľkého alebo malého krvácania podľa kritérií TIMI a veľkého krvácania podľa definície PLATO konzistentný v rámci viacerých vopred definovaných podskupín (napr. podľa veku, pohlavia, hmotnosti, rasy, geografického regiónu, súbežných ochorení, súbežnej liečby a anamnézy).</w:t>
      </w:r>
    </w:p>
    <w:p w14:paraId="7254564F" w14:textId="77777777" w:rsidR="00FC2B11" w:rsidRPr="00180C46" w:rsidRDefault="00FC2B1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EC8265F" w14:textId="6233A52B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krvácanie:</w:t>
      </w:r>
    </w:p>
    <w:p w14:paraId="3F74FC1A" w14:textId="15F0FA5B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Pre 60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liečbu samotnou ASA sa hlásili podobné miery výskytu spontánneho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krvácania (n</w:t>
      </w:r>
      <w:r w:rsidR="00C02F9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=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13, 0,2 % v oboch liečebných skupinách). Pri liečbe 60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(n</w:t>
      </w:r>
      <w:r w:rsidR="00C02F9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=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15, 0,2 %) v porovnaní s liečbou samotnou ASA (n</w:t>
      </w:r>
      <w:r w:rsidR="00C02F9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=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10, 0,1 %) sa preukázalo menej významné zvýšenie výskytu poúrazového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krvácania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krvácania súvisiaceho s liečebným postupom. Pri 60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vyskytlo 6 fatálnych prípadov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krvácania a pri liečbe samotnou ASA 5 prípadov. Výskyt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krvácania bol v oboch liečebných skupinách nízky vzhľadom na to, že populácia štúdie sa vyznačovala významnou mierou komorbidity a KV rizikových faktorov.</w:t>
      </w:r>
    </w:p>
    <w:p w14:paraId="05F85960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38968E1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Dyspnoe</w:t>
      </w:r>
      <w:proofErr w:type="spellEnd"/>
    </w:p>
    <w:p w14:paraId="698951A2" w14:textId="2AB66F0E" w:rsidR="00462291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Pacienti liečení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hlásili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pocit sťaženého dýchania. V štúdii PLATO nežiaduce udalosti týkajúce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kľudové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námahové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paroxyzmálne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nočné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nočné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) hlásili u 13,8 % pacientov liečených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</w:t>
      </w:r>
      <w:r w:rsidR="00EE608B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u 7,8 % pacientov liečených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V štúdii PLATO u 2,2 % pacientov užívajúcich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</w:t>
      </w:r>
      <w:r w:rsidR="00EE608B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u 0,6 % pacientov užívajúcich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skúšajúci považovali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za príčinu súvisiacu s liečbou a málo prípadov bolo závažných (0,14 %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; 0,02 %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) (pozri časť 4.4). Väčšina hlásených príznakov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bola miernej až stredne ťažkej intenzity a väčšinou sa hlásili ako jedna epizóda krátko po začatí liečby.</w:t>
      </w:r>
    </w:p>
    <w:p w14:paraId="33CF366A" w14:textId="77777777" w:rsidR="00EE608B" w:rsidRPr="00180C46" w:rsidRDefault="00EE608B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40DA225" w14:textId="2F67618B" w:rsidR="00462291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FC2B11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porovnaní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bolo u pacientov s astmou/CHOCHP, ktorí boli liečení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zvýšené riziko výskytu nezávažného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(3,29 % v prípade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oproti 0,53 % v prípade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) a závažného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(0,38 % v prípade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oproti 0,0 % v prípade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). V absolútnom vyjadrení bolo toto riziko vyššie ako v celej populácii pacientov v štúdii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lastRenderedPageBreak/>
        <w:t xml:space="preserve">PLATO.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musí užívať opatrne u pacientov s anamnézou astmy a/alebo CHOCHP (pozri časť 4.4).</w:t>
      </w:r>
    </w:p>
    <w:p w14:paraId="2C15CD97" w14:textId="77777777" w:rsidR="00EE608B" w:rsidRPr="00180C46" w:rsidRDefault="00EE608B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A124DAB" w14:textId="1939F7C6" w:rsidR="00462291" w:rsidRPr="00180C46" w:rsidRDefault="00462291" w:rsidP="00462291">
      <w:pPr>
        <w:spacing w:after="0" w:line="240" w:lineRule="auto"/>
        <w:ind w:right="138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Približne 30 % všetkých prípadov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upravilo v priebehu 7</w:t>
      </w:r>
      <w:r w:rsidR="005735AC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dní. Štúdie PLATO sa zúčastnili pacienti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kongestívnym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srdcovým zlyhaním, CHOCHP alebo astmou pred začatím skúšania; títo pacienti a starší pacienti hlásili najčastejšie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Kvôli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liečba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vysadila u 0,9 % pacientov a liečba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0,1 % pacientov. Vyšší výskyt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nesúvisí s novým alebo zhoršujúcim sa srdcovým alebo pľúcnym ochorením (pozri časť 4.4).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nemá vplyv na výsledky testov funkcie pľúc.</w:t>
      </w:r>
    </w:p>
    <w:p w14:paraId="1B3A6600" w14:textId="77777777" w:rsidR="00462291" w:rsidRPr="00180C46" w:rsidRDefault="00462291" w:rsidP="00462291">
      <w:pPr>
        <w:spacing w:after="0" w:line="240" w:lineRule="auto"/>
        <w:ind w:right="138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A67CF6A" w14:textId="6333F226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FC2B11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štúdii PEGASUS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hlásilo u 14,2 % pacientov užívajúcich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dávke 60 mg dvakrát denne a u 5,5 % pacientov užívajúcich samotnú ASA. Rovnako ako v štúdii PLATO, väčšina hlásených prípadov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bola miernej až stredne ťažkej intenzity (pozri časť 4.4). Pacienti, ktorí hlásili dýchavičnosť boli starší a mali na začiatku častejšie dýchavičnosť, CHOCHP alebo astmu.</w:t>
      </w:r>
    </w:p>
    <w:p w14:paraId="6B8CDEEF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6517754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Vyšetrenia</w:t>
      </w:r>
    </w:p>
    <w:p w14:paraId="4E5B98C6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Zvýšenie kyseliny močovej: v štúdii PLATO došlo k zvýšeniu kyseliny močovej v sére nad hornú hranicu normálu u 22 % pacientov dostávajúcich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v porovnaní s 13 % pacientov dostávajúcich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V štúdii PEGASUS boli príslušné hodnoty 9,1 % pre 90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8,8 % pre 60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5,5 % pre placebo. Priemerná hladina kyseliny močovej v sére sa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zvýšila približne o 15 % v porovnaní so zvýšením približne o 7,5 %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po ukončení liečby sa znížila približne o 7 % v prípade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v prípade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však žiadne zníženie nezistilo. V štúdii PEGASUS sa zistilo reverzibilné zvýšenie priemerných hladín kyseliny močovej v sére o 6,3 % pre 90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5,6 % pre 60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v porovnaní s 1,5 % znížením v skupine s placebom. V štúdii PLATO bola frekvencia dnovej artritídy 0,2 %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oproti 0,1 %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V štúdii PEGASUS boli príslušné hodnoty frekvencie dny/dnovej artritídy 1,6 % pre 90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1,5 % pre 60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1,1 % pre placebo.</w:t>
      </w:r>
    </w:p>
    <w:p w14:paraId="2B00B3CE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4FEB170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Hlásenie podozrení na nežiaduce reakcie</w:t>
      </w:r>
    </w:p>
    <w:p w14:paraId="49E9FA17" w14:textId="21D57E69" w:rsidR="00462291" w:rsidRPr="005735AC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180C46">
        <w:rPr>
          <w:rFonts w:ascii="Times New Roman" w:eastAsia="Times New Roman" w:hAnsi="Times New Roman" w:cs="Times New Roman"/>
          <w:color w:val="000000"/>
          <w:shd w:val="clear" w:color="auto" w:fill="C0C0C0"/>
          <w:lang w:val="sk-SK" w:eastAsia="en-GB"/>
        </w:rPr>
        <w:t>národné centrum hlásenia uvedené v </w:t>
      </w:r>
      <w:hyperlink r:id="rId7" w:history="1">
        <w:r w:rsidR="000E189F" w:rsidRPr="000E189F">
          <w:rPr>
            <w:rFonts w:ascii="Times New Roman" w:eastAsia="Times New Roman" w:hAnsi="Times New Roman" w:cs="Times New Roman"/>
            <w:noProof/>
            <w:color w:val="0000FF"/>
            <w:highlight w:val="lightGray"/>
            <w:u w:val="single"/>
            <w:lang w:val="sk-SK" w:eastAsia="sk-SK"/>
          </w:rPr>
          <w:t>Prílohe V</w:t>
        </w:r>
      </w:hyperlink>
      <w:hyperlink r:id="rId8">
        <w:r w:rsidRPr="005735AC">
          <w:rPr>
            <w:rFonts w:ascii="Times New Roman" w:eastAsia="Times New Roman" w:hAnsi="Times New Roman" w:cs="Times New Roman"/>
            <w:lang w:val="sk-SK" w:eastAsia="en-GB"/>
          </w:rPr>
          <w:t>.</w:t>
        </w:r>
      </w:hyperlink>
    </w:p>
    <w:p w14:paraId="302C2D7B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9D99B75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4.9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  <w:t>Predávkovanie</w:t>
      </w:r>
    </w:p>
    <w:p w14:paraId="1C2D8DD4" w14:textId="77777777" w:rsidR="00462291" w:rsidRPr="00180C46" w:rsidRDefault="00462291" w:rsidP="00462291">
      <w:pPr>
        <w:spacing w:after="0" w:line="240" w:lineRule="auto"/>
        <w:ind w:right="39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AA6CBF2" w14:textId="77777777" w:rsidR="00462291" w:rsidRPr="00180C46" w:rsidRDefault="00462291" w:rsidP="00462291">
      <w:pPr>
        <w:spacing w:after="0" w:line="240" w:lineRule="auto"/>
        <w:ind w:right="39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je v jednorazových dávkach až do 900 mg dobre znášaný. Gastrointestinálna toxicita bola určujúcim faktorom v štúdii zameranej na zvyšovanie jednorazovej dávky. Iné klinicky významné nežiaduce reakcie, ktoré sa môžu vyskytnúť pri predávkovaní, zahŕňajú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ventrikulárne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pauzy (pozri časť 4.8).</w:t>
      </w:r>
    </w:p>
    <w:p w14:paraId="55323E43" w14:textId="77777777" w:rsidR="005735AC" w:rsidRDefault="005735AC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BEAB2CC" w14:textId="503D27F2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5735AC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prípade predávkovania sa môžu objaviť vyššie uvedené potenciálne nežiaduce reakcie a je potrebné zvážiť monitorovanie EKG.</w:t>
      </w:r>
    </w:p>
    <w:p w14:paraId="45D9F235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52DBAA3" w14:textId="33C6863B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5735AC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súčasnosti nie je známe žiadne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antidotum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na zvrátenie účinkov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nie je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dialyzovateľný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(pozri časť 5.2). Liečba predávkovania sa má riadiť štandardnou lekárskou praxou na miestnej úrovni. Predpokladaným účinkom nadmerných dávok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je predĺžené trvanie rizika krvácania, ktoré súvisí s inhibíciou krvných doštičiek. Transfúzia krvných doštičiek pravdepodobne nepredstavuje klinický prínos pre pacientov s krvácaním (pozri časť 4.4). Ak dôjde ku krvácaniu, je potrebné prijať ďalšie príslušné podporné opatrenia.</w:t>
      </w:r>
    </w:p>
    <w:p w14:paraId="565DE1D2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AAD10A0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C63B414" w14:textId="77777777" w:rsidR="00462291" w:rsidRPr="00180C46" w:rsidRDefault="00462291" w:rsidP="00462291">
      <w:pPr>
        <w:numPr>
          <w:ilvl w:val="0"/>
          <w:numId w:val="7"/>
        </w:numPr>
        <w:spacing w:after="0" w:line="240" w:lineRule="auto"/>
        <w:ind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FARMAKOLOGICKÉ VLASTNOSTI</w:t>
      </w:r>
    </w:p>
    <w:p w14:paraId="68001098" w14:textId="77777777" w:rsidR="00462291" w:rsidRPr="00180C46" w:rsidRDefault="00462291" w:rsidP="00462291">
      <w:pPr>
        <w:tabs>
          <w:tab w:val="center" w:pos="198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sk-SK" w:eastAsia="en-GB"/>
        </w:rPr>
      </w:pPr>
    </w:p>
    <w:p w14:paraId="6589934C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5.1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</w:r>
      <w:proofErr w:type="spellStart"/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Farmakodynamické</w:t>
      </w:r>
      <w:proofErr w:type="spellEnd"/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 vlastnosti</w:t>
      </w:r>
    </w:p>
    <w:p w14:paraId="69E4C304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81A6CB0" w14:textId="348B32BF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DF486E">
        <w:rPr>
          <w:rFonts w:ascii="Times New Roman" w:eastAsia="Times New Roman" w:hAnsi="Times New Roman" w:cs="Times New Roman"/>
          <w:color w:val="000000"/>
          <w:lang w:val="sk-SK" w:eastAsia="en-GB"/>
        </w:rPr>
        <w:t>Farmakoterapeutická</w:t>
      </w:r>
      <w:proofErr w:type="spellEnd"/>
      <w:r w:rsidRPr="00DF486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skupina: </w:t>
      </w:r>
      <w:proofErr w:type="spellStart"/>
      <w:r w:rsidR="00DF486E">
        <w:rPr>
          <w:rFonts w:ascii="Times New Roman" w:eastAsia="Times New Roman" w:hAnsi="Times New Roman" w:cs="Times New Roman"/>
          <w:color w:val="000000"/>
          <w:lang w:val="sk-SK" w:eastAsia="en-GB"/>
        </w:rPr>
        <w:t>Antitrombotiká</w:t>
      </w:r>
      <w:proofErr w:type="spellEnd"/>
      <w:r w:rsidR="00DF486E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="00DF486E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 w:rsidRPr="00DF486E">
        <w:rPr>
          <w:rFonts w:ascii="Times New Roman" w:eastAsia="Times New Roman" w:hAnsi="Times New Roman" w:cs="Times New Roman"/>
          <w:color w:val="000000"/>
          <w:lang w:val="sk-SK" w:eastAsia="en-GB"/>
        </w:rPr>
        <w:t>ntiagreganciá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trombocytov okrem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heparínu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ATC kód: B01AC24</w:t>
      </w:r>
    </w:p>
    <w:p w14:paraId="78C8558E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8871C93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Mechanizmus účinku</w:t>
      </w:r>
    </w:p>
    <w:p w14:paraId="32601423" w14:textId="72BE4BD8" w:rsidR="00462291" w:rsidRPr="00180C46" w:rsidRDefault="00462291" w:rsidP="00462291">
      <w:pPr>
        <w:spacing w:after="0" w:line="240" w:lineRule="auto"/>
        <w:ind w:right="106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Plategra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obsahuje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patriaci do chemickej skupiny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cyklopentyltriazolopyrimidínov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(CPTP), ktorý je perorálnym, priamo pôsobiacim, selektívnym antagonistom, reverzibilne sa viažucim na</w:t>
      </w:r>
      <w:r w:rsidR="00DF486E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receptor P2Y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12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ktorý zabraňuje aktivácii a agregácii krvných doštičiek sprostredkovanej ADP a závislej na P2Y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12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nezabraňuje väzbe ADP, ale po naviazaní na receptor P2Y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12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zabraňuje signálnej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transdukcii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indukovanej ADP. Vzhľadom na to, že krvné doštičky sa podieľajú na vzniku a/alebo vývoji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trombotických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komplikácií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aterosklerotických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ochorení, preukázalo sa, že inhibícia funkcie krvných doštičiek znižuje riziko kardiovaskulárnych príhod, ako je smrť, IM alebo cievna mozgová príhoda.</w:t>
      </w:r>
    </w:p>
    <w:p w14:paraId="2AF1494D" w14:textId="77777777" w:rsidR="00462291" w:rsidRPr="00180C46" w:rsidRDefault="00462291" w:rsidP="00462291">
      <w:pPr>
        <w:spacing w:after="0" w:line="240" w:lineRule="auto"/>
        <w:ind w:right="106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595C680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tiež zvyšuje lokálne hladiny endogénneho adenozínu inhibíciou rovnovážnych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nukleozidových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transportérov-1 (ENT-1).</w:t>
      </w:r>
    </w:p>
    <w:p w14:paraId="5DECC077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EA07643" w14:textId="5C11B5CB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Zistilo sa, že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zdravých dobrovoľníkov a pacientov s AKS zvýrazňuje nasledujúce účinky indukované adenozínom: vazodilatácia (merané zvýšením koronárneho prietoku krvi u zdravých dobrovoľníkov a pacientov s AKS; bolesť hlavy), inhibícia funkcie krvných doštičiek (v</w:t>
      </w:r>
      <w:r w:rsidR="004C218B" w:rsidRPr="004C218B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plnej ľudskej krvi </w:t>
      </w: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in vitro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)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 Súvislosť medzi pozorovanými zvýšeniami adenozínu a klinickými výsledkami (napr. morbidita-mortalita) však nebola jasne vysvetlená.</w:t>
      </w:r>
    </w:p>
    <w:p w14:paraId="4CE5CACC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6A1C183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Farmakodynamické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 xml:space="preserve"> účinky</w:t>
      </w:r>
    </w:p>
    <w:p w14:paraId="26898A6B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Nástup účinku</w:t>
      </w:r>
    </w:p>
    <w:p w14:paraId="058FFDD2" w14:textId="77777777" w:rsidR="00462291" w:rsidRPr="00180C46" w:rsidRDefault="00462291" w:rsidP="00462291">
      <w:pPr>
        <w:spacing w:after="0" w:line="240" w:lineRule="auto"/>
        <w:ind w:right="123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pacientov so stabilnou koronárnou artériovou chorobou (CAD) užívajúcich ASA vykazuje rýchly nástup farmakologického účinku, čo sa preukázalo priemernou inhibíciou agregácie krvných doštičiek (IPA)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po 0,5 hodiny od podania nárazovej dávky 180 mg približne 41 %, s maximálnym účinkom na IPA 89 % po 2 – 4 hodinách od podania dávky a tento účinok pretrvával 2 – 8 hodín. U 90 % pacientov bol finálny rozsah IPA po 2 hodinách od podania dávky &gt; 70 %.</w:t>
      </w:r>
    </w:p>
    <w:p w14:paraId="000917B1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7DE8FD4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Odznievanie účinku</w:t>
      </w:r>
    </w:p>
    <w:p w14:paraId="3040B081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Pri plánovanom zákroku CABG existuje zvýšené riziko krvácania pre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oproti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pokiaľ je liečba vysadená v kratšej dobe ako 96 hodín pred zákrokom.</w:t>
      </w:r>
    </w:p>
    <w:p w14:paraId="3CC00920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E2AD64F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Údaje týkajúce sa prechodu na inú liečbu</w:t>
      </w:r>
    </w:p>
    <w:p w14:paraId="3C6C6BB1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Prechod z liečby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dávke 75 mg na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dávke 90 mg dvakrát denne má za následok absolútne zvýšenie IPA o 26,4 % a prechod z liečby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má za následok absolútne zníženie IPA o 24,5 %. Pacientov možno prestaviť z liečby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bez akéhokoľvek prerušenia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protidoštičkového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účinku (pozri časť 4.2).</w:t>
      </w:r>
    </w:p>
    <w:p w14:paraId="266C3AB9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1158162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Klinická účinnosť a bezpečnosť</w:t>
      </w:r>
    </w:p>
    <w:p w14:paraId="51114C97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Klinický dôkaz účinnosti a bezpečnosti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je odvodený z dvoch skúšaní fázy 3:</w:t>
      </w:r>
    </w:p>
    <w:p w14:paraId="1FB41B58" w14:textId="77777777" w:rsidR="00462291" w:rsidRPr="00180C46" w:rsidRDefault="00462291" w:rsidP="00462291">
      <w:pPr>
        <w:numPr>
          <w:ilvl w:val="0"/>
          <w:numId w:val="8"/>
        </w:numPr>
        <w:spacing w:after="0" w:line="240" w:lineRule="auto"/>
        <w:ind w:right="12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Štúdia PLATO [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PLAT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elet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Inhibition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and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Patient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O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utcomes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], porovnávajúca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oproti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oba podávané v kombinácii s ASA a ďalšou štandardnou liečbou.</w:t>
      </w:r>
    </w:p>
    <w:p w14:paraId="5B89B451" w14:textId="77777777" w:rsidR="00462291" w:rsidRPr="00180C46" w:rsidRDefault="00462291" w:rsidP="00462291">
      <w:pPr>
        <w:numPr>
          <w:ilvl w:val="0"/>
          <w:numId w:val="8"/>
        </w:numPr>
        <w:spacing w:after="0" w:line="240" w:lineRule="auto"/>
        <w:ind w:right="12"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Štúdia PEGASUS TIMI-54 [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P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</w:t>
      </w: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E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vention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with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Tica</w:t>
      </w: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G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of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Second</w:t>
      </w: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A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Thrombotic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Events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in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High-Ri</w:t>
      </w: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S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Ac</w:t>
      </w: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U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Coronary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S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yndrome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Patients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], porovnávajúca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kombinácii s ASA oproti liečbe samotnou ASA.</w:t>
      </w:r>
    </w:p>
    <w:p w14:paraId="4CD76DDA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F9E29A5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Štúdia PLATO (akútny koronárny syndróm)</w:t>
      </w:r>
    </w:p>
    <w:p w14:paraId="71B09CE5" w14:textId="7015B07D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Do štúdie PLATO bolo zahrnutých 18</w:t>
      </w:r>
      <w:r w:rsidR="00760F0F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624 pacientov, u ktorých v priebehu ostatných 24 hodín došlo k nástupu príznakov nestabilnej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anginy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pectoris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unstable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angina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UA), infarktu myokardu bez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elevácie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ST segmentu (NSTEMI) alebo infarktu myokardu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eleváciou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ST segmentu (STEMI), a ktorí spočiatku dostávali medikamentóznu liečbu alebo sa u nich vykonala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perkutánna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koronárna intervencia (PCI) alebo CABG.</w:t>
      </w:r>
    </w:p>
    <w:p w14:paraId="1F7FE412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85D4927" w14:textId="77777777" w:rsidR="00462291" w:rsidRPr="00180C46" w:rsidRDefault="00462291" w:rsidP="00462291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Klinická účinnosť</w:t>
      </w:r>
    </w:p>
    <w:p w14:paraId="7DCC22FF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Pri dennom podávaní ASA preukázal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dávke 90 mg dvakrát denne v prevencii výskytu združeného koncového ukazovateľa KV smrti, IM alebo cievnej mozgovej príhody, lepší účinok ako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lastRenderedPageBreak/>
        <w:t>klopidogrel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dávke 75 mg denne, na tomto rozdiele sa podieľal najmä výskyt KV smrti a IM. Pacienti dostali 300 mg nárazovú dávku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(prípadne 600 mg v prípade PCI) alebo 180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1B679BEE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0D5C6B6" w14:textId="4680F598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Výsledok liečby sa prejavil skoro (zníženie absolútneho rizika [ARR] 0,6 % a zníženie relatívneho rizika [RRR] 12 % po 30</w:t>
      </w:r>
      <w:r w:rsidR="00FC2B11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dňoch) a účinok liečby ostal rovnaký po celé obdobie 12</w:t>
      </w:r>
      <w:r w:rsidR="00FC2B11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mesiacov, ARR/rok bolo 1,9 % a RRR 16 %. To naznačuje, že je vhodné liečiť pacientov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90 mg dvakrát denne až 12 mesiacov (pozri časť 4.2). Liečbou 54 pacientov s AKS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namiesto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zabráni 1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aterotrombotickej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príhode; liečbou 91 pacientov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namiesto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zabráni 1 KV smrti (pozri obrázok 1 a tabuľku 4).</w:t>
      </w:r>
    </w:p>
    <w:p w14:paraId="5435185F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3F4CFDA" w14:textId="73660D14" w:rsidR="00462291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Účinok liečby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popri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ukazuje ako konzistentný v rámci rôznych podskupín pacientov, vrátane členenia podľa hmotnosti, pohlavia, diabetu v anamnéze, prechodného ischemického záchvatu 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nehemoragickej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cievnej mozgovej príhody 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revaskularizácie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súbežnej liečby zahŕňajúcej liečbu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heparínmi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inhibítormi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GpIIb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/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IIIa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inhibítormi protónovej pumpy (pozri časť 4.5), podľa diagnózy, u ktorej sa sledovali koncové ukazovatele (STEMI, NSTEMI alebo UA) a podľa zámeru liečebného postupu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randomizácii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(invazívny alebo medikamentózny).</w:t>
      </w:r>
    </w:p>
    <w:p w14:paraId="2D10AF7A" w14:textId="77777777" w:rsidR="00F42F4A" w:rsidRPr="00180C46" w:rsidRDefault="00F42F4A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1D6A1C8" w14:textId="044B6C4F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Pozorovala sa málo významná súčinnosť liečby a geografického územia, pričom podľa pomeru rizika (HR) pre primárny koncový ukazovateľ zo svetového hľadiska vychádza priaznivejšie účinok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 výnimkou Severnej Ameriky, kde vychádza priaznivejšie účinok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ktorá predstavovala približne 10 % celkovej skúmanej populácie (p-hodnota interakcie</w:t>
      </w:r>
      <w:r w:rsidR="00C02F9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=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0,045). Výskumné analýzy poukázali na možnú súvislosť s dávkou ASA tak, že znížená účinnosť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pozorovala pri zvyšujúcich sa dávkach ASA. Pri dlhodobom podávaní ASA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má byť rozmedzie dennej dávky 75 – 150 mg (pozri časť 4.2 a 4.4).</w:t>
      </w:r>
    </w:p>
    <w:p w14:paraId="1209495B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94FD76B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Obrázok 1 vyjadruje odhad rizika prvého výskytu akejkoľvek udalosti zahrnutej do združeného koncového ukazovateľa účinnosti.</w:t>
      </w:r>
    </w:p>
    <w:p w14:paraId="5707CF8E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1B25074" w14:textId="58AF3815" w:rsidR="00462291" w:rsidRPr="00180C46" w:rsidRDefault="00462291" w:rsidP="00F42F4A">
      <w:pPr>
        <w:tabs>
          <w:tab w:val="left" w:pos="1134"/>
        </w:tabs>
        <w:spacing w:after="0" w:line="240" w:lineRule="auto"/>
        <w:ind w:right="109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Obrázok 1</w:t>
      </w:r>
      <w:r w:rsidR="00F42F4A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Analýza primárneho klinického združeného koncového ukazovateľa KV smrti, IM a cievnej mozgovej príhody (štúdia PLATO)</w:t>
      </w:r>
    </w:p>
    <w:p w14:paraId="10C55221" w14:textId="31E521A7" w:rsidR="00462291" w:rsidRPr="00180C46" w:rsidRDefault="00DB7A9F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sk-SK" w:eastAsia="sk-SK"/>
        </w:rPr>
        <w:drawing>
          <wp:inline distT="0" distB="0" distL="0" distR="0" wp14:anchorId="696C4175" wp14:editId="63ED1C2A">
            <wp:extent cx="4972050" cy="3543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D2B217" w14:textId="77777777" w:rsidR="00F42F4A" w:rsidRDefault="00F42F4A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CEC633F" w14:textId="45EAF556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porovnaní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znížil výskyt primárneho združeného koncového ukazovateľa rovnako u pacientov s UA/NSTEMI ako aj u pacientov so STEMI (tabuľka 4). Liečbu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Plategrou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90 mg dvakrát denne spolu s nízkou dávkou ASA možno teda použiť u pacientov s AKS (nestabilná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lastRenderedPageBreak/>
        <w:t>angina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pectoris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infarkt myokardu bez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elevácie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ST segmentu [NSTEMI] alebo infarkt myokardu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eleváciou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ST segmentu [STEMI]); vrátane pacientov, ktorí dostávajú medikamentóznu liečbu a pacientov, u ktorých sa vykonala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perkutánna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koronárna intervencia (PCI) alebo koronárny artériový by-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pass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(CABG).</w:t>
      </w:r>
    </w:p>
    <w:p w14:paraId="13A86EFC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FB68034" w14:textId="687835AC" w:rsidR="00462291" w:rsidRPr="00180C46" w:rsidRDefault="00462291" w:rsidP="00F42F4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Tabuľka 4</w:t>
      </w:r>
      <w:r w:rsidR="00F42F4A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Analýza primárnych a sekundárnych koncových ukazovateľov účinnosti (štúdia PLATO)</w:t>
      </w:r>
    </w:p>
    <w:tbl>
      <w:tblPr>
        <w:tblStyle w:val="TableGrid"/>
        <w:tblW w:w="5000" w:type="pct"/>
        <w:tblInd w:w="0" w:type="dxa"/>
        <w:tblCellMar>
          <w:top w:w="57" w:type="dxa"/>
          <w:left w:w="110" w:type="dxa"/>
          <w:right w:w="84" w:type="dxa"/>
        </w:tblCellMar>
        <w:tblLook w:val="04A0" w:firstRow="1" w:lastRow="0" w:firstColumn="1" w:lastColumn="0" w:noHBand="0" w:noVBand="1"/>
      </w:tblPr>
      <w:tblGrid>
        <w:gridCol w:w="2154"/>
        <w:gridCol w:w="1499"/>
        <w:gridCol w:w="1607"/>
        <w:gridCol w:w="1024"/>
        <w:gridCol w:w="1460"/>
        <w:gridCol w:w="1316"/>
      </w:tblGrid>
      <w:tr w:rsidR="00462291" w:rsidRPr="00180C46" w14:paraId="22D0B4B7" w14:textId="77777777" w:rsidTr="003D30F0">
        <w:trPr>
          <w:trHeight w:val="2030"/>
        </w:trPr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2FBE" w14:textId="77777777" w:rsidR="00462291" w:rsidRPr="00180C46" w:rsidRDefault="00462291" w:rsidP="003D30F0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7898" w14:textId="77777777" w:rsidR="00462291" w:rsidRPr="00180C46" w:rsidRDefault="00462291" w:rsidP="003D30F0">
            <w:pPr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tikagrelor</w:t>
            </w:r>
            <w:proofErr w:type="spellEnd"/>
          </w:p>
          <w:p w14:paraId="0A2C40A1" w14:textId="42DD9F41" w:rsidR="00462291" w:rsidRPr="00180C46" w:rsidRDefault="00462291" w:rsidP="003D30F0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90 mg</w:t>
            </w:r>
          </w:p>
          <w:p w14:paraId="5EB8190F" w14:textId="4B335BE0" w:rsidR="00462291" w:rsidRPr="00180C46" w:rsidRDefault="00462291" w:rsidP="003D30F0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dvakrát</w:t>
            </w:r>
          </w:p>
          <w:p w14:paraId="57A6339B" w14:textId="77777777" w:rsidR="00462291" w:rsidRPr="00180C46" w:rsidRDefault="00462291" w:rsidP="003D30F0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denne</w:t>
            </w:r>
          </w:p>
          <w:p w14:paraId="69BE3171" w14:textId="0C4A2BAD" w:rsidR="00462291" w:rsidRPr="00180C46" w:rsidRDefault="00462291" w:rsidP="003D30F0">
            <w:pP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(%</w:t>
            </w:r>
            <w:r w:rsidR="003D30F0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 xml:space="preserve"> 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pacientov</w:t>
            </w:r>
            <w:r w:rsidR="003D30F0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 xml:space="preserve"> 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s</w:t>
            </w:r>
            <w:r w:rsidR="00C02F98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udalosťou)</w:t>
            </w:r>
          </w:p>
          <w:p w14:paraId="407B9A50" w14:textId="397EBD3F" w:rsidR="00462291" w:rsidRPr="00180C46" w:rsidRDefault="00C02F98" w:rsidP="003D30F0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 = </w:t>
            </w:r>
            <w:r w:rsidR="00462291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9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 </w:t>
            </w:r>
            <w:r w:rsidR="00462291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333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B5DE" w14:textId="291E93B8" w:rsidR="00462291" w:rsidRPr="00180C46" w:rsidRDefault="00462291" w:rsidP="003D30F0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klopidogrel</w:t>
            </w:r>
            <w:proofErr w:type="spellEnd"/>
          </w:p>
          <w:p w14:paraId="67DCF870" w14:textId="1515CF6A" w:rsidR="00462291" w:rsidRPr="00180C46" w:rsidRDefault="00462291" w:rsidP="003D30F0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75 mg</w:t>
            </w:r>
          </w:p>
          <w:p w14:paraId="2333C505" w14:textId="77777777" w:rsidR="00462291" w:rsidRPr="00180C46" w:rsidRDefault="00462291" w:rsidP="003D30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jedenkrát denne</w:t>
            </w:r>
          </w:p>
          <w:p w14:paraId="141A0C9D" w14:textId="77777777" w:rsidR="00462291" w:rsidRPr="00180C46" w:rsidRDefault="00462291" w:rsidP="003D30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(% pacientov s udalosťou)</w:t>
            </w:r>
          </w:p>
          <w:p w14:paraId="46629490" w14:textId="768323B1" w:rsidR="00462291" w:rsidRPr="00180C46" w:rsidRDefault="00C02F98" w:rsidP="003D30F0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pl-PL"/>
              </w:rPr>
              <w:t>n = </w:t>
            </w:r>
            <w:r w:rsidR="00462291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9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 </w:t>
            </w:r>
            <w:r w:rsidR="00462291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291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34A0" w14:textId="77777777" w:rsidR="00462291" w:rsidRPr="00180C46" w:rsidRDefault="00462291" w:rsidP="003D30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ARR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val="sk-SK"/>
              </w:rPr>
              <w:t>a</w:t>
            </w:r>
            <w:proofErr w:type="spellEnd"/>
          </w:p>
          <w:p w14:paraId="09F1AF93" w14:textId="77777777" w:rsidR="00462291" w:rsidRPr="00180C46" w:rsidRDefault="00462291" w:rsidP="003D30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(%/rok)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95EE4" w14:textId="77777777" w:rsidR="00462291" w:rsidRPr="00180C46" w:rsidRDefault="00462291" w:rsidP="003D30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RRR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val="sk-SK"/>
              </w:rPr>
              <w:t>a</w:t>
            </w:r>
            <w:proofErr w:type="spellEnd"/>
            <w:r w:rsidRPr="00180C46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val="sk-SK"/>
              </w:rPr>
              <w:t xml:space="preserve"> 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(%) (95 % IS)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050D" w14:textId="77777777" w:rsidR="00462291" w:rsidRPr="00180C46" w:rsidRDefault="00462291" w:rsidP="003D30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i/>
                <w:color w:val="000000"/>
                <w:lang w:val="sk-SK"/>
              </w:rPr>
              <w:t>p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-hodnota</w:t>
            </w:r>
          </w:p>
        </w:tc>
      </w:tr>
      <w:tr w:rsidR="00462291" w:rsidRPr="00180C46" w14:paraId="65A72568" w14:textId="77777777" w:rsidTr="003D30F0">
        <w:trPr>
          <w:trHeight w:val="1051"/>
        </w:trPr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A706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KV smrť/IM </w:t>
            </w:r>
          </w:p>
          <w:p w14:paraId="29616327" w14:textId="2F0D59A6" w:rsidR="00462291" w:rsidRPr="00180C46" w:rsidRDefault="00462291" w:rsidP="00462291">
            <w:pPr>
              <w:ind w:right="53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(s</w:t>
            </w:r>
            <w:r w:rsidR="003D30F0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vylúčením tichého IM) alebo cievna mozgová príhoda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9E12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9,3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D647" w14:textId="77777777" w:rsidR="00462291" w:rsidRPr="00180C46" w:rsidRDefault="00462291" w:rsidP="00FC2B11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10,9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5568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1,9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5B1C" w14:textId="77777777" w:rsidR="00462291" w:rsidRPr="00180C46" w:rsidRDefault="00462291" w:rsidP="00FC2B11">
            <w:pPr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16 (8; 23)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2355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0,0003</w:t>
            </w:r>
          </w:p>
        </w:tc>
      </w:tr>
      <w:tr w:rsidR="00462291" w:rsidRPr="00180C46" w14:paraId="6D4C8D46" w14:textId="77777777" w:rsidTr="003D30F0">
        <w:trPr>
          <w:trHeight w:val="528"/>
        </w:trPr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E317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So zámerom invazívneho zákroku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E12A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8,5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F31B" w14:textId="77777777" w:rsidR="00462291" w:rsidRPr="00180C46" w:rsidRDefault="00462291" w:rsidP="00FC2B11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10,0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2D8C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1,7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2C6D" w14:textId="77777777" w:rsidR="00462291" w:rsidRPr="00180C46" w:rsidRDefault="00462291" w:rsidP="00FC2B11">
            <w:pPr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16 (6; 25)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1FE6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0,0025</w:t>
            </w:r>
          </w:p>
        </w:tc>
      </w:tr>
      <w:tr w:rsidR="00462291" w:rsidRPr="00180C46" w14:paraId="46B13C62" w14:textId="77777777" w:rsidTr="003D30F0">
        <w:trPr>
          <w:trHeight w:val="792"/>
        </w:trPr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A4A7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So zámerom medikamentóznej liečby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55A2" w14:textId="77777777" w:rsidR="00462291" w:rsidRPr="00180C46" w:rsidRDefault="00462291" w:rsidP="00FC2B11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11,3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262F" w14:textId="77777777" w:rsidR="00462291" w:rsidRPr="00180C46" w:rsidRDefault="00462291" w:rsidP="00FC2B11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13,2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9624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2,3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BE57" w14:textId="77777777" w:rsidR="00462291" w:rsidRPr="00180C46" w:rsidRDefault="00462291" w:rsidP="00FC2B11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15 (0,3; 27)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F296" w14:textId="77777777" w:rsidR="00462291" w:rsidRPr="00180C46" w:rsidRDefault="00462291" w:rsidP="00FC2B11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0,0444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d</w:t>
            </w:r>
          </w:p>
        </w:tc>
      </w:tr>
      <w:tr w:rsidR="00462291" w:rsidRPr="00180C46" w14:paraId="009EF562" w14:textId="77777777" w:rsidTr="003D30F0">
        <w:trPr>
          <w:trHeight w:val="269"/>
        </w:trPr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57EA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KV smrť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7D75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3,8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B5FD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4,8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857F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4A22" w14:textId="77777777" w:rsidR="00462291" w:rsidRPr="00180C46" w:rsidRDefault="00462291" w:rsidP="00FC2B11">
            <w:pPr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21 (9; 31)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AA88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0,0013</w:t>
            </w:r>
          </w:p>
        </w:tc>
      </w:tr>
      <w:tr w:rsidR="00462291" w:rsidRPr="00180C46" w14:paraId="60F5069F" w14:textId="77777777" w:rsidTr="003D30F0">
        <w:trPr>
          <w:trHeight w:val="533"/>
        </w:trPr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5923" w14:textId="7A2802C8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IM (s</w:t>
            </w:r>
            <w:r w:rsidR="003D30F0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vylúčením tichého IM)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b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77D2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5,4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8C14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6,4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BE79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EE50" w14:textId="77777777" w:rsidR="00462291" w:rsidRPr="00180C46" w:rsidRDefault="00462291" w:rsidP="00FC2B11">
            <w:pPr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16 (5; 25)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6268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0,0045</w:t>
            </w:r>
          </w:p>
        </w:tc>
      </w:tr>
      <w:tr w:rsidR="00462291" w:rsidRPr="00180C46" w14:paraId="780F0386" w14:textId="77777777" w:rsidTr="003D30F0">
        <w:trPr>
          <w:trHeight w:val="528"/>
        </w:trPr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EF9C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Cievna mozgová príhoda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F216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1B99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7BBF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−0,2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2CF3" w14:textId="77777777" w:rsidR="00462291" w:rsidRPr="00180C46" w:rsidRDefault="00462291" w:rsidP="00FC2B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−17 (−52; 9)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2298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0,2249</w:t>
            </w:r>
          </w:p>
        </w:tc>
      </w:tr>
      <w:tr w:rsidR="00462291" w:rsidRPr="00180C46" w14:paraId="203653BD" w14:textId="77777777" w:rsidTr="003D30F0">
        <w:trPr>
          <w:trHeight w:val="1310"/>
        </w:trPr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7FE9" w14:textId="4A4421D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Úmrtnosť zo všetkých príčin, IM (s</w:t>
            </w:r>
            <w:r w:rsidR="003D30F0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vylúčením tichého IM) alebo cievna mozgová príhoda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CD1C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9,7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7F3E" w14:textId="77777777" w:rsidR="00462291" w:rsidRPr="00180C46" w:rsidRDefault="00462291" w:rsidP="00FC2B11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11,5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3FB9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59A7" w14:textId="77777777" w:rsidR="00462291" w:rsidRPr="00180C46" w:rsidRDefault="00462291" w:rsidP="00FC2B11">
            <w:pPr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16 (8; 23)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0D0B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0,0001</w:t>
            </w:r>
          </w:p>
        </w:tc>
      </w:tr>
      <w:tr w:rsidR="00462291" w:rsidRPr="00180C46" w14:paraId="2DE8605C" w14:textId="77777777" w:rsidTr="003D30F0">
        <w:trPr>
          <w:trHeight w:val="1310"/>
        </w:trPr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2CFC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KV smrť, IM celkovo, cievna mozgová príhoda, SRI, RI, TIA alebo iná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ATE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c</w:t>
            </w:r>
            <w:proofErr w:type="spellEnd"/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A9A5" w14:textId="77777777" w:rsidR="00462291" w:rsidRPr="00180C46" w:rsidRDefault="00462291" w:rsidP="00FC2B11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13,8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0092" w14:textId="77777777" w:rsidR="00462291" w:rsidRPr="00180C46" w:rsidRDefault="00462291" w:rsidP="00FC2B11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15,7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D4E1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8E8A" w14:textId="77777777" w:rsidR="00462291" w:rsidRPr="00180C46" w:rsidRDefault="00462291" w:rsidP="00FC2B11">
            <w:pPr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12 (5; 19)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EC99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0,0006</w:t>
            </w:r>
          </w:p>
        </w:tc>
      </w:tr>
      <w:tr w:rsidR="00462291" w:rsidRPr="00180C46" w14:paraId="4DD30B91" w14:textId="77777777" w:rsidTr="003D30F0">
        <w:trPr>
          <w:trHeight w:val="528"/>
        </w:trPr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62CF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Úmrtnosť zo všetkých príčin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6F0A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4,3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8788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5,4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4F64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1,4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60C8" w14:textId="77777777" w:rsidR="00462291" w:rsidRPr="00180C46" w:rsidRDefault="00462291" w:rsidP="00FC2B11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22 (11; 31)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AE00" w14:textId="77777777" w:rsidR="00462291" w:rsidRPr="00180C46" w:rsidRDefault="00462291" w:rsidP="00FC2B11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0,0003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d</w:t>
            </w:r>
          </w:p>
        </w:tc>
      </w:tr>
      <w:tr w:rsidR="00462291" w:rsidRPr="00180C46" w14:paraId="0226526E" w14:textId="77777777" w:rsidTr="003D30F0">
        <w:trPr>
          <w:trHeight w:val="533"/>
        </w:trPr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A426" w14:textId="77777777" w:rsidR="00462291" w:rsidRPr="00180C46" w:rsidRDefault="00462291" w:rsidP="00462291">
            <w:pPr>
              <w:ind w:right="12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Definitívna trombóza </w:t>
            </w:r>
            <w:proofErr w:type="spellStart"/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stentu</w:t>
            </w:r>
            <w:proofErr w:type="spellEnd"/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23EA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A73E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CA32" w14:textId="77777777" w:rsidR="00462291" w:rsidRPr="00180C46" w:rsidRDefault="00462291" w:rsidP="00FC2B1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0,6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9D62" w14:textId="77777777" w:rsidR="00462291" w:rsidRPr="00180C46" w:rsidRDefault="00462291" w:rsidP="00FC2B11">
            <w:pPr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32 (8; 49)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7B6F" w14:textId="77777777" w:rsidR="00462291" w:rsidRPr="00180C46" w:rsidRDefault="00462291" w:rsidP="00FC2B11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0,0123</w:t>
            </w:r>
            <w:r w:rsidRPr="00180C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k-SK"/>
              </w:rPr>
              <w:t>d</w:t>
            </w:r>
          </w:p>
        </w:tc>
      </w:tr>
    </w:tbl>
    <w:p w14:paraId="4429B6A3" w14:textId="77777777" w:rsidR="00A02021" w:rsidRPr="00A02021" w:rsidRDefault="00462291" w:rsidP="00A02021">
      <w:pPr>
        <w:spacing w:after="0" w:line="240" w:lineRule="auto"/>
        <w:ind w:left="567" w:right="35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A02021">
        <w:rPr>
          <w:rFonts w:ascii="Times New Roman" w:eastAsia="Times New Roman" w:hAnsi="Times New Roman" w:cs="Times New Roman"/>
          <w:color w:val="000000"/>
          <w:vertAlign w:val="superscript"/>
          <w:lang w:val="sk-SK" w:eastAsia="en-GB"/>
        </w:rPr>
        <w:t>a</w:t>
      </w:r>
      <w:r w:rsidR="00A02021">
        <w:rPr>
          <w:rFonts w:ascii="Times New Roman" w:eastAsia="Times New Roman" w:hAnsi="Times New Roman" w:cs="Times New Roman"/>
          <w:color w:val="000000"/>
          <w:vertAlign w:val="superscript"/>
          <w:lang w:val="sk-SK" w:eastAsia="en-GB"/>
        </w:rPr>
        <w:tab/>
      </w:r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ARR</w:t>
      </w:r>
      <w:r w:rsidR="00C02F98"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= </w:t>
      </w:r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zníženie absolútneho rizika; RRR</w:t>
      </w:r>
      <w:r w:rsidR="00C02F98"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= </w:t>
      </w:r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zníženie relatívneho rizika</w:t>
      </w:r>
      <w:r w:rsidR="00C02F98"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= </w:t>
      </w:r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(1 − pomer rizika) x 100 %. Hodnoty s negatívnym RRR naznačujú zvýšenie relatívneho rizika.</w:t>
      </w:r>
    </w:p>
    <w:p w14:paraId="1334F82A" w14:textId="0F505E50" w:rsidR="00462291" w:rsidRPr="00A02021" w:rsidRDefault="00462291" w:rsidP="00A02021">
      <w:pPr>
        <w:spacing w:after="0" w:line="240" w:lineRule="auto"/>
        <w:ind w:left="567" w:right="35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sk-SK" w:eastAsia="en-GB"/>
        </w:rPr>
        <w:t>b</w:t>
      </w:r>
      <w:r w:rsidR="00A02021" w:rsidRPr="00A0202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sk-SK" w:eastAsia="en-GB"/>
        </w:rPr>
        <w:tab/>
      </w:r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S vylúčením tichého IM.</w:t>
      </w:r>
    </w:p>
    <w:p w14:paraId="7221318F" w14:textId="60BB70D7" w:rsidR="00462291" w:rsidRPr="00A02021" w:rsidRDefault="00462291" w:rsidP="00A020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sk-SK" w:eastAsia="en-GB"/>
        </w:rPr>
        <w:t>c</w:t>
      </w:r>
      <w:r w:rsidR="00A02021" w:rsidRPr="00A0202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sk-SK" w:eastAsia="en-GB"/>
        </w:rPr>
        <w:tab/>
      </w:r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SRI</w:t>
      </w:r>
      <w:r w:rsidR="00C02F98"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= </w:t>
      </w:r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ťažká </w:t>
      </w:r>
      <w:proofErr w:type="spellStart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rekurentná</w:t>
      </w:r>
      <w:proofErr w:type="spellEnd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ischémia (</w:t>
      </w:r>
      <w:proofErr w:type="spellStart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serious</w:t>
      </w:r>
      <w:proofErr w:type="spellEnd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</w:t>
      </w:r>
      <w:proofErr w:type="spellStart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recurrent</w:t>
      </w:r>
      <w:proofErr w:type="spellEnd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</w:t>
      </w:r>
      <w:proofErr w:type="spellStart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ischaemia</w:t>
      </w:r>
      <w:proofErr w:type="spellEnd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); RI</w:t>
      </w:r>
      <w:r w:rsidR="00C02F98"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= </w:t>
      </w:r>
      <w:proofErr w:type="spellStart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rekurentná</w:t>
      </w:r>
      <w:proofErr w:type="spellEnd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ischémia (</w:t>
      </w:r>
      <w:proofErr w:type="spellStart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recurrent</w:t>
      </w:r>
      <w:proofErr w:type="spellEnd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</w:t>
      </w:r>
      <w:proofErr w:type="spellStart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ischaemia</w:t>
      </w:r>
      <w:proofErr w:type="spellEnd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); TIA</w:t>
      </w:r>
      <w:r w:rsidR="00C02F98"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= </w:t>
      </w:r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prechodný ischemický záchvat (</w:t>
      </w:r>
      <w:proofErr w:type="spellStart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transient</w:t>
      </w:r>
      <w:proofErr w:type="spellEnd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</w:t>
      </w:r>
      <w:proofErr w:type="spellStart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ischaemic</w:t>
      </w:r>
      <w:proofErr w:type="spellEnd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</w:t>
      </w:r>
      <w:proofErr w:type="spellStart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attack</w:t>
      </w:r>
      <w:proofErr w:type="spellEnd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); ATE</w:t>
      </w:r>
      <w:r w:rsidR="00C02F98"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= </w:t>
      </w:r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arteriálna </w:t>
      </w:r>
      <w:proofErr w:type="spellStart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trombotická</w:t>
      </w:r>
      <w:proofErr w:type="spellEnd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príhoda. IM celkovo zahŕňa tichý IM, s dátumom, kedy bol zistený.</w:t>
      </w:r>
    </w:p>
    <w:p w14:paraId="7E7724AB" w14:textId="11E4DFFE" w:rsidR="00462291" w:rsidRPr="00A02021" w:rsidRDefault="00462291" w:rsidP="00A020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sk-SK" w:eastAsia="en-GB"/>
        </w:rPr>
        <w:t>d</w:t>
      </w:r>
      <w:r w:rsidR="00A02021" w:rsidRPr="00A0202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sk-SK" w:eastAsia="en-GB"/>
        </w:rPr>
        <w:tab/>
      </w:r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Nominálna hladina významnosti (</w:t>
      </w:r>
      <w:proofErr w:type="spellStart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significance</w:t>
      </w:r>
      <w:proofErr w:type="spellEnd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</w:t>
      </w:r>
      <w:proofErr w:type="spellStart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value</w:t>
      </w:r>
      <w:proofErr w:type="spellEnd"/>
      <w:r w:rsidRPr="00A02021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); všetky ostatné sú formálne štatisticky významné vopred definovaným hierarchickým testovaním.</w:t>
      </w:r>
    </w:p>
    <w:p w14:paraId="3BC6BFB7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2B5923E" w14:textId="77777777" w:rsidR="00462291" w:rsidRPr="00180C46" w:rsidRDefault="00462291" w:rsidP="00462291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lastRenderedPageBreak/>
        <w:t xml:space="preserve">Genetická </w:t>
      </w:r>
      <w:proofErr w:type="spellStart"/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podštúdia</w:t>
      </w:r>
      <w:proofErr w:type="spellEnd"/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 xml:space="preserve"> štúdie PLATO</w:t>
      </w:r>
    </w:p>
    <w:p w14:paraId="1AB8284C" w14:textId="5D2F27F8" w:rsidR="00462291" w:rsidRPr="00180C46" w:rsidRDefault="00462291" w:rsidP="00462291">
      <w:pPr>
        <w:spacing w:after="0" w:line="240" w:lineRule="auto"/>
        <w:ind w:right="170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Genotypizáciou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CYP2C19 a ABCB1 u</w:t>
      </w:r>
      <w:r w:rsidR="00A02021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10</w:t>
      </w:r>
      <w:r w:rsidR="00A02021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285 pacientov v štúdii PLATO sa zistili súvislosti medzi skupinami genotypu a výsledkami štúdie PLATO. Lepší účinok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oproti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znížení výskytu závažných KV príhod nebol významne ovplyvnený genotypom CYP2C19 alebo ABCB1 pacienta. Podobne ako v celej štúdii PLATO sa celkový výskyt veľkých krvácaní podľa definície PLATO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neodlišoval, bez ohľadu na genotyp CYP2C19 alebo ABCB1. Výskyt veľkých krvácaní podľa definície PLATO nesúvisiacich s CABG bol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porovnaní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zvýšený u pacientov s jednou alebo viacerými nefunkčnými alelami CYP2C19, ale podobný ako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pacientov bez nefunkčnej alely.</w:t>
      </w:r>
    </w:p>
    <w:p w14:paraId="25EEA1EF" w14:textId="77777777" w:rsidR="00462291" w:rsidRPr="00180C46" w:rsidRDefault="00462291" w:rsidP="00462291">
      <w:pPr>
        <w:spacing w:after="0" w:line="240" w:lineRule="auto"/>
        <w:ind w:right="170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EC71BC0" w14:textId="77777777" w:rsidR="00462291" w:rsidRPr="00180C46" w:rsidRDefault="00462291" w:rsidP="00462291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Združený ukazovateľ účinnosti a bezpečnosti</w:t>
      </w:r>
    </w:p>
    <w:p w14:paraId="47806AFE" w14:textId="69611204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Združený ukazovateľ účinnosti a bezpečnosti (KV smrť, IM, cievna mozgová príhoda alebo veľké krvácanie podľa definície PLATO celkovo) naznačuje, že klinický prínos účinnosti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porovnaní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nie je kompenzovaný udalosťami súvisiacimi s veľkým krvácaním (ARR 1,4 %, RRR 8 %, HR 0,92; p</w:t>
      </w:r>
      <w:r w:rsidR="00C02F9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=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0,0257) v priebehu 12 mesiacov od AKS.</w:t>
      </w:r>
    </w:p>
    <w:p w14:paraId="24956EBD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3C601AF" w14:textId="77777777" w:rsidR="00462291" w:rsidRPr="00180C46" w:rsidRDefault="00462291" w:rsidP="00462291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Klinická bezpečnosť</w:t>
      </w:r>
    </w:p>
    <w:p w14:paraId="2E3B52D1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Podštúdia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Holterovým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monitorovaním:</w:t>
      </w:r>
    </w:p>
    <w:p w14:paraId="34E4F744" w14:textId="6B25BFCE" w:rsidR="00462291" w:rsidRPr="00180C46" w:rsidRDefault="00462291" w:rsidP="00462291">
      <w:pPr>
        <w:spacing w:after="0" w:line="240" w:lineRule="auto"/>
        <w:ind w:right="321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Na sledovanie výskytu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ventrikulárnych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páuz a iných epizód arytmií počas štúdie PLATO skúšajúci vykonali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Holterovo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monitorovanie u podskupiny takmer 3</w:t>
      </w:r>
      <w:r w:rsidR="00E53A11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000 pacientov, z ktorých približne 2</w:t>
      </w:r>
      <w:r w:rsidR="00F553F4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000 malo záznam aj v akútnej fáze ich AKS a aj po jednom mesiaci. Primárnym sledovaným ukazovateľom bol výskyt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ventrikulárnych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páuz ≥</w:t>
      </w:r>
      <w:r w:rsidR="00F553F4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3</w:t>
      </w:r>
      <w:r w:rsidR="00F553F4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sekundy.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Ventrikulárne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pauzy sa u pacientov v akútnej fáze vyskytovali častejšie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(6,0 %) ako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(3,5 %); a po 1</w:t>
      </w:r>
      <w:r w:rsidR="00F553F4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mesiaci to bolo 2,2 %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1,6 %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(pozri časť 4.4). Nárast výskytu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ventrikulárnych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páuz v akútnej fáze AKS bol v skupine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výraznejší u pacientov s chronickým srdcovým zlyhávaním (CHF) v anamnéze (9,2 % oproti 5,4 % u pacientov bez CHF v anamnéze; v skupine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to bolo 4,0 % u pacientov s CHF v anamnéze oproti 3,6 % u pacientov bez CHF v anamnéze). Tento rozdiel sa po 1</w:t>
      </w:r>
      <w:r w:rsidR="00F553F4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mesiaci nevyskytoval: 2,0 % oproti 2,1 %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pre pacientov s a bez CHF v anamnéze a 3,8 % oproti 1,4 %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klopidogrele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 Tento rozdiel nesúvisel so žiadnymi nežiaducimi klinickými dôsledkami (vrátane zavedenia kardiostimulátora) v tejto populácii pacientov.</w:t>
      </w:r>
    </w:p>
    <w:p w14:paraId="4EEEAF4A" w14:textId="77777777" w:rsidR="00462291" w:rsidRPr="00180C46" w:rsidRDefault="00462291" w:rsidP="00462291">
      <w:pPr>
        <w:spacing w:after="0" w:line="240" w:lineRule="auto"/>
        <w:ind w:right="321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5C77D94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Štúdia PEGASUS (anamnéza infarktu myokardu)</w:t>
      </w:r>
    </w:p>
    <w:p w14:paraId="41296C7C" w14:textId="02514928" w:rsidR="00462291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Štúdia PEGASUS TIMI-54 bola medzinárodná,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multicentrická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randomizovaná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dvojito zaslepená, placebom kontrolovaná štúdia s paralelnou skupinou a</w:t>
      </w:r>
      <w:r w:rsidR="00F553F4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 dĺžkou určenou počtom udalostí potrebných pre štatistické vyhodnotenie (event-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driven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), zahŕňajúca 21 162 pacientov, ktorá hodnotila prevenciu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aterotrombotických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príhod pri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podávanom v 2 dávkach (buď 90 mg dvakrát denne alebo 60 mg dvakrát denne) v kombinácii s nízkou dávkou ASA (75 – 150 mg), v porovnaní s liečbou samotnou ASA u pacientov s IM v anamnéze a ďalšími rizikovými faktormi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aterotrombózy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0370440C" w14:textId="77777777" w:rsidR="00F553F4" w:rsidRPr="00180C46" w:rsidRDefault="00F553F4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D33A317" w14:textId="77777777" w:rsidR="00462291" w:rsidRPr="00180C46" w:rsidRDefault="00462291" w:rsidP="00462291">
      <w:pPr>
        <w:spacing w:after="0" w:line="240" w:lineRule="auto"/>
        <w:ind w:right="123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Pacienti boli vhodní na zaradenie do štúdie, ak boli vo veku 50 rokov alebo starší, mali IM v anamnéze (1 až 3 roky pred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randomizáciou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) a mali aspoň jeden z nasledujúcich rizikových faktorov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aterotrombózy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: vek ≥ 65 rokov, diabetes mellitus vyžadujúci liečbu, druhý predchádzajúci IM, potvrdenú CAD postihujúcu viaceré cievy alebo chronickú dysfunkciu obličiek v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non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-terminálnom štádiu.</w:t>
      </w:r>
    </w:p>
    <w:p w14:paraId="7104A595" w14:textId="77777777" w:rsidR="00462291" w:rsidRPr="00180C46" w:rsidRDefault="00462291" w:rsidP="00462291">
      <w:pPr>
        <w:spacing w:after="0" w:line="240" w:lineRule="auto"/>
        <w:ind w:right="123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A514BA0" w14:textId="2844723C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Pacienti neboli vhodní na zaradenie do štúdie, ak sa u nich počas obdobia štúdie plánoval použiť antagonista receptorov P2Y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12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dipyridamol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cilostazol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antikoagulačná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liečba; ak mali krvácavú poruchu alebo ischemickú cievnu mozgovú príhodu 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krvácanie v anamnéze, nádor centrálneho nervového systému alebo abnormalitu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intrakraniálnych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ciev; ak mali v priebehu predchádzajúcich 6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mesiacov gastrointestinálne krvácanie alebo veľký chirurgický zákrok v priebehu predchádzajúcich 30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dní.</w:t>
      </w:r>
    </w:p>
    <w:p w14:paraId="7BCF14C2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25C5C4C" w14:textId="77777777" w:rsidR="00462291" w:rsidRPr="00180C46" w:rsidRDefault="00462291" w:rsidP="00462291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Klinická účinnosť</w:t>
      </w:r>
    </w:p>
    <w:p w14:paraId="69B5CEF4" w14:textId="77777777" w:rsidR="00F553F4" w:rsidRPr="00F553F4" w:rsidRDefault="00F553F4" w:rsidP="00F553F4">
      <w:pPr>
        <w:tabs>
          <w:tab w:val="left" w:pos="1134"/>
        </w:tabs>
        <w:spacing w:after="5"/>
        <w:rPr>
          <w:rFonts w:ascii="Times New Roman" w:eastAsia="Times New Roman" w:hAnsi="Times New Roman" w:cs="Times New Roman"/>
          <w:bCs/>
          <w:color w:val="000000"/>
          <w:lang w:val="sk-SK" w:eastAsia="en-GB"/>
        </w:rPr>
      </w:pPr>
    </w:p>
    <w:p w14:paraId="3C4DB955" w14:textId="20048D84" w:rsidR="00462291" w:rsidRPr="00180C46" w:rsidRDefault="00462291" w:rsidP="00F553F4">
      <w:pPr>
        <w:tabs>
          <w:tab w:val="left" w:pos="1134"/>
        </w:tabs>
        <w:spacing w:after="5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Obrázok 2</w:t>
      </w:r>
      <w:r w:rsidR="00F553F4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Analýza primárneho klinického združeného koncového ukazovateľa KV smrti, IM a cievnej mozgovej príhody (štúdia PEGASUS)</w:t>
      </w:r>
    </w:p>
    <w:p w14:paraId="0CCBD709" w14:textId="342EA22C" w:rsidR="00462291" w:rsidRPr="00180C46" w:rsidRDefault="001E527F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sk-SK" w:eastAsia="sk-SK"/>
        </w:rPr>
        <w:lastRenderedPageBreak/>
        <w:drawing>
          <wp:inline distT="0" distB="0" distL="0" distR="0" wp14:anchorId="2DBA53B8" wp14:editId="5AA70BCC">
            <wp:extent cx="5416550" cy="3390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D91237" w14:textId="77777777" w:rsidR="00F553F4" w:rsidRPr="00F553F4" w:rsidRDefault="00F553F4" w:rsidP="00F553F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sk-SK" w:eastAsia="en-GB"/>
        </w:rPr>
      </w:pPr>
    </w:p>
    <w:p w14:paraId="03052FFE" w14:textId="297AD20D" w:rsidR="00462291" w:rsidRPr="00180C46" w:rsidRDefault="00462291" w:rsidP="001E527F">
      <w:pPr>
        <w:keepNext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Tabuľka 5</w:t>
      </w:r>
      <w:r w:rsidR="00F553F4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Analýza primárnych a sekundárnych koncových ukazovateľov účinnosti (štúdia PEGASUS)</w:t>
      </w:r>
    </w:p>
    <w:tbl>
      <w:tblPr>
        <w:tblStyle w:val="TableGrid"/>
        <w:tblW w:w="9288" w:type="dxa"/>
        <w:tblInd w:w="-110" w:type="dxa"/>
        <w:tblCellMar>
          <w:top w:w="47" w:type="dxa"/>
          <w:left w:w="110" w:type="dxa"/>
          <w:right w:w="64" w:type="dxa"/>
        </w:tblCellMar>
        <w:tblLook w:val="04A0" w:firstRow="1" w:lastRow="0" w:firstColumn="1" w:lastColumn="0" w:noHBand="0" w:noVBand="1"/>
      </w:tblPr>
      <w:tblGrid>
        <w:gridCol w:w="1678"/>
        <w:gridCol w:w="1443"/>
        <w:gridCol w:w="953"/>
        <w:gridCol w:w="1396"/>
        <w:gridCol w:w="1443"/>
        <w:gridCol w:w="1169"/>
        <w:gridCol w:w="1206"/>
      </w:tblGrid>
      <w:tr w:rsidR="00462291" w:rsidRPr="00180C46" w14:paraId="4F85C0F8" w14:textId="77777777" w:rsidTr="00773327">
        <w:trPr>
          <w:trHeight w:val="46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CDD4" w14:textId="77777777" w:rsidR="00462291" w:rsidRPr="00180C46" w:rsidRDefault="00462291" w:rsidP="001E527F">
            <w:pPr>
              <w:keepNext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44D0" w14:textId="32D0048D" w:rsidR="00462291" w:rsidRPr="00180C46" w:rsidRDefault="00462291" w:rsidP="001E527F">
            <w:pPr>
              <w:keepNext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proofErr w:type="spellStart"/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tikagrelor</w:t>
            </w:r>
            <w:proofErr w:type="spellEnd"/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 xml:space="preserve"> 60 mg dvakrát denne + ASA </w:t>
            </w:r>
            <w:r w:rsidR="008C7D18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n</w:t>
            </w:r>
            <w:r w:rsidR="00C02F98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 = 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7</w:t>
            </w:r>
            <w:r w:rsidR="008C7D18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045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C7A4" w14:textId="74108014" w:rsidR="00462291" w:rsidRPr="00180C46" w:rsidRDefault="00462291" w:rsidP="001E527F">
            <w:pPr>
              <w:keepNext/>
              <w:ind w:right="562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 xml:space="preserve">samotná ASA </w:t>
            </w:r>
            <w:r w:rsidR="008C7D18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n</w:t>
            </w:r>
            <w:r w:rsidR="00C02F98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 = 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7</w:t>
            </w:r>
            <w:r w:rsidR="008C7D18"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 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067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9D85" w14:textId="77777777" w:rsidR="00462291" w:rsidRPr="00180C46" w:rsidRDefault="00462291" w:rsidP="001E527F">
            <w:pPr>
              <w:keepNext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i/>
                <w:color w:val="000000"/>
                <w:lang w:val="sk-SK"/>
              </w:rPr>
              <w:t>p</w:t>
            </w: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-hodnota</w:t>
            </w:r>
          </w:p>
        </w:tc>
      </w:tr>
      <w:tr w:rsidR="00462291" w:rsidRPr="00180C46" w14:paraId="5B1659AB" w14:textId="77777777" w:rsidTr="00773327">
        <w:trPr>
          <w:trHeight w:val="4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D923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Charakteristika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F4E5" w14:textId="77777777" w:rsidR="00462291" w:rsidRPr="00180C46" w:rsidRDefault="00462291" w:rsidP="00F553F4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Pacienti s udalosťami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E595" w14:textId="77777777" w:rsidR="00462291" w:rsidRPr="00180C46" w:rsidRDefault="00462291" w:rsidP="00F553F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KM %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70A7" w14:textId="77777777" w:rsidR="00462291" w:rsidRPr="00180C46" w:rsidRDefault="00462291" w:rsidP="00F553F4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HR</w:t>
            </w:r>
          </w:p>
          <w:p w14:paraId="7CBF8351" w14:textId="77777777" w:rsidR="00462291" w:rsidRPr="00180C46" w:rsidRDefault="00462291" w:rsidP="00F553F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(95 % IS)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B3A9" w14:textId="77777777" w:rsidR="00462291" w:rsidRPr="00180C46" w:rsidRDefault="00462291" w:rsidP="00F553F4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Pacienti s udalosťami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3056" w14:textId="77777777" w:rsidR="00462291" w:rsidRPr="00180C46" w:rsidRDefault="00462291" w:rsidP="00F553F4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b/>
                <w:color w:val="000000"/>
                <w:lang w:val="sk-SK"/>
              </w:rPr>
              <w:t>KM 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3A31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</w:p>
        </w:tc>
      </w:tr>
      <w:tr w:rsidR="00773327" w:rsidRPr="00180C46" w14:paraId="35EFDA13" w14:textId="77777777" w:rsidTr="00C951FB">
        <w:trPr>
          <w:trHeight w:val="240"/>
        </w:trPr>
        <w:tc>
          <w:tcPr>
            <w:tcW w:w="9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C96B" w14:textId="1114299D" w:rsidR="00773327" w:rsidRPr="00180C46" w:rsidRDefault="00773327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Primárny koncový ukazovateľ</w:t>
            </w:r>
          </w:p>
        </w:tc>
      </w:tr>
      <w:tr w:rsidR="00462291" w:rsidRPr="00180C46" w14:paraId="4CF01246" w14:textId="77777777" w:rsidTr="00773327">
        <w:trPr>
          <w:trHeight w:val="116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90AC" w14:textId="0D9CAB7D" w:rsidR="00462291" w:rsidRPr="00180C46" w:rsidRDefault="00462291" w:rsidP="00F553F4">
            <w:pPr>
              <w:ind w:right="47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 xml:space="preserve">Združený pre KV </w:t>
            </w:r>
          </w:p>
          <w:p w14:paraId="7BA3ED3F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smrť/IM/cievnu mozgovú príhodu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9720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487 (6,9 %)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8F9A" w14:textId="77777777" w:rsidR="00462291" w:rsidRPr="00180C46" w:rsidRDefault="00462291" w:rsidP="008C7D1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7,8 %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1D49" w14:textId="77777777" w:rsidR="00773327" w:rsidRDefault="00462291" w:rsidP="008C7D18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0,84</w:t>
            </w:r>
          </w:p>
          <w:p w14:paraId="4554CCC7" w14:textId="3794E46E" w:rsidR="00462291" w:rsidRPr="00180C46" w:rsidRDefault="00462291" w:rsidP="008C7D18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(0,74; 0,95)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D338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578 (8,2 %)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FEE3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9,0 %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0163" w14:textId="77777777" w:rsidR="00462291" w:rsidRPr="00180C46" w:rsidRDefault="00462291" w:rsidP="008C7D1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0,0043 (s)</w:t>
            </w:r>
          </w:p>
        </w:tc>
      </w:tr>
      <w:tr w:rsidR="00462291" w:rsidRPr="00180C46" w14:paraId="3A8D0097" w14:textId="77777777" w:rsidTr="00773327">
        <w:trPr>
          <w:trHeight w:val="4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E311" w14:textId="77777777" w:rsidR="00462291" w:rsidRPr="00180C46" w:rsidRDefault="00462291" w:rsidP="00462291">
            <w:pPr>
              <w:ind w:right="37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KV smrť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E2A2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174 (2,5 %)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4A6E" w14:textId="77777777" w:rsidR="00462291" w:rsidRPr="00180C46" w:rsidRDefault="00462291" w:rsidP="008C7D1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2,9 %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E2E4" w14:textId="77777777" w:rsidR="00773327" w:rsidRDefault="00462291" w:rsidP="008C7D18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0,83</w:t>
            </w:r>
          </w:p>
          <w:p w14:paraId="3A130EE4" w14:textId="3141A417" w:rsidR="00462291" w:rsidRPr="00180C46" w:rsidRDefault="00462291" w:rsidP="008C7D18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(0,68; 1,01)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0BC3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210 (3,0 %)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DD88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3,4 %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6BE6" w14:textId="77777777" w:rsidR="00462291" w:rsidRPr="00180C46" w:rsidRDefault="00462291" w:rsidP="008C7D1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0,0676</w:t>
            </w:r>
          </w:p>
        </w:tc>
      </w:tr>
      <w:tr w:rsidR="00462291" w:rsidRPr="00180C46" w14:paraId="3843B914" w14:textId="77777777" w:rsidTr="00773327">
        <w:trPr>
          <w:trHeight w:val="4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76DF" w14:textId="77777777" w:rsidR="00462291" w:rsidRPr="00180C46" w:rsidRDefault="00462291" w:rsidP="00462291">
            <w:pPr>
              <w:ind w:right="40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IM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36EE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285 (4,0 %)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3436" w14:textId="77777777" w:rsidR="00462291" w:rsidRPr="00180C46" w:rsidRDefault="00462291" w:rsidP="008C7D1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4,5 %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F3E0" w14:textId="77777777" w:rsidR="00773327" w:rsidRDefault="00462291" w:rsidP="008C7D18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0,84</w:t>
            </w:r>
          </w:p>
          <w:p w14:paraId="6E58B6BC" w14:textId="5D7E6232" w:rsidR="00462291" w:rsidRPr="00180C46" w:rsidRDefault="00462291" w:rsidP="008C7D18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(0,72; 0,98)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3033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338 (4,8 %)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EF90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5,2 %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5BC1" w14:textId="77777777" w:rsidR="00462291" w:rsidRPr="00180C46" w:rsidRDefault="00462291" w:rsidP="008C7D1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0,0314</w:t>
            </w:r>
          </w:p>
        </w:tc>
      </w:tr>
      <w:tr w:rsidR="00462291" w:rsidRPr="00180C46" w14:paraId="3A37A516" w14:textId="77777777" w:rsidTr="00773327">
        <w:trPr>
          <w:trHeight w:val="4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166D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Cievna mozgová príhoda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051F" w14:textId="77777777" w:rsidR="00462291" w:rsidRPr="00180C46" w:rsidRDefault="00462291" w:rsidP="008C7D1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91 (1,3 %)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78F0" w14:textId="77777777" w:rsidR="00462291" w:rsidRPr="00180C46" w:rsidRDefault="00462291" w:rsidP="008C7D1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1,5 %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92B1" w14:textId="77777777" w:rsidR="00773327" w:rsidRDefault="00462291" w:rsidP="008C7D18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0,75</w:t>
            </w:r>
          </w:p>
          <w:p w14:paraId="312A60A3" w14:textId="666DA3EC" w:rsidR="00462291" w:rsidRPr="00180C46" w:rsidRDefault="00462291" w:rsidP="008C7D18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(0,57; 0,98)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11B3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122 (1,7 %)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DA9F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1,9 %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AA06" w14:textId="77777777" w:rsidR="00462291" w:rsidRPr="00180C46" w:rsidRDefault="00462291" w:rsidP="008C7D1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0,0337</w:t>
            </w:r>
          </w:p>
        </w:tc>
      </w:tr>
      <w:tr w:rsidR="00773327" w:rsidRPr="00180C46" w14:paraId="2E603560" w14:textId="77777777" w:rsidTr="00773327">
        <w:trPr>
          <w:trHeight w:val="240"/>
        </w:trPr>
        <w:tc>
          <w:tcPr>
            <w:tcW w:w="9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794B2" w14:textId="7CC52C4F" w:rsidR="00773327" w:rsidRPr="00180C46" w:rsidRDefault="00773327" w:rsidP="00773327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Sekundárny koncový ukazovateľ</w:t>
            </w:r>
          </w:p>
        </w:tc>
      </w:tr>
      <w:tr w:rsidR="00462291" w:rsidRPr="00180C46" w14:paraId="143C034E" w14:textId="77777777" w:rsidTr="00773327">
        <w:trPr>
          <w:trHeight w:val="4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6D01" w14:textId="77777777" w:rsidR="00462291" w:rsidRPr="00180C46" w:rsidRDefault="00462291" w:rsidP="00462291">
            <w:pPr>
              <w:ind w:right="37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KV smrť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A3FD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174 (2,5 %)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1EF0" w14:textId="77777777" w:rsidR="00462291" w:rsidRPr="00180C46" w:rsidRDefault="00462291" w:rsidP="008C7D1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2,9 %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3E35" w14:textId="77777777" w:rsidR="00773327" w:rsidRDefault="00462291" w:rsidP="008C7D18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0,83</w:t>
            </w:r>
          </w:p>
          <w:p w14:paraId="165DCB1C" w14:textId="3E744498" w:rsidR="00462291" w:rsidRPr="00180C46" w:rsidRDefault="00462291" w:rsidP="008C7D18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(0,68; 1,01)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B68F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210 (3,0 %)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4712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3,4 %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3D15" w14:textId="77777777" w:rsidR="00462291" w:rsidRPr="00180C46" w:rsidRDefault="00462291" w:rsidP="008C7D1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-</w:t>
            </w:r>
          </w:p>
        </w:tc>
      </w:tr>
      <w:tr w:rsidR="00462291" w:rsidRPr="00180C46" w14:paraId="4FC31C0A" w14:textId="77777777" w:rsidTr="00773327">
        <w:trPr>
          <w:trHeight w:val="59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9569" w14:textId="77777777" w:rsidR="00462291" w:rsidRPr="00180C46" w:rsidRDefault="00462291" w:rsidP="00462291">
            <w:pPr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Úmrtnosť zo všetkých príčin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C154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289 (4,1 %)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615F" w14:textId="77777777" w:rsidR="00462291" w:rsidRPr="00180C46" w:rsidRDefault="00462291" w:rsidP="008C7D1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4,7 %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0F0C" w14:textId="77777777" w:rsidR="00773327" w:rsidRDefault="00462291" w:rsidP="008C7D18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0,89</w:t>
            </w:r>
          </w:p>
          <w:p w14:paraId="0D1859A6" w14:textId="1F684000" w:rsidR="00462291" w:rsidRPr="00180C46" w:rsidRDefault="00462291" w:rsidP="008C7D18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(0,76; 1,04)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EA80" w14:textId="77777777" w:rsidR="00462291" w:rsidRPr="00180C46" w:rsidRDefault="00462291" w:rsidP="008C7D1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326 (4,6 %)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2F5B" w14:textId="77777777" w:rsidR="00462291" w:rsidRPr="00180C46" w:rsidRDefault="00462291" w:rsidP="008C7D18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5,2 %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7D78" w14:textId="77777777" w:rsidR="00462291" w:rsidRPr="00180C46" w:rsidRDefault="00462291" w:rsidP="008C7D1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val="sk-SK"/>
              </w:rPr>
            </w:pPr>
            <w:r w:rsidRPr="00180C46">
              <w:rPr>
                <w:rFonts w:ascii="Times New Roman" w:eastAsia="Times New Roman" w:hAnsi="Times New Roman" w:cs="Times New Roman"/>
                <w:color w:val="000000"/>
                <w:lang w:val="sk-SK"/>
              </w:rPr>
              <w:t>-</w:t>
            </w:r>
          </w:p>
        </w:tc>
      </w:tr>
    </w:tbl>
    <w:p w14:paraId="0B17955C" w14:textId="11960194" w:rsidR="00462291" w:rsidRPr="00773327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Pomer rizika (HR) a </w:t>
      </w:r>
      <w:r w:rsidRPr="00773327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k-SK" w:eastAsia="en-GB"/>
        </w:rPr>
        <w:t>p</w:t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-hodnota sú vypočítané osobitne pre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tikagrelor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oproti liečbe samotnou ASA na</w:t>
      </w:r>
      <w:r w:rsidR="00773327"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</w:t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základe 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Coxovho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modelu proporcionálneho rizika s liečebnou skupinou ako jedinou vysvetľujúcou premennou.</w:t>
      </w:r>
    </w:p>
    <w:p w14:paraId="22C9A937" w14:textId="1ED57500" w:rsidR="00462291" w:rsidRPr="00773327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Percentá KM vypočítané po 36</w:t>
      </w:r>
      <w:r w:rsidR="008C7D18"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</w:t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mesiacoch.</w:t>
      </w:r>
    </w:p>
    <w:p w14:paraId="2D6D5EB3" w14:textId="77777777" w:rsidR="00462291" w:rsidRPr="00773327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Poznámka: počty prvých udalostí pre zložky KV smrť, IM a cievna mozgová príhoda sú skutočné počty prvých udalostí pre každú zo zložiek a nesčítavajú sa do počtu udalostí v združenom koncovom ukazovateli.</w:t>
      </w:r>
    </w:p>
    <w:p w14:paraId="57D6C9F3" w14:textId="77777777" w:rsidR="00462291" w:rsidRPr="00773327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(s) Predstavuje štatistickú významnosť (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significance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).</w:t>
      </w:r>
    </w:p>
    <w:p w14:paraId="4E14CA30" w14:textId="746E96DE" w:rsidR="00462291" w:rsidRPr="00773327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</w:pP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IS</w:t>
      </w:r>
      <w:r w:rsidR="00C02F98"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= </w:t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interval spoľahlivosti; KV</w:t>
      </w:r>
      <w:r w:rsidR="00C02F98"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= </w:t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kardiovaskulárna; HR</w:t>
      </w:r>
      <w:r w:rsidR="00C02F98"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= </w:t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pomer rizika; KM</w:t>
      </w:r>
      <w:r w:rsidR="00C02F98"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= </w:t>
      </w:r>
      <w:proofErr w:type="spellStart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Kaplanov-Meierov</w:t>
      </w:r>
      <w:proofErr w:type="spellEnd"/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 xml:space="preserve"> odhad; IM</w:t>
      </w:r>
      <w:r w:rsidR="00C02F98"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= </w:t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infarkt myokardu; N</w:t>
      </w:r>
      <w:r w:rsidR="00C02F98"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 = </w:t>
      </w:r>
      <w:r w:rsidRPr="00773327"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en-GB"/>
        </w:rPr>
        <w:t>počet pacientov.</w:t>
      </w:r>
    </w:p>
    <w:p w14:paraId="519EC2ED" w14:textId="77777777" w:rsidR="00773327" w:rsidRPr="00180C46" w:rsidRDefault="00773327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E9D81CF" w14:textId="2C271C37" w:rsidR="00462291" w:rsidRDefault="00462291" w:rsidP="00462291">
      <w:pPr>
        <w:spacing w:after="0" w:line="240" w:lineRule="auto"/>
        <w:ind w:right="238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lastRenderedPageBreak/>
        <w:t>Oba režimy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60 mg dvakrát denne a 90 mg dvakrát denne, v kombinácii s ASA preukázali lepší účinok v prevencii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aterotrombotických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príhod v porovnaní so samotnou ASA (združený koncový ukazovateľ: KV smrť, IM a cievna mozgová príhoda), s konzistentným účinkom liečby počas celého obdobia štúdie a dosiahnutím RRR 16 % a ARR 1,27 % pre 60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RRR 15 % a ARR 1,19 % pre 90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73722552" w14:textId="77777777" w:rsidR="000010FB" w:rsidRPr="00180C46" w:rsidRDefault="000010FB" w:rsidP="00462291">
      <w:pPr>
        <w:spacing w:after="0" w:line="240" w:lineRule="auto"/>
        <w:ind w:right="238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B89AB07" w14:textId="0A8C77BB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Hoci bol profil účinnosti 90 mg a 60 mg dávky podobný, bolo dokázané, že nižšia dávka je lepšie znášaná a má lepší bezpečnostný profil v súvislosti s rizikom krvácania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dyspnoe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Preto sa na prevenciu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aterotrombotických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príhod (KV smrť, IM a cievna mozgová príhoda) u pacientov s IM v anamnéze a vysokým rizikom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aterotrombotickej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príhody odporúča iba </w:t>
      </w:r>
      <w:proofErr w:type="spellStart"/>
      <w:r w:rsidR="00C951FB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60 mg dvakrát denne podávaný súbežne s ASA.</w:t>
      </w:r>
    </w:p>
    <w:p w14:paraId="38597D55" w14:textId="77777777" w:rsidR="000010FB" w:rsidRDefault="000010FB" w:rsidP="00462291">
      <w:pPr>
        <w:spacing w:after="0" w:line="240" w:lineRule="auto"/>
        <w:ind w:right="277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B731AA9" w14:textId="71C7A0B7" w:rsidR="00462291" w:rsidRPr="00180C46" w:rsidRDefault="00462291" w:rsidP="00462291">
      <w:pPr>
        <w:spacing w:after="0" w:line="240" w:lineRule="auto"/>
        <w:ind w:right="27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0010FB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porovnaní so samotnou ASA,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dávke 60 mg dvakrát denne významne znížil primárny združený koncový ukazovateľ KV smrti, IM a cievnej mozgovej príhody. Každá zo zložiek prispela k zníženiu primárneho združeného koncového ukazovateľa (RRR KV smrti 17 %, RRR IM 16 % a RRR cievnej mozgovej príhody 25 %).</w:t>
      </w:r>
    </w:p>
    <w:p w14:paraId="51BA0DB9" w14:textId="77777777" w:rsidR="000010FB" w:rsidRDefault="000010FB" w:rsidP="00462291">
      <w:pPr>
        <w:spacing w:after="0" w:line="240" w:lineRule="auto"/>
        <w:ind w:right="99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9D2AD8C" w14:textId="7A8B4702" w:rsidR="00462291" w:rsidRPr="00180C46" w:rsidRDefault="00462291" w:rsidP="00462291">
      <w:pPr>
        <w:spacing w:after="0" w:line="240" w:lineRule="auto"/>
        <w:ind w:right="99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RRR pre združený koncový ukazovateľ od 1. do 360.</w:t>
      </w:r>
      <w:r w:rsidR="000010FB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dňa (RRR 17 %) a od 361. dňa ďalej (RRR 16 %) bolo podobné. K dispozícii sú obmedzené údaje o účinnosti a bezpečnosti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za</w:t>
      </w:r>
      <w:r w:rsidR="000010FB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3 roky predĺženej liečby.</w:t>
      </w:r>
    </w:p>
    <w:p w14:paraId="391FF076" w14:textId="77777777" w:rsidR="000010FB" w:rsidRDefault="000010FB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25899EA" w14:textId="6986547D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Nebol nájdený žiadny dôkaz o prínose (neprišlo k zníženiu primárneho koncového ukazovateľa zloženého z KV úmrtia, infarktu myokardu a cievnej mozgovej príhody, ale zvýšeniu závažného krvácania), pri užívaní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60 mg dvakrát denne u klinicky stabilných pacientov &gt; 2 roky od</w:t>
      </w:r>
      <w:r w:rsidR="000010FB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infarktu myokardu alebo viac ako jeden rok po ukončení predchádzajúcej liečby inhibítorom receptora ADP (pozri tiež časť 4.2).</w:t>
      </w:r>
    </w:p>
    <w:p w14:paraId="4C159FD7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4A1E26E" w14:textId="77777777" w:rsidR="00462291" w:rsidRPr="00180C46" w:rsidRDefault="00462291" w:rsidP="00462291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>Klinická bezpečnosť</w:t>
      </w:r>
    </w:p>
    <w:p w14:paraId="01788250" w14:textId="77777777" w:rsidR="00462291" w:rsidRPr="00180C46" w:rsidRDefault="00462291" w:rsidP="00462291">
      <w:pPr>
        <w:spacing w:after="0" w:line="240" w:lineRule="auto"/>
        <w:ind w:right="204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Počet prerušení liečby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60 mg kvôli krvácaniu a dýchavičnosti bola vyššia u pacientov &gt; 75 rokov (42 %) ako u mladších pacientov (rozmedzie: 23 – 31 %), s rozdielom v porovnaní s placebom vyšším ako 10 % (42 %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vs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 29 %), u pacientov &gt; 75 rokov.</w:t>
      </w:r>
    </w:p>
    <w:p w14:paraId="072BDD5B" w14:textId="77777777" w:rsidR="00462291" w:rsidRPr="00180C46" w:rsidRDefault="00462291" w:rsidP="00462291">
      <w:pPr>
        <w:spacing w:after="0" w:line="240" w:lineRule="auto"/>
        <w:ind w:right="204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8D79891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Pediatrická populácia</w:t>
      </w:r>
    </w:p>
    <w:p w14:paraId="4204D3F8" w14:textId="368B9094" w:rsidR="00462291" w:rsidRPr="00180C46" w:rsidRDefault="00462291" w:rsidP="00462291">
      <w:pPr>
        <w:spacing w:after="0" w:line="240" w:lineRule="auto"/>
        <w:ind w:right="138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randomizovanej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, dvojito zaslepenej štúdii fázy III s paralelnými skupinami (HESTIA</w:t>
      </w:r>
      <w:r w:rsidR="000010FB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3) bolo 193</w:t>
      </w:r>
      <w:r w:rsidR="000010FB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pediatrických pacientov (vo veku 2 rokov do menej ako 18 rokov)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kosáčikovitou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anémiou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randomizovaných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na užívanie placeba 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dávkach od 15 mg do 45 mg dvakrát denne v závislosti od telesnej hmotnosti.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viedol k strednej inhibícii krvných doštičiek 35 % pred podaním dávky a 56 % inhibícii krvných doštičiek 2 hodiny po podaní dávky v rovnovážnom stave.</w:t>
      </w:r>
    </w:p>
    <w:p w14:paraId="4E44B8CB" w14:textId="77777777" w:rsidR="00462291" w:rsidRPr="00180C46" w:rsidRDefault="00462291" w:rsidP="00462291">
      <w:pPr>
        <w:spacing w:after="0" w:line="240" w:lineRule="auto"/>
        <w:ind w:right="138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D722C92" w14:textId="57DC1922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</w:t>
      </w:r>
      <w:r w:rsidR="000010FB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porovnaní s placebom sa nezaznamenal žiadny klinický prínos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miere výskytu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vazookluzívnych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kríz.</w:t>
      </w:r>
    </w:p>
    <w:p w14:paraId="6024BB4C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C323FC7" w14:textId="19090B5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Európska agentúra pre lieky udelila výnimku z povinnosti predložiť výsledky štúdií s </w:t>
      </w:r>
      <w:r w:rsidR="00590828" w:rsidRPr="00590828">
        <w:rPr>
          <w:rFonts w:ascii="Times New Roman" w:eastAsia="Times New Roman" w:hAnsi="Times New Roman" w:cs="Times New Roman"/>
          <w:color w:val="000000"/>
          <w:lang w:val="sk-SK" w:eastAsia="en-GB"/>
        </w:rPr>
        <w:t>referenčný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m</w:t>
      </w:r>
      <w:r w:rsidR="00590828" w:rsidRPr="00590828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liek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om</w:t>
      </w:r>
      <w:r w:rsidR="00590828" w:rsidRPr="00590828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obsahujúci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m </w:t>
      </w:r>
      <w:proofErr w:type="spellStart"/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="00590828" w:rsidRPr="00590828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vo všetkých podskupinách pediatrickej populácie s akútnym koronárnym syndrómom (AKS) a infarktom myokardu (IM) v anamnéze (informácie o použití v pediatrickej populácii, pozri časť 4.2).</w:t>
      </w:r>
    </w:p>
    <w:p w14:paraId="2EC5A816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FCE11F5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5.2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</w:r>
      <w:proofErr w:type="spellStart"/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Farmakokinetické</w:t>
      </w:r>
      <w:proofErr w:type="spellEnd"/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 xml:space="preserve"> vlastnosti</w:t>
      </w:r>
    </w:p>
    <w:p w14:paraId="4F93C629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325EAEF" w14:textId="697E9B88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Farmakokinetika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je lineárna a expozícia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aktívnemu metabolitu (AR-C124910XX) je približne úmerná dávke až po dávku 1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260 mg.</w:t>
      </w:r>
    </w:p>
    <w:p w14:paraId="10B2BD13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40C4B42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Absorpcia</w:t>
      </w:r>
    </w:p>
    <w:p w14:paraId="56AFF625" w14:textId="57D21E62" w:rsidR="00462291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absorpcii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dochádza rýchlo, s mediánom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približne 1,5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hodiny. Tvorba hlavného cirkulujúceho metabolitu AR-C124910XX (tiež aktívneho) z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je rýchla s mediánom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približne 2,5 hodín. Po perorálnom podaní jednorazovej dávky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90 mg nalačno zdravým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lastRenderedPageBreak/>
        <w:t xml:space="preserve">dobrovoľníkom je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529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ng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/ml a AUC 3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451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ng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*h/ml. Pomer metabolit/pôvodné liečivo pre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je 0,28 a pre AUC 0,42.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Farmakokinetika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AR-C124910XX u pacientov s IM v anamnéze bola vo všeobecnosti podobná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farmakokinetike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populácii s AKS. Na základe populačnej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farmakokinetickej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analýzy štúdie PEGASUS bol medián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rovnovážnom stave 391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ng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/ml a AUC 3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801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ng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*h/ml pre dávku 60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Pre dávku 90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bola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590828">
        <w:rPr>
          <w:rFonts w:ascii="Times New Roman" w:eastAsia="Times New Roman" w:hAnsi="Times New Roman" w:cs="Times New Roman"/>
          <w:color w:val="000000"/>
          <w:lang w:val="sk-SK" w:eastAsia="en-GB"/>
        </w:rPr>
        <w:t>v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rovnovážnom stave 627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ng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/ml a AUC 6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255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ng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*h/ml.</w:t>
      </w:r>
    </w:p>
    <w:p w14:paraId="32E48AA4" w14:textId="77777777" w:rsidR="00590828" w:rsidRPr="00180C46" w:rsidRDefault="00590828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782DB1C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Priemerná absolútna biologická dostupnosť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odhadla na 36 %. Príjem potravy s vysokým obsahom tukov mal za následok zvýšenie AUC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 21 % a zníženie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aktívneho metabolitu o 22 %, na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na AUC aktívneho metabolitu však nemal žiadny vplyv. Tieto malé zmeny sa považujú za klinicky minimálne významné, preto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môže užívať s jedlom alebo bez jedla.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ako aj jeho aktívny metabolit sú substrátmi P-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gp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299D9FE9" w14:textId="77777777" w:rsidR="00590828" w:rsidRDefault="00590828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21C89B4" w14:textId="26BF0B1B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vo forme rozdrvených tabliet zmiešaných s vodou, podávaný perorálne alebo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nazogastrickou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sondou do žalúdka má porovnateľnú biologickú dostupnosť s celými tabletami s ohľadom na AUC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aktívneho metabolitu. Úvodná expozícia (0,5 a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hodinu po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podaní dávky) po podaní rozdrvených tabliet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zmiešaných s vodou bola vyššia v porovnaní s celými tabletami, pričom neskôr (o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2 až 48 hodín) bol koncentračný profil vo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všeobecnosti identický.</w:t>
      </w:r>
    </w:p>
    <w:p w14:paraId="0BDB91A4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16EEC7E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Distribúcia</w:t>
      </w:r>
    </w:p>
    <w:p w14:paraId="17733BD3" w14:textId="292EAA51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Distribučný objem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rovnovážnom stave je 87,5 l</w:t>
      </w:r>
      <w:r w:rsidR="00590828">
        <w:rPr>
          <w:rFonts w:ascii="Times New Roman" w:eastAsia="Times New Roman" w:hAnsi="Times New Roman" w:cs="Times New Roman"/>
          <w:color w:val="000000"/>
          <w:lang w:val="sk-SK" w:eastAsia="en-GB"/>
        </w:rPr>
        <w:t>itrov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aktívny metabolit sa vo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veľkej miere viaže na bielkoviny ľudskej plazmy (&gt; 99,0 %).</w:t>
      </w:r>
    </w:p>
    <w:p w14:paraId="3ACABAE9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E7156E6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Biotransformácia</w:t>
      </w:r>
      <w:proofErr w:type="spellEnd"/>
    </w:p>
    <w:p w14:paraId="2D1F740C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CYP3A4 je hlavným enzýmom zodpovedným za metabolizmus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tvorbu aktívneho metabolitu a ich interakcie s inými substrátmi CYP3A sú v rozmedzí od aktivácie po inhibíciu.</w:t>
      </w:r>
    </w:p>
    <w:p w14:paraId="11212EE6" w14:textId="77777777" w:rsidR="00EE1208" w:rsidRDefault="00EE1208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AB3B692" w14:textId="63DC2FC3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Hlavným metabolitom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je AR-C124910XX, ktorý je na základe dôkazu jeho väzby na doštičkový receptor P2Y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12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pre ADP v podmienkach </w:t>
      </w:r>
      <w:r w:rsidRPr="00180C46">
        <w:rPr>
          <w:rFonts w:ascii="Times New Roman" w:eastAsia="Times New Roman" w:hAnsi="Times New Roman" w:cs="Times New Roman"/>
          <w:i/>
          <w:color w:val="000000"/>
          <w:lang w:val="sk-SK" w:eastAsia="en-GB"/>
        </w:rPr>
        <w:t xml:space="preserve">in vitro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tiež aktívny. Systémová expozícia aktívnemu metabolitu predstavuje približne 30 – 40 % systémovej expozície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4B6FBA15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8429691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Eliminácia</w:t>
      </w:r>
    </w:p>
    <w:p w14:paraId="4D96F179" w14:textId="77777777" w:rsidR="00462291" w:rsidRPr="00180C46" w:rsidRDefault="00462291" w:rsidP="00462291">
      <w:pPr>
        <w:spacing w:after="0" w:line="240" w:lineRule="auto"/>
        <w:ind w:right="181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Primárnou cestou eliminácie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je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metabolizácia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pečeni. V prípade podávania rádioizotopom značeného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zachytí v priemere približne 84 % rádioizotopom značenej dávky (57,8 % v stolici, 26,5 % v moči). Detegované množstvá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aktívneho metabolitu v moči v obidvoch prípadoch predstavovali menej ako 1 % dávky. Primárnou cestou eliminácie aktívneho metabolitu je s najväčšou pravdepodobnosťou biliárna sekrécia. Priemerná hodnota t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1/2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bola približne 7 hodín a pre aktívny metabolit 8,5 hodín.</w:t>
      </w:r>
    </w:p>
    <w:p w14:paraId="32BA7CA9" w14:textId="77777777" w:rsidR="00462291" w:rsidRPr="00180C46" w:rsidRDefault="00462291" w:rsidP="00462291">
      <w:pPr>
        <w:spacing w:after="0" w:line="240" w:lineRule="auto"/>
        <w:ind w:right="181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74D20BC" w14:textId="77777777" w:rsidR="00462291" w:rsidRPr="00180C46" w:rsidRDefault="00462291" w:rsidP="004622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Osobitné skupiny pacientov</w:t>
      </w:r>
    </w:p>
    <w:p w14:paraId="24ED8EC3" w14:textId="49DA0199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Starš</w:t>
      </w:r>
      <w:r w:rsidR="003A744C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ie osoby</w:t>
      </w:r>
    </w:p>
    <w:p w14:paraId="488A86BC" w14:textId="4942BF0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U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starších osôb (≥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75 rokov) s AKS v porovnaní s mladšími pacientmi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farmakokinetickou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analýzou populácie zistilo zvýšenie expozície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(približne 25 % pre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aj AUC) a aktívnemu metabolitu. Tieto rozdiely sa nepovažujú za klinicky významné (pozri časť 4.2).</w:t>
      </w:r>
    </w:p>
    <w:p w14:paraId="055FC779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6741305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Pediatrická populácia</w:t>
      </w:r>
    </w:p>
    <w:p w14:paraId="5D5770F0" w14:textId="77777777" w:rsidR="00EE1208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dispozícii je iba obmedzené množstvo údajov u detí s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kosáčikovitou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anémiou (pozri časti 4.2 a 5.1).</w:t>
      </w:r>
    </w:p>
    <w:p w14:paraId="241DC496" w14:textId="77777777" w:rsidR="00EE1208" w:rsidRDefault="00EE1208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E0A8B25" w14:textId="41D3EC18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 štúdii HESTIA</w:t>
      </w:r>
      <w:r w:rsidR="00EE1208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3 sa pacientom vo veku 2 rokov do menej ako 18 rokov s telesnou hmotnosťou ≥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12 až ≤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24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kg podával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vo forme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dispergovateľných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15 mg tabliet určených deťom v dávke 15 mg dvakrát denne, s telesnou hmotnosťou &gt; 24 až ≤ 48 kg v dávke 30 mg dvakrát denne a s telesnou hmotnosťou &gt; 48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kg v dávke 45 mg dvakrát denne. Na základe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farmakokinetickej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analýzy populácie bol medián AUC v rozmedzí od 1 095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ng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*h/ml do 1 458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ng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*h/ml a medián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 rozmedzí od 143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ng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/ml do 206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ng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/ml v rovnovážnom stave.</w:t>
      </w:r>
    </w:p>
    <w:p w14:paraId="2588EC99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0E981A0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Pohlavie</w:t>
      </w:r>
    </w:p>
    <w:p w14:paraId="691E9B02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lastRenderedPageBreak/>
        <w:t xml:space="preserve">U žien sa v porovnaní s mužmi zaznamenalo zvýšenie expozície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aktívnemu metabolitu. Tieto rozdiely sa nepovažujú za klinicky významné.</w:t>
      </w:r>
    </w:p>
    <w:p w14:paraId="562D8B4B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C45A7D8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Porucha funkcie obličiek</w:t>
      </w:r>
    </w:p>
    <w:p w14:paraId="0744DD05" w14:textId="4B7C1B0E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U pacientov s</w:t>
      </w:r>
      <w:r w:rsidR="003A744C">
        <w:rPr>
          <w:rFonts w:ascii="Times New Roman" w:eastAsia="Times New Roman" w:hAnsi="Times New Roman" w:cs="Times New Roman"/>
          <w:color w:val="000000"/>
          <w:lang w:val="sk-SK" w:eastAsia="en-GB"/>
        </w:rPr>
        <w:t>o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="003A744C">
        <w:rPr>
          <w:rFonts w:ascii="Times New Roman" w:eastAsia="Times New Roman" w:hAnsi="Times New Roman" w:cs="Times New Roman"/>
          <w:color w:val="000000"/>
          <w:lang w:val="sk-SK" w:eastAsia="en-GB"/>
        </w:rPr>
        <w:t>závažn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ou poruchou funkcie obličiek (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klírens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kreatinínu &lt; 30 ml/min) v porovnaní s osobami s normálnou funkciou obličiek bola expozícia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približne o 20 % nižšia a expozícia aktívnemu metabolitu približne o 17 % vyššia.</w:t>
      </w:r>
    </w:p>
    <w:p w14:paraId="168E9951" w14:textId="77777777" w:rsidR="00EE1208" w:rsidRDefault="00EE1208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7DFAA3B" w14:textId="29731C1A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U</w:t>
      </w:r>
      <w:r w:rsidR="00EE1208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pacientov v terminálnom štádiu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renálneho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ochorenia na hemodialýze bola hodnota AUC po podaní 90 mg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deň bez dialýzy o 38 % vyššia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EE1208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51 % vyššia v porovnaní s osobami s normálnou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renálnou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funkciou. Podobné zvýšenie expozície sa pozorovalo po podaní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bezprostredne pred dialýzou (49 % a 61 %, v uvedenom poradí), čo svedčí o tom, že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nie je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dialyzovateľný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. Expozícia aktívneho metabolitu sa zvýšila v menšej miere (AUC 13 – 14 %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17 – 36 %). Vplyv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na inhibíciu agregácie krvných doštičiek (IPA) nezávisel od dialýzy u pacientov v terminálnom štádiu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renálneho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ochorenia a bol podobný ako u pacientov s normálnou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renálnou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funkciou (pozri časť 4.2).</w:t>
      </w:r>
    </w:p>
    <w:p w14:paraId="5A929A16" w14:textId="77777777" w:rsidR="00462291" w:rsidRPr="00180C46" w:rsidRDefault="00462291" w:rsidP="00462291">
      <w:pPr>
        <w:spacing w:after="0" w:line="240" w:lineRule="auto"/>
        <w:ind w:right="148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52E1330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Porucha funkcie pečene</w:t>
      </w:r>
    </w:p>
    <w:p w14:paraId="13A2E012" w14:textId="31632D5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bol</w:t>
      </w:r>
      <w:r w:rsidR="00646449">
        <w:rPr>
          <w:rFonts w:ascii="Times New Roman" w:eastAsia="Times New Roman" w:hAnsi="Times New Roman" w:cs="Times New Roman"/>
          <w:color w:val="000000"/>
          <w:lang w:val="sk-SK" w:eastAsia="en-GB"/>
        </w:rPr>
        <w:t>a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 12 % a AUC o 23 % vyššia u pacientov s miernou poruchou funkcie pečene v porovnaní s kontrolnými zdravými osobami, účinok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na IPA bol však u oboch skupín podobný. U pacientov s miernou poruchou funkcie pečene nie je potrebná žiadna úprava dávky.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neskúmal u pacientov s</w:t>
      </w:r>
      <w:r w:rsidR="003A744C">
        <w:rPr>
          <w:rFonts w:ascii="Times New Roman" w:eastAsia="Times New Roman" w:hAnsi="Times New Roman" w:cs="Times New Roman"/>
          <w:color w:val="000000"/>
          <w:lang w:val="sk-SK" w:eastAsia="en-GB"/>
        </w:rPr>
        <w:t>o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="003A744C">
        <w:rPr>
          <w:rFonts w:ascii="Times New Roman" w:eastAsia="Times New Roman" w:hAnsi="Times New Roman" w:cs="Times New Roman"/>
          <w:color w:val="000000"/>
          <w:lang w:val="sk-SK" w:eastAsia="en-GB"/>
        </w:rPr>
        <w:t>závažn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ou poruchou funkcie pečene a nie sú k dispozícii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farmakokinetické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údaje u pacientov so stredne </w:t>
      </w:r>
      <w:r w:rsidR="003A744C">
        <w:rPr>
          <w:rFonts w:ascii="Times New Roman" w:eastAsia="Times New Roman" w:hAnsi="Times New Roman" w:cs="Times New Roman"/>
          <w:color w:val="000000"/>
          <w:lang w:val="sk-SK" w:eastAsia="en-GB"/>
        </w:rPr>
        <w:t>závažn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ou poruchou funkcie pečene. U pacientov, ktorí mali stredne závažné alebo závažné východiskové zvýšenie jedného alebo viacerých vyšetrení funkcie pečene, boli plazmatické koncentrácie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 priemere podobné alebo mierne vyššie v porovnaní s pacientmi bez východiskových zvýšení. U pacientov so stredne ťažkou poruchou funkcie pečene sa neodporúča žiadna úprava dávky (pozri časti 4.2 a 4.4).</w:t>
      </w:r>
    </w:p>
    <w:p w14:paraId="6A7ADEE4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6C5AE31" w14:textId="77777777" w:rsidR="00462291" w:rsidRPr="00180C46" w:rsidRDefault="00462291" w:rsidP="00462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i/>
          <w:color w:val="000000"/>
          <w:u w:val="single" w:color="000000"/>
          <w:lang w:val="sk-SK" w:eastAsia="en-GB"/>
        </w:rPr>
        <w:t>Etnická príslušnosť</w:t>
      </w:r>
    </w:p>
    <w:p w14:paraId="68B84DB6" w14:textId="54A02334" w:rsidR="00462291" w:rsidRPr="00180C46" w:rsidRDefault="00462291" w:rsidP="00462291">
      <w:pPr>
        <w:spacing w:after="0" w:line="240" w:lineRule="auto"/>
        <w:ind w:right="85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Priemerná biologická dostupnosť je u pacientov ázijského pôvodu o 39 % vyššia ako u belochov. Biologická dostupnosť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pacientov, ktorí sami uviedli černošský pôvod bola o 18 % nižšia ako u belochov, v klinických farmakologických štúdiách bola expozícia (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C</w:t>
      </w:r>
      <w:r w:rsidRPr="00180C46">
        <w:rPr>
          <w:rFonts w:ascii="Times New Roman" w:eastAsia="Times New Roman" w:hAnsi="Times New Roman" w:cs="Times New Roman"/>
          <w:color w:val="000000"/>
          <w:vertAlign w:val="subscript"/>
          <w:lang w:val="sk-SK" w:eastAsia="en-GB"/>
        </w:rPr>
        <w:t>max</w:t>
      </w:r>
      <w:proofErr w:type="spellEnd"/>
      <w:r w:rsidRPr="00EE1208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AUC)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u Japoncov približne o 40 % (o</w:t>
      </w:r>
      <w:r w:rsidR="00EE1208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20 % po úprave podľa telesnej hmotnosti) vyššia ako u belochov. Expozícia u pacientov, ktorí sami uviedli hispánsky alebo latinskoamerický pôvod bola podobná ako u belochov.</w:t>
      </w:r>
    </w:p>
    <w:p w14:paraId="018A3D00" w14:textId="77777777" w:rsidR="00462291" w:rsidRPr="00180C46" w:rsidRDefault="00462291" w:rsidP="00462291">
      <w:pPr>
        <w:spacing w:after="0" w:line="240" w:lineRule="auto"/>
        <w:ind w:right="85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F52E279" w14:textId="77777777" w:rsidR="00462291" w:rsidRPr="00180C46" w:rsidRDefault="00462291" w:rsidP="0046229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5.3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  <w:t>Predklinické údaje o bezpečnosti</w:t>
      </w:r>
    </w:p>
    <w:p w14:paraId="19C6FBA6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1B0DD6C" w14:textId="73CA138D" w:rsidR="00462291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Predklinické údaje týkajúce sa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a jeho hlavného metabolitu nepreukázali neprijateľné riziko nežiaducich účinkov u ľudí na základe obvyklých farmakologických štúdií bezpečnosti, toxicity po jednorazovom a opakovanom podávaní a 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genotoxického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potenciálu.</w:t>
      </w:r>
    </w:p>
    <w:p w14:paraId="2A5D10BE" w14:textId="77777777" w:rsidR="00510ECD" w:rsidRPr="00180C46" w:rsidRDefault="00510ECD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92B2659" w14:textId="77777777" w:rsidR="00462291" w:rsidRPr="00180C46" w:rsidRDefault="00462291" w:rsidP="00462291">
      <w:pPr>
        <w:spacing w:after="0" w:line="240" w:lineRule="auto"/>
        <w:ind w:right="85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Pri klinicky relevantných hladinách expozície sa pozorovalo gastrointestinálne podráždenie u niekoľkých druhov zvierat (pozri časť 4.8).</w:t>
      </w:r>
    </w:p>
    <w:p w14:paraId="076B300B" w14:textId="77777777" w:rsidR="00462291" w:rsidRPr="00180C46" w:rsidRDefault="00462291" w:rsidP="00462291">
      <w:pPr>
        <w:spacing w:after="0" w:line="240" w:lineRule="auto"/>
        <w:ind w:right="856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61EC0A2" w14:textId="02F94D11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Pri vysokých dávkach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 u samíc potkanov preukázal zvýšený výskyt nádorov maternice (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adenokarcinómov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) a zvýšený výskyt adenómov pečene. Pravdepodobným mechanizmom vzniku nádorov maternice je hormonálna nerovnováha, ktorá u potkanov môže viesť k vzniku nádorov. Pravdepodobným mechanizmom vzniku adenómov pečene je indukcia enzýmov v pečeni špecifických pre hlodavce. Relevantnosť týchto zistení týkajúcich sa karcinogenity sa preto považuje za</w:t>
      </w:r>
      <w:r w:rsidR="00510ECD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nepravdepodobnú pre ľudí.</w:t>
      </w:r>
    </w:p>
    <w:p w14:paraId="54D0C7E3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89142C7" w14:textId="2C33CE0E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U</w:t>
      </w:r>
      <w:r w:rsidR="008C7D18"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 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potkanov sa pozorovali menej významné vývinové anomálie pri dávkach toxických pre samicu (bezpečnostný pomer 5,1). U králikov sa pozorovalo mierne oneskorenie dozrievania pečene a vývoja skeletu plodu u samíc, ktorým boli podávané vysoké dávky, bez známok materskej toxicity (bezpečnostný pomer 4,5).</w:t>
      </w:r>
    </w:p>
    <w:p w14:paraId="27BBBB0A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80333F0" w14:textId="77777777" w:rsidR="00462291" w:rsidRPr="00180C46" w:rsidRDefault="00462291" w:rsidP="00462291">
      <w:p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lastRenderedPageBreak/>
        <w:t xml:space="preserve">Štúdie na potkanoch a králikoch sa preukázali reprodukčnú toxicitu s mierne zníženým nárastom telesnej hmotnosti brezivých samíc a so zníženou životaschopnosťou a zníženou pôrodnou hmotnosťou mláďat s oneskoreným rastom.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spôsoboval nepravidelné cykly (najmä predĺžené cykly) u samíc potkanov, nemal však vplyv na celkovú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fertilitu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samcov a samíc potkanov.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Farmakokinetické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štúdie s rádioizotopom značeným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tikagrelorom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preukázali, že pôvodné liečivo a jeho metabolity sa u potkanov vylučujú do materského mlieka (pozri časť 4.6).</w:t>
      </w:r>
    </w:p>
    <w:p w14:paraId="5DEC7F10" w14:textId="77777777" w:rsidR="00462291" w:rsidRPr="00180C46" w:rsidRDefault="00462291" w:rsidP="00462291">
      <w:p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4D372D6" w14:textId="77777777" w:rsidR="00462291" w:rsidRPr="00180C46" w:rsidRDefault="00462291" w:rsidP="00462291">
      <w:p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EE95668" w14:textId="77777777" w:rsidR="00462291" w:rsidRPr="00180C46" w:rsidRDefault="00462291" w:rsidP="008C7D18">
      <w:pPr>
        <w:numPr>
          <w:ilvl w:val="0"/>
          <w:numId w:val="9"/>
        </w:numPr>
        <w:spacing w:after="0" w:line="240" w:lineRule="auto"/>
        <w:ind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FARMACEUTICKÉ INFORMÁCIE</w:t>
      </w:r>
    </w:p>
    <w:p w14:paraId="68A4A560" w14:textId="77777777" w:rsidR="00462291" w:rsidRPr="00180C46" w:rsidRDefault="00462291" w:rsidP="00462291">
      <w:pPr>
        <w:tabs>
          <w:tab w:val="center" w:pos="178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sk-SK" w:eastAsia="en-GB"/>
        </w:rPr>
      </w:pPr>
    </w:p>
    <w:p w14:paraId="0F694CAA" w14:textId="77777777" w:rsidR="00462291" w:rsidRPr="00180C46" w:rsidRDefault="00462291" w:rsidP="0046229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6.1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  <w:t>Zoznam pomocných látok</w:t>
      </w:r>
    </w:p>
    <w:p w14:paraId="55AEC1BD" w14:textId="77777777" w:rsidR="00462291" w:rsidRPr="00180C46" w:rsidRDefault="00462291" w:rsidP="00462291">
      <w:pPr>
        <w:spacing w:after="0" w:line="240" w:lineRule="auto"/>
        <w:ind w:right="5241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C4B6167" w14:textId="77777777" w:rsidR="00462291" w:rsidRPr="00180C46" w:rsidRDefault="00462291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Jadro tablety</w:t>
      </w:r>
    </w:p>
    <w:p w14:paraId="405B9645" w14:textId="77777777" w:rsidR="00510ECD" w:rsidRDefault="00462291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manitol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(E421)</w:t>
      </w:r>
    </w:p>
    <w:p w14:paraId="4D7934A1" w14:textId="079F4CBD" w:rsidR="00510ECD" w:rsidRDefault="00462291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dihydrát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hydrogenfosforečnanu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vápenatého</w:t>
      </w:r>
      <w:r w:rsidR="00510ECD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(E341)</w:t>
      </w:r>
    </w:p>
    <w:p w14:paraId="7DE253E6" w14:textId="00AC5B6C" w:rsidR="00510ECD" w:rsidRDefault="00462291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sodná soľ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karboxymetylškrobu</w:t>
      </w:r>
      <w:proofErr w:type="spellEnd"/>
    </w:p>
    <w:p w14:paraId="62E47BEA" w14:textId="048F1EAA" w:rsidR="00462291" w:rsidRPr="00180C46" w:rsidRDefault="00462291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hypro</w:t>
      </w:r>
      <w:r w:rsidR="000B4FFB">
        <w:rPr>
          <w:rFonts w:ascii="Times New Roman" w:eastAsia="Times New Roman" w:hAnsi="Times New Roman" w:cs="Times New Roman"/>
          <w:color w:val="000000"/>
          <w:lang w:val="sk-SK" w:eastAsia="en-GB"/>
        </w:rPr>
        <w:t>me</w:t>
      </w:r>
      <w:r w:rsidR="004D0D63">
        <w:rPr>
          <w:rFonts w:ascii="Times New Roman" w:eastAsia="Times New Roman" w:hAnsi="Times New Roman" w:cs="Times New Roman"/>
          <w:color w:val="000000"/>
          <w:lang w:val="sk-SK" w:eastAsia="en-GB"/>
        </w:rPr>
        <w:t>l</w:t>
      </w: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óza</w:t>
      </w:r>
      <w:proofErr w:type="spellEnd"/>
    </w:p>
    <w:p w14:paraId="6FF24DC1" w14:textId="77777777" w:rsidR="000B4FFB" w:rsidRDefault="000B4FFB" w:rsidP="000B4FFB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stear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át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horečnatý</w:t>
      </w:r>
      <w:proofErr w:type="spellEnd"/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(E470b)</w:t>
      </w:r>
    </w:p>
    <w:p w14:paraId="7272B57E" w14:textId="77777777" w:rsidR="00462291" w:rsidRPr="00180C46" w:rsidRDefault="00462291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5A99BC9" w14:textId="77777777" w:rsidR="00462291" w:rsidRPr="00180C46" w:rsidRDefault="00462291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u w:val="single" w:color="000000"/>
          <w:lang w:val="sk-SK" w:eastAsia="en-GB"/>
        </w:rPr>
        <w:t>Obal tablety</w:t>
      </w:r>
    </w:p>
    <w:p w14:paraId="716B2AD3" w14:textId="2AFECF27" w:rsidR="000B4FFB" w:rsidRDefault="000B4FFB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sk-SK" w:eastAsia="en-GB"/>
        </w:rPr>
        <w:t>h</w:t>
      </w:r>
      <w:r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>ypromelóza</w:t>
      </w:r>
      <w:proofErr w:type="spellEnd"/>
    </w:p>
    <w:p w14:paraId="09138974" w14:textId="77777777" w:rsidR="000B4FFB" w:rsidRDefault="000B4FFB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oxid </w:t>
      </w:r>
      <w:proofErr w:type="spellStart"/>
      <w:r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>titaničitý</w:t>
      </w:r>
      <w:proofErr w:type="spellEnd"/>
      <w:r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(E171)</w:t>
      </w:r>
    </w:p>
    <w:p w14:paraId="3644B3F3" w14:textId="77777777" w:rsidR="000B4FFB" w:rsidRDefault="000B4FFB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>makrogol</w:t>
      </w:r>
      <w:proofErr w:type="spellEnd"/>
    </w:p>
    <w:p w14:paraId="25C60A10" w14:textId="470C56AE" w:rsidR="000B4FFB" w:rsidRDefault="004D0D63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lang w:val="sk-SK" w:eastAsia="en-GB"/>
        </w:rPr>
      </w:pPr>
      <w:r>
        <w:rPr>
          <w:rFonts w:ascii="Times New Roman" w:eastAsia="Times New Roman" w:hAnsi="Times New Roman" w:cs="Times New Roman"/>
          <w:color w:val="000000"/>
          <w:lang w:val="sk-SK" w:eastAsia="en-GB"/>
        </w:rPr>
        <w:t>žltý</w:t>
      </w:r>
      <w:r w:rsidR="000B4FFB"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oxid železitý (E172)</w:t>
      </w:r>
    </w:p>
    <w:p w14:paraId="278710E9" w14:textId="02BC1570" w:rsidR="00462291" w:rsidRDefault="004D0D63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lang w:val="sk-SK" w:eastAsia="en-GB"/>
        </w:rPr>
      </w:pPr>
      <w:r>
        <w:rPr>
          <w:rFonts w:ascii="Times New Roman" w:eastAsia="Times New Roman" w:hAnsi="Times New Roman" w:cs="Times New Roman"/>
          <w:color w:val="000000"/>
          <w:lang w:val="sk-SK" w:eastAsia="en-GB"/>
        </w:rPr>
        <w:t>mastenec</w:t>
      </w:r>
      <w:r w:rsidR="000B4FFB"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(E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553b</w:t>
      </w:r>
      <w:r w:rsidR="000B4FFB"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>)</w:t>
      </w:r>
    </w:p>
    <w:p w14:paraId="5868B39E" w14:textId="77777777" w:rsidR="000B4FFB" w:rsidRPr="00180C46" w:rsidRDefault="000B4FFB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bCs/>
          <w:color w:val="000000"/>
          <w:lang w:val="sk-SK" w:eastAsia="en-GB"/>
        </w:rPr>
      </w:pPr>
    </w:p>
    <w:p w14:paraId="03A07F95" w14:textId="77777777" w:rsidR="00462291" w:rsidRPr="00180C46" w:rsidRDefault="00462291" w:rsidP="00462291">
      <w:pPr>
        <w:spacing w:after="0" w:line="240" w:lineRule="auto"/>
        <w:ind w:left="567" w:right="50" w:hanging="567"/>
        <w:rPr>
          <w:rFonts w:ascii="Times New Roman" w:eastAsia="Times New Roman" w:hAnsi="Times New Roman" w:cs="Times New Roman"/>
          <w:b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6.2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  <w:t>Inkompatibility</w:t>
      </w:r>
    </w:p>
    <w:p w14:paraId="3F4B2ECD" w14:textId="77777777" w:rsidR="00462291" w:rsidRPr="00180C46" w:rsidRDefault="00462291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bCs/>
          <w:color w:val="000000"/>
          <w:lang w:val="sk-SK" w:eastAsia="en-GB"/>
        </w:rPr>
      </w:pPr>
    </w:p>
    <w:p w14:paraId="424F46BD" w14:textId="77777777" w:rsidR="00462291" w:rsidRPr="00180C46" w:rsidRDefault="00462291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Neaplikovateľné.</w:t>
      </w:r>
    </w:p>
    <w:p w14:paraId="76599972" w14:textId="77777777" w:rsidR="00462291" w:rsidRPr="00180C46" w:rsidRDefault="00462291" w:rsidP="00462291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660B3FB" w14:textId="77777777" w:rsidR="00462291" w:rsidRPr="00180C46" w:rsidRDefault="00462291" w:rsidP="0046229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6.3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  <w:t>Čas použiteľnosti</w:t>
      </w:r>
    </w:p>
    <w:p w14:paraId="6A13488A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6E590E8" w14:textId="1C14EEA1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3 roky</w:t>
      </w:r>
    </w:p>
    <w:p w14:paraId="4FF4DD43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7FD92A07" w14:textId="77777777" w:rsidR="00462291" w:rsidRPr="00180C46" w:rsidRDefault="00462291" w:rsidP="0046229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6.4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  <w:t>Špeciálne upozornenia na uchovávanie</w:t>
      </w:r>
    </w:p>
    <w:p w14:paraId="492E54D0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1789C96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Tento liek nevyžaduje žiadne zvláštne podmienky na uchovávanie.</w:t>
      </w:r>
    </w:p>
    <w:p w14:paraId="5B1BE4FB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82C5DC1" w14:textId="77777777" w:rsidR="00462291" w:rsidRPr="00180C46" w:rsidRDefault="00462291" w:rsidP="0046229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6.5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  <w:t>Druh obalu a obsah balenia</w:t>
      </w:r>
    </w:p>
    <w:p w14:paraId="39159685" w14:textId="77777777" w:rsidR="00462291" w:rsidRPr="00180C46" w:rsidRDefault="00462291" w:rsidP="00462291">
      <w:pPr>
        <w:spacing w:after="0" w:line="240" w:lineRule="auto"/>
        <w:ind w:right="108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1C1FF8EB" w14:textId="68D9E981" w:rsidR="000B4FFB" w:rsidRPr="000B4FFB" w:rsidRDefault="000B4FFB" w:rsidP="000B4FFB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bookmarkStart w:id="1" w:name="_Hlk93065707"/>
      <w:r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>Škatuľka obsahujúca priehľadn</w:t>
      </w:r>
      <w:r w:rsidR="00E518F7">
        <w:rPr>
          <w:rFonts w:ascii="Times New Roman" w:eastAsia="Times New Roman" w:hAnsi="Times New Roman" w:cs="Times New Roman"/>
          <w:color w:val="000000"/>
          <w:lang w:val="sk-SK" w:eastAsia="en-GB"/>
        </w:rPr>
        <w:t>é</w:t>
      </w:r>
      <w:r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PVC-PVDC/Al </w:t>
      </w:r>
      <w:proofErr w:type="spellStart"/>
      <w:r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>blistr</w:t>
      </w:r>
      <w:r w:rsidR="00E518F7">
        <w:rPr>
          <w:rFonts w:ascii="Times New Roman" w:eastAsia="Times New Roman" w:hAnsi="Times New Roman" w:cs="Times New Roman"/>
          <w:color w:val="000000"/>
          <w:lang w:val="sk-SK" w:eastAsia="en-GB"/>
        </w:rPr>
        <w:t>e</w:t>
      </w:r>
      <w:proofErr w:type="spellEnd"/>
      <w:r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="00E518F7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po </w:t>
      </w:r>
      <w:r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>14 filmom obalený</w:t>
      </w:r>
      <w:r w:rsidR="00E518F7">
        <w:rPr>
          <w:rFonts w:ascii="Times New Roman" w:eastAsia="Times New Roman" w:hAnsi="Times New Roman" w:cs="Times New Roman"/>
          <w:color w:val="000000"/>
          <w:lang w:val="sk-SK" w:eastAsia="en-GB"/>
        </w:rPr>
        <w:t>ch</w:t>
      </w:r>
      <w:r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tabl</w:t>
      </w:r>
      <w:r w:rsidR="00E518F7">
        <w:rPr>
          <w:rFonts w:ascii="Times New Roman" w:eastAsia="Times New Roman" w:hAnsi="Times New Roman" w:cs="Times New Roman"/>
          <w:color w:val="000000"/>
          <w:lang w:val="sk-SK" w:eastAsia="en-GB"/>
        </w:rPr>
        <w:t>i</w:t>
      </w:r>
      <w:r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>et.</w:t>
      </w:r>
    </w:p>
    <w:bookmarkEnd w:id="1"/>
    <w:p w14:paraId="119D05B3" w14:textId="77777777" w:rsidR="000B4FFB" w:rsidRPr="000B4FFB" w:rsidRDefault="000B4FFB" w:rsidP="000B4FFB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0B4FFB">
        <w:rPr>
          <w:rFonts w:ascii="Times New Roman" w:eastAsia="Times New Roman" w:hAnsi="Times New Roman" w:cs="Times New Roman"/>
          <w:color w:val="000000"/>
          <w:lang w:val="sk-SK" w:eastAsia="en-GB"/>
        </w:rPr>
        <w:t>Veľkosť balenia 56 filmom obalených tabliet.</w:t>
      </w:r>
    </w:p>
    <w:p w14:paraId="3D67282C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97CF0D5" w14:textId="77777777" w:rsidR="00462291" w:rsidRPr="00180C46" w:rsidRDefault="00462291" w:rsidP="0046229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6.6</w:t>
      </w: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ab/>
        <w:t>Špeciálne opatrenia na likvidáciu</w:t>
      </w:r>
    </w:p>
    <w:p w14:paraId="092FF4D9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FD0D7AA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>Všetok nepoužitý liek alebo odpad vzniknutý z lieku sa má zlikvidovať v súlade s národnými požiadavkami.</w:t>
      </w:r>
    </w:p>
    <w:p w14:paraId="59EE5C63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285B34AF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E00D492" w14:textId="77777777" w:rsidR="00462291" w:rsidRPr="00180C46" w:rsidRDefault="00462291" w:rsidP="00C11800">
      <w:pPr>
        <w:numPr>
          <w:ilvl w:val="0"/>
          <w:numId w:val="11"/>
        </w:numPr>
        <w:spacing w:after="0" w:line="240" w:lineRule="auto"/>
        <w:ind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DRŽITEĽ ROZHODNUTIA O REGISTRÁCII</w:t>
      </w:r>
    </w:p>
    <w:p w14:paraId="10E7CB52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52233AD" w14:textId="77777777" w:rsidR="00F22142" w:rsidRPr="00180C46" w:rsidRDefault="00F22142" w:rsidP="00F2214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80C46">
        <w:rPr>
          <w:rFonts w:ascii="Times New Roman" w:eastAsia="Times New Roman" w:hAnsi="Times New Roman" w:cs="Times New Roman"/>
          <w:lang w:val="sk-SK"/>
        </w:rPr>
        <w:t>Egis</w:t>
      </w:r>
      <w:proofErr w:type="spellEnd"/>
      <w:r w:rsidRPr="00180C46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lang w:val="sk-SK"/>
        </w:rPr>
        <w:t>Pharmaceuticals</w:t>
      </w:r>
      <w:proofErr w:type="spellEnd"/>
      <w:r w:rsidRPr="00180C46">
        <w:rPr>
          <w:rFonts w:ascii="Times New Roman" w:eastAsia="Times New Roman" w:hAnsi="Times New Roman" w:cs="Times New Roman"/>
          <w:lang w:val="sk-SK"/>
        </w:rPr>
        <w:t xml:space="preserve"> PLC</w:t>
      </w:r>
    </w:p>
    <w:p w14:paraId="0C252514" w14:textId="77777777" w:rsidR="00F22142" w:rsidRPr="00180C46" w:rsidRDefault="00F22142" w:rsidP="00F2214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80C46">
        <w:rPr>
          <w:rFonts w:ascii="Times New Roman" w:eastAsia="Times New Roman" w:hAnsi="Times New Roman" w:cs="Times New Roman"/>
          <w:lang w:val="sk-SK"/>
        </w:rPr>
        <w:t xml:space="preserve">1106 Budapešť, </w:t>
      </w:r>
      <w:proofErr w:type="spellStart"/>
      <w:r w:rsidRPr="00180C46">
        <w:rPr>
          <w:rFonts w:ascii="Times New Roman" w:eastAsia="Times New Roman" w:hAnsi="Times New Roman" w:cs="Times New Roman"/>
          <w:lang w:val="sk-SK"/>
        </w:rPr>
        <w:t>Keresztúri</w:t>
      </w:r>
      <w:proofErr w:type="spellEnd"/>
      <w:r w:rsidRPr="00180C46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80C46">
        <w:rPr>
          <w:rFonts w:ascii="Times New Roman" w:eastAsia="Times New Roman" w:hAnsi="Times New Roman" w:cs="Times New Roman"/>
          <w:lang w:val="sk-SK"/>
        </w:rPr>
        <w:t>út</w:t>
      </w:r>
      <w:proofErr w:type="spellEnd"/>
      <w:r w:rsidRPr="00180C46">
        <w:rPr>
          <w:rFonts w:ascii="Times New Roman" w:eastAsia="Times New Roman" w:hAnsi="Times New Roman" w:cs="Times New Roman"/>
          <w:lang w:val="sk-SK"/>
        </w:rPr>
        <w:t xml:space="preserve"> 30-38.</w:t>
      </w:r>
    </w:p>
    <w:p w14:paraId="276FB9F2" w14:textId="12829165" w:rsidR="00462291" w:rsidRPr="00180C46" w:rsidRDefault="00F22142" w:rsidP="00F221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lang w:val="sk-SK"/>
        </w:rPr>
        <w:t>Maďarsko</w:t>
      </w:r>
    </w:p>
    <w:p w14:paraId="043D3263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3AC2BFA8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C3F52A4" w14:textId="77777777" w:rsidR="00462291" w:rsidRPr="00180C46" w:rsidRDefault="00462291" w:rsidP="00077C3F">
      <w:pPr>
        <w:keepNext/>
        <w:numPr>
          <w:ilvl w:val="0"/>
          <w:numId w:val="11"/>
        </w:numPr>
        <w:spacing w:after="0" w:line="240" w:lineRule="auto"/>
        <w:ind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lastRenderedPageBreak/>
        <w:t>REGISTRAČNÉ ČÍSLO (ČÍSLA)</w:t>
      </w:r>
    </w:p>
    <w:p w14:paraId="045249C7" w14:textId="77777777" w:rsidR="00462291" w:rsidRPr="00180C46" w:rsidRDefault="00462291" w:rsidP="00077C3F">
      <w:pPr>
        <w:keepNext/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3E515DB" w14:textId="27E35E1E" w:rsidR="00462291" w:rsidRDefault="00C27E05" w:rsidP="00077C3F">
      <w:pPr>
        <w:keepNext/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C27E05">
        <w:rPr>
          <w:rFonts w:ascii="Times New Roman" w:eastAsia="Times New Roman" w:hAnsi="Times New Roman" w:cs="Times New Roman"/>
          <w:color w:val="000000"/>
          <w:lang w:val="sk-SK" w:eastAsia="en-GB"/>
        </w:rPr>
        <w:t>16/010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5</w:t>
      </w:r>
      <w:r w:rsidRPr="00C27E05">
        <w:rPr>
          <w:rFonts w:ascii="Times New Roman" w:eastAsia="Times New Roman" w:hAnsi="Times New Roman" w:cs="Times New Roman"/>
          <w:color w:val="000000"/>
          <w:lang w:val="sk-SK" w:eastAsia="en-GB"/>
        </w:rPr>
        <w:t>/22-S</w:t>
      </w:r>
    </w:p>
    <w:p w14:paraId="04D6F28D" w14:textId="77777777" w:rsidR="00C27E05" w:rsidRPr="00180C46" w:rsidRDefault="00C27E05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66846619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004DAA5F" w14:textId="77777777" w:rsidR="00462291" w:rsidRPr="00180C46" w:rsidRDefault="00462291" w:rsidP="00C11800">
      <w:pPr>
        <w:numPr>
          <w:ilvl w:val="0"/>
          <w:numId w:val="11"/>
        </w:numPr>
        <w:spacing w:after="0" w:line="240" w:lineRule="auto"/>
        <w:ind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DÁTUM PRVEJ REGISTRÁCIE/PREDĹŽENIA REGISTRÁCIE</w:t>
      </w:r>
    </w:p>
    <w:p w14:paraId="3E8DB775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5DC3DF24" w14:textId="762C9740" w:rsidR="00462291" w:rsidRPr="0030366A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Dátum prvej registrácie: </w:t>
      </w:r>
      <w:bookmarkStart w:id="2" w:name="_Hlk115432625"/>
      <w:r w:rsidR="00E53A11">
        <w:rPr>
          <w:rFonts w:ascii="Times New Roman" w:eastAsia="Times New Roman" w:hAnsi="Times New Roman" w:cs="Times New Roman"/>
          <w:color w:val="000000"/>
          <w:lang w:val="sk-SK" w:eastAsia="en-GB"/>
        </w:rPr>
        <w:t>14. mája 2022</w:t>
      </w:r>
      <w:bookmarkEnd w:id="2"/>
    </w:p>
    <w:p w14:paraId="3E5455EC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4712383" w14:textId="77777777" w:rsidR="00462291" w:rsidRPr="00180C46" w:rsidRDefault="00462291" w:rsidP="00462291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lang w:val="sk-SK" w:eastAsia="en-GB"/>
        </w:rPr>
      </w:pPr>
    </w:p>
    <w:p w14:paraId="436C3E31" w14:textId="77777777" w:rsidR="00462291" w:rsidRPr="00180C46" w:rsidRDefault="00462291" w:rsidP="00C11800">
      <w:pPr>
        <w:numPr>
          <w:ilvl w:val="0"/>
          <w:numId w:val="11"/>
        </w:numPr>
        <w:spacing w:after="0" w:line="240" w:lineRule="auto"/>
        <w:ind w:hanging="566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180C46">
        <w:rPr>
          <w:rFonts w:ascii="Times New Roman" w:eastAsia="Times New Roman" w:hAnsi="Times New Roman" w:cs="Times New Roman"/>
          <w:b/>
          <w:color w:val="000000"/>
          <w:lang w:val="sk-SK" w:eastAsia="en-GB"/>
        </w:rPr>
        <w:t>DÁTUM REVÍZIE TEXTU</w:t>
      </w:r>
    </w:p>
    <w:p w14:paraId="4A59E23C" w14:textId="77777777" w:rsidR="008849A2" w:rsidRDefault="008849A2" w:rsidP="00490C5D">
      <w:pPr>
        <w:spacing w:after="0"/>
        <w:rPr>
          <w:rFonts w:ascii="Times New Roman" w:hAnsi="Times New Roman" w:cs="Times New Roman"/>
        </w:rPr>
      </w:pPr>
    </w:p>
    <w:p w14:paraId="65A63485" w14:textId="165F36AC" w:rsidR="003A744C" w:rsidRPr="00180C46" w:rsidRDefault="00551C36" w:rsidP="004622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12/2024</w:t>
      </w:r>
    </w:p>
    <w:sectPr w:rsidR="003A744C" w:rsidRPr="00180C46" w:rsidSect="00462291">
      <w:headerReference w:type="default" r:id="rId11"/>
      <w:footerReference w:type="defaul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AE516" w14:textId="77777777" w:rsidR="00C951FB" w:rsidRDefault="00C951FB" w:rsidP="00462291">
      <w:pPr>
        <w:spacing w:after="0" w:line="240" w:lineRule="auto"/>
      </w:pPr>
      <w:r>
        <w:separator/>
      </w:r>
    </w:p>
  </w:endnote>
  <w:endnote w:type="continuationSeparator" w:id="0">
    <w:p w14:paraId="73D71143" w14:textId="77777777" w:rsidR="00C951FB" w:rsidRDefault="00C951FB" w:rsidP="0046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842827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37271" w14:textId="0B605713" w:rsidR="00C951FB" w:rsidRPr="00462291" w:rsidRDefault="00C951FB">
        <w:pPr>
          <w:pStyle w:val="Pta"/>
          <w:jc w:val="center"/>
          <w:rPr>
            <w:sz w:val="18"/>
            <w:szCs w:val="18"/>
          </w:rPr>
        </w:pPr>
        <w:r w:rsidRPr="00462291">
          <w:rPr>
            <w:sz w:val="18"/>
            <w:szCs w:val="18"/>
          </w:rPr>
          <w:fldChar w:fldCharType="begin"/>
        </w:r>
        <w:r w:rsidRPr="00462291">
          <w:rPr>
            <w:sz w:val="18"/>
            <w:szCs w:val="18"/>
          </w:rPr>
          <w:instrText xml:space="preserve"> PAGE   \* MERGEFORMAT </w:instrText>
        </w:r>
        <w:r w:rsidRPr="00462291">
          <w:rPr>
            <w:sz w:val="18"/>
            <w:szCs w:val="18"/>
          </w:rPr>
          <w:fldChar w:fldCharType="separate"/>
        </w:r>
        <w:r w:rsidR="00864665">
          <w:rPr>
            <w:noProof/>
            <w:sz w:val="18"/>
            <w:szCs w:val="18"/>
          </w:rPr>
          <w:t>23</w:t>
        </w:r>
        <w:r w:rsidRPr="00462291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99334" w14:textId="77777777" w:rsidR="00C951FB" w:rsidRDefault="00C951FB" w:rsidP="00462291">
      <w:pPr>
        <w:spacing w:after="0" w:line="240" w:lineRule="auto"/>
      </w:pPr>
      <w:r>
        <w:separator/>
      </w:r>
    </w:p>
  </w:footnote>
  <w:footnote w:type="continuationSeparator" w:id="0">
    <w:p w14:paraId="6FA1C880" w14:textId="77777777" w:rsidR="00C951FB" w:rsidRDefault="00C951FB" w:rsidP="0046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7718B" w14:textId="458B05F8" w:rsidR="00C951FB" w:rsidRPr="00FC2EDD" w:rsidRDefault="003A02F0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bookmarkStart w:id="3" w:name="_Hlk91165327"/>
    <w:bookmarkStart w:id="4" w:name="_Hlk91165328"/>
    <w:r w:rsidRPr="003A02F0">
      <w:rPr>
        <w:rFonts w:ascii="Times New Roman" w:hAnsi="Times New Roman" w:cs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 w:cs="Times New Roman"/>
        <w:sz w:val="18"/>
        <w:szCs w:val="18"/>
        <w:lang w:val="sk-SK"/>
      </w:rPr>
      <w:t>1</w:t>
    </w:r>
    <w:r w:rsidRPr="003A02F0">
      <w:rPr>
        <w:rFonts w:ascii="Times New Roman" w:hAnsi="Times New Roman" w:cs="Times New Roman"/>
        <w:sz w:val="18"/>
        <w:szCs w:val="18"/>
        <w:lang w:val="sk-SK"/>
      </w:rPr>
      <w:t xml:space="preserve"> k notifikácii o zmene, ev. č.: </w:t>
    </w:r>
    <w:r w:rsidR="00485174" w:rsidRPr="00485174">
      <w:rPr>
        <w:rFonts w:ascii="Times New Roman" w:hAnsi="Times New Roman" w:cs="Times New Roman"/>
        <w:sz w:val="18"/>
        <w:szCs w:val="18"/>
        <w:lang w:val="sk-SK"/>
      </w:rPr>
      <w:t>2024/04959-Z1B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348DE"/>
    <w:multiLevelType w:val="hybridMultilevel"/>
    <w:tmpl w:val="3F9257E4"/>
    <w:lvl w:ilvl="0" w:tplc="36C0D126">
      <w:start w:val="4"/>
      <w:numFmt w:val="lowerLetter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16203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F19236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0A6E58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71F899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939C2B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AB00BA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CA6065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09C2E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3BF4116"/>
    <w:multiLevelType w:val="hybridMultilevel"/>
    <w:tmpl w:val="7B5E2B9E"/>
    <w:lvl w:ilvl="0" w:tplc="A7ECB29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C8F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00C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C69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1E07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C60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7E8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A66D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070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A955EA"/>
    <w:multiLevelType w:val="hybridMultilevel"/>
    <w:tmpl w:val="7A1AC7F8"/>
    <w:lvl w:ilvl="0" w:tplc="F7ECDC24">
      <w:start w:val="7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022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5ADC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E45C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08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69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4E0E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389C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E8F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0E7053"/>
    <w:multiLevelType w:val="hybridMultilevel"/>
    <w:tmpl w:val="F7B0B3FA"/>
    <w:lvl w:ilvl="0" w:tplc="1CCACDCA">
      <w:start w:val="5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F213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0E5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A37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87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021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00BE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2C0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E1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FF3148"/>
    <w:multiLevelType w:val="hybridMultilevel"/>
    <w:tmpl w:val="C1E4DC3A"/>
    <w:lvl w:ilvl="0" w:tplc="42FE639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ECC7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2CC0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6B8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C8BC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ECA6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EE3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0AD3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0BB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477940"/>
    <w:multiLevelType w:val="hybridMultilevel"/>
    <w:tmpl w:val="B212CA76"/>
    <w:lvl w:ilvl="0" w:tplc="9C24B73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527E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0B05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F2A0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6870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0627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7243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0C9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3617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4534CC"/>
    <w:multiLevelType w:val="hybridMultilevel"/>
    <w:tmpl w:val="6ADC15EA"/>
    <w:lvl w:ilvl="0" w:tplc="27BA53EA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4F0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288C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FA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B010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D6D8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02E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1215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88AC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3428FB"/>
    <w:multiLevelType w:val="hybridMultilevel"/>
    <w:tmpl w:val="CAC0D702"/>
    <w:lvl w:ilvl="0" w:tplc="10D06E5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BCA0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2AC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BE48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EABB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7ACC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6D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827C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F61F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47636A"/>
    <w:multiLevelType w:val="multilevel"/>
    <w:tmpl w:val="4F94739C"/>
    <w:lvl w:ilvl="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183221"/>
    <w:multiLevelType w:val="hybridMultilevel"/>
    <w:tmpl w:val="C82243A4"/>
    <w:lvl w:ilvl="0" w:tplc="69D21730">
      <w:start w:val="6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0A1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9CBF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42C4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046E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2A3B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6A4A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A07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AE3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CF1EFC"/>
    <w:multiLevelType w:val="hybridMultilevel"/>
    <w:tmpl w:val="BD109CE4"/>
    <w:lvl w:ilvl="0" w:tplc="634CC93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4CFB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A2FFF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AEB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008F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F65B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0841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20B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5E47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1998717">
    <w:abstractNumId w:val="8"/>
  </w:num>
  <w:num w:numId="2" w16cid:durableId="1910192303">
    <w:abstractNumId w:val="7"/>
  </w:num>
  <w:num w:numId="3" w16cid:durableId="1217815522">
    <w:abstractNumId w:val="6"/>
  </w:num>
  <w:num w:numId="4" w16cid:durableId="1946500292">
    <w:abstractNumId w:val="10"/>
  </w:num>
  <w:num w:numId="5" w16cid:durableId="799887228">
    <w:abstractNumId w:val="1"/>
  </w:num>
  <w:num w:numId="6" w16cid:durableId="1096294760">
    <w:abstractNumId w:val="0"/>
  </w:num>
  <w:num w:numId="7" w16cid:durableId="1217010687">
    <w:abstractNumId w:val="3"/>
  </w:num>
  <w:num w:numId="8" w16cid:durableId="1416319488">
    <w:abstractNumId w:val="4"/>
  </w:num>
  <w:num w:numId="9" w16cid:durableId="1808012577">
    <w:abstractNumId w:val="9"/>
  </w:num>
  <w:num w:numId="10" w16cid:durableId="736322734">
    <w:abstractNumId w:val="5"/>
  </w:num>
  <w:num w:numId="11" w16cid:durableId="39998052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91"/>
    <w:rsid w:val="000010FB"/>
    <w:rsid w:val="00077C3F"/>
    <w:rsid w:val="000B4FFB"/>
    <w:rsid w:val="000E189F"/>
    <w:rsid w:val="00161B2C"/>
    <w:rsid w:val="00180C46"/>
    <w:rsid w:val="001E527F"/>
    <w:rsid w:val="00212471"/>
    <w:rsid w:val="00254D9C"/>
    <w:rsid w:val="002C03EC"/>
    <w:rsid w:val="003016E1"/>
    <w:rsid w:val="0030366A"/>
    <w:rsid w:val="00313927"/>
    <w:rsid w:val="00353E32"/>
    <w:rsid w:val="003A02F0"/>
    <w:rsid w:val="003A744C"/>
    <w:rsid w:val="003D30F0"/>
    <w:rsid w:val="00427718"/>
    <w:rsid w:val="00434AB7"/>
    <w:rsid w:val="00462291"/>
    <w:rsid w:val="00485174"/>
    <w:rsid w:val="00490C5D"/>
    <w:rsid w:val="004A1A8B"/>
    <w:rsid w:val="004C218B"/>
    <w:rsid w:val="004D0D63"/>
    <w:rsid w:val="004F5540"/>
    <w:rsid w:val="00500828"/>
    <w:rsid w:val="00510ECD"/>
    <w:rsid w:val="00541A29"/>
    <w:rsid w:val="00551C36"/>
    <w:rsid w:val="00563A7C"/>
    <w:rsid w:val="005735AC"/>
    <w:rsid w:val="00590828"/>
    <w:rsid w:val="00634E0C"/>
    <w:rsid w:val="00646449"/>
    <w:rsid w:val="006C75A5"/>
    <w:rsid w:val="00760F0F"/>
    <w:rsid w:val="00773327"/>
    <w:rsid w:val="007C5EE4"/>
    <w:rsid w:val="008328D9"/>
    <w:rsid w:val="00864665"/>
    <w:rsid w:val="008837E8"/>
    <w:rsid w:val="008849A2"/>
    <w:rsid w:val="008C5915"/>
    <w:rsid w:val="008C7D18"/>
    <w:rsid w:val="009162C3"/>
    <w:rsid w:val="00996ED4"/>
    <w:rsid w:val="00A02021"/>
    <w:rsid w:val="00A11E25"/>
    <w:rsid w:val="00A12E7E"/>
    <w:rsid w:val="00A36E77"/>
    <w:rsid w:val="00A53682"/>
    <w:rsid w:val="00AF46A0"/>
    <w:rsid w:val="00B21C94"/>
    <w:rsid w:val="00B924BA"/>
    <w:rsid w:val="00BF48B2"/>
    <w:rsid w:val="00C02F98"/>
    <w:rsid w:val="00C11800"/>
    <w:rsid w:val="00C27E05"/>
    <w:rsid w:val="00C95051"/>
    <w:rsid w:val="00C951FB"/>
    <w:rsid w:val="00CA6D21"/>
    <w:rsid w:val="00D610CA"/>
    <w:rsid w:val="00DB1B2C"/>
    <w:rsid w:val="00DB7A9F"/>
    <w:rsid w:val="00DD1A1F"/>
    <w:rsid w:val="00DF486E"/>
    <w:rsid w:val="00E518F7"/>
    <w:rsid w:val="00E53A11"/>
    <w:rsid w:val="00ED6C85"/>
    <w:rsid w:val="00EE1208"/>
    <w:rsid w:val="00EE608B"/>
    <w:rsid w:val="00F22142"/>
    <w:rsid w:val="00F42F4A"/>
    <w:rsid w:val="00F553F4"/>
    <w:rsid w:val="00F55C3C"/>
    <w:rsid w:val="00F85132"/>
    <w:rsid w:val="00F92184"/>
    <w:rsid w:val="00FC2493"/>
    <w:rsid w:val="00FC2B11"/>
    <w:rsid w:val="00F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DDF23A"/>
  <w15:chartTrackingRefBased/>
  <w15:docId w15:val="{DF6E9DE9-F37E-4653-B067-B3F9876C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qFormat/>
    <w:rsid w:val="00462291"/>
    <w:pPr>
      <w:keepNext/>
      <w:keepLines/>
      <w:spacing w:after="14" w:line="24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u w:val="single" w:color="000000"/>
      <w:lang w:eastAsia="en-GB"/>
    </w:rPr>
  </w:style>
  <w:style w:type="paragraph" w:styleId="Nadpis2">
    <w:name w:val="heading 2"/>
    <w:next w:val="Normlny"/>
    <w:link w:val="Nadpis2Char"/>
    <w:uiPriority w:val="9"/>
    <w:unhideWhenUsed/>
    <w:qFormat/>
    <w:rsid w:val="00462291"/>
    <w:pPr>
      <w:keepNext/>
      <w:keepLines/>
      <w:spacing w:after="3"/>
      <w:ind w:left="10" w:hanging="10"/>
      <w:outlineLvl w:val="1"/>
    </w:pPr>
    <w:rPr>
      <w:rFonts w:ascii="Times New Roman" w:eastAsia="Times New Roman" w:hAnsi="Times New Roman" w:cs="Times New Roman"/>
      <w:i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62291"/>
    <w:rPr>
      <w:rFonts w:ascii="Times New Roman" w:eastAsia="Times New Roman" w:hAnsi="Times New Roman" w:cs="Times New Roman"/>
      <w:color w:val="000000"/>
      <w:u w:val="single" w:color="000000"/>
      <w:lang w:eastAsia="en-GB"/>
    </w:rPr>
  </w:style>
  <w:style w:type="character" w:customStyle="1" w:styleId="Nadpis2Char">
    <w:name w:val="Nadpis 2 Char"/>
    <w:basedOn w:val="Predvolenpsmoodseku"/>
    <w:link w:val="Nadpis2"/>
    <w:uiPriority w:val="9"/>
    <w:rsid w:val="00462291"/>
    <w:rPr>
      <w:rFonts w:ascii="Times New Roman" w:eastAsia="Times New Roman" w:hAnsi="Times New Roman" w:cs="Times New Roman"/>
      <w:i/>
      <w:color w:val="000000"/>
      <w:lang w:eastAsia="en-GB"/>
    </w:rPr>
  </w:style>
  <w:style w:type="numbering" w:customStyle="1" w:styleId="NoList1">
    <w:name w:val="No List1"/>
    <w:next w:val="Bezzoznamu"/>
    <w:uiPriority w:val="99"/>
    <w:semiHidden/>
    <w:unhideWhenUsed/>
    <w:rsid w:val="00462291"/>
  </w:style>
  <w:style w:type="table" w:customStyle="1" w:styleId="TableGrid">
    <w:name w:val="TableGrid"/>
    <w:rsid w:val="0046229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462291"/>
    <w:pPr>
      <w:spacing w:after="5"/>
      <w:ind w:left="720" w:hanging="10"/>
      <w:contextualSpacing/>
    </w:pPr>
    <w:rPr>
      <w:rFonts w:ascii="Times New Roman" w:eastAsia="Times New Roman" w:hAnsi="Times New Roman" w:cs="Times New Roman"/>
      <w:color w:val="000000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462291"/>
    <w:pPr>
      <w:tabs>
        <w:tab w:val="center" w:pos="4536"/>
        <w:tab w:val="right" w:pos="9072"/>
      </w:tabs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sid w:val="00462291"/>
    <w:rPr>
      <w:rFonts w:ascii="Times New Roman" w:eastAsia="Times New Roman" w:hAnsi="Times New Roman" w:cs="Times New Roman"/>
      <w:color w:val="000000"/>
      <w:lang w:eastAsia="en-GB"/>
    </w:rPr>
  </w:style>
  <w:style w:type="paragraph" w:styleId="Hlavika">
    <w:name w:val="header"/>
    <w:basedOn w:val="Normlny"/>
    <w:link w:val="HlavikaChar"/>
    <w:uiPriority w:val="99"/>
    <w:unhideWhenUsed/>
    <w:rsid w:val="0046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291"/>
  </w:style>
  <w:style w:type="character" w:styleId="Odkaznakomentr">
    <w:name w:val="annotation reference"/>
    <w:basedOn w:val="Predvolenpsmoodseku"/>
    <w:uiPriority w:val="99"/>
    <w:semiHidden/>
    <w:unhideWhenUsed/>
    <w:rsid w:val="00C951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51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51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51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51F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5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51FB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A0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documents/template-form/qrd-appendix-v-adverse-drug-reaction-reporting-details_en.doc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10090</Words>
  <Characters>57516</Characters>
  <Application>Microsoft Office Word</Application>
  <DocSecurity>0</DocSecurity>
  <Lines>479</Lines>
  <Paragraphs>134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Rovna, Katarina SVK</dc:creator>
  <cp:keywords/>
  <dc:description/>
  <cp:lastModifiedBy>Zuzana Molnárová</cp:lastModifiedBy>
  <cp:revision>8</cp:revision>
  <cp:lastPrinted>2024-12-19T15:01:00Z</cp:lastPrinted>
  <dcterms:created xsi:type="dcterms:W3CDTF">2023-02-10T09:32:00Z</dcterms:created>
  <dcterms:modified xsi:type="dcterms:W3CDTF">2024-12-19T15:01:00Z</dcterms:modified>
</cp:coreProperties>
</file>