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673E" w14:textId="77777777" w:rsidR="00336526" w:rsidRPr="00336526" w:rsidRDefault="00336526" w:rsidP="003365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526">
        <w:rPr>
          <w:rFonts w:ascii="Times New Roman" w:hAnsi="Times New Roman" w:cs="Times New Roman"/>
          <w:b/>
        </w:rPr>
        <w:t>SÚHRN CHARAKTERISTICKÝCH VLASTNOSTÍ LIEKU</w:t>
      </w:r>
    </w:p>
    <w:p w14:paraId="2408B25B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7CAF180F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643AF0D5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  <w:b/>
        </w:rPr>
      </w:pPr>
      <w:r w:rsidRPr="00336526">
        <w:rPr>
          <w:rFonts w:ascii="Times New Roman" w:hAnsi="Times New Roman" w:cs="Times New Roman"/>
          <w:b/>
        </w:rPr>
        <w:t xml:space="preserve">1. </w:t>
      </w:r>
      <w:r w:rsidRPr="00336526">
        <w:rPr>
          <w:rFonts w:ascii="Times New Roman" w:hAnsi="Times New Roman" w:cs="Times New Roman"/>
          <w:b/>
        </w:rPr>
        <w:tab/>
        <w:t>NÁZOV LIEKU</w:t>
      </w:r>
    </w:p>
    <w:p w14:paraId="4435FF1C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6688A5F1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6526">
        <w:rPr>
          <w:rFonts w:ascii="Times New Roman" w:hAnsi="Times New Roman" w:cs="Times New Roman"/>
        </w:rPr>
        <w:t>Pazopanib</w:t>
      </w:r>
      <w:proofErr w:type="spellEnd"/>
      <w:r w:rsidRPr="00336526">
        <w:rPr>
          <w:rFonts w:ascii="Times New Roman" w:hAnsi="Times New Roman" w:cs="Times New Roman"/>
        </w:rPr>
        <w:t xml:space="preserve"> </w:t>
      </w:r>
      <w:proofErr w:type="spellStart"/>
      <w:r w:rsidRPr="00336526">
        <w:rPr>
          <w:rFonts w:ascii="Times New Roman" w:hAnsi="Times New Roman" w:cs="Times New Roman"/>
        </w:rPr>
        <w:t>Teva</w:t>
      </w:r>
      <w:proofErr w:type="spellEnd"/>
      <w:r w:rsidRPr="00336526">
        <w:rPr>
          <w:rFonts w:ascii="Times New Roman" w:hAnsi="Times New Roman" w:cs="Times New Roman"/>
        </w:rPr>
        <w:t xml:space="preserve"> 200 mg filmom obalené tablety</w:t>
      </w:r>
    </w:p>
    <w:p w14:paraId="2353076A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A1E25">
        <w:rPr>
          <w:rFonts w:ascii="Times New Roman" w:hAnsi="Times New Roman" w:cs="Times New Roman"/>
          <w:highlight w:val="lightGray"/>
        </w:rPr>
        <w:t>Pazopanib</w:t>
      </w:r>
      <w:proofErr w:type="spellEnd"/>
      <w:r w:rsidRPr="009A1E25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9A1E25">
        <w:rPr>
          <w:rFonts w:ascii="Times New Roman" w:hAnsi="Times New Roman" w:cs="Times New Roman"/>
          <w:highlight w:val="lightGray"/>
        </w:rPr>
        <w:t>Teva</w:t>
      </w:r>
      <w:proofErr w:type="spellEnd"/>
      <w:r w:rsidRPr="009A1E25">
        <w:rPr>
          <w:rFonts w:ascii="Times New Roman" w:hAnsi="Times New Roman" w:cs="Times New Roman"/>
          <w:highlight w:val="lightGray"/>
        </w:rPr>
        <w:t xml:space="preserve"> 400 mg filmom obalené tablety</w:t>
      </w:r>
    </w:p>
    <w:p w14:paraId="43502076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73FA161F" w14:textId="77777777" w:rsidR="009A1E25" w:rsidRDefault="009A1E25" w:rsidP="00336526">
      <w:pPr>
        <w:spacing w:after="0" w:line="240" w:lineRule="auto"/>
        <w:rPr>
          <w:rFonts w:ascii="Times New Roman" w:hAnsi="Times New Roman" w:cs="Times New Roman"/>
          <w:b/>
        </w:rPr>
      </w:pPr>
    </w:p>
    <w:p w14:paraId="5C2F997F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  <w:b/>
        </w:rPr>
      </w:pPr>
      <w:r w:rsidRPr="00336526">
        <w:rPr>
          <w:rFonts w:ascii="Times New Roman" w:hAnsi="Times New Roman" w:cs="Times New Roman"/>
          <w:b/>
        </w:rPr>
        <w:t xml:space="preserve">2. </w:t>
      </w:r>
      <w:r w:rsidRPr="00336526">
        <w:rPr>
          <w:rFonts w:ascii="Times New Roman" w:hAnsi="Times New Roman" w:cs="Times New Roman"/>
          <w:b/>
        </w:rPr>
        <w:tab/>
        <w:t>KVALITATÍVNE A KVANTITATÍVNE ZLOŽENIE</w:t>
      </w:r>
    </w:p>
    <w:p w14:paraId="29208F41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61247C97" w14:textId="77777777" w:rsidR="00F8207F" w:rsidRPr="00F8207F" w:rsidRDefault="00F8207F" w:rsidP="00F8207F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proofErr w:type="spellStart"/>
      <w:r w:rsidRPr="00F8207F">
        <w:rPr>
          <w:rFonts w:ascii="Times New Roman" w:hAnsi="Times New Roman" w:cs="Times New Roman"/>
          <w:i/>
          <w:u w:val="single"/>
        </w:rPr>
        <w:t>Pazopanib</w:t>
      </w:r>
      <w:proofErr w:type="spellEnd"/>
      <w:r w:rsidRPr="00F8207F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F8207F">
        <w:rPr>
          <w:rFonts w:ascii="Times New Roman" w:hAnsi="Times New Roman" w:cs="Times New Roman"/>
          <w:i/>
          <w:u w:val="single"/>
        </w:rPr>
        <w:t>Teva</w:t>
      </w:r>
      <w:proofErr w:type="spellEnd"/>
      <w:r w:rsidRPr="00F8207F">
        <w:rPr>
          <w:rFonts w:ascii="Times New Roman" w:hAnsi="Times New Roman" w:cs="Times New Roman"/>
          <w:i/>
          <w:u w:val="single"/>
        </w:rPr>
        <w:t xml:space="preserve"> 200 mg filmom obalené tablety</w:t>
      </w:r>
      <w:r w:rsidR="00E40399">
        <w:rPr>
          <w:rFonts w:ascii="Times New Roman" w:hAnsi="Times New Roman" w:cs="Times New Roman"/>
          <w:i/>
          <w:u w:val="single"/>
        </w:rPr>
        <w:t>:</w:t>
      </w:r>
    </w:p>
    <w:p w14:paraId="4FCC8DBD" w14:textId="5D645D1A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Každá </w:t>
      </w:r>
      <w:r w:rsidR="00184E24">
        <w:rPr>
          <w:rFonts w:ascii="Times New Roman" w:hAnsi="Times New Roman" w:cs="Times New Roman"/>
        </w:rPr>
        <w:t xml:space="preserve">filmom obalená </w:t>
      </w:r>
      <w:r w:rsidRPr="00336526">
        <w:rPr>
          <w:rFonts w:ascii="Times New Roman" w:hAnsi="Times New Roman" w:cs="Times New Roman"/>
        </w:rPr>
        <w:t>ta</w:t>
      </w:r>
      <w:r w:rsidR="00F00378">
        <w:rPr>
          <w:rFonts w:ascii="Times New Roman" w:hAnsi="Times New Roman" w:cs="Times New Roman"/>
        </w:rPr>
        <w:t xml:space="preserve">bleta obsahuje </w:t>
      </w:r>
      <w:proofErr w:type="spellStart"/>
      <w:r w:rsidR="00F00378">
        <w:rPr>
          <w:rFonts w:ascii="Times New Roman" w:hAnsi="Times New Roman" w:cs="Times New Roman"/>
        </w:rPr>
        <w:t>pazopaníbium</w:t>
      </w:r>
      <w:proofErr w:type="spellEnd"/>
      <w:r w:rsidR="00F00378">
        <w:rPr>
          <w:rFonts w:ascii="Times New Roman" w:hAnsi="Times New Roman" w:cs="Times New Roman"/>
        </w:rPr>
        <w:t>-</w:t>
      </w:r>
      <w:r w:rsidR="004F7401">
        <w:rPr>
          <w:rFonts w:ascii="Times New Roman" w:hAnsi="Times New Roman" w:cs="Times New Roman"/>
        </w:rPr>
        <w:t xml:space="preserve">chlorid </w:t>
      </w:r>
      <w:r w:rsidR="004F7401" w:rsidRPr="004F7401">
        <w:rPr>
          <w:rFonts w:ascii="Times New Roman" w:hAnsi="Times New Roman" w:cs="Times New Roman"/>
        </w:rPr>
        <w:t xml:space="preserve">zodpovedajúci 200 mg </w:t>
      </w:r>
      <w:proofErr w:type="spellStart"/>
      <w:r w:rsidR="004F7401" w:rsidRPr="004F7401">
        <w:rPr>
          <w:rFonts w:ascii="Times New Roman" w:hAnsi="Times New Roman" w:cs="Times New Roman"/>
        </w:rPr>
        <w:t>pazopanibu</w:t>
      </w:r>
      <w:proofErr w:type="spellEnd"/>
      <w:r w:rsidR="004F7401">
        <w:rPr>
          <w:rFonts w:ascii="Times New Roman" w:hAnsi="Times New Roman" w:cs="Times New Roman"/>
        </w:rPr>
        <w:t>.</w:t>
      </w:r>
    </w:p>
    <w:p w14:paraId="7566602D" w14:textId="77777777" w:rsidR="004F7401" w:rsidRDefault="004F7401" w:rsidP="00336526">
      <w:pPr>
        <w:spacing w:after="0" w:line="240" w:lineRule="auto"/>
        <w:rPr>
          <w:rFonts w:ascii="Times New Roman" w:hAnsi="Times New Roman" w:cs="Times New Roman"/>
        </w:rPr>
      </w:pPr>
    </w:p>
    <w:p w14:paraId="73849A5A" w14:textId="77777777" w:rsidR="004F7401" w:rsidRPr="00531CFF" w:rsidRDefault="004F7401" w:rsidP="004F7401">
      <w:pPr>
        <w:spacing w:after="0" w:line="240" w:lineRule="auto"/>
        <w:rPr>
          <w:rFonts w:ascii="Times New Roman" w:hAnsi="Times New Roman" w:cs="Times New Roman"/>
          <w:i/>
          <w:highlight w:val="lightGray"/>
          <w:u w:val="single"/>
        </w:rPr>
      </w:pPr>
      <w:proofErr w:type="spellStart"/>
      <w:r w:rsidRPr="00531CFF">
        <w:rPr>
          <w:rFonts w:ascii="Times New Roman" w:hAnsi="Times New Roman" w:cs="Times New Roman"/>
          <w:i/>
          <w:highlight w:val="lightGray"/>
          <w:u w:val="single"/>
        </w:rPr>
        <w:t>Pazopanib</w:t>
      </w:r>
      <w:proofErr w:type="spellEnd"/>
      <w:r w:rsidRPr="00531CFF">
        <w:rPr>
          <w:rFonts w:ascii="Times New Roman" w:hAnsi="Times New Roman" w:cs="Times New Roman"/>
          <w:i/>
          <w:highlight w:val="lightGray"/>
          <w:u w:val="single"/>
        </w:rPr>
        <w:t xml:space="preserve"> </w:t>
      </w:r>
      <w:proofErr w:type="spellStart"/>
      <w:r w:rsidRPr="00531CFF">
        <w:rPr>
          <w:rFonts w:ascii="Times New Roman" w:hAnsi="Times New Roman" w:cs="Times New Roman"/>
          <w:i/>
          <w:highlight w:val="lightGray"/>
          <w:u w:val="single"/>
        </w:rPr>
        <w:t>Teva</w:t>
      </w:r>
      <w:proofErr w:type="spellEnd"/>
      <w:r w:rsidRPr="00531CFF">
        <w:rPr>
          <w:rFonts w:ascii="Times New Roman" w:hAnsi="Times New Roman" w:cs="Times New Roman"/>
          <w:i/>
          <w:highlight w:val="lightGray"/>
          <w:u w:val="single"/>
        </w:rPr>
        <w:t xml:space="preserve"> 400 mg filmom obalené tablety</w:t>
      </w:r>
      <w:r w:rsidR="00E40399" w:rsidRPr="00531CFF">
        <w:rPr>
          <w:rFonts w:ascii="Times New Roman" w:hAnsi="Times New Roman" w:cs="Times New Roman"/>
          <w:i/>
          <w:highlight w:val="lightGray"/>
          <w:u w:val="single"/>
        </w:rPr>
        <w:t>:</w:t>
      </w:r>
    </w:p>
    <w:p w14:paraId="41226036" w14:textId="548D9CE9" w:rsidR="004F7401" w:rsidRPr="009A1E25" w:rsidRDefault="00F00378" w:rsidP="004F7401">
      <w:pPr>
        <w:spacing w:after="0" w:line="240" w:lineRule="auto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  <w:highlight w:val="lightGray"/>
        </w:rPr>
        <w:t xml:space="preserve">Každá </w:t>
      </w:r>
      <w:r w:rsidR="00184E24">
        <w:rPr>
          <w:rFonts w:ascii="Times New Roman" w:hAnsi="Times New Roman" w:cs="Times New Roman"/>
          <w:highlight w:val="lightGray"/>
        </w:rPr>
        <w:t xml:space="preserve">filmom obalená </w:t>
      </w:r>
      <w:r>
        <w:rPr>
          <w:rFonts w:ascii="Times New Roman" w:hAnsi="Times New Roman" w:cs="Times New Roman"/>
          <w:highlight w:val="lightGray"/>
        </w:rPr>
        <w:t xml:space="preserve">tableta obsahuje </w:t>
      </w:r>
      <w:proofErr w:type="spellStart"/>
      <w:r>
        <w:rPr>
          <w:rFonts w:ascii="Times New Roman" w:hAnsi="Times New Roman" w:cs="Times New Roman"/>
          <w:highlight w:val="lightGray"/>
        </w:rPr>
        <w:t>pazopaníbium</w:t>
      </w:r>
      <w:proofErr w:type="spellEnd"/>
      <w:r>
        <w:rPr>
          <w:rFonts w:ascii="Times New Roman" w:hAnsi="Times New Roman" w:cs="Times New Roman"/>
          <w:highlight w:val="lightGray"/>
        </w:rPr>
        <w:t>-</w:t>
      </w:r>
      <w:r w:rsidR="004F7401" w:rsidRPr="009A1E25">
        <w:rPr>
          <w:rFonts w:ascii="Times New Roman" w:hAnsi="Times New Roman" w:cs="Times New Roman"/>
          <w:highlight w:val="lightGray"/>
        </w:rPr>
        <w:t xml:space="preserve">chlorid zodpovedajúci 400 mg </w:t>
      </w:r>
      <w:proofErr w:type="spellStart"/>
      <w:r w:rsidR="004F7401" w:rsidRPr="009A1E25">
        <w:rPr>
          <w:rFonts w:ascii="Times New Roman" w:hAnsi="Times New Roman" w:cs="Times New Roman"/>
          <w:highlight w:val="lightGray"/>
        </w:rPr>
        <w:t>pazopanibu</w:t>
      </w:r>
      <w:proofErr w:type="spellEnd"/>
      <w:r w:rsidR="004F7401" w:rsidRPr="009A1E25">
        <w:rPr>
          <w:rFonts w:ascii="Times New Roman" w:hAnsi="Times New Roman" w:cs="Times New Roman"/>
          <w:highlight w:val="lightGray"/>
        </w:rPr>
        <w:t>.</w:t>
      </w:r>
    </w:p>
    <w:p w14:paraId="5ED1D8A6" w14:textId="77777777" w:rsidR="004F7401" w:rsidRDefault="004F7401" w:rsidP="00336526">
      <w:pPr>
        <w:spacing w:after="0" w:line="240" w:lineRule="auto"/>
        <w:rPr>
          <w:rFonts w:ascii="Times New Roman" w:hAnsi="Times New Roman" w:cs="Times New Roman"/>
        </w:rPr>
      </w:pPr>
    </w:p>
    <w:p w14:paraId="33713AC3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Úplný zoznam pomocných látok, pozri časť 6.1.</w:t>
      </w:r>
    </w:p>
    <w:p w14:paraId="19E8183E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77F6CE59" w14:textId="77777777" w:rsidR="009A1E25" w:rsidRDefault="009A1E25" w:rsidP="00336526">
      <w:pPr>
        <w:spacing w:after="0" w:line="240" w:lineRule="auto"/>
        <w:rPr>
          <w:rFonts w:ascii="Times New Roman" w:hAnsi="Times New Roman" w:cs="Times New Roman"/>
          <w:b/>
        </w:rPr>
      </w:pPr>
    </w:p>
    <w:p w14:paraId="525725A4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  <w:b/>
        </w:rPr>
      </w:pPr>
      <w:r w:rsidRPr="00336526">
        <w:rPr>
          <w:rFonts w:ascii="Times New Roman" w:hAnsi="Times New Roman" w:cs="Times New Roman"/>
          <w:b/>
        </w:rPr>
        <w:t xml:space="preserve">3. </w:t>
      </w:r>
      <w:r w:rsidRPr="00336526">
        <w:rPr>
          <w:rFonts w:ascii="Times New Roman" w:hAnsi="Times New Roman" w:cs="Times New Roman"/>
          <w:b/>
        </w:rPr>
        <w:tab/>
        <w:t>LIEKOVÁ FORMA</w:t>
      </w:r>
    </w:p>
    <w:p w14:paraId="744BE169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1E137B5F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Filmom obalená tableta</w:t>
      </w:r>
      <w:r w:rsidR="00F5593E">
        <w:rPr>
          <w:rFonts w:ascii="Times New Roman" w:hAnsi="Times New Roman" w:cs="Times New Roman"/>
        </w:rPr>
        <w:t xml:space="preserve"> (tableta)</w:t>
      </w:r>
      <w:r w:rsidRPr="00336526">
        <w:rPr>
          <w:rFonts w:ascii="Times New Roman" w:hAnsi="Times New Roman" w:cs="Times New Roman"/>
        </w:rPr>
        <w:t>.</w:t>
      </w:r>
    </w:p>
    <w:p w14:paraId="6C70B9A9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3B8F738B" w14:textId="77777777" w:rsidR="00E40399" w:rsidRPr="00F8207F" w:rsidRDefault="00E40399" w:rsidP="00E40399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proofErr w:type="spellStart"/>
      <w:r w:rsidRPr="00F8207F">
        <w:rPr>
          <w:rFonts w:ascii="Times New Roman" w:hAnsi="Times New Roman" w:cs="Times New Roman"/>
          <w:i/>
          <w:u w:val="single"/>
        </w:rPr>
        <w:t>Pazopanib</w:t>
      </w:r>
      <w:proofErr w:type="spellEnd"/>
      <w:r w:rsidRPr="00F8207F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F8207F">
        <w:rPr>
          <w:rFonts w:ascii="Times New Roman" w:hAnsi="Times New Roman" w:cs="Times New Roman"/>
          <w:i/>
          <w:u w:val="single"/>
        </w:rPr>
        <w:t>Teva</w:t>
      </w:r>
      <w:proofErr w:type="spellEnd"/>
      <w:r w:rsidRPr="00F8207F">
        <w:rPr>
          <w:rFonts w:ascii="Times New Roman" w:hAnsi="Times New Roman" w:cs="Times New Roman"/>
          <w:i/>
          <w:u w:val="single"/>
        </w:rPr>
        <w:t xml:space="preserve"> 200 mg filmom obalené tablety</w:t>
      </w:r>
      <w:r>
        <w:rPr>
          <w:rFonts w:ascii="Times New Roman" w:hAnsi="Times New Roman" w:cs="Times New Roman"/>
          <w:i/>
          <w:u w:val="single"/>
        </w:rPr>
        <w:t>:</w:t>
      </w:r>
    </w:p>
    <w:p w14:paraId="09506BBF" w14:textId="77777777" w:rsidR="00E40399" w:rsidRDefault="00E40399" w:rsidP="00336526">
      <w:pPr>
        <w:spacing w:after="0" w:line="240" w:lineRule="auto"/>
        <w:rPr>
          <w:rFonts w:ascii="Times New Roman" w:hAnsi="Times New Roman" w:cs="Times New Roman"/>
        </w:rPr>
      </w:pPr>
      <w:r w:rsidRPr="00E40399">
        <w:rPr>
          <w:rFonts w:ascii="Times New Roman" w:hAnsi="Times New Roman" w:cs="Times New Roman"/>
        </w:rPr>
        <w:t>Ružová</w:t>
      </w:r>
      <w:r w:rsidR="00395BDC">
        <w:rPr>
          <w:rFonts w:ascii="Times New Roman" w:hAnsi="Times New Roman" w:cs="Times New Roman"/>
        </w:rPr>
        <w:t>,</w:t>
      </w:r>
      <w:r w:rsidRPr="00E40399">
        <w:rPr>
          <w:rFonts w:ascii="Times New Roman" w:hAnsi="Times New Roman" w:cs="Times New Roman"/>
        </w:rPr>
        <w:t xml:space="preserve"> filmom obalená tableta v tvare kapsuly s vyrazeným „200“ na jednej strane, s rozmermi približne 14,3 mm x 5,7 mm</w:t>
      </w:r>
      <w:r>
        <w:rPr>
          <w:rFonts w:ascii="Times New Roman" w:hAnsi="Times New Roman" w:cs="Times New Roman"/>
        </w:rPr>
        <w:t>.</w:t>
      </w:r>
    </w:p>
    <w:p w14:paraId="6D424677" w14:textId="77777777" w:rsidR="00E40399" w:rsidRDefault="00E40399" w:rsidP="00336526">
      <w:pPr>
        <w:spacing w:after="0" w:line="240" w:lineRule="auto"/>
        <w:rPr>
          <w:rFonts w:ascii="Times New Roman" w:hAnsi="Times New Roman" w:cs="Times New Roman"/>
        </w:rPr>
      </w:pPr>
    </w:p>
    <w:p w14:paraId="22963965" w14:textId="77777777" w:rsidR="00E40399" w:rsidRDefault="00E40399" w:rsidP="003365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40399">
        <w:rPr>
          <w:rFonts w:ascii="Times New Roman" w:hAnsi="Times New Roman" w:cs="Times New Roman"/>
          <w:i/>
          <w:highlight w:val="lightGray"/>
          <w:u w:val="single"/>
        </w:rPr>
        <w:t>Pazopanib</w:t>
      </w:r>
      <w:proofErr w:type="spellEnd"/>
      <w:r w:rsidRPr="00E40399">
        <w:rPr>
          <w:rFonts w:ascii="Times New Roman" w:hAnsi="Times New Roman" w:cs="Times New Roman"/>
          <w:i/>
          <w:highlight w:val="lightGray"/>
          <w:u w:val="single"/>
        </w:rPr>
        <w:t xml:space="preserve"> </w:t>
      </w:r>
      <w:proofErr w:type="spellStart"/>
      <w:r w:rsidRPr="00E40399">
        <w:rPr>
          <w:rFonts w:ascii="Times New Roman" w:hAnsi="Times New Roman" w:cs="Times New Roman"/>
          <w:i/>
          <w:highlight w:val="lightGray"/>
          <w:u w:val="single"/>
        </w:rPr>
        <w:t>Teva</w:t>
      </w:r>
      <w:proofErr w:type="spellEnd"/>
      <w:r w:rsidRPr="00E40399">
        <w:rPr>
          <w:rFonts w:ascii="Times New Roman" w:hAnsi="Times New Roman" w:cs="Times New Roman"/>
          <w:i/>
          <w:highlight w:val="lightGray"/>
          <w:u w:val="single"/>
        </w:rPr>
        <w:t xml:space="preserve"> 400 mg filmom obalené tablety:</w:t>
      </w:r>
    </w:p>
    <w:p w14:paraId="78249C66" w14:textId="77777777" w:rsidR="00E40399" w:rsidRDefault="00E40399" w:rsidP="00336526">
      <w:pPr>
        <w:spacing w:after="0" w:line="240" w:lineRule="auto"/>
        <w:rPr>
          <w:rFonts w:ascii="Times New Roman" w:hAnsi="Times New Roman" w:cs="Times New Roman"/>
        </w:rPr>
      </w:pPr>
      <w:r w:rsidRPr="00E40399">
        <w:rPr>
          <w:rFonts w:ascii="Times New Roman" w:hAnsi="Times New Roman" w:cs="Times New Roman"/>
          <w:highlight w:val="lightGray"/>
        </w:rPr>
        <w:t xml:space="preserve">Biela, filmom obalená tableta v tvare kapsuly s vyrazeným „400“ na jednej strane, s rozmermi </w:t>
      </w:r>
      <w:r>
        <w:rPr>
          <w:rFonts w:ascii="Times New Roman" w:hAnsi="Times New Roman" w:cs="Times New Roman"/>
          <w:highlight w:val="lightGray"/>
        </w:rPr>
        <w:t xml:space="preserve">približne </w:t>
      </w:r>
      <w:r w:rsidRPr="00E40399">
        <w:rPr>
          <w:rFonts w:ascii="Times New Roman" w:hAnsi="Times New Roman" w:cs="Times New Roman"/>
          <w:highlight w:val="lightGray"/>
        </w:rPr>
        <w:t>18,0 mm x 7,1 mm.</w:t>
      </w:r>
    </w:p>
    <w:p w14:paraId="2F90E48D" w14:textId="77777777" w:rsidR="00E40399" w:rsidRDefault="00E40399" w:rsidP="00336526">
      <w:pPr>
        <w:spacing w:after="0" w:line="240" w:lineRule="auto"/>
        <w:rPr>
          <w:rFonts w:ascii="Times New Roman" w:hAnsi="Times New Roman" w:cs="Times New Roman"/>
        </w:rPr>
      </w:pPr>
    </w:p>
    <w:p w14:paraId="649CB37C" w14:textId="77777777" w:rsidR="00F5593E" w:rsidRDefault="00F5593E" w:rsidP="00336526">
      <w:pPr>
        <w:spacing w:after="0" w:line="240" w:lineRule="auto"/>
        <w:rPr>
          <w:rFonts w:ascii="Times New Roman" w:hAnsi="Times New Roman" w:cs="Times New Roman"/>
        </w:rPr>
      </w:pPr>
    </w:p>
    <w:p w14:paraId="6A9E9A13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  <w:b/>
        </w:rPr>
      </w:pPr>
      <w:r w:rsidRPr="00336526">
        <w:rPr>
          <w:rFonts w:ascii="Times New Roman" w:hAnsi="Times New Roman" w:cs="Times New Roman"/>
          <w:b/>
        </w:rPr>
        <w:t xml:space="preserve">4. </w:t>
      </w:r>
      <w:r w:rsidRPr="00336526">
        <w:rPr>
          <w:rFonts w:ascii="Times New Roman" w:hAnsi="Times New Roman" w:cs="Times New Roman"/>
          <w:b/>
        </w:rPr>
        <w:tab/>
        <w:t>KLINICKÉ ÚDAJE</w:t>
      </w:r>
    </w:p>
    <w:p w14:paraId="6189B8AC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7B7E7C4B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  <w:b/>
        </w:rPr>
      </w:pPr>
      <w:r w:rsidRPr="00336526">
        <w:rPr>
          <w:rFonts w:ascii="Times New Roman" w:hAnsi="Times New Roman" w:cs="Times New Roman"/>
          <w:b/>
        </w:rPr>
        <w:t xml:space="preserve">4.1 </w:t>
      </w:r>
      <w:r w:rsidRPr="00336526">
        <w:rPr>
          <w:rFonts w:ascii="Times New Roman" w:hAnsi="Times New Roman" w:cs="Times New Roman"/>
          <w:b/>
        </w:rPr>
        <w:tab/>
        <w:t>Terapeutické indikácie</w:t>
      </w:r>
    </w:p>
    <w:p w14:paraId="3E7332F8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64773952" w14:textId="77777777" w:rsidR="00336526" w:rsidRPr="00395BDC" w:rsidRDefault="00336526" w:rsidP="0033652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5BDC">
        <w:rPr>
          <w:rFonts w:ascii="Times New Roman" w:hAnsi="Times New Roman" w:cs="Times New Roman"/>
          <w:u w:val="single"/>
        </w:rPr>
        <w:t>Karcinóm z obličkových buniek (RCC)</w:t>
      </w:r>
    </w:p>
    <w:p w14:paraId="4CDEE7D7" w14:textId="77777777" w:rsidR="00395BDC" w:rsidRDefault="00395BDC" w:rsidP="00336526">
      <w:pPr>
        <w:spacing w:after="0" w:line="240" w:lineRule="auto"/>
        <w:rPr>
          <w:rFonts w:ascii="Times New Roman" w:hAnsi="Times New Roman" w:cs="Times New Roman"/>
        </w:rPr>
      </w:pPr>
    </w:p>
    <w:p w14:paraId="1E70EFE9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6526">
        <w:rPr>
          <w:rFonts w:ascii="Times New Roman" w:hAnsi="Times New Roman" w:cs="Times New Roman"/>
        </w:rPr>
        <w:t>Pazopanib</w:t>
      </w:r>
      <w:proofErr w:type="spellEnd"/>
      <w:r w:rsidRPr="00336526">
        <w:rPr>
          <w:rFonts w:ascii="Times New Roman" w:hAnsi="Times New Roman" w:cs="Times New Roman"/>
        </w:rPr>
        <w:t xml:space="preserve"> </w:t>
      </w:r>
      <w:proofErr w:type="spellStart"/>
      <w:r w:rsidR="00395BDC">
        <w:rPr>
          <w:rFonts w:ascii="Times New Roman" w:hAnsi="Times New Roman" w:cs="Times New Roman"/>
        </w:rPr>
        <w:t>Teva</w:t>
      </w:r>
      <w:proofErr w:type="spellEnd"/>
      <w:r w:rsidRPr="00336526">
        <w:rPr>
          <w:rFonts w:ascii="Times New Roman" w:hAnsi="Times New Roman" w:cs="Times New Roman"/>
        </w:rPr>
        <w:t xml:space="preserve"> je indikovaný dospelým ako liečba prvej línie pokročilého karcinómu z</w:t>
      </w:r>
    </w:p>
    <w:p w14:paraId="6DB07816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obličkových buniek (</w:t>
      </w:r>
      <w:proofErr w:type="spellStart"/>
      <w:r w:rsidRPr="00336526">
        <w:rPr>
          <w:rFonts w:ascii="Times New Roman" w:hAnsi="Times New Roman" w:cs="Times New Roman"/>
        </w:rPr>
        <w:t>renal</w:t>
      </w:r>
      <w:proofErr w:type="spellEnd"/>
      <w:r w:rsidRPr="00336526">
        <w:rPr>
          <w:rFonts w:ascii="Times New Roman" w:hAnsi="Times New Roman" w:cs="Times New Roman"/>
        </w:rPr>
        <w:t xml:space="preserve"> </w:t>
      </w:r>
      <w:proofErr w:type="spellStart"/>
      <w:r w:rsidRPr="00336526">
        <w:rPr>
          <w:rFonts w:ascii="Times New Roman" w:hAnsi="Times New Roman" w:cs="Times New Roman"/>
        </w:rPr>
        <w:t>cell</w:t>
      </w:r>
      <w:proofErr w:type="spellEnd"/>
      <w:r w:rsidRPr="00336526">
        <w:rPr>
          <w:rFonts w:ascii="Times New Roman" w:hAnsi="Times New Roman" w:cs="Times New Roman"/>
        </w:rPr>
        <w:t xml:space="preserve"> </w:t>
      </w:r>
      <w:proofErr w:type="spellStart"/>
      <w:r w:rsidRPr="00336526">
        <w:rPr>
          <w:rFonts w:ascii="Times New Roman" w:hAnsi="Times New Roman" w:cs="Times New Roman"/>
        </w:rPr>
        <w:t>carcinoma</w:t>
      </w:r>
      <w:proofErr w:type="spellEnd"/>
      <w:r w:rsidRPr="00336526">
        <w:rPr>
          <w:rFonts w:ascii="Times New Roman" w:hAnsi="Times New Roman" w:cs="Times New Roman"/>
        </w:rPr>
        <w:t>, RCC) a pacientom s pokročilým ochorením po</w:t>
      </w:r>
    </w:p>
    <w:p w14:paraId="25FBD7E8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predchádzajúcej liečbe cytokínmi.</w:t>
      </w:r>
    </w:p>
    <w:p w14:paraId="4996B91F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3648ABEF" w14:textId="77777777" w:rsidR="00336526" w:rsidRPr="00395BDC" w:rsidRDefault="00336526" w:rsidP="0033652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95BDC">
        <w:rPr>
          <w:rFonts w:ascii="Times New Roman" w:hAnsi="Times New Roman" w:cs="Times New Roman"/>
          <w:u w:val="single"/>
        </w:rPr>
        <w:t>Sarkóm mäkkých tkanív (STS)</w:t>
      </w:r>
    </w:p>
    <w:p w14:paraId="1CF8C937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6526">
        <w:rPr>
          <w:rFonts w:ascii="Times New Roman" w:hAnsi="Times New Roman" w:cs="Times New Roman"/>
        </w:rPr>
        <w:t>Pazopanib</w:t>
      </w:r>
      <w:proofErr w:type="spellEnd"/>
      <w:r w:rsidRPr="00336526">
        <w:rPr>
          <w:rFonts w:ascii="Times New Roman" w:hAnsi="Times New Roman" w:cs="Times New Roman"/>
        </w:rPr>
        <w:t xml:space="preserve"> </w:t>
      </w:r>
      <w:proofErr w:type="spellStart"/>
      <w:r w:rsidR="00395BDC">
        <w:rPr>
          <w:rFonts w:ascii="Times New Roman" w:hAnsi="Times New Roman" w:cs="Times New Roman"/>
        </w:rPr>
        <w:t>Teva</w:t>
      </w:r>
      <w:proofErr w:type="spellEnd"/>
      <w:r w:rsidRPr="00336526">
        <w:rPr>
          <w:rFonts w:ascii="Times New Roman" w:hAnsi="Times New Roman" w:cs="Times New Roman"/>
        </w:rPr>
        <w:t xml:space="preserve"> je indikovaný na liečbu dospelých pacientov s vybranými podtypmi pokročilého</w:t>
      </w:r>
    </w:p>
    <w:p w14:paraId="0F4C1135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sarkómu mäkkých tkanív (soft </w:t>
      </w:r>
      <w:proofErr w:type="spellStart"/>
      <w:r w:rsidRPr="00336526">
        <w:rPr>
          <w:rFonts w:ascii="Times New Roman" w:hAnsi="Times New Roman" w:cs="Times New Roman"/>
        </w:rPr>
        <w:t>tissue</w:t>
      </w:r>
      <w:proofErr w:type="spellEnd"/>
      <w:r w:rsidRPr="00336526">
        <w:rPr>
          <w:rFonts w:ascii="Times New Roman" w:hAnsi="Times New Roman" w:cs="Times New Roman"/>
        </w:rPr>
        <w:t xml:space="preserve"> </w:t>
      </w:r>
      <w:proofErr w:type="spellStart"/>
      <w:r w:rsidRPr="00336526">
        <w:rPr>
          <w:rFonts w:ascii="Times New Roman" w:hAnsi="Times New Roman" w:cs="Times New Roman"/>
        </w:rPr>
        <w:t>sarcoma</w:t>
      </w:r>
      <w:proofErr w:type="spellEnd"/>
      <w:r w:rsidRPr="00336526">
        <w:rPr>
          <w:rFonts w:ascii="Times New Roman" w:hAnsi="Times New Roman" w:cs="Times New Roman"/>
        </w:rPr>
        <w:t>, STS), ktorí v predchádzajúcom období podstúpili</w:t>
      </w:r>
    </w:p>
    <w:p w14:paraId="743CEA01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chemoterapiu metastatického ochorenia</w:t>
      </w:r>
      <w:r w:rsidR="00F5593E">
        <w:rPr>
          <w:rFonts w:ascii="Times New Roman" w:hAnsi="Times New Roman" w:cs="Times New Roman"/>
        </w:rPr>
        <w:t>,</w:t>
      </w:r>
      <w:r w:rsidRPr="00336526">
        <w:rPr>
          <w:rFonts w:ascii="Times New Roman" w:hAnsi="Times New Roman" w:cs="Times New Roman"/>
        </w:rPr>
        <w:t xml:space="preserve"> alebo u ktorých došlo k progresii ochorenia v priebehu 12</w:t>
      </w:r>
    </w:p>
    <w:p w14:paraId="5FEA1AB4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mesiacov po (</w:t>
      </w:r>
      <w:proofErr w:type="spellStart"/>
      <w:r w:rsidRPr="00336526">
        <w:rPr>
          <w:rFonts w:ascii="Times New Roman" w:hAnsi="Times New Roman" w:cs="Times New Roman"/>
        </w:rPr>
        <w:t>neo</w:t>
      </w:r>
      <w:proofErr w:type="spellEnd"/>
      <w:r w:rsidRPr="00336526">
        <w:rPr>
          <w:rFonts w:ascii="Times New Roman" w:hAnsi="Times New Roman" w:cs="Times New Roman"/>
        </w:rPr>
        <w:t>)</w:t>
      </w:r>
      <w:proofErr w:type="spellStart"/>
      <w:r w:rsidRPr="00336526">
        <w:rPr>
          <w:rFonts w:ascii="Times New Roman" w:hAnsi="Times New Roman" w:cs="Times New Roman"/>
        </w:rPr>
        <w:t>adjuvantnej</w:t>
      </w:r>
      <w:proofErr w:type="spellEnd"/>
      <w:r w:rsidRPr="00336526">
        <w:rPr>
          <w:rFonts w:ascii="Times New Roman" w:hAnsi="Times New Roman" w:cs="Times New Roman"/>
        </w:rPr>
        <w:t xml:space="preserve"> liečbe.</w:t>
      </w:r>
    </w:p>
    <w:p w14:paraId="330F4C6D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6CF3ADB0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Účinnosť a bezpečnosť boli stanovené len pri určitých histologických podtypoch STS (pozri časť 5.1).</w:t>
      </w:r>
    </w:p>
    <w:p w14:paraId="5B5B2CB3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53CEC14B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  <w:b/>
        </w:rPr>
      </w:pPr>
      <w:r w:rsidRPr="00336526">
        <w:rPr>
          <w:rFonts w:ascii="Times New Roman" w:hAnsi="Times New Roman" w:cs="Times New Roman"/>
          <w:b/>
        </w:rPr>
        <w:t xml:space="preserve">4.2 </w:t>
      </w:r>
      <w:r w:rsidRPr="00336526">
        <w:rPr>
          <w:rFonts w:ascii="Times New Roman" w:hAnsi="Times New Roman" w:cs="Times New Roman"/>
          <w:b/>
        </w:rPr>
        <w:tab/>
        <w:t>Dávkovanie a spôsob podávania</w:t>
      </w:r>
    </w:p>
    <w:p w14:paraId="3DDA3429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770FE188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Liečbu </w:t>
      </w:r>
      <w:proofErr w:type="spellStart"/>
      <w:r w:rsidRPr="00336526">
        <w:rPr>
          <w:rFonts w:ascii="Times New Roman" w:hAnsi="Times New Roman" w:cs="Times New Roman"/>
        </w:rPr>
        <w:t>Pazopanibom</w:t>
      </w:r>
      <w:proofErr w:type="spellEnd"/>
      <w:r w:rsidRPr="00336526">
        <w:rPr>
          <w:rFonts w:ascii="Times New Roman" w:hAnsi="Times New Roman" w:cs="Times New Roman"/>
        </w:rPr>
        <w:t xml:space="preserve"> </w:t>
      </w:r>
      <w:proofErr w:type="spellStart"/>
      <w:r w:rsidR="00395BDC">
        <w:rPr>
          <w:rFonts w:ascii="Times New Roman" w:hAnsi="Times New Roman" w:cs="Times New Roman"/>
        </w:rPr>
        <w:t>Teva</w:t>
      </w:r>
      <w:proofErr w:type="spellEnd"/>
      <w:r w:rsidRPr="00336526">
        <w:rPr>
          <w:rFonts w:ascii="Times New Roman" w:hAnsi="Times New Roman" w:cs="Times New Roman"/>
        </w:rPr>
        <w:t xml:space="preserve"> má začať len lekár, ktorý má skúsenosti s podávaním </w:t>
      </w:r>
      <w:proofErr w:type="spellStart"/>
      <w:r w:rsidRPr="00336526">
        <w:rPr>
          <w:rFonts w:ascii="Times New Roman" w:hAnsi="Times New Roman" w:cs="Times New Roman"/>
        </w:rPr>
        <w:t>protinádorových</w:t>
      </w:r>
      <w:proofErr w:type="spellEnd"/>
    </w:p>
    <w:p w14:paraId="374C1A0A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liekov.</w:t>
      </w:r>
    </w:p>
    <w:p w14:paraId="7D8FC061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0ED445C6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36526">
        <w:rPr>
          <w:rFonts w:ascii="Times New Roman" w:hAnsi="Times New Roman" w:cs="Times New Roman"/>
          <w:u w:val="single"/>
        </w:rPr>
        <w:t>Dávkovanie</w:t>
      </w:r>
    </w:p>
    <w:p w14:paraId="00856C37" w14:textId="77777777" w:rsidR="00395BDC" w:rsidRDefault="00395BDC" w:rsidP="00336526">
      <w:pPr>
        <w:spacing w:after="0" w:line="240" w:lineRule="auto"/>
        <w:rPr>
          <w:rFonts w:ascii="Times New Roman" w:hAnsi="Times New Roman" w:cs="Times New Roman"/>
          <w:i/>
        </w:rPr>
      </w:pPr>
    </w:p>
    <w:p w14:paraId="19951EB3" w14:textId="77777777" w:rsidR="00336526" w:rsidRPr="00395BDC" w:rsidRDefault="00336526" w:rsidP="00336526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395BDC">
        <w:rPr>
          <w:rFonts w:ascii="Times New Roman" w:hAnsi="Times New Roman" w:cs="Times New Roman"/>
          <w:i/>
          <w:u w:val="single"/>
        </w:rPr>
        <w:t>Dospelí</w:t>
      </w:r>
    </w:p>
    <w:p w14:paraId="08C76CA8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Odporúčaná dávka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na liečbu RCC alebo STS je 800 mg jedenkrát denne.</w:t>
      </w:r>
    </w:p>
    <w:p w14:paraId="65A02DC7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4D090B17" w14:textId="77777777" w:rsidR="00336526" w:rsidRPr="00395BDC" w:rsidRDefault="00336526" w:rsidP="00336526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395BDC">
        <w:rPr>
          <w:rFonts w:ascii="Times New Roman" w:hAnsi="Times New Roman" w:cs="Times New Roman"/>
          <w:i/>
          <w:u w:val="single"/>
        </w:rPr>
        <w:t>Úprava dávky</w:t>
      </w:r>
    </w:p>
    <w:p w14:paraId="6EFB40C7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Dávka sa má upravovať (znížiť alebo zvýšiť) postupným znižovaním alebo zvyšovaním o 200 mg, a to</w:t>
      </w:r>
    </w:p>
    <w:p w14:paraId="37F100D0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na základe individuálnej znášanlivosti liečby, aby bolo možné zvládnuť nežiaduce reakcie. Dávka</w:t>
      </w:r>
    </w:p>
    <w:p w14:paraId="33B90268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nemá prekročiť 800 mg.</w:t>
      </w:r>
    </w:p>
    <w:p w14:paraId="5B9E1743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5AEF4A1E" w14:textId="77777777" w:rsidR="00336526" w:rsidRPr="00395BDC" w:rsidRDefault="00336526" w:rsidP="00336526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395BDC">
        <w:rPr>
          <w:rFonts w:ascii="Times New Roman" w:hAnsi="Times New Roman" w:cs="Times New Roman"/>
          <w:i/>
          <w:u w:val="single"/>
        </w:rPr>
        <w:t>Pediatrická populácia</w:t>
      </w:r>
    </w:p>
    <w:p w14:paraId="28FB4681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6526">
        <w:rPr>
          <w:rFonts w:ascii="Times New Roman" w:hAnsi="Times New Roman" w:cs="Times New Roman"/>
        </w:rPr>
        <w:t>Pazopanib</w:t>
      </w:r>
      <w:proofErr w:type="spellEnd"/>
      <w:r w:rsidRPr="00336526">
        <w:rPr>
          <w:rFonts w:ascii="Times New Roman" w:hAnsi="Times New Roman" w:cs="Times New Roman"/>
        </w:rPr>
        <w:t xml:space="preserve"> sa nemá používať u detí mladších ako 2 roky kvôli bezpečnostným obavám týkajúcich sa</w:t>
      </w:r>
    </w:p>
    <w:p w14:paraId="4ACC8207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rastu a dozrievania orgánov (pozri časti 4.4 a 5.3).</w:t>
      </w:r>
    </w:p>
    <w:p w14:paraId="22A5251B" w14:textId="77777777" w:rsidR="00395BDC" w:rsidRPr="00336526" w:rsidRDefault="00395BDC" w:rsidP="00336526">
      <w:pPr>
        <w:spacing w:after="0" w:line="240" w:lineRule="auto"/>
        <w:rPr>
          <w:rFonts w:ascii="Times New Roman" w:hAnsi="Times New Roman" w:cs="Times New Roman"/>
        </w:rPr>
      </w:pPr>
    </w:p>
    <w:p w14:paraId="348D3920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Bezpečnosť a účinnosť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u detí vo veku od 2 do 18 rokov neboli doteraz stanovené.</w:t>
      </w:r>
    </w:p>
    <w:p w14:paraId="28D562EF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1D412A4A" w14:textId="77777777" w:rsidR="00395BDC" w:rsidRDefault="00395BDC" w:rsidP="00336526">
      <w:pPr>
        <w:spacing w:after="0" w:line="240" w:lineRule="auto"/>
        <w:rPr>
          <w:rFonts w:ascii="Times New Roman" w:hAnsi="Times New Roman" w:cs="Times New Roman"/>
        </w:rPr>
      </w:pPr>
      <w:r w:rsidRPr="00395BDC">
        <w:rPr>
          <w:rFonts w:ascii="Times New Roman" w:hAnsi="Times New Roman" w:cs="Times New Roman"/>
        </w:rPr>
        <w:t>V súčasnosti dostupné údaje sú opísané v častiach 4.8, 5.1 a 5.2, ale neumožňujú uviesť odporúčania na dávkovanie.</w:t>
      </w:r>
    </w:p>
    <w:p w14:paraId="68002CF3" w14:textId="77777777" w:rsidR="00395BDC" w:rsidRDefault="00395BDC" w:rsidP="00336526">
      <w:pPr>
        <w:spacing w:after="0" w:line="240" w:lineRule="auto"/>
        <w:rPr>
          <w:rFonts w:ascii="Times New Roman" w:hAnsi="Times New Roman" w:cs="Times New Roman"/>
        </w:rPr>
      </w:pPr>
    </w:p>
    <w:p w14:paraId="69C95ED6" w14:textId="77777777" w:rsidR="00336526" w:rsidRPr="00395BDC" w:rsidRDefault="00336526" w:rsidP="00336526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395BDC">
        <w:rPr>
          <w:rFonts w:ascii="Times New Roman" w:hAnsi="Times New Roman" w:cs="Times New Roman"/>
          <w:i/>
          <w:u w:val="single"/>
        </w:rPr>
        <w:t>Starší pacienti</w:t>
      </w:r>
    </w:p>
    <w:p w14:paraId="6D481B8B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K dispozícii sú obmedzené údaje o použití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u pacientov vo veku 65 rokov a starších. V</w:t>
      </w:r>
    </w:p>
    <w:p w14:paraId="0255A19B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štúdiách RCC s </w:t>
      </w:r>
      <w:proofErr w:type="spellStart"/>
      <w:r w:rsidRPr="00336526">
        <w:rPr>
          <w:rFonts w:ascii="Times New Roman" w:hAnsi="Times New Roman" w:cs="Times New Roman"/>
        </w:rPr>
        <w:t>pazopanibom</w:t>
      </w:r>
      <w:proofErr w:type="spellEnd"/>
      <w:r w:rsidRPr="00336526">
        <w:rPr>
          <w:rFonts w:ascii="Times New Roman" w:hAnsi="Times New Roman" w:cs="Times New Roman"/>
        </w:rPr>
        <w:t xml:space="preserve"> sa medzi jedincami vo veku aspoň 65 rokov a mladšími jedincami</w:t>
      </w:r>
    </w:p>
    <w:p w14:paraId="2A255F66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nepozorovali žiadne klinicky významné rozdiely v bezpečnosti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>. V klinickej praxi sa medzi</w:t>
      </w:r>
    </w:p>
    <w:p w14:paraId="76C98659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staršími a mladšími pacientami nezistili rozdiely v odpovedi na liečbu, ale u niektorých starších</w:t>
      </w:r>
    </w:p>
    <w:p w14:paraId="2C340150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pacientov sa nedá vylúčiť vyššia citlivosť na liek.</w:t>
      </w:r>
    </w:p>
    <w:p w14:paraId="62233300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  <w:i/>
        </w:rPr>
      </w:pPr>
    </w:p>
    <w:p w14:paraId="7B687823" w14:textId="77777777" w:rsidR="00336526" w:rsidRPr="00395BDC" w:rsidRDefault="00336526" w:rsidP="00336526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395BDC">
        <w:rPr>
          <w:rFonts w:ascii="Times New Roman" w:hAnsi="Times New Roman" w:cs="Times New Roman"/>
          <w:i/>
          <w:u w:val="single"/>
        </w:rPr>
        <w:t>Porucha funkcie obličiek</w:t>
      </w:r>
    </w:p>
    <w:p w14:paraId="71D5E18E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Porucha funkcie obličiek pravdepodobne nemá klinicky významný vplyv na </w:t>
      </w:r>
      <w:proofErr w:type="spellStart"/>
      <w:r w:rsidRPr="00336526">
        <w:rPr>
          <w:rFonts w:ascii="Times New Roman" w:hAnsi="Times New Roman" w:cs="Times New Roman"/>
        </w:rPr>
        <w:t>farmakokinetiku</w:t>
      </w:r>
      <w:proofErr w:type="spellEnd"/>
    </w:p>
    <w:p w14:paraId="353AF4C1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, keďže obličkami sa vylučuje malé množstvo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a jeho metabolitov (pozri časť</w:t>
      </w:r>
    </w:p>
    <w:p w14:paraId="31CC66CE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5.2). U pacientov s </w:t>
      </w:r>
      <w:proofErr w:type="spellStart"/>
      <w:r w:rsidRPr="00336526">
        <w:rPr>
          <w:rFonts w:ascii="Times New Roman" w:hAnsi="Times New Roman" w:cs="Times New Roman"/>
        </w:rPr>
        <w:t>klírensom</w:t>
      </w:r>
      <w:proofErr w:type="spellEnd"/>
      <w:r w:rsidRPr="00336526">
        <w:rPr>
          <w:rFonts w:ascii="Times New Roman" w:hAnsi="Times New Roman" w:cs="Times New Roman"/>
        </w:rPr>
        <w:t xml:space="preserve"> kreatinínu nad 30 ml/min preto nie je potrebná žiadna úprava dávky. U</w:t>
      </w:r>
    </w:p>
    <w:p w14:paraId="0990CCBF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pacientov s </w:t>
      </w:r>
      <w:proofErr w:type="spellStart"/>
      <w:r w:rsidRPr="00336526">
        <w:rPr>
          <w:rFonts w:ascii="Times New Roman" w:hAnsi="Times New Roman" w:cs="Times New Roman"/>
        </w:rPr>
        <w:t>klírensom</w:t>
      </w:r>
      <w:proofErr w:type="spellEnd"/>
      <w:r w:rsidRPr="00336526">
        <w:rPr>
          <w:rFonts w:ascii="Times New Roman" w:hAnsi="Times New Roman" w:cs="Times New Roman"/>
        </w:rPr>
        <w:t xml:space="preserve"> kreatinínu pod 30 ml/min sa odporúča opatrnosť, keďže v tejto skupine</w:t>
      </w:r>
    </w:p>
    <w:p w14:paraId="130B820C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pacientov nie sú skúsenosti s podávaním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>.</w:t>
      </w:r>
    </w:p>
    <w:p w14:paraId="3B88C4DA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</w:p>
    <w:p w14:paraId="08F4A568" w14:textId="77777777" w:rsidR="00F8207F" w:rsidRPr="00395BDC" w:rsidRDefault="00336526" w:rsidP="00F8207F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395BDC">
        <w:rPr>
          <w:rFonts w:ascii="Times New Roman" w:hAnsi="Times New Roman" w:cs="Times New Roman"/>
          <w:i/>
          <w:u w:val="single"/>
        </w:rPr>
        <w:t>Porucha funkcie pečene</w:t>
      </w:r>
    </w:p>
    <w:p w14:paraId="2C7A41D4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Odporúčania pre dávkovanie pre pacientov s poruchou funkcie pečene vychádzajú z</w:t>
      </w:r>
    </w:p>
    <w:p w14:paraId="693C1A96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8207F">
        <w:rPr>
          <w:rFonts w:ascii="Times New Roman" w:hAnsi="Times New Roman" w:cs="Times New Roman"/>
        </w:rPr>
        <w:t>farmakokinetických</w:t>
      </w:r>
      <w:proofErr w:type="spellEnd"/>
      <w:r w:rsidRPr="00F8207F">
        <w:rPr>
          <w:rFonts w:ascii="Times New Roman" w:hAnsi="Times New Roman" w:cs="Times New Roman"/>
        </w:rPr>
        <w:t xml:space="preserve"> štúdií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u pacientov s rôznymi stupňami hepatálnej dysfunkcie (pozri</w:t>
      </w:r>
    </w:p>
    <w:p w14:paraId="41D4CBA7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časť 5.2). Pred začiatkom a počas liečby </w:t>
      </w:r>
      <w:proofErr w:type="spellStart"/>
      <w:r w:rsidRPr="00336526">
        <w:rPr>
          <w:rFonts w:ascii="Times New Roman" w:hAnsi="Times New Roman" w:cs="Times New Roman"/>
        </w:rPr>
        <w:t>pazopanibom</w:t>
      </w:r>
      <w:proofErr w:type="spellEnd"/>
      <w:r w:rsidRPr="00336526">
        <w:rPr>
          <w:rFonts w:ascii="Times New Roman" w:hAnsi="Times New Roman" w:cs="Times New Roman"/>
        </w:rPr>
        <w:t xml:space="preserve"> majú všetci pacienti podstúpiť vyšetrenie</w:t>
      </w:r>
    </w:p>
    <w:p w14:paraId="1B95935F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funkcie pečene, aby sa stanovilo, či majú poruchu funkcie pečene (pozri časť 4.4). Pacientom s ľahkou</w:t>
      </w:r>
    </w:p>
    <w:p w14:paraId="544364D9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alebo stredne ťažkou poruchou funkcie pečene sa má </w:t>
      </w:r>
      <w:proofErr w:type="spellStart"/>
      <w:r w:rsidRPr="00336526">
        <w:rPr>
          <w:rFonts w:ascii="Times New Roman" w:hAnsi="Times New Roman" w:cs="Times New Roman"/>
        </w:rPr>
        <w:t>pazopanib</w:t>
      </w:r>
      <w:proofErr w:type="spellEnd"/>
      <w:r w:rsidRPr="00336526">
        <w:rPr>
          <w:rFonts w:ascii="Times New Roman" w:hAnsi="Times New Roman" w:cs="Times New Roman"/>
        </w:rPr>
        <w:t xml:space="preserve"> podávať opatrne a za dôkladného</w:t>
      </w:r>
    </w:p>
    <w:p w14:paraId="3880C1A8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sledovania znášanlivosti. 800 mg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jedenkrát denne je odporúčaná dávka pre pacientov s</w:t>
      </w:r>
    </w:p>
    <w:p w14:paraId="3E92284B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miernymi abnormalitami sérových pečeňových testov (definovanými buď ako referenčné hodnoty</w:t>
      </w:r>
    </w:p>
    <w:p w14:paraId="08208C0F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bilirubínu a zvýšenie hodnôt </w:t>
      </w:r>
      <w:proofErr w:type="spellStart"/>
      <w:r w:rsidRPr="00336526">
        <w:rPr>
          <w:rFonts w:ascii="Times New Roman" w:hAnsi="Times New Roman" w:cs="Times New Roman"/>
        </w:rPr>
        <w:t>alanínaminotransferázy</w:t>
      </w:r>
      <w:proofErr w:type="spellEnd"/>
      <w:r w:rsidRPr="00336526">
        <w:rPr>
          <w:rFonts w:ascii="Times New Roman" w:hAnsi="Times New Roman" w:cs="Times New Roman"/>
        </w:rPr>
        <w:t xml:space="preserve"> (ALT) akéhokoľvek stupňa alebo ako zvýšenie</w:t>
      </w:r>
    </w:p>
    <w:p w14:paraId="63A9C183" w14:textId="17B77BE9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hodnôt bilirubínu (&gt; 35 % priamy bilirubín) až na 1,5-násobok hornej hranice</w:t>
      </w:r>
    </w:p>
    <w:p w14:paraId="0271A2EC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referenčného rozpätia (</w:t>
      </w:r>
      <w:proofErr w:type="spellStart"/>
      <w:r w:rsidRPr="00336526">
        <w:rPr>
          <w:rFonts w:ascii="Times New Roman" w:hAnsi="Times New Roman" w:cs="Times New Roman"/>
        </w:rPr>
        <w:t>upper</w:t>
      </w:r>
      <w:proofErr w:type="spellEnd"/>
      <w:r w:rsidRPr="00336526">
        <w:rPr>
          <w:rFonts w:ascii="Times New Roman" w:hAnsi="Times New Roman" w:cs="Times New Roman"/>
        </w:rPr>
        <w:t xml:space="preserve"> limit of </w:t>
      </w:r>
      <w:proofErr w:type="spellStart"/>
      <w:r w:rsidRPr="00336526">
        <w:rPr>
          <w:rFonts w:ascii="Times New Roman" w:hAnsi="Times New Roman" w:cs="Times New Roman"/>
        </w:rPr>
        <w:t>normal</w:t>
      </w:r>
      <w:proofErr w:type="spellEnd"/>
      <w:r w:rsidRPr="00336526">
        <w:rPr>
          <w:rFonts w:ascii="Times New Roman" w:hAnsi="Times New Roman" w:cs="Times New Roman"/>
        </w:rPr>
        <w:t>, ULN) bez ohľadu na hodnotu ALT). Pre pacientov so</w:t>
      </w:r>
    </w:p>
    <w:p w14:paraId="4D2259F0" w14:textId="751944F3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stredne ťažkou poruchou funkcie pečene (definovanou ako zvýšenie hodnôt bilirubínu na &gt; 1,5-násobok až 3-násobok ULN bez ohľadu na hodnotu ALT) sa odporúča znížená dávka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200</w:t>
      </w:r>
    </w:p>
    <w:p w14:paraId="39E11924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mg jedenkrát denne (pozri časť 5.2).</w:t>
      </w:r>
    </w:p>
    <w:p w14:paraId="0B8E4276" w14:textId="77777777" w:rsidR="00F8207F" w:rsidRDefault="00F8207F" w:rsidP="00336526">
      <w:pPr>
        <w:spacing w:after="0" w:line="240" w:lineRule="auto"/>
        <w:rPr>
          <w:rFonts w:ascii="Times New Roman" w:hAnsi="Times New Roman" w:cs="Times New Roman"/>
        </w:rPr>
      </w:pPr>
    </w:p>
    <w:p w14:paraId="6B986E2C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6526">
        <w:rPr>
          <w:rFonts w:ascii="Times New Roman" w:hAnsi="Times New Roman" w:cs="Times New Roman"/>
        </w:rPr>
        <w:t>Pazopanib</w:t>
      </w:r>
      <w:proofErr w:type="spellEnd"/>
      <w:r w:rsidRPr="00336526">
        <w:rPr>
          <w:rFonts w:ascii="Times New Roman" w:hAnsi="Times New Roman" w:cs="Times New Roman"/>
        </w:rPr>
        <w:t xml:space="preserve"> sa neodporúča pre pacientov s ťažkou poruchou funkcie pečene (definovanou ako hodnota</w:t>
      </w:r>
    </w:p>
    <w:p w14:paraId="51C78EDC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celkového bilirubínu &gt; 3-násobok ULN bez ohľadu na hodnotu ALT).</w:t>
      </w:r>
    </w:p>
    <w:p w14:paraId="6FC077F1" w14:textId="77777777" w:rsidR="00F8207F" w:rsidRDefault="00F8207F" w:rsidP="00336526">
      <w:pPr>
        <w:spacing w:after="0" w:line="240" w:lineRule="auto"/>
        <w:rPr>
          <w:rFonts w:ascii="Times New Roman" w:hAnsi="Times New Roman" w:cs="Times New Roman"/>
        </w:rPr>
      </w:pPr>
    </w:p>
    <w:p w14:paraId="45C65994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Monitorovanie funkcie pečene a úprava dávky u pacientov s </w:t>
      </w:r>
      <w:proofErr w:type="spellStart"/>
      <w:r w:rsidRPr="00336526">
        <w:rPr>
          <w:rFonts w:ascii="Times New Roman" w:hAnsi="Times New Roman" w:cs="Times New Roman"/>
        </w:rPr>
        <w:t>hepatotoxicitou</w:t>
      </w:r>
      <w:proofErr w:type="spellEnd"/>
      <w:r w:rsidRPr="00336526">
        <w:rPr>
          <w:rFonts w:ascii="Times New Roman" w:hAnsi="Times New Roman" w:cs="Times New Roman"/>
        </w:rPr>
        <w:t xml:space="preserve"> vyvolanou liekom, pozri</w:t>
      </w:r>
    </w:p>
    <w:p w14:paraId="65675483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časť 4.4.</w:t>
      </w:r>
    </w:p>
    <w:p w14:paraId="482205F3" w14:textId="77777777" w:rsidR="00F8207F" w:rsidRDefault="00F8207F" w:rsidP="00336526">
      <w:pPr>
        <w:spacing w:after="0" w:line="240" w:lineRule="auto"/>
        <w:rPr>
          <w:rFonts w:ascii="Times New Roman" w:hAnsi="Times New Roman" w:cs="Times New Roman"/>
        </w:rPr>
      </w:pPr>
    </w:p>
    <w:p w14:paraId="5C4B0561" w14:textId="77777777" w:rsidR="00336526" w:rsidRPr="00F8207F" w:rsidRDefault="00336526" w:rsidP="0033652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8207F">
        <w:rPr>
          <w:rFonts w:ascii="Times New Roman" w:hAnsi="Times New Roman" w:cs="Times New Roman"/>
          <w:u w:val="single"/>
        </w:rPr>
        <w:lastRenderedPageBreak/>
        <w:t>Spôsob podávania</w:t>
      </w:r>
    </w:p>
    <w:p w14:paraId="451A4CBB" w14:textId="77777777" w:rsidR="00F8207F" w:rsidRDefault="00F8207F" w:rsidP="00336526">
      <w:pPr>
        <w:spacing w:after="0" w:line="240" w:lineRule="auto"/>
        <w:rPr>
          <w:rFonts w:ascii="Times New Roman" w:hAnsi="Times New Roman" w:cs="Times New Roman"/>
        </w:rPr>
      </w:pPr>
    </w:p>
    <w:p w14:paraId="1CFE6A64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6526">
        <w:rPr>
          <w:rFonts w:ascii="Times New Roman" w:hAnsi="Times New Roman" w:cs="Times New Roman"/>
        </w:rPr>
        <w:t>Pazopanib</w:t>
      </w:r>
      <w:proofErr w:type="spellEnd"/>
      <w:r w:rsidRPr="00336526">
        <w:rPr>
          <w:rFonts w:ascii="Times New Roman" w:hAnsi="Times New Roman" w:cs="Times New Roman"/>
        </w:rPr>
        <w:t xml:space="preserve"> </w:t>
      </w:r>
      <w:proofErr w:type="spellStart"/>
      <w:r w:rsidR="007B2DBB">
        <w:rPr>
          <w:rFonts w:ascii="Times New Roman" w:hAnsi="Times New Roman" w:cs="Times New Roman"/>
        </w:rPr>
        <w:t>Teva</w:t>
      </w:r>
      <w:proofErr w:type="spellEnd"/>
      <w:r w:rsidR="007B2DBB">
        <w:rPr>
          <w:rFonts w:ascii="Times New Roman" w:hAnsi="Times New Roman" w:cs="Times New Roman"/>
        </w:rPr>
        <w:t xml:space="preserve"> </w:t>
      </w:r>
      <w:r w:rsidRPr="00336526">
        <w:rPr>
          <w:rFonts w:ascii="Times New Roman" w:hAnsi="Times New Roman" w:cs="Times New Roman"/>
        </w:rPr>
        <w:t xml:space="preserve">je na perorálne použitie. </w:t>
      </w:r>
      <w:r w:rsidR="007B2DBB">
        <w:rPr>
          <w:rFonts w:ascii="Times New Roman" w:hAnsi="Times New Roman" w:cs="Times New Roman"/>
        </w:rPr>
        <w:t>Má sa užívať</w:t>
      </w:r>
      <w:r w:rsidRPr="00336526">
        <w:rPr>
          <w:rFonts w:ascii="Times New Roman" w:hAnsi="Times New Roman" w:cs="Times New Roman"/>
        </w:rPr>
        <w:t xml:space="preserve"> bez jedla, a to aspoň </w:t>
      </w:r>
      <w:r w:rsidR="007B2DBB">
        <w:rPr>
          <w:rFonts w:ascii="Times New Roman" w:hAnsi="Times New Roman" w:cs="Times New Roman"/>
        </w:rPr>
        <w:t xml:space="preserve">hodinu pred alebo dve hodiny po </w:t>
      </w:r>
      <w:r w:rsidRPr="00336526">
        <w:rPr>
          <w:rFonts w:ascii="Times New Roman" w:hAnsi="Times New Roman" w:cs="Times New Roman"/>
        </w:rPr>
        <w:t>jedle (pozri časť 5.2). Filmom obalené tablety sa užívajú celé spo</w:t>
      </w:r>
      <w:r w:rsidR="007B2DBB">
        <w:rPr>
          <w:rFonts w:ascii="Times New Roman" w:hAnsi="Times New Roman" w:cs="Times New Roman"/>
        </w:rPr>
        <w:t xml:space="preserve">lu s vodou a nesmú sa lámať ani </w:t>
      </w:r>
      <w:r w:rsidRPr="00336526">
        <w:rPr>
          <w:rFonts w:ascii="Times New Roman" w:hAnsi="Times New Roman" w:cs="Times New Roman"/>
        </w:rPr>
        <w:t>drviť (pozri časť 5.2).</w:t>
      </w:r>
    </w:p>
    <w:p w14:paraId="67444A9A" w14:textId="77777777" w:rsidR="00F8207F" w:rsidRDefault="00F8207F" w:rsidP="00336526">
      <w:pPr>
        <w:spacing w:after="0" w:line="240" w:lineRule="auto"/>
        <w:rPr>
          <w:rFonts w:ascii="Times New Roman" w:hAnsi="Times New Roman" w:cs="Times New Roman"/>
        </w:rPr>
      </w:pPr>
    </w:p>
    <w:p w14:paraId="41EEF2B3" w14:textId="77777777" w:rsidR="00336526" w:rsidRPr="00F8207F" w:rsidRDefault="00336526" w:rsidP="00336526">
      <w:pPr>
        <w:spacing w:after="0" w:line="240" w:lineRule="auto"/>
        <w:rPr>
          <w:rFonts w:ascii="Times New Roman" w:hAnsi="Times New Roman" w:cs="Times New Roman"/>
          <w:b/>
        </w:rPr>
      </w:pPr>
      <w:r w:rsidRPr="00F8207F">
        <w:rPr>
          <w:rFonts w:ascii="Times New Roman" w:hAnsi="Times New Roman" w:cs="Times New Roman"/>
          <w:b/>
        </w:rPr>
        <w:t xml:space="preserve">4.3 </w:t>
      </w:r>
      <w:r w:rsidR="00F8207F">
        <w:rPr>
          <w:rFonts w:ascii="Times New Roman" w:hAnsi="Times New Roman" w:cs="Times New Roman"/>
          <w:b/>
        </w:rPr>
        <w:tab/>
      </w:r>
      <w:r w:rsidRPr="00F8207F">
        <w:rPr>
          <w:rFonts w:ascii="Times New Roman" w:hAnsi="Times New Roman" w:cs="Times New Roman"/>
          <w:b/>
        </w:rPr>
        <w:t>Kontraindikácie</w:t>
      </w:r>
    </w:p>
    <w:p w14:paraId="06E1A76E" w14:textId="77777777" w:rsidR="00F8207F" w:rsidRDefault="00F8207F" w:rsidP="00336526">
      <w:pPr>
        <w:spacing w:after="0" w:line="240" w:lineRule="auto"/>
        <w:rPr>
          <w:rFonts w:ascii="Times New Roman" w:hAnsi="Times New Roman" w:cs="Times New Roman"/>
        </w:rPr>
      </w:pPr>
    </w:p>
    <w:p w14:paraId="19E0D7BE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Precitlivenosť na liečivo alebo na ktorúkoľvek z pomocných látok uvedených v časti 6.1.</w:t>
      </w:r>
    </w:p>
    <w:p w14:paraId="61C15103" w14:textId="77777777" w:rsidR="00F8207F" w:rsidRDefault="00F8207F" w:rsidP="00336526">
      <w:pPr>
        <w:spacing w:after="0" w:line="240" w:lineRule="auto"/>
        <w:rPr>
          <w:rFonts w:ascii="Times New Roman" w:hAnsi="Times New Roman" w:cs="Times New Roman"/>
        </w:rPr>
      </w:pPr>
    </w:p>
    <w:p w14:paraId="504DDABF" w14:textId="77777777" w:rsidR="00336526" w:rsidRPr="00F8207F" w:rsidRDefault="00336526" w:rsidP="00336526">
      <w:pPr>
        <w:spacing w:after="0" w:line="240" w:lineRule="auto"/>
        <w:rPr>
          <w:rFonts w:ascii="Times New Roman" w:hAnsi="Times New Roman" w:cs="Times New Roman"/>
          <w:b/>
        </w:rPr>
      </w:pPr>
      <w:r w:rsidRPr="00F8207F">
        <w:rPr>
          <w:rFonts w:ascii="Times New Roman" w:hAnsi="Times New Roman" w:cs="Times New Roman"/>
          <w:b/>
        </w:rPr>
        <w:t xml:space="preserve">4.4 </w:t>
      </w:r>
      <w:r w:rsidR="00F8207F" w:rsidRPr="00F8207F">
        <w:rPr>
          <w:rFonts w:ascii="Times New Roman" w:hAnsi="Times New Roman" w:cs="Times New Roman"/>
          <w:b/>
        </w:rPr>
        <w:tab/>
      </w:r>
      <w:r w:rsidRPr="00F8207F">
        <w:rPr>
          <w:rFonts w:ascii="Times New Roman" w:hAnsi="Times New Roman" w:cs="Times New Roman"/>
          <w:b/>
        </w:rPr>
        <w:t>Osobitné upozornenia a opatrenia pri používaní</w:t>
      </w:r>
    </w:p>
    <w:p w14:paraId="55CDB87D" w14:textId="77777777" w:rsidR="00F8207F" w:rsidRDefault="00F8207F" w:rsidP="00336526">
      <w:pPr>
        <w:spacing w:after="0" w:line="240" w:lineRule="auto"/>
        <w:rPr>
          <w:rFonts w:ascii="Times New Roman" w:hAnsi="Times New Roman" w:cs="Times New Roman"/>
        </w:rPr>
      </w:pPr>
    </w:p>
    <w:p w14:paraId="502B6ADA" w14:textId="77777777" w:rsidR="00336526" w:rsidRDefault="00336526" w:rsidP="0033652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8207F">
        <w:rPr>
          <w:rFonts w:ascii="Times New Roman" w:hAnsi="Times New Roman" w:cs="Times New Roman"/>
          <w:u w:val="single"/>
        </w:rPr>
        <w:t>Účinky na pečeň</w:t>
      </w:r>
    </w:p>
    <w:p w14:paraId="2CAF0610" w14:textId="77777777" w:rsidR="007B2DBB" w:rsidRPr="00F8207F" w:rsidRDefault="007B2DBB" w:rsidP="0033652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188579F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Pri podávaní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boli hlásené prípady zlyhania pečene (vrátane smrteľných prípadov).</w:t>
      </w:r>
    </w:p>
    <w:p w14:paraId="7696575C" w14:textId="77777777" w:rsidR="00336526" w:rsidRPr="00336526" w:rsidRDefault="00336526" w:rsidP="00336526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Pacientom s ľahkou alebo stredne ťažkou poruchou funkcie pečene sa má </w:t>
      </w:r>
      <w:proofErr w:type="spellStart"/>
      <w:r w:rsidRPr="00336526">
        <w:rPr>
          <w:rFonts w:ascii="Times New Roman" w:hAnsi="Times New Roman" w:cs="Times New Roman"/>
        </w:rPr>
        <w:t>pazopanib</w:t>
      </w:r>
      <w:proofErr w:type="spellEnd"/>
      <w:r w:rsidRPr="00336526">
        <w:rPr>
          <w:rFonts w:ascii="Times New Roman" w:hAnsi="Times New Roman" w:cs="Times New Roman"/>
        </w:rPr>
        <w:t xml:space="preserve"> podávať opatrne</w:t>
      </w:r>
    </w:p>
    <w:p w14:paraId="00A25425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a za dôkladného sledovania. 800 mg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jedenkrát denne je odporúčaná dávka pre pacientov s </w:t>
      </w:r>
    </w:p>
    <w:p w14:paraId="6E82BC52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miernymi abnormalitami sérových pečeňových testov (buď referenčné hodnoty bilirubínu a zvýšenie</w:t>
      </w:r>
    </w:p>
    <w:p w14:paraId="287F8E6D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hodnôt ALT akéhokoľvek stupňa alebo zvýšenie hodnôt bilirubínu až na 1,5-násobok ULN bez</w:t>
      </w:r>
    </w:p>
    <w:p w14:paraId="4087BB8C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ohľadu na hodnotu ALT). Pre pacientov so stredne ťažkou poruchou funkcie pečene (zvýšenie hodnôt</w:t>
      </w:r>
    </w:p>
    <w:p w14:paraId="3232BC6E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bilirubínu na &gt; 1,5-násobok až 3-násobok ULN bez ohľadu na hodnotu ALT) sa odporúča znížená</w:t>
      </w:r>
    </w:p>
    <w:p w14:paraId="5F73A83E" w14:textId="65771E0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dávka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200 mg jedenkrát denne (pozri čas</w:t>
      </w:r>
      <w:r w:rsidR="000A7D44">
        <w:rPr>
          <w:rFonts w:ascii="Times New Roman" w:hAnsi="Times New Roman" w:cs="Times New Roman"/>
        </w:rPr>
        <w:t>ti</w:t>
      </w:r>
      <w:r w:rsidRPr="00336526">
        <w:rPr>
          <w:rFonts w:ascii="Times New Roman" w:hAnsi="Times New Roman" w:cs="Times New Roman"/>
        </w:rPr>
        <w:t xml:space="preserve"> 4.2 a 5.2). </w:t>
      </w:r>
      <w:proofErr w:type="spellStart"/>
      <w:r w:rsidRPr="00336526">
        <w:rPr>
          <w:rFonts w:ascii="Times New Roman" w:hAnsi="Times New Roman" w:cs="Times New Roman"/>
        </w:rPr>
        <w:t>Pazopanib</w:t>
      </w:r>
      <w:proofErr w:type="spellEnd"/>
      <w:r w:rsidRPr="00336526">
        <w:rPr>
          <w:rFonts w:ascii="Times New Roman" w:hAnsi="Times New Roman" w:cs="Times New Roman"/>
        </w:rPr>
        <w:t xml:space="preserve"> sa neodporúča pre</w:t>
      </w:r>
    </w:p>
    <w:p w14:paraId="730A3C05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pacientov s ťažkou poruchou funkcie pečene (hodnota celkového bilirubínu &gt; 3-násobok ULN bez</w:t>
      </w:r>
    </w:p>
    <w:p w14:paraId="6AAD826D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ohľadu na hodnotu ALT) (pozri časti 4.2 a 5.2). U týchto pacientov je expozícia </w:t>
      </w:r>
      <w:proofErr w:type="spellStart"/>
      <w:r w:rsidRPr="00336526">
        <w:rPr>
          <w:rFonts w:ascii="Times New Roman" w:hAnsi="Times New Roman" w:cs="Times New Roman"/>
        </w:rPr>
        <w:t>pazopanibu</w:t>
      </w:r>
      <w:proofErr w:type="spellEnd"/>
      <w:r w:rsidRPr="00336526">
        <w:rPr>
          <w:rFonts w:ascii="Times New Roman" w:hAnsi="Times New Roman" w:cs="Times New Roman"/>
        </w:rPr>
        <w:t xml:space="preserve"> pri 200</w:t>
      </w:r>
    </w:p>
    <w:p w14:paraId="1D717E1F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mg dávke výrazne znížená, hoci je vysoko premenlivá, s hodnotami považovanými za nedostatočné na</w:t>
      </w:r>
    </w:p>
    <w:p w14:paraId="26001BAB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dosiahnutie klinicky významného účinku.</w:t>
      </w:r>
    </w:p>
    <w:p w14:paraId="6D322FA2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395A42C0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V klinických štúdiách s </w:t>
      </w:r>
      <w:proofErr w:type="spellStart"/>
      <w:r w:rsidRPr="00336526">
        <w:rPr>
          <w:rFonts w:ascii="Times New Roman" w:hAnsi="Times New Roman" w:cs="Times New Roman"/>
        </w:rPr>
        <w:t>pazopanibom</w:t>
      </w:r>
      <w:proofErr w:type="spellEnd"/>
      <w:r w:rsidRPr="00336526">
        <w:rPr>
          <w:rFonts w:ascii="Times New Roman" w:hAnsi="Times New Roman" w:cs="Times New Roman"/>
        </w:rPr>
        <w:t xml:space="preserve"> bolo pozorované zvýšenie hodnôt sérových </w:t>
      </w:r>
      <w:proofErr w:type="spellStart"/>
      <w:r w:rsidRPr="00336526">
        <w:rPr>
          <w:rFonts w:ascii="Times New Roman" w:hAnsi="Times New Roman" w:cs="Times New Roman"/>
        </w:rPr>
        <w:t>transamináz</w:t>
      </w:r>
      <w:proofErr w:type="spellEnd"/>
      <w:r w:rsidRPr="00336526">
        <w:rPr>
          <w:rFonts w:ascii="Times New Roman" w:hAnsi="Times New Roman" w:cs="Times New Roman"/>
        </w:rPr>
        <w:t xml:space="preserve"> (ALT,</w:t>
      </w:r>
    </w:p>
    <w:p w14:paraId="56BFA4FA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6526">
        <w:rPr>
          <w:rFonts w:ascii="Times New Roman" w:hAnsi="Times New Roman" w:cs="Times New Roman"/>
        </w:rPr>
        <w:t>aspartátaminotransferázy</w:t>
      </w:r>
      <w:proofErr w:type="spellEnd"/>
      <w:r w:rsidRPr="00336526">
        <w:rPr>
          <w:rFonts w:ascii="Times New Roman" w:hAnsi="Times New Roman" w:cs="Times New Roman"/>
        </w:rPr>
        <w:t xml:space="preserve"> [AST]) a bilirubínu (pozri časť 4.8). Vo väčšine prípadov bolo hlásené iba</w:t>
      </w:r>
    </w:p>
    <w:p w14:paraId="1128F3DF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zvýšenie hodnôt ALT a AST, bez sprievodného zvýšenia hodnôt alkalickej </w:t>
      </w:r>
      <w:proofErr w:type="spellStart"/>
      <w:r w:rsidRPr="00336526">
        <w:rPr>
          <w:rFonts w:ascii="Times New Roman" w:hAnsi="Times New Roman" w:cs="Times New Roman"/>
        </w:rPr>
        <w:t>fosfatázy</w:t>
      </w:r>
      <w:proofErr w:type="spellEnd"/>
      <w:r w:rsidRPr="00336526">
        <w:rPr>
          <w:rFonts w:ascii="Times New Roman" w:hAnsi="Times New Roman" w:cs="Times New Roman"/>
        </w:rPr>
        <w:t xml:space="preserve"> alebo bilirubínu.</w:t>
      </w:r>
    </w:p>
    <w:p w14:paraId="6B207ED0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Pacienti vo veku nad 60 rokov môžu mať vyššie riziko mierneho (&gt; 3-násobok ULN) až závažného (&gt;</w:t>
      </w:r>
    </w:p>
    <w:p w14:paraId="58ADD25E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>8-násobok ULN) zvýšenia hodnoty ALT. Pacienti, ktorí sú nositeľmi alely HLA -B*57:01, majú tiež</w:t>
      </w:r>
    </w:p>
    <w:p w14:paraId="1F6C5411" w14:textId="77777777" w:rsidR="00336526" w:rsidRP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336526">
        <w:rPr>
          <w:rFonts w:ascii="Times New Roman" w:hAnsi="Times New Roman" w:cs="Times New Roman"/>
        </w:rPr>
        <w:t xml:space="preserve">vyššie riziko zvýšenia hodnôt ALT súvisiace s </w:t>
      </w:r>
      <w:proofErr w:type="spellStart"/>
      <w:r w:rsidRPr="00336526">
        <w:rPr>
          <w:rFonts w:ascii="Times New Roman" w:hAnsi="Times New Roman" w:cs="Times New Roman"/>
        </w:rPr>
        <w:t>pazopanibom</w:t>
      </w:r>
      <w:proofErr w:type="spellEnd"/>
      <w:r w:rsidRPr="00336526">
        <w:rPr>
          <w:rFonts w:ascii="Times New Roman" w:hAnsi="Times New Roman" w:cs="Times New Roman"/>
        </w:rPr>
        <w:t>. U všetkých pacientov užívajúcich</w:t>
      </w:r>
    </w:p>
    <w:p w14:paraId="19E1C394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6526">
        <w:rPr>
          <w:rFonts w:ascii="Times New Roman" w:hAnsi="Times New Roman" w:cs="Times New Roman"/>
        </w:rPr>
        <w:t>pazopanib</w:t>
      </w:r>
      <w:proofErr w:type="spellEnd"/>
      <w:r w:rsidRPr="00336526">
        <w:rPr>
          <w:rFonts w:ascii="Times New Roman" w:hAnsi="Times New Roman" w:cs="Times New Roman"/>
        </w:rPr>
        <w:t xml:space="preserve"> sa má sledovať funkcia pečene, bez ohľadu na genotyp alebo vek </w:t>
      </w:r>
      <w:r w:rsidRPr="00F8207F">
        <w:rPr>
          <w:rFonts w:ascii="Times New Roman" w:hAnsi="Times New Roman" w:cs="Times New Roman"/>
        </w:rPr>
        <w:t>(pozri časť 5.1).</w:t>
      </w:r>
    </w:p>
    <w:p w14:paraId="0518CF79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23DC0C1B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Sérové pečeňové testy treba urobiť pred začatím liečby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>, v 3., 5., 7. a 9. týždni, potom v</w:t>
      </w:r>
    </w:p>
    <w:p w14:paraId="4BC935A9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3. a v 4. mesiaci, ďalšie testy podľa klinickej potreby. V pravidelnom testovaní sa má pokračovať aj</w:t>
      </w:r>
    </w:p>
    <w:p w14:paraId="011C63AC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po 4. mesiaci.</w:t>
      </w:r>
    </w:p>
    <w:p w14:paraId="392877B4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60851366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Odporúčania na úpravu dávky u pacientov s východiskovými hodnotami celkového bilirubínu</w:t>
      </w:r>
    </w:p>
    <w:p w14:paraId="6C4621A5" w14:textId="77777777" w:rsid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≤ 1,5-násobok ULN a AST a ALT ≤ 2-násobok ULN, pozri tabuľku 1:</w:t>
      </w:r>
    </w:p>
    <w:p w14:paraId="59859EDE" w14:textId="77777777" w:rsidR="007B2DBB" w:rsidRDefault="007B2DBB" w:rsidP="00F8207F">
      <w:pPr>
        <w:spacing w:after="0" w:line="240" w:lineRule="auto"/>
        <w:rPr>
          <w:rFonts w:ascii="Times New Roman" w:hAnsi="Times New Roman" w:cs="Times New Roman"/>
        </w:rPr>
      </w:pPr>
    </w:p>
    <w:p w14:paraId="762C8216" w14:textId="77777777" w:rsidR="007B2DBB" w:rsidRPr="007B2DBB" w:rsidRDefault="007B2DBB" w:rsidP="00F8207F">
      <w:pPr>
        <w:spacing w:after="0" w:line="240" w:lineRule="auto"/>
        <w:rPr>
          <w:rFonts w:ascii="Times New Roman" w:hAnsi="Times New Roman" w:cs="Times New Roman"/>
          <w:b/>
        </w:rPr>
      </w:pPr>
      <w:r w:rsidRPr="007B2DBB">
        <w:rPr>
          <w:rFonts w:ascii="Times New Roman" w:hAnsi="Times New Roman" w:cs="Times New Roman"/>
          <w:b/>
        </w:rPr>
        <w:t xml:space="preserve">Tabuľka 1 </w:t>
      </w:r>
      <w:r w:rsidR="00253F14">
        <w:rPr>
          <w:rFonts w:ascii="Times New Roman" w:hAnsi="Times New Roman" w:cs="Times New Roman"/>
          <w:b/>
        </w:rPr>
        <w:tab/>
      </w:r>
      <w:r w:rsidRPr="007B2DBB">
        <w:rPr>
          <w:rFonts w:ascii="Times New Roman" w:hAnsi="Times New Roman" w:cs="Times New Roman"/>
          <w:b/>
        </w:rPr>
        <w:t xml:space="preserve">Úpravy dávky pri </w:t>
      </w:r>
      <w:proofErr w:type="spellStart"/>
      <w:r w:rsidRPr="007B2DBB">
        <w:rPr>
          <w:rFonts w:ascii="Times New Roman" w:hAnsi="Times New Roman" w:cs="Times New Roman"/>
          <w:b/>
        </w:rPr>
        <w:t>hepatotoxicite</w:t>
      </w:r>
      <w:proofErr w:type="spellEnd"/>
      <w:r w:rsidRPr="007B2DBB">
        <w:rPr>
          <w:rFonts w:ascii="Times New Roman" w:hAnsi="Times New Roman" w:cs="Times New Roman"/>
          <w:b/>
        </w:rPr>
        <w:t xml:space="preserve"> vyvolanej liekom</w:t>
      </w:r>
    </w:p>
    <w:p w14:paraId="24878539" w14:textId="77777777" w:rsidR="007B2DBB" w:rsidRDefault="007B2DBB" w:rsidP="00F8207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49"/>
        <w:gridCol w:w="6011"/>
      </w:tblGrid>
      <w:tr w:rsidR="007B2DBB" w:rsidRPr="005F194D" w14:paraId="128CABE0" w14:textId="77777777" w:rsidTr="00F209FF">
        <w:tc>
          <w:tcPr>
            <w:tcW w:w="3085" w:type="dxa"/>
          </w:tcPr>
          <w:p w14:paraId="7E0E9FAA" w14:textId="77777777" w:rsidR="007B2DBB" w:rsidRPr="005F194D" w:rsidRDefault="007B2DBB" w:rsidP="00F209FF">
            <w:pPr>
              <w:jc w:val="both"/>
              <w:rPr>
                <w:spacing w:val="-1"/>
                <w:sz w:val="22"/>
                <w:szCs w:val="22"/>
                <w:u w:color="000000"/>
              </w:rPr>
            </w:pPr>
            <w:r w:rsidRPr="007B2DBB">
              <w:rPr>
                <w:sz w:val="22"/>
                <w:szCs w:val="22"/>
                <w:lang w:val="sk-SK"/>
              </w:rPr>
              <w:t xml:space="preserve">Hodnoty </w:t>
            </w:r>
            <w:proofErr w:type="spellStart"/>
            <w:r w:rsidRPr="007B2DBB">
              <w:rPr>
                <w:sz w:val="22"/>
                <w:szCs w:val="22"/>
                <w:lang w:val="sk-SK"/>
              </w:rPr>
              <w:t>pečeňových</w:t>
            </w:r>
            <w:proofErr w:type="spellEnd"/>
            <w:r w:rsidRPr="007B2DBB">
              <w:rPr>
                <w:sz w:val="22"/>
                <w:szCs w:val="22"/>
                <w:lang w:val="sk-SK"/>
              </w:rPr>
              <w:t xml:space="preserve"> testov</w:t>
            </w:r>
          </w:p>
        </w:tc>
        <w:tc>
          <w:tcPr>
            <w:tcW w:w="6095" w:type="dxa"/>
          </w:tcPr>
          <w:p w14:paraId="1210334C" w14:textId="77777777" w:rsidR="007B2DBB" w:rsidRPr="005F194D" w:rsidRDefault="007B2DBB" w:rsidP="00F209FF">
            <w:pPr>
              <w:rPr>
                <w:spacing w:val="-1"/>
                <w:sz w:val="22"/>
                <w:szCs w:val="22"/>
                <w:u w:color="000000"/>
              </w:rPr>
            </w:pPr>
            <w:r w:rsidRPr="007B2DBB">
              <w:rPr>
                <w:spacing w:val="-1"/>
                <w:sz w:val="22"/>
                <w:szCs w:val="22"/>
              </w:rPr>
              <w:t>Úprava dávky</w:t>
            </w:r>
          </w:p>
        </w:tc>
      </w:tr>
      <w:tr w:rsidR="007B2DBB" w:rsidRPr="005F194D" w14:paraId="5C5874F6" w14:textId="77777777" w:rsidTr="00F209FF">
        <w:tc>
          <w:tcPr>
            <w:tcW w:w="3085" w:type="dxa"/>
          </w:tcPr>
          <w:p w14:paraId="39AA6BDE" w14:textId="77777777" w:rsidR="007B2DBB" w:rsidRPr="007B2DBB" w:rsidRDefault="007B2DBB" w:rsidP="007B2DBB">
            <w:pPr>
              <w:rPr>
                <w:spacing w:val="-2"/>
                <w:sz w:val="22"/>
                <w:szCs w:val="22"/>
              </w:rPr>
            </w:pPr>
            <w:r w:rsidRPr="007B2DBB">
              <w:rPr>
                <w:spacing w:val="-2"/>
                <w:sz w:val="22"/>
                <w:szCs w:val="22"/>
              </w:rPr>
              <w:t>Zvýšenie hodnôt transamináz</w:t>
            </w:r>
          </w:p>
          <w:p w14:paraId="59F90607" w14:textId="77777777" w:rsidR="007B2DBB" w:rsidRPr="005F194D" w:rsidRDefault="007B2DBB" w:rsidP="007B2DBB">
            <w:pPr>
              <w:rPr>
                <w:spacing w:val="-1"/>
                <w:sz w:val="22"/>
                <w:szCs w:val="22"/>
                <w:u w:color="000000"/>
              </w:rPr>
            </w:pPr>
            <w:r w:rsidRPr="007B2DBB">
              <w:rPr>
                <w:spacing w:val="-2"/>
                <w:sz w:val="22"/>
                <w:szCs w:val="22"/>
              </w:rPr>
              <w:t>na 3- až 8-násobok ULN</w:t>
            </w:r>
          </w:p>
        </w:tc>
        <w:tc>
          <w:tcPr>
            <w:tcW w:w="6095" w:type="dxa"/>
          </w:tcPr>
          <w:p w14:paraId="41692757" w14:textId="77777777" w:rsidR="007B2DBB" w:rsidRPr="007B2DBB" w:rsidRDefault="007B2DBB" w:rsidP="007B2DBB">
            <w:pPr>
              <w:rPr>
                <w:spacing w:val="-1"/>
                <w:sz w:val="22"/>
                <w:szCs w:val="22"/>
              </w:rPr>
            </w:pPr>
            <w:r w:rsidRPr="007B2DBB">
              <w:rPr>
                <w:spacing w:val="-1"/>
                <w:sz w:val="22"/>
                <w:szCs w:val="22"/>
              </w:rPr>
              <w:t>Pokračujte v liečbe pazopanibom a funkciu pečene kontrolujte</w:t>
            </w:r>
          </w:p>
          <w:p w14:paraId="7A17048D" w14:textId="77777777" w:rsidR="007B2DBB" w:rsidRPr="007B2DBB" w:rsidRDefault="007B2DBB" w:rsidP="007B2DBB">
            <w:pPr>
              <w:rPr>
                <w:spacing w:val="-1"/>
                <w:sz w:val="22"/>
                <w:szCs w:val="22"/>
              </w:rPr>
            </w:pPr>
            <w:r w:rsidRPr="007B2DBB">
              <w:rPr>
                <w:spacing w:val="-1"/>
                <w:sz w:val="22"/>
                <w:szCs w:val="22"/>
              </w:rPr>
              <w:t>raz týždenne, pokým sa hodnoty transamináz nevrátia na</w:t>
            </w:r>
          </w:p>
          <w:p w14:paraId="60168E28" w14:textId="77777777" w:rsidR="007B2DBB" w:rsidRPr="005F194D" w:rsidRDefault="007B2DBB" w:rsidP="007B2DBB">
            <w:pPr>
              <w:rPr>
                <w:spacing w:val="-1"/>
                <w:sz w:val="22"/>
                <w:szCs w:val="22"/>
                <w:u w:color="000000"/>
              </w:rPr>
            </w:pPr>
            <w:r w:rsidRPr="007B2DBB">
              <w:rPr>
                <w:spacing w:val="-1"/>
                <w:sz w:val="22"/>
                <w:szCs w:val="22"/>
              </w:rPr>
              <w:t>1. stupeň toxicity alebo na východiskové hodnoty.</w:t>
            </w:r>
          </w:p>
        </w:tc>
      </w:tr>
      <w:tr w:rsidR="007B2DBB" w:rsidRPr="005F194D" w14:paraId="540C41E4" w14:textId="77777777" w:rsidTr="00F209FF">
        <w:tc>
          <w:tcPr>
            <w:tcW w:w="3085" w:type="dxa"/>
          </w:tcPr>
          <w:p w14:paraId="488BF8CD" w14:textId="77777777" w:rsidR="007B2DBB" w:rsidRPr="007B2DBB" w:rsidRDefault="007B2DBB" w:rsidP="007B2DBB">
            <w:pPr>
              <w:rPr>
                <w:spacing w:val="2"/>
                <w:sz w:val="22"/>
                <w:szCs w:val="22"/>
              </w:rPr>
            </w:pPr>
            <w:r w:rsidRPr="007B2DBB">
              <w:rPr>
                <w:spacing w:val="2"/>
                <w:sz w:val="22"/>
                <w:szCs w:val="22"/>
              </w:rPr>
              <w:t>Zvýšenie hodnôt transamináz</w:t>
            </w:r>
          </w:p>
          <w:p w14:paraId="3CD4BED8" w14:textId="77777777" w:rsidR="007B2DBB" w:rsidRPr="005F194D" w:rsidRDefault="007B2DBB" w:rsidP="007B2DBB">
            <w:pPr>
              <w:rPr>
                <w:spacing w:val="-1"/>
                <w:sz w:val="22"/>
                <w:szCs w:val="22"/>
                <w:u w:color="000000"/>
              </w:rPr>
            </w:pPr>
            <w:r w:rsidRPr="007B2DBB">
              <w:rPr>
                <w:spacing w:val="2"/>
                <w:sz w:val="22"/>
                <w:szCs w:val="22"/>
              </w:rPr>
              <w:t>na &gt; 8-násobok ULN</w:t>
            </w:r>
          </w:p>
        </w:tc>
        <w:tc>
          <w:tcPr>
            <w:tcW w:w="6095" w:type="dxa"/>
          </w:tcPr>
          <w:p w14:paraId="48AA2D4D" w14:textId="77777777" w:rsidR="007B2DBB" w:rsidRPr="007B2DBB" w:rsidRDefault="007B2DBB" w:rsidP="007B2DBB">
            <w:pPr>
              <w:rPr>
                <w:spacing w:val="-4"/>
                <w:sz w:val="22"/>
                <w:szCs w:val="22"/>
              </w:rPr>
            </w:pPr>
            <w:r w:rsidRPr="007B2DBB">
              <w:rPr>
                <w:spacing w:val="-4"/>
                <w:sz w:val="22"/>
                <w:szCs w:val="22"/>
              </w:rPr>
              <w:t>Prerušte liečbu pazopanibom, pokým sa hodnoty transamináz</w:t>
            </w:r>
          </w:p>
          <w:p w14:paraId="4398ABBA" w14:textId="77777777" w:rsidR="005359FD" w:rsidRDefault="007B2DBB" w:rsidP="007B2DBB">
            <w:r w:rsidRPr="007B2DBB">
              <w:rPr>
                <w:spacing w:val="-4"/>
                <w:sz w:val="22"/>
                <w:szCs w:val="22"/>
              </w:rPr>
              <w:t>nevrátia na 1. stupeň toxicity alebo na východiskové hodnoty.</w:t>
            </w:r>
            <w:r>
              <w:t xml:space="preserve"> </w:t>
            </w:r>
          </w:p>
          <w:p w14:paraId="5300E6B8" w14:textId="77777777" w:rsidR="007B2DBB" w:rsidRPr="007B2DBB" w:rsidRDefault="007B2DBB" w:rsidP="007B2DBB">
            <w:pPr>
              <w:rPr>
                <w:spacing w:val="-4"/>
                <w:sz w:val="22"/>
                <w:szCs w:val="22"/>
              </w:rPr>
            </w:pPr>
            <w:r w:rsidRPr="007B2DBB">
              <w:rPr>
                <w:spacing w:val="-4"/>
                <w:sz w:val="22"/>
                <w:szCs w:val="22"/>
              </w:rPr>
              <w:t>Ak možný prínos opätovného začatia liečby pazopanibom</w:t>
            </w:r>
          </w:p>
          <w:p w14:paraId="64A00D1D" w14:textId="77777777" w:rsidR="007B2DBB" w:rsidRPr="007B2DBB" w:rsidRDefault="007B2DBB" w:rsidP="007B2DBB">
            <w:pPr>
              <w:rPr>
                <w:spacing w:val="-4"/>
                <w:sz w:val="22"/>
                <w:szCs w:val="22"/>
              </w:rPr>
            </w:pPr>
            <w:r w:rsidRPr="007B2DBB">
              <w:rPr>
                <w:spacing w:val="-4"/>
                <w:sz w:val="22"/>
                <w:szCs w:val="22"/>
              </w:rPr>
              <w:t>prevyšuje riziko hepatotoxicity, pazopanib znovu začnite</w:t>
            </w:r>
          </w:p>
          <w:p w14:paraId="6B23FD6E" w14:textId="77777777" w:rsidR="007B2DBB" w:rsidRPr="007B2DBB" w:rsidRDefault="007B2DBB" w:rsidP="007B2DBB">
            <w:pPr>
              <w:rPr>
                <w:spacing w:val="-4"/>
                <w:sz w:val="22"/>
                <w:szCs w:val="22"/>
              </w:rPr>
            </w:pPr>
            <w:r w:rsidRPr="007B2DBB">
              <w:rPr>
                <w:spacing w:val="-4"/>
                <w:sz w:val="22"/>
                <w:szCs w:val="22"/>
              </w:rPr>
              <w:t>podávať v zníženej dávke 400 mg denne a sérové pečeňové testy</w:t>
            </w:r>
          </w:p>
          <w:p w14:paraId="5EBE5461" w14:textId="77777777" w:rsidR="007B2DBB" w:rsidRPr="007B2DBB" w:rsidRDefault="007B2DBB" w:rsidP="007B2DBB">
            <w:pPr>
              <w:rPr>
                <w:spacing w:val="-4"/>
                <w:sz w:val="22"/>
                <w:szCs w:val="22"/>
              </w:rPr>
            </w:pPr>
            <w:r w:rsidRPr="007B2DBB">
              <w:rPr>
                <w:spacing w:val="-4"/>
                <w:sz w:val="22"/>
                <w:szCs w:val="22"/>
              </w:rPr>
              <w:t>urobte raz týždenne počas 8 týždňov. Ak po opätovnom začatí</w:t>
            </w:r>
          </w:p>
          <w:p w14:paraId="46B7EAF9" w14:textId="77777777" w:rsidR="007B2DBB" w:rsidRPr="007B2DBB" w:rsidRDefault="007B2DBB" w:rsidP="007B2DBB">
            <w:pPr>
              <w:rPr>
                <w:spacing w:val="-4"/>
                <w:sz w:val="22"/>
                <w:szCs w:val="22"/>
              </w:rPr>
            </w:pPr>
            <w:r w:rsidRPr="007B2DBB">
              <w:rPr>
                <w:spacing w:val="-4"/>
                <w:sz w:val="22"/>
                <w:szCs w:val="22"/>
              </w:rPr>
              <w:t>liečby pazopanibom znovu dôjde k zvýšeniu transamináz</w:t>
            </w:r>
          </w:p>
          <w:p w14:paraId="18BE3537" w14:textId="77777777" w:rsidR="007B2DBB" w:rsidRPr="005F194D" w:rsidRDefault="007B2DBB" w:rsidP="00EB565C">
            <w:pPr>
              <w:rPr>
                <w:spacing w:val="-1"/>
                <w:sz w:val="22"/>
                <w:szCs w:val="22"/>
                <w:u w:color="000000"/>
              </w:rPr>
            </w:pPr>
            <w:r w:rsidRPr="007B2DBB">
              <w:rPr>
                <w:spacing w:val="-4"/>
                <w:sz w:val="22"/>
                <w:szCs w:val="22"/>
              </w:rPr>
              <w:lastRenderedPageBreak/>
              <w:t>na &gt; 3-násobok ULN, liečba pazopanibom sa má natrvalo</w:t>
            </w:r>
            <w:r w:rsidR="00EB565C">
              <w:rPr>
                <w:spacing w:val="-4"/>
                <w:sz w:val="22"/>
                <w:szCs w:val="22"/>
              </w:rPr>
              <w:t xml:space="preserve"> ukončiť.</w:t>
            </w:r>
          </w:p>
        </w:tc>
      </w:tr>
      <w:tr w:rsidR="007B2DBB" w:rsidRPr="005F194D" w14:paraId="34FB0D59" w14:textId="77777777" w:rsidTr="00F209FF">
        <w:tc>
          <w:tcPr>
            <w:tcW w:w="3085" w:type="dxa"/>
          </w:tcPr>
          <w:p w14:paraId="7548A988" w14:textId="77777777" w:rsidR="00EB565C" w:rsidRPr="00EB565C" w:rsidRDefault="00EB565C" w:rsidP="00EB565C">
            <w:pPr>
              <w:rPr>
                <w:spacing w:val="2"/>
                <w:sz w:val="22"/>
                <w:szCs w:val="22"/>
              </w:rPr>
            </w:pPr>
            <w:r w:rsidRPr="00EB565C">
              <w:rPr>
                <w:spacing w:val="2"/>
                <w:sz w:val="22"/>
                <w:szCs w:val="22"/>
              </w:rPr>
              <w:lastRenderedPageBreak/>
              <w:t>Zvýšenie hodnôt transamináz</w:t>
            </w:r>
          </w:p>
          <w:p w14:paraId="7F9CC136" w14:textId="77777777" w:rsidR="00EB565C" w:rsidRPr="00EB565C" w:rsidRDefault="00EB565C" w:rsidP="00EB565C">
            <w:pPr>
              <w:rPr>
                <w:spacing w:val="2"/>
                <w:sz w:val="22"/>
                <w:szCs w:val="22"/>
              </w:rPr>
            </w:pPr>
            <w:r w:rsidRPr="00EB565C">
              <w:rPr>
                <w:spacing w:val="2"/>
                <w:sz w:val="22"/>
                <w:szCs w:val="22"/>
              </w:rPr>
              <w:t>na &gt;3-násobok ULN súčasne</w:t>
            </w:r>
          </w:p>
          <w:p w14:paraId="3BAD29BB" w14:textId="77777777" w:rsidR="00EB565C" w:rsidRPr="00EB565C" w:rsidRDefault="00EB565C" w:rsidP="00EB565C">
            <w:pPr>
              <w:rPr>
                <w:spacing w:val="2"/>
                <w:sz w:val="22"/>
                <w:szCs w:val="22"/>
              </w:rPr>
            </w:pPr>
            <w:r w:rsidRPr="00EB565C">
              <w:rPr>
                <w:spacing w:val="2"/>
                <w:sz w:val="22"/>
                <w:szCs w:val="22"/>
              </w:rPr>
              <w:t>so zvýšením hodnôt bilirubínu</w:t>
            </w:r>
          </w:p>
          <w:p w14:paraId="7D26C12C" w14:textId="77777777" w:rsidR="007B2DBB" w:rsidRPr="005F194D" w:rsidRDefault="00EB565C" w:rsidP="00EB565C">
            <w:pPr>
              <w:rPr>
                <w:spacing w:val="-1"/>
                <w:sz w:val="22"/>
                <w:szCs w:val="22"/>
                <w:u w:color="000000"/>
              </w:rPr>
            </w:pPr>
            <w:r w:rsidRPr="00EB565C">
              <w:rPr>
                <w:spacing w:val="2"/>
                <w:sz w:val="22"/>
                <w:szCs w:val="22"/>
              </w:rPr>
              <w:t>na &gt;2-násobok ULN</w:t>
            </w:r>
          </w:p>
        </w:tc>
        <w:tc>
          <w:tcPr>
            <w:tcW w:w="6095" w:type="dxa"/>
          </w:tcPr>
          <w:p w14:paraId="52CDB7CF" w14:textId="77777777" w:rsidR="00EB565C" w:rsidRPr="00EB565C" w:rsidRDefault="00EB565C" w:rsidP="00EB565C">
            <w:pPr>
              <w:rPr>
                <w:sz w:val="22"/>
                <w:szCs w:val="22"/>
              </w:rPr>
            </w:pPr>
            <w:r w:rsidRPr="00EB565C">
              <w:rPr>
                <w:sz w:val="22"/>
                <w:szCs w:val="22"/>
              </w:rPr>
              <w:t>Liečbu pazopanibom natrvalo ukončite.</w:t>
            </w:r>
          </w:p>
          <w:p w14:paraId="39115FBC" w14:textId="77777777" w:rsidR="00EB565C" w:rsidRPr="00EB565C" w:rsidRDefault="00EB565C" w:rsidP="00EB565C">
            <w:pPr>
              <w:rPr>
                <w:sz w:val="22"/>
                <w:szCs w:val="22"/>
              </w:rPr>
            </w:pPr>
            <w:r w:rsidRPr="00EB565C">
              <w:rPr>
                <w:sz w:val="22"/>
                <w:szCs w:val="22"/>
              </w:rPr>
              <w:t>Pacienti majú byť sledovaní, pokým sa hodnoty transamináz</w:t>
            </w:r>
          </w:p>
          <w:p w14:paraId="6A927979" w14:textId="77777777" w:rsidR="00EB565C" w:rsidRPr="00EB565C" w:rsidRDefault="00EB565C" w:rsidP="00EB565C">
            <w:pPr>
              <w:rPr>
                <w:sz w:val="22"/>
                <w:szCs w:val="22"/>
              </w:rPr>
            </w:pPr>
            <w:r w:rsidRPr="00EB565C">
              <w:rPr>
                <w:sz w:val="22"/>
                <w:szCs w:val="22"/>
              </w:rPr>
              <w:t>nevrátia na 1. stupeň toxicity alebo na východiskové hodnoty.</w:t>
            </w:r>
          </w:p>
          <w:p w14:paraId="104B106B" w14:textId="77777777" w:rsidR="00EB565C" w:rsidRPr="00EB565C" w:rsidRDefault="00EB565C" w:rsidP="00EB565C">
            <w:pPr>
              <w:rPr>
                <w:sz w:val="22"/>
                <w:szCs w:val="22"/>
              </w:rPr>
            </w:pPr>
            <w:r w:rsidRPr="00EB565C">
              <w:rPr>
                <w:sz w:val="22"/>
                <w:szCs w:val="22"/>
              </w:rPr>
              <w:t>Pazopanib je inhibítor UGT1A1. U pacientov s Gilbertovým</w:t>
            </w:r>
          </w:p>
          <w:p w14:paraId="2AC19D35" w14:textId="77777777" w:rsidR="00EB565C" w:rsidRPr="00EB565C" w:rsidRDefault="00EB565C" w:rsidP="00EB565C">
            <w:pPr>
              <w:rPr>
                <w:sz w:val="22"/>
                <w:szCs w:val="22"/>
              </w:rPr>
            </w:pPr>
            <w:r w:rsidRPr="00EB565C">
              <w:rPr>
                <w:sz w:val="22"/>
                <w:szCs w:val="22"/>
              </w:rPr>
              <w:t>syndrómom sa môže vyskytnúť mierna, nepriama</w:t>
            </w:r>
          </w:p>
          <w:p w14:paraId="60B8C6E7" w14:textId="77777777" w:rsidR="00EB565C" w:rsidRPr="00EB565C" w:rsidRDefault="00EB565C" w:rsidP="00EB565C">
            <w:pPr>
              <w:rPr>
                <w:sz w:val="22"/>
                <w:szCs w:val="22"/>
              </w:rPr>
            </w:pPr>
            <w:r w:rsidRPr="00EB565C">
              <w:rPr>
                <w:sz w:val="22"/>
                <w:szCs w:val="22"/>
              </w:rPr>
              <w:t>(nekonjugovaná) hyperbilirubinémia. Pri liečbe pacientov, ktorí</w:t>
            </w:r>
          </w:p>
          <w:p w14:paraId="2BB38527" w14:textId="77777777" w:rsidR="00EB565C" w:rsidRPr="00EB565C" w:rsidRDefault="00EB565C" w:rsidP="00EB565C">
            <w:pPr>
              <w:rPr>
                <w:sz w:val="22"/>
                <w:szCs w:val="22"/>
              </w:rPr>
            </w:pPr>
            <w:r w:rsidRPr="00EB565C">
              <w:rPr>
                <w:sz w:val="22"/>
                <w:szCs w:val="22"/>
              </w:rPr>
              <w:t>majú len miernu nepriamu hyperbilirubinémiu a u ktorých je</w:t>
            </w:r>
          </w:p>
          <w:p w14:paraId="2107FEF7" w14:textId="77777777" w:rsidR="00EB565C" w:rsidRPr="00EB565C" w:rsidRDefault="00EB565C" w:rsidP="00EB565C">
            <w:pPr>
              <w:rPr>
                <w:sz w:val="22"/>
                <w:szCs w:val="22"/>
              </w:rPr>
            </w:pPr>
            <w:r w:rsidRPr="00EB565C">
              <w:rPr>
                <w:sz w:val="22"/>
                <w:szCs w:val="22"/>
              </w:rPr>
              <w:t>preukázaný Gilbertov syndróm alebo</w:t>
            </w:r>
            <w:r>
              <w:rPr>
                <w:sz w:val="22"/>
                <w:szCs w:val="22"/>
              </w:rPr>
              <w:t xml:space="preserve"> je naň podozrenie a súčasne je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EB565C">
              <w:rPr>
                <w:sz w:val="22"/>
                <w:szCs w:val="22"/>
              </w:rPr>
              <w:t>ALT &gt; 3-násobok ULN, sa má postupovať v súlade s</w:t>
            </w:r>
          </w:p>
          <w:p w14:paraId="4ACCFC62" w14:textId="77777777" w:rsidR="007B2DBB" w:rsidRPr="005F194D" w:rsidRDefault="00EB565C" w:rsidP="00EB565C">
            <w:pPr>
              <w:rPr>
                <w:spacing w:val="-1"/>
                <w:sz w:val="22"/>
                <w:szCs w:val="22"/>
                <w:u w:color="000000"/>
              </w:rPr>
            </w:pPr>
            <w:r w:rsidRPr="00EB565C">
              <w:rPr>
                <w:sz w:val="22"/>
                <w:szCs w:val="22"/>
              </w:rPr>
              <w:t>odporúčaniami uvedenými pre izolované zvýšenia ALT.</w:t>
            </w:r>
          </w:p>
        </w:tc>
      </w:tr>
    </w:tbl>
    <w:p w14:paraId="1E3BEFB1" w14:textId="77777777" w:rsidR="007B2DBB" w:rsidRPr="00F8207F" w:rsidRDefault="007B2DBB" w:rsidP="00F8207F">
      <w:pPr>
        <w:spacing w:after="0" w:line="240" w:lineRule="auto"/>
        <w:rPr>
          <w:rFonts w:ascii="Times New Roman" w:hAnsi="Times New Roman" w:cs="Times New Roman"/>
        </w:rPr>
      </w:pPr>
    </w:p>
    <w:p w14:paraId="7C672367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1BC618E9" w14:textId="77777777" w:rsidR="00336526" w:rsidRPr="00EB565C" w:rsidRDefault="00336526" w:rsidP="00EB565C">
      <w:pPr>
        <w:spacing w:after="0" w:line="240" w:lineRule="auto"/>
        <w:rPr>
          <w:rFonts w:ascii="Times New Roman" w:hAnsi="Times New Roman" w:cs="Times New Roman"/>
        </w:rPr>
      </w:pPr>
      <w:r w:rsidRPr="00EB565C">
        <w:rPr>
          <w:rFonts w:ascii="Times New Roman" w:hAnsi="Times New Roman" w:cs="Times New Roman"/>
        </w:rPr>
        <w:t xml:space="preserve">Súbežné použitie </w:t>
      </w:r>
      <w:proofErr w:type="spellStart"/>
      <w:r w:rsidRPr="00EB565C">
        <w:rPr>
          <w:rFonts w:ascii="Times New Roman" w:hAnsi="Times New Roman" w:cs="Times New Roman"/>
        </w:rPr>
        <w:t>pazopanibu</w:t>
      </w:r>
      <w:proofErr w:type="spellEnd"/>
      <w:r w:rsidRPr="00EB565C">
        <w:rPr>
          <w:rFonts w:ascii="Times New Roman" w:hAnsi="Times New Roman" w:cs="Times New Roman"/>
        </w:rPr>
        <w:t xml:space="preserve"> a </w:t>
      </w:r>
      <w:proofErr w:type="spellStart"/>
      <w:r w:rsidRPr="00EB565C">
        <w:rPr>
          <w:rFonts w:ascii="Times New Roman" w:hAnsi="Times New Roman" w:cs="Times New Roman"/>
        </w:rPr>
        <w:t>simvastatínu</w:t>
      </w:r>
      <w:proofErr w:type="spellEnd"/>
      <w:r w:rsidRPr="00EB565C">
        <w:rPr>
          <w:rFonts w:ascii="Times New Roman" w:hAnsi="Times New Roman" w:cs="Times New Roman"/>
        </w:rPr>
        <w:t xml:space="preserve"> zvyšuje riziko zvýšenia hodnôt ALT (pozri časť 4.5) a je</w:t>
      </w:r>
    </w:p>
    <w:p w14:paraId="19B66B1A" w14:textId="77777777" w:rsidR="00336526" w:rsidRPr="00EB565C" w:rsidRDefault="00336526" w:rsidP="00EB565C">
      <w:pPr>
        <w:spacing w:after="0" w:line="240" w:lineRule="auto"/>
        <w:rPr>
          <w:rFonts w:ascii="Times New Roman" w:hAnsi="Times New Roman" w:cs="Times New Roman"/>
        </w:rPr>
      </w:pPr>
      <w:r w:rsidRPr="00EB565C">
        <w:rPr>
          <w:rFonts w:ascii="Times New Roman" w:hAnsi="Times New Roman" w:cs="Times New Roman"/>
        </w:rPr>
        <w:t>pri ňom potrebná obozretnosť a dôkladné sledovanie.</w:t>
      </w:r>
    </w:p>
    <w:p w14:paraId="063790BA" w14:textId="77777777" w:rsidR="00EB565C" w:rsidRDefault="00EB565C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CB7DF9A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8207F">
        <w:rPr>
          <w:rFonts w:ascii="Times New Roman" w:hAnsi="Times New Roman" w:cs="Times New Roman"/>
          <w:u w:val="single"/>
        </w:rPr>
        <w:t>Hypertenzia</w:t>
      </w:r>
    </w:p>
    <w:p w14:paraId="5509DAFB" w14:textId="77777777" w:rsidR="00EB565C" w:rsidRDefault="00EB565C" w:rsidP="00F8207F">
      <w:pPr>
        <w:spacing w:after="0" w:line="240" w:lineRule="auto"/>
        <w:rPr>
          <w:rFonts w:ascii="Times New Roman" w:hAnsi="Times New Roman" w:cs="Times New Roman"/>
        </w:rPr>
      </w:pPr>
    </w:p>
    <w:p w14:paraId="7622A652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klinických štúdiách s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sa vyskytli prípady hypertenzie, vrátane </w:t>
      </w:r>
      <w:proofErr w:type="spellStart"/>
      <w:r w:rsidRPr="00F8207F">
        <w:rPr>
          <w:rFonts w:ascii="Times New Roman" w:hAnsi="Times New Roman" w:cs="Times New Roman"/>
        </w:rPr>
        <w:t>novodiagnostikovaných</w:t>
      </w:r>
      <w:proofErr w:type="spellEnd"/>
    </w:p>
    <w:p w14:paraId="2A53A182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symptomatických epizód zvýšeného krvného tlaku (</w:t>
      </w:r>
      <w:proofErr w:type="spellStart"/>
      <w:r w:rsidRPr="00F8207F">
        <w:rPr>
          <w:rFonts w:ascii="Times New Roman" w:hAnsi="Times New Roman" w:cs="Times New Roman"/>
        </w:rPr>
        <w:t>hypertenzná</w:t>
      </w:r>
      <w:proofErr w:type="spellEnd"/>
      <w:r w:rsidRPr="00F8207F">
        <w:rPr>
          <w:rFonts w:ascii="Times New Roman" w:hAnsi="Times New Roman" w:cs="Times New Roman"/>
        </w:rPr>
        <w:t xml:space="preserve"> kríza). Pred začatím liečby </w:t>
      </w:r>
    </w:p>
    <w:p w14:paraId="6567CCAB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má byť krvný tlak dostatočne kontrolovaný. Pacientov treba sledovať kvôli prípadnej</w:t>
      </w:r>
    </w:p>
    <w:p w14:paraId="5A23B128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hypertenzii v krátkom čase po začatí liečby (najneskôr jeden týždeň po začatí liečby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>) a</w:t>
      </w:r>
    </w:p>
    <w:p w14:paraId="26504118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potom často, aby sa zaistila kontrola krvného tlaku. Zvýšené hodnoty krvného tlaku (systolický krvný</w:t>
      </w:r>
    </w:p>
    <w:p w14:paraId="6FDE0F55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tlak ≥ 150 mm Hg alebo diastolický krvný tlak ≥ 100 mm Hg) sa vyskytli v počiatočnej fáze liečby</w:t>
      </w:r>
    </w:p>
    <w:p w14:paraId="34FF1303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(približne 40 % prípadov sa vyskytlo do 9. dňa a približne 90 % prípadov sa vyskytlo v prvých 18</w:t>
      </w:r>
    </w:p>
    <w:p w14:paraId="3889198E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týždňoch). Krvný tlak sa má sledovať a promptne liečiť pomocou kombinácie </w:t>
      </w:r>
      <w:proofErr w:type="spellStart"/>
      <w:r w:rsidRPr="00F8207F">
        <w:rPr>
          <w:rFonts w:ascii="Times New Roman" w:hAnsi="Times New Roman" w:cs="Times New Roman"/>
        </w:rPr>
        <w:t>antihypertenznej</w:t>
      </w:r>
      <w:proofErr w:type="spellEnd"/>
      <w:r w:rsidRPr="00F8207F">
        <w:rPr>
          <w:rFonts w:ascii="Times New Roman" w:hAnsi="Times New Roman" w:cs="Times New Roman"/>
        </w:rPr>
        <w:t xml:space="preserve"> liečby</w:t>
      </w:r>
    </w:p>
    <w:p w14:paraId="7EA630A7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a úpravy dávky </w:t>
      </w:r>
      <w:proofErr w:type="spellStart"/>
      <w:r w:rsidRPr="00F8207F">
        <w:rPr>
          <w:rFonts w:ascii="Times New Roman" w:hAnsi="Times New Roman" w:cs="Times New Roman"/>
        </w:rPr>
        <w:t>pazopanibu</w:t>
      </w:r>
      <w:proofErr w:type="spellEnd"/>
      <w:r w:rsidRPr="00F8207F">
        <w:rPr>
          <w:rFonts w:ascii="Times New Roman" w:hAnsi="Times New Roman" w:cs="Times New Roman"/>
        </w:rPr>
        <w:t xml:space="preserve"> (prerušenie liečby a opätovné začatie liečby nižšou dávkou na základe</w:t>
      </w:r>
    </w:p>
    <w:p w14:paraId="48A56F3A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klinického posúdenia) (pozri časti 4.2 a 4.8). Liečba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sa má ukončiť, ak sú prítomné</w:t>
      </w:r>
    </w:p>
    <w:p w14:paraId="0DA8E7F4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známky </w:t>
      </w:r>
      <w:proofErr w:type="spellStart"/>
      <w:r w:rsidRPr="00F8207F">
        <w:rPr>
          <w:rFonts w:ascii="Times New Roman" w:hAnsi="Times New Roman" w:cs="Times New Roman"/>
        </w:rPr>
        <w:t>hypertenznej</w:t>
      </w:r>
      <w:proofErr w:type="spellEnd"/>
      <w:r w:rsidRPr="00F8207F">
        <w:rPr>
          <w:rFonts w:ascii="Times New Roman" w:hAnsi="Times New Roman" w:cs="Times New Roman"/>
        </w:rPr>
        <w:t xml:space="preserve"> krízy alebo ak je hypertenzia závažná a pretrváva aj napriek </w:t>
      </w:r>
      <w:proofErr w:type="spellStart"/>
      <w:r w:rsidRPr="00F8207F">
        <w:rPr>
          <w:rFonts w:ascii="Times New Roman" w:hAnsi="Times New Roman" w:cs="Times New Roman"/>
        </w:rPr>
        <w:t>antihypertenznej</w:t>
      </w:r>
      <w:proofErr w:type="spellEnd"/>
    </w:p>
    <w:p w14:paraId="23D733FD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liečbe a zníženej dávke </w:t>
      </w:r>
      <w:proofErr w:type="spellStart"/>
      <w:r w:rsidRPr="00F8207F">
        <w:rPr>
          <w:rFonts w:ascii="Times New Roman" w:hAnsi="Times New Roman" w:cs="Times New Roman"/>
        </w:rPr>
        <w:t>pazopanibu</w:t>
      </w:r>
      <w:proofErr w:type="spellEnd"/>
      <w:r w:rsidRPr="00F8207F">
        <w:rPr>
          <w:rFonts w:ascii="Times New Roman" w:hAnsi="Times New Roman" w:cs="Times New Roman"/>
        </w:rPr>
        <w:t>.</w:t>
      </w:r>
    </w:p>
    <w:p w14:paraId="11F23B2B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14D49453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8207F">
        <w:rPr>
          <w:rFonts w:ascii="Times New Roman" w:hAnsi="Times New Roman" w:cs="Times New Roman"/>
          <w:u w:val="single"/>
        </w:rPr>
        <w:t xml:space="preserve">Syndróm reverzibilnej </w:t>
      </w:r>
      <w:proofErr w:type="spellStart"/>
      <w:r w:rsidRPr="00F8207F">
        <w:rPr>
          <w:rFonts w:ascii="Times New Roman" w:hAnsi="Times New Roman" w:cs="Times New Roman"/>
          <w:u w:val="single"/>
        </w:rPr>
        <w:t>posteriórnej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8207F">
        <w:rPr>
          <w:rFonts w:ascii="Times New Roman" w:hAnsi="Times New Roman" w:cs="Times New Roman"/>
          <w:u w:val="single"/>
        </w:rPr>
        <w:t>encefalopatie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(</w:t>
      </w:r>
      <w:proofErr w:type="spellStart"/>
      <w:r w:rsidRPr="00F8207F">
        <w:rPr>
          <w:rFonts w:ascii="Times New Roman" w:hAnsi="Times New Roman" w:cs="Times New Roman"/>
          <w:u w:val="single"/>
        </w:rPr>
        <w:t>posterior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8207F">
        <w:rPr>
          <w:rFonts w:ascii="Times New Roman" w:hAnsi="Times New Roman" w:cs="Times New Roman"/>
          <w:u w:val="single"/>
        </w:rPr>
        <w:t>reversible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8207F">
        <w:rPr>
          <w:rFonts w:ascii="Times New Roman" w:hAnsi="Times New Roman" w:cs="Times New Roman"/>
          <w:u w:val="single"/>
        </w:rPr>
        <w:t>encephalopathy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8207F">
        <w:rPr>
          <w:rFonts w:ascii="Times New Roman" w:hAnsi="Times New Roman" w:cs="Times New Roman"/>
          <w:u w:val="single"/>
        </w:rPr>
        <w:t>syndrome</w:t>
      </w:r>
      <w:proofErr w:type="spellEnd"/>
      <w:r w:rsidRPr="00F8207F">
        <w:rPr>
          <w:rFonts w:ascii="Times New Roman" w:hAnsi="Times New Roman" w:cs="Times New Roman"/>
          <w:u w:val="single"/>
        </w:rPr>
        <w:t>,</w:t>
      </w:r>
    </w:p>
    <w:p w14:paraId="3A4AF45E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8207F">
        <w:rPr>
          <w:rFonts w:ascii="Times New Roman" w:hAnsi="Times New Roman" w:cs="Times New Roman"/>
          <w:u w:val="single"/>
        </w:rPr>
        <w:t xml:space="preserve">PRES)/syndróm reverzibilnej </w:t>
      </w:r>
      <w:proofErr w:type="spellStart"/>
      <w:r w:rsidRPr="00F8207F">
        <w:rPr>
          <w:rFonts w:ascii="Times New Roman" w:hAnsi="Times New Roman" w:cs="Times New Roman"/>
          <w:u w:val="single"/>
        </w:rPr>
        <w:t>posteriórnej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8207F">
        <w:rPr>
          <w:rFonts w:ascii="Times New Roman" w:hAnsi="Times New Roman" w:cs="Times New Roman"/>
          <w:u w:val="single"/>
        </w:rPr>
        <w:t>leukoencefalopatie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(</w:t>
      </w:r>
      <w:proofErr w:type="spellStart"/>
      <w:r w:rsidRPr="00F8207F">
        <w:rPr>
          <w:rFonts w:ascii="Times New Roman" w:hAnsi="Times New Roman" w:cs="Times New Roman"/>
          <w:u w:val="single"/>
        </w:rPr>
        <w:t>reversible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8207F">
        <w:rPr>
          <w:rFonts w:ascii="Times New Roman" w:hAnsi="Times New Roman" w:cs="Times New Roman"/>
          <w:u w:val="single"/>
        </w:rPr>
        <w:t>posterior</w:t>
      </w:r>
      <w:proofErr w:type="spellEnd"/>
    </w:p>
    <w:p w14:paraId="688D872C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F8207F">
        <w:rPr>
          <w:rFonts w:ascii="Times New Roman" w:hAnsi="Times New Roman" w:cs="Times New Roman"/>
          <w:u w:val="single"/>
        </w:rPr>
        <w:t>leukoencephalopathy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8207F">
        <w:rPr>
          <w:rFonts w:ascii="Times New Roman" w:hAnsi="Times New Roman" w:cs="Times New Roman"/>
          <w:u w:val="single"/>
        </w:rPr>
        <w:t>syndrome</w:t>
      </w:r>
      <w:proofErr w:type="spellEnd"/>
      <w:r w:rsidRPr="00F8207F">
        <w:rPr>
          <w:rFonts w:ascii="Times New Roman" w:hAnsi="Times New Roman" w:cs="Times New Roman"/>
          <w:u w:val="single"/>
        </w:rPr>
        <w:t>, RPLS)</w:t>
      </w:r>
    </w:p>
    <w:p w14:paraId="188798B3" w14:textId="77777777" w:rsidR="00EB565C" w:rsidRDefault="00EB565C" w:rsidP="00F8207F">
      <w:pPr>
        <w:spacing w:after="0" w:line="240" w:lineRule="auto"/>
        <w:rPr>
          <w:rFonts w:ascii="Times New Roman" w:hAnsi="Times New Roman" w:cs="Times New Roman"/>
        </w:rPr>
      </w:pPr>
    </w:p>
    <w:p w14:paraId="24F9CC38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súvislosti s liečbou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bol hlásený PRES/RPLS. PRES/RPLS sa môže prejavovať</w:t>
      </w:r>
    </w:p>
    <w:p w14:paraId="1E1C34DF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bolesťou hlavy, hypertenziou, záchvatmi kŕčov, letargiou, zmätenosťou, slepotou a inými zrakovými</w:t>
      </w:r>
    </w:p>
    <w:p w14:paraId="3B250F27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a neurologickými poruchami a môže byť smrteľný. Pacienti, u ktorých vznikne PRES/RPLS, musia</w:t>
      </w:r>
    </w:p>
    <w:p w14:paraId="17C3113B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liečbu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natrvalo ukončiť.</w:t>
      </w:r>
    </w:p>
    <w:p w14:paraId="3178B18B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7E3FE24E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8207F">
        <w:rPr>
          <w:rFonts w:ascii="Times New Roman" w:hAnsi="Times New Roman" w:cs="Times New Roman"/>
          <w:u w:val="single"/>
        </w:rPr>
        <w:t>Intersticiálna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choroba pľúc (</w:t>
      </w:r>
      <w:proofErr w:type="spellStart"/>
      <w:r w:rsidRPr="00F8207F">
        <w:rPr>
          <w:rFonts w:ascii="Times New Roman" w:hAnsi="Times New Roman" w:cs="Times New Roman"/>
          <w:u w:val="single"/>
        </w:rPr>
        <w:t>interstitial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8207F">
        <w:rPr>
          <w:rFonts w:ascii="Times New Roman" w:hAnsi="Times New Roman" w:cs="Times New Roman"/>
          <w:u w:val="single"/>
        </w:rPr>
        <w:t>lung</w:t>
      </w:r>
      <w:proofErr w:type="spellEnd"/>
      <w:r w:rsidRPr="00F8207F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F8207F">
        <w:rPr>
          <w:rFonts w:ascii="Times New Roman" w:hAnsi="Times New Roman" w:cs="Times New Roman"/>
          <w:u w:val="single"/>
        </w:rPr>
        <w:t>disease</w:t>
      </w:r>
      <w:proofErr w:type="spellEnd"/>
      <w:r w:rsidRPr="00F8207F">
        <w:rPr>
          <w:rFonts w:ascii="Times New Roman" w:hAnsi="Times New Roman" w:cs="Times New Roman"/>
          <w:u w:val="single"/>
        </w:rPr>
        <w:t>, ILD)/</w:t>
      </w:r>
      <w:proofErr w:type="spellStart"/>
      <w:r w:rsidRPr="00F8207F">
        <w:rPr>
          <w:rFonts w:ascii="Times New Roman" w:hAnsi="Times New Roman" w:cs="Times New Roman"/>
          <w:u w:val="single"/>
        </w:rPr>
        <w:t>pneumonitída</w:t>
      </w:r>
      <w:proofErr w:type="spellEnd"/>
    </w:p>
    <w:p w14:paraId="73D9CF1B" w14:textId="77777777" w:rsidR="00EB565C" w:rsidRDefault="00EB565C" w:rsidP="00F8207F">
      <w:pPr>
        <w:spacing w:after="0" w:line="240" w:lineRule="auto"/>
        <w:rPr>
          <w:rFonts w:ascii="Times New Roman" w:hAnsi="Times New Roman" w:cs="Times New Roman"/>
        </w:rPr>
      </w:pPr>
    </w:p>
    <w:p w14:paraId="05EB39EB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súvislosti s liečbou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bola hlásená ILD, ktorá môže byť smrteľná (pozri časť 4.8).</w:t>
      </w:r>
    </w:p>
    <w:p w14:paraId="2C19B0A2" w14:textId="77777777" w:rsid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Pacient</w:t>
      </w:r>
      <w:r w:rsidR="00EB565C">
        <w:rPr>
          <w:rFonts w:ascii="Times New Roman" w:hAnsi="Times New Roman" w:cs="Times New Roman"/>
        </w:rPr>
        <w:t>i majú byť sledovaní</w:t>
      </w:r>
      <w:r w:rsidRPr="00F8207F">
        <w:rPr>
          <w:rFonts w:ascii="Times New Roman" w:hAnsi="Times New Roman" w:cs="Times New Roman"/>
        </w:rPr>
        <w:t xml:space="preserve"> kvôli pľúcnym príznakom naznačujúcim ILD/</w:t>
      </w:r>
      <w:proofErr w:type="spellStart"/>
      <w:r w:rsidRPr="00F8207F">
        <w:rPr>
          <w:rFonts w:ascii="Times New Roman" w:hAnsi="Times New Roman" w:cs="Times New Roman"/>
        </w:rPr>
        <w:t>pneumonitídu</w:t>
      </w:r>
      <w:proofErr w:type="spellEnd"/>
      <w:r w:rsidRPr="00F8207F">
        <w:rPr>
          <w:rFonts w:ascii="Times New Roman" w:hAnsi="Times New Roman" w:cs="Times New Roman"/>
        </w:rPr>
        <w:t xml:space="preserve"> a u paci</w:t>
      </w:r>
      <w:r w:rsidR="00EB565C">
        <w:rPr>
          <w:rFonts w:ascii="Times New Roman" w:hAnsi="Times New Roman" w:cs="Times New Roman"/>
        </w:rPr>
        <w:t xml:space="preserve">entov, </w:t>
      </w:r>
      <w:r w:rsidRPr="00F8207F">
        <w:rPr>
          <w:rFonts w:ascii="Times New Roman" w:hAnsi="Times New Roman" w:cs="Times New Roman"/>
        </w:rPr>
        <w:t xml:space="preserve">u ktorých vznikne ILD alebo </w:t>
      </w:r>
      <w:proofErr w:type="spellStart"/>
      <w:r w:rsidRPr="00F8207F">
        <w:rPr>
          <w:rFonts w:ascii="Times New Roman" w:hAnsi="Times New Roman" w:cs="Times New Roman"/>
        </w:rPr>
        <w:t>pneumonitída</w:t>
      </w:r>
      <w:proofErr w:type="spellEnd"/>
      <w:r w:rsidRPr="00F8207F">
        <w:rPr>
          <w:rFonts w:ascii="Times New Roman" w:hAnsi="Times New Roman" w:cs="Times New Roman"/>
        </w:rPr>
        <w:t xml:space="preserve">, sa má liečba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ukončiť.</w:t>
      </w:r>
    </w:p>
    <w:p w14:paraId="7099FC88" w14:textId="77777777" w:rsidR="00F8207F" w:rsidRP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5E79EAC2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8207F">
        <w:rPr>
          <w:rFonts w:ascii="Times New Roman" w:hAnsi="Times New Roman" w:cs="Times New Roman"/>
          <w:u w:val="single"/>
        </w:rPr>
        <w:t>Srdcová dysfunkcia/srdcové zlyhanie</w:t>
      </w:r>
    </w:p>
    <w:p w14:paraId="06301056" w14:textId="77777777" w:rsidR="00EB565C" w:rsidRDefault="00EB565C" w:rsidP="00F8207F">
      <w:pPr>
        <w:spacing w:after="0" w:line="240" w:lineRule="auto"/>
        <w:rPr>
          <w:rFonts w:ascii="Times New Roman" w:hAnsi="Times New Roman" w:cs="Times New Roman"/>
        </w:rPr>
      </w:pPr>
    </w:p>
    <w:p w14:paraId="7CEF7061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U pacientov s už existujúcou srdcovou dysfunkciou sa majú riziká a prínosy liečby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</w:p>
    <w:p w14:paraId="08B741D6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zvážiť pred začatím liečby. Bezpečnosť a </w:t>
      </w:r>
      <w:proofErr w:type="spellStart"/>
      <w:r w:rsidRPr="00F8207F">
        <w:rPr>
          <w:rFonts w:ascii="Times New Roman" w:hAnsi="Times New Roman" w:cs="Times New Roman"/>
        </w:rPr>
        <w:t>farmakokinetika</w:t>
      </w:r>
      <w:proofErr w:type="spellEnd"/>
      <w:r w:rsidRPr="00F8207F">
        <w:rPr>
          <w:rFonts w:ascii="Times New Roman" w:hAnsi="Times New Roman" w:cs="Times New Roman"/>
        </w:rPr>
        <w:t xml:space="preserve"> </w:t>
      </w:r>
      <w:proofErr w:type="spellStart"/>
      <w:r w:rsidRPr="00F8207F">
        <w:rPr>
          <w:rFonts w:ascii="Times New Roman" w:hAnsi="Times New Roman" w:cs="Times New Roman"/>
        </w:rPr>
        <w:t>pazopanibu</w:t>
      </w:r>
      <w:proofErr w:type="spellEnd"/>
      <w:r w:rsidRPr="00F8207F">
        <w:rPr>
          <w:rFonts w:ascii="Times New Roman" w:hAnsi="Times New Roman" w:cs="Times New Roman"/>
        </w:rPr>
        <w:t xml:space="preserve"> neboli sledované u pacientov</w:t>
      </w:r>
    </w:p>
    <w:p w14:paraId="7965674F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so stredne závažným až závažným srdcovým zlyhaním ani u pacientov s hodnotou </w:t>
      </w:r>
      <w:proofErr w:type="spellStart"/>
      <w:r w:rsidRPr="00F8207F">
        <w:rPr>
          <w:rFonts w:ascii="Times New Roman" w:hAnsi="Times New Roman" w:cs="Times New Roman"/>
        </w:rPr>
        <w:t>ejekčnej</w:t>
      </w:r>
      <w:proofErr w:type="spellEnd"/>
      <w:r w:rsidRPr="00F8207F">
        <w:rPr>
          <w:rFonts w:ascii="Times New Roman" w:hAnsi="Times New Roman" w:cs="Times New Roman"/>
        </w:rPr>
        <w:t xml:space="preserve"> frakcie</w:t>
      </w:r>
    </w:p>
    <w:p w14:paraId="42394739" w14:textId="77777777" w:rsid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ľavej komory (EFĽK) nižšou ako sú referenčné hodnoty.</w:t>
      </w:r>
    </w:p>
    <w:p w14:paraId="2A6E238F" w14:textId="77777777" w:rsidR="00F8207F" w:rsidRP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5E56F439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klinických štúdiách s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sa vyskytli prípady srdcovej dysfunkcie, akými sú </w:t>
      </w:r>
      <w:proofErr w:type="spellStart"/>
      <w:r w:rsidRPr="00F8207F">
        <w:rPr>
          <w:rFonts w:ascii="Times New Roman" w:hAnsi="Times New Roman" w:cs="Times New Roman"/>
        </w:rPr>
        <w:t>kongestívne</w:t>
      </w:r>
      <w:proofErr w:type="spellEnd"/>
    </w:p>
    <w:p w14:paraId="48E40F4A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srdcové zlyhanie a znížená EFĽK (pozri časť 4.8). V </w:t>
      </w:r>
      <w:proofErr w:type="spellStart"/>
      <w:r w:rsidRPr="00F8207F">
        <w:rPr>
          <w:rFonts w:ascii="Times New Roman" w:hAnsi="Times New Roman" w:cs="Times New Roman"/>
        </w:rPr>
        <w:t>randomizovanej</w:t>
      </w:r>
      <w:proofErr w:type="spellEnd"/>
      <w:r w:rsidRPr="00F8207F">
        <w:rPr>
          <w:rFonts w:ascii="Times New Roman" w:hAnsi="Times New Roman" w:cs="Times New Roman"/>
        </w:rPr>
        <w:t xml:space="preserve"> klinickej štúdii, porovnávajúcej</w:t>
      </w:r>
    </w:p>
    <w:p w14:paraId="702B68E4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8207F">
        <w:rPr>
          <w:rFonts w:ascii="Times New Roman" w:hAnsi="Times New Roman" w:cs="Times New Roman"/>
        </w:rPr>
        <w:lastRenderedPageBreak/>
        <w:t>pazopanib</w:t>
      </w:r>
      <w:proofErr w:type="spellEnd"/>
      <w:r w:rsidRPr="00F8207F">
        <w:rPr>
          <w:rFonts w:ascii="Times New Roman" w:hAnsi="Times New Roman" w:cs="Times New Roman"/>
        </w:rPr>
        <w:t xml:space="preserve"> a </w:t>
      </w:r>
      <w:proofErr w:type="spellStart"/>
      <w:r w:rsidRPr="00F8207F">
        <w:rPr>
          <w:rFonts w:ascii="Times New Roman" w:hAnsi="Times New Roman" w:cs="Times New Roman"/>
        </w:rPr>
        <w:t>sunitinib</w:t>
      </w:r>
      <w:proofErr w:type="spellEnd"/>
      <w:r w:rsidRPr="00F8207F">
        <w:rPr>
          <w:rFonts w:ascii="Times New Roman" w:hAnsi="Times New Roman" w:cs="Times New Roman"/>
        </w:rPr>
        <w:t xml:space="preserve"> pri RCC (VEG108844) sa u jedincov vykonalo meranie EFĽK pred začiatkom</w:t>
      </w:r>
    </w:p>
    <w:p w14:paraId="4C63D8F4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liečby a v období sledovania. Dysfunkcia myokardu sa vyskytla u 13 % (47/362) jedincov v skupine s</w:t>
      </w:r>
    </w:p>
    <w:p w14:paraId="2DFE3414" w14:textId="25C7E735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v porovnaní s 11 % (42/369) jedincov v skupine so </w:t>
      </w:r>
      <w:proofErr w:type="spellStart"/>
      <w:r w:rsidRPr="00F8207F">
        <w:rPr>
          <w:rFonts w:ascii="Times New Roman" w:hAnsi="Times New Roman" w:cs="Times New Roman"/>
        </w:rPr>
        <w:t>sunitinibom</w:t>
      </w:r>
      <w:proofErr w:type="spellEnd"/>
      <w:r w:rsidRPr="00F8207F">
        <w:rPr>
          <w:rFonts w:ascii="Times New Roman" w:hAnsi="Times New Roman" w:cs="Times New Roman"/>
        </w:rPr>
        <w:t>.</w:t>
      </w:r>
      <w:r w:rsidR="00504B06">
        <w:rPr>
          <w:rFonts w:ascii="Times New Roman" w:hAnsi="Times New Roman" w:cs="Times New Roman"/>
        </w:rPr>
        <w:t xml:space="preserve"> </w:t>
      </w:r>
      <w:proofErr w:type="spellStart"/>
      <w:r w:rsidRPr="00F8207F">
        <w:rPr>
          <w:rFonts w:ascii="Times New Roman" w:hAnsi="Times New Roman" w:cs="Times New Roman"/>
        </w:rPr>
        <w:t>Kongestívne</w:t>
      </w:r>
      <w:proofErr w:type="spellEnd"/>
      <w:r w:rsidRPr="00F8207F">
        <w:rPr>
          <w:rFonts w:ascii="Times New Roman" w:hAnsi="Times New Roman" w:cs="Times New Roman"/>
        </w:rPr>
        <w:t xml:space="preserve"> srdcové zlyhanie sa pozorovalo u 0,5 % jedincov v každej liečebnej skupine. V štúdii</w:t>
      </w:r>
    </w:p>
    <w:p w14:paraId="0C209E16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fázy III, VEG110727, zameranej na STS bolo </w:t>
      </w:r>
      <w:proofErr w:type="spellStart"/>
      <w:r w:rsidRPr="00F8207F">
        <w:rPr>
          <w:rFonts w:ascii="Times New Roman" w:hAnsi="Times New Roman" w:cs="Times New Roman"/>
        </w:rPr>
        <w:t>kongestívne</w:t>
      </w:r>
      <w:proofErr w:type="spellEnd"/>
      <w:r w:rsidRPr="00F8207F">
        <w:rPr>
          <w:rFonts w:ascii="Times New Roman" w:hAnsi="Times New Roman" w:cs="Times New Roman"/>
        </w:rPr>
        <w:t xml:space="preserve"> srdcové zlyhanie hlásené u 3 z 240</w:t>
      </w:r>
    </w:p>
    <w:p w14:paraId="5A5D7C05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jedincov (1 %). Pokles hodnoty EFĽK u jedincov, u ktorých sa vykonalo meranie EFĽK po začatí</w:t>
      </w:r>
    </w:p>
    <w:p w14:paraId="4F6BB756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liečby a v období sledovania, sa zistil u 11 % (15/140) v skupine s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v porovnaní s 3 %</w:t>
      </w:r>
    </w:p>
    <w:p w14:paraId="7265512E" w14:textId="77777777" w:rsid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(1/39) v skupine s</w:t>
      </w:r>
      <w:r w:rsidR="00F8207F">
        <w:rPr>
          <w:rFonts w:ascii="Times New Roman" w:hAnsi="Times New Roman" w:cs="Times New Roman"/>
        </w:rPr>
        <w:t> </w:t>
      </w:r>
      <w:r w:rsidRPr="00F8207F">
        <w:rPr>
          <w:rFonts w:ascii="Times New Roman" w:hAnsi="Times New Roman" w:cs="Times New Roman"/>
        </w:rPr>
        <w:t>placebom.</w:t>
      </w:r>
    </w:p>
    <w:p w14:paraId="33E843FA" w14:textId="77777777" w:rsidR="00F8207F" w:rsidRP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7084A7CE" w14:textId="77777777" w:rsidR="00336526" w:rsidRPr="00A577E0" w:rsidRDefault="00336526" w:rsidP="00F8207F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A577E0">
        <w:rPr>
          <w:rFonts w:ascii="Times New Roman" w:hAnsi="Times New Roman" w:cs="Times New Roman"/>
          <w:i/>
          <w:u w:val="single"/>
        </w:rPr>
        <w:t>Rizikové faktory</w:t>
      </w:r>
    </w:p>
    <w:p w14:paraId="2C268FCF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štúdii fázy III zameranej na STS malo 13 z 15 jedincov v skupine s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súčasnú</w:t>
      </w:r>
    </w:p>
    <w:p w14:paraId="5E67C958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hypertenziu, ktorá mohla zhoršiť srdcovú dysfunkciu u rizikových pacientov zvýšením srdcového</w:t>
      </w:r>
    </w:p>
    <w:p w14:paraId="4EA42A4E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„</w:t>
      </w:r>
      <w:proofErr w:type="spellStart"/>
      <w:r w:rsidRPr="00F8207F">
        <w:rPr>
          <w:rFonts w:ascii="Times New Roman" w:hAnsi="Times New Roman" w:cs="Times New Roman"/>
        </w:rPr>
        <w:t>afterloadu</w:t>
      </w:r>
      <w:proofErr w:type="spellEnd"/>
      <w:r w:rsidRPr="00F8207F">
        <w:rPr>
          <w:rFonts w:ascii="Times New Roman" w:hAnsi="Times New Roman" w:cs="Times New Roman"/>
        </w:rPr>
        <w:t>“. Deväťdesiatdeväť (99 %) pacientov (243/246) zaradených do štúdie fázy III zameranej</w:t>
      </w:r>
    </w:p>
    <w:p w14:paraId="0AF7DD69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na STS, vrátane 15 spomenutých jedincov, bolo liečených </w:t>
      </w:r>
      <w:proofErr w:type="spellStart"/>
      <w:r w:rsidRPr="00F8207F">
        <w:rPr>
          <w:rFonts w:ascii="Times New Roman" w:hAnsi="Times New Roman" w:cs="Times New Roman"/>
        </w:rPr>
        <w:t>antracyklínom</w:t>
      </w:r>
      <w:proofErr w:type="spellEnd"/>
      <w:r w:rsidRPr="00F8207F">
        <w:rPr>
          <w:rFonts w:ascii="Times New Roman" w:hAnsi="Times New Roman" w:cs="Times New Roman"/>
        </w:rPr>
        <w:t>. Predchádzajúca liečba</w:t>
      </w:r>
    </w:p>
    <w:p w14:paraId="61F5CE46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8207F">
        <w:rPr>
          <w:rFonts w:ascii="Times New Roman" w:hAnsi="Times New Roman" w:cs="Times New Roman"/>
        </w:rPr>
        <w:t>antracyklínom</w:t>
      </w:r>
      <w:proofErr w:type="spellEnd"/>
      <w:r w:rsidRPr="00F8207F">
        <w:rPr>
          <w:rFonts w:ascii="Times New Roman" w:hAnsi="Times New Roman" w:cs="Times New Roman"/>
        </w:rPr>
        <w:t xml:space="preserve"> môže byť rizikovým faktorom vzniku srdcovej dysfunkcie.</w:t>
      </w:r>
    </w:p>
    <w:p w14:paraId="2DF7380F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002E6F1F" w14:textId="77777777" w:rsidR="00336526" w:rsidRPr="00A577E0" w:rsidRDefault="00336526" w:rsidP="00F8207F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proofErr w:type="spellStart"/>
      <w:r w:rsidRPr="00A577E0">
        <w:rPr>
          <w:rFonts w:ascii="Times New Roman" w:hAnsi="Times New Roman" w:cs="Times New Roman"/>
          <w:i/>
          <w:u w:val="single"/>
        </w:rPr>
        <w:t>Výsledok</w:t>
      </w:r>
      <w:proofErr w:type="spellEnd"/>
    </w:p>
    <w:p w14:paraId="1069994F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U 4 z 15 jedincov došlo k úplnej úprave hodnoty EFĽK (do 5 % oproti hodnote pred začatím liečby) a</w:t>
      </w:r>
    </w:p>
    <w:p w14:paraId="3E2B2326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u 5 došlo k čiastočnej úprave hodnoty EFĽK (v rámci rozpätia referenčných hodnôt, ale o &gt; 5 % pod</w:t>
      </w:r>
    </w:p>
    <w:p w14:paraId="17F03A89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hodnotu pred začatím liečby). U jedného jedinca nedošlo k úprave hodnoty EFĽK a u ďalších 5</w:t>
      </w:r>
    </w:p>
    <w:p w14:paraId="76025BA1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jedincov neboli dostupné údaje zo sledovania.</w:t>
      </w:r>
    </w:p>
    <w:p w14:paraId="538222BA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427B217F" w14:textId="77777777" w:rsidR="00336526" w:rsidRPr="00A577E0" w:rsidRDefault="00336526" w:rsidP="00F8207F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A577E0">
        <w:rPr>
          <w:rFonts w:ascii="Times New Roman" w:hAnsi="Times New Roman" w:cs="Times New Roman"/>
          <w:i/>
          <w:u w:val="single"/>
        </w:rPr>
        <w:t>Liečba</w:t>
      </w:r>
    </w:p>
    <w:p w14:paraId="08C0DC82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U pacientov so závažným poklesom hodnoty EFĽK sa má pristúpiť k prerušeniu liečby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</w:p>
    <w:p w14:paraId="69D812C2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a/alebo k zníženiu jeho dávky v kombinácii s liečbou hypertenzie (ak je prítomná, pozri upozornenie o </w:t>
      </w:r>
    </w:p>
    <w:p w14:paraId="21548AC6" w14:textId="77777777" w:rsidR="00336526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hypertenzii uvedené v predchádzajúcej časti), keď je to klinicky indikované.</w:t>
      </w:r>
    </w:p>
    <w:p w14:paraId="435C8FCB" w14:textId="77777777" w:rsidR="00F8207F" w:rsidRP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51052B9F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Pacientov treba dôkladne sledovať kvôli klinickým prejavom alebo príznakom </w:t>
      </w:r>
      <w:proofErr w:type="spellStart"/>
      <w:r w:rsidRPr="00F8207F">
        <w:rPr>
          <w:rFonts w:ascii="Times New Roman" w:hAnsi="Times New Roman" w:cs="Times New Roman"/>
        </w:rPr>
        <w:t>kongestívneho</w:t>
      </w:r>
      <w:proofErr w:type="spellEnd"/>
    </w:p>
    <w:p w14:paraId="4E675A89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srdcového zlyhania. U pacientov vystavených riziku vzniku srdcovej dysfunkcie sa odporúča</w:t>
      </w:r>
    </w:p>
    <w:p w14:paraId="6E09298F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skontrolovať hodnotu EFĽK pred začiatkom liečby a potom v pravidelných intervaloch.</w:t>
      </w:r>
    </w:p>
    <w:p w14:paraId="708C5373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526A5066" w14:textId="77777777" w:rsidR="00336526" w:rsidRPr="00A577E0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577E0">
        <w:rPr>
          <w:rFonts w:ascii="Times New Roman" w:hAnsi="Times New Roman" w:cs="Times New Roman"/>
          <w:u w:val="single"/>
        </w:rPr>
        <w:t xml:space="preserve">Predĺženie QT intervalu a </w:t>
      </w:r>
      <w:proofErr w:type="spellStart"/>
      <w:r w:rsidRPr="00A577E0">
        <w:rPr>
          <w:rFonts w:ascii="Times New Roman" w:hAnsi="Times New Roman" w:cs="Times New Roman"/>
          <w:u w:val="single"/>
        </w:rPr>
        <w:t>torsade</w:t>
      </w:r>
      <w:proofErr w:type="spellEnd"/>
      <w:r w:rsidRPr="00A577E0">
        <w:rPr>
          <w:rFonts w:ascii="Times New Roman" w:hAnsi="Times New Roman" w:cs="Times New Roman"/>
          <w:u w:val="single"/>
        </w:rPr>
        <w:t xml:space="preserve"> de </w:t>
      </w:r>
      <w:proofErr w:type="spellStart"/>
      <w:r w:rsidRPr="00A577E0">
        <w:rPr>
          <w:rFonts w:ascii="Times New Roman" w:hAnsi="Times New Roman" w:cs="Times New Roman"/>
          <w:u w:val="single"/>
        </w:rPr>
        <w:t>pointes</w:t>
      </w:r>
      <w:proofErr w:type="spellEnd"/>
    </w:p>
    <w:p w14:paraId="539B2901" w14:textId="77777777" w:rsidR="00A577E0" w:rsidRDefault="00A577E0" w:rsidP="00F8207F">
      <w:pPr>
        <w:spacing w:after="0" w:line="240" w:lineRule="auto"/>
        <w:rPr>
          <w:rFonts w:ascii="Times New Roman" w:hAnsi="Times New Roman" w:cs="Times New Roman"/>
        </w:rPr>
      </w:pPr>
    </w:p>
    <w:p w14:paraId="0280DDF0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klinických štúdiách s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sa vyskytli prípady predĺženia QT intervalu a </w:t>
      </w:r>
      <w:proofErr w:type="spellStart"/>
      <w:r w:rsidRPr="00F8207F">
        <w:rPr>
          <w:rFonts w:ascii="Times New Roman" w:hAnsi="Times New Roman" w:cs="Times New Roman"/>
        </w:rPr>
        <w:t>torsade</w:t>
      </w:r>
      <w:proofErr w:type="spellEnd"/>
      <w:r w:rsidRPr="00F8207F">
        <w:rPr>
          <w:rFonts w:ascii="Times New Roman" w:hAnsi="Times New Roman" w:cs="Times New Roman"/>
        </w:rPr>
        <w:t xml:space="preserve"> de </w:t>
      </w:r>
      <w:proofErr w:type="spellStart"/>
      <w:r w:rsidRPr="00F8207F">
        <w:rPr>
          <w:rFonts w:ascii="Times New Roman" w:hAnsi="Times New Roman" w:cs="Times New Roman"/>
        </w:rPr>
        <w:t>pointes</w:t>
      </w:r>
      <w:proofErr w:type="spellEnd"/>
    </w:p>
    <w:p w14:paraId="24CEFA1C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(pozri časť 4.8). </w:t>
      </w:r>
      <w:proofErr w:type="spellStart"/>
      <w:r w:rsidRPr="00F8207F">
        <w:rPr>
          <w:rFonts w:ascii="Times New Roman" w:hAnsi="Times New Roman" w:cs="Times New Roman"/>
        </w:rPr>
        <w:t>Pazopanib</w:t>
      </w:r>
      <w:proofErr w:type="spellEnd"/>
      <w:r w:rsidRPr="00F8207F">
        <w:rPr>
          <w:rFonts w:ascii="Times New Roman" w:hAnsi="Times New Roman" w:cs="Times New Roman"/>
        </w:rPr>
        <w:t xml:space="preserve"> sa má používať opatrne u pacientov, ktorí majú v anamnéze predĺženie QT</w:t>
      </w:r>
    </w:p>
    <w:p w14:paraId="335DC750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intervalu, u pacientov užívajúcich </w:t>
      </w:r>
      <w:proofErr w:type="spellStart"/>
      <w:r w:rsidRPr="00F8207F">
        <w:rPr>
          <w:rFonts w:ascii="Times New Roman" w:hAnsi="Times New Roman" w:cs="Times New Roman"/>
        </w:rPr>
        <w:t>antiarytmiká</w:t>
      </w:r>
      <w:proofErr w:type="spellEnd"/>
      <w:r w:rsidRPr="00F8207F">
        <w:rPr>
          <w:rFonts w:ascii="Times New Roman" w:hAnsi="Times New Roman" w:cs="Times New Roman"/>
        </w:rPr>
        <w:t xml:space="preserve"> alebo iné lieky, ktoré môžu predlžovať QT interval a u</w:t>
      </w:r>
    </w:p>
    <w:p w14:paraId="2FB408F4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pacientov so závažným, už existujúcim srdcovým ochorením. Pri používaní </w:t>
      </w:r>
      <w:proofErr w:type="spellStart"/>
      <w:r w:rsidRPr="00F8207F">
        <w:rPr>
          <w:rFonts w:ascii="Times New Roman" w:hAnsi="Times New Roman" w:cs="Times New Roman"/>
        </w:rPr>
        <w:t>pazopanibu</w:t>
      </w:r>
      <w:proofErr w:type="spellEnd"/>
      <w:r w:rsidRPr="00F8207F">
        <w:rPr>
          <w:rFonts w:ascii="Times New Roman" w:hAnsi="Times New Roman" w:cs="Times New Roman"/>
        </w:rPr>
        <w:t xml:space="preserve"> sa odporúča</w:t>
      </w:r>
    </w:p>
    <w:p w14:paraId="28C837A8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pred liečbou a potom v pravidelných intervaloch kontrolovať elektrokardiogram a udržiavať hodnoty</w:t>
      </w:r>
    </w:p>
    <w:p w14:paraId="240BF8A8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elektrolytov (napr. vápnika, horčíka, draslíka) v referenčnom rozpätí.</w:t>
      </w:r>
    </w:p>
    <w:p w14:paraId="7A4F0996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452FC76A" w14:textId="77777777" w:rsidR="00336526" w:rsidRPr="00A577E0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577E0">
        <w:rPr>
          <w:rFonts w:ascii="Times New Roman" w:hAnsi="Times New Roman" w:cs="Times New Roman"/>
          <w:u w:val="single"/>
        </w:rPr>
        <w:t xml:space="preserve">Arteriálne </w:t>
      </w:r>
      <w:proofErr w:type="spellStart"/>
      <w:r w:rsidRPr="00A577E0">
        <w:rPr>
          <w:rFonts w:ascii="Times New Roman" w:hAnsi="Times New Roman" w:cs="Times New Roman"/>
          <w:u w:val="single"/>
        </w:rPr>
        <w:t>trombotické</w:t>
      </w:r>
      <w:proofErr w:type="spellEnd"/>
      <w:r w:rsidRPr="00A577E0">
        <w:rPr>
          <w:rFonts w:ascii="Times New Roman" w:hAnsi="Times New Roman" w:cs="Times New Roman"/>
          <w:u w:val="single"/>
        </w:rPr>
        <w:t xml:space="preserve"> príhody</w:t>
      </w:r>
    </w:p>
    <w:p w14:paraId="5501F42A" w14:textId="77777777" w:rsidR="00A577E0" w:rsidRDefault="00A577E0" w:rsidP="00F8207F">
      <w:pPr>
        <w:spacing w:after="0" w:line="240" w:lineRule="auto"/>
        <w:rPr>
          <w:rFonts w:ascii="Times New Roman" w:hAnsi="Times New Roman" w:cs="Times New Roman"/>
        </w:rPr>
      </w:pPr>
    </w:p>
    <w:p w14:paraId="4700D41C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klinických štúdiách s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sa pozorovali prípady infarktu myokardu, ischémie myokardu,</w:t>
      </w:r>
    </w:p>
    <w:p w14:paraId="05D622BF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ischemickej cievnej mozgovej príhody a </w:t>
      </w:r>
      <w:proofErr w:type="spellStart"/>
      <w:r w:rsidRPr="00F8207F">
        <w:rPr>
          <w:rFonts w:ascii="Times New Roman" w:hAnsi="Times New Roman" w:cs="Times New Roman"/>
        </w:rPr>
        <w:t>tranzitórneho</w:t>
      </w:r>
      <w:proofErr w:type="spellEnd"/>
      <w:r w:rsidRPr="00F8207F">
        <w:rPr>
          <w:rFonts w:ascii="Times New Roman" w:hAnsi="Times New Roman" w:cs="Times New Roman"/>
        </w:rPr>
        <w:t xml:space="preserve"> ischemického ataku (pozri časť 4.8). Pozorovali</w:t>
      </w:r>
    </w:p>
    <w:p w14:paraId="02FFB46F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sa fatálne prípady. </w:t>
      </w:r>
      <w:proofErr w:type="spellStart"/>
      <w:r w:rsidRPr="00F8207F">
        <w:rPr>
          <w:rFonts w:ascii="Times New Roman" w:hAnsi="Times New Roman" w:cs="Times New Roman"/>
        </w:rPr>
        <w:t>Pazopanib</w:t>
      </w:r>
      <w:proofErr w:type="spellEnd"/>
      <w:r w:rsidRPr="00F8207F">
        <w:rPr>
          <w:rFonts w:ascii="Times New Roman" w:hAnsi="Times New Roman" w:cs="Times New Roman"/>
        </w:rPr>
        <w:t xml:space="preserve"> sa má používať opatrne u pacientov so zvýšeným rizikom vzniku</w:t>
      </w:r>
    </w:p>
    <w:p w14:paraId="26B9BEE6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8207F">
        <w:rPr>
          <w:rFonts w:ascii="Times New Roman" w:hAnsi="Times New Roman" w:cs="Times New Roman"/>
        </w:rPr>
        <w:t>trombotických</w:t>
      </w:r>
      <w:proofErr w:type="spellEnd"/>
      <w:r w:rsidRPr="00F8207F">
        <w:rPr>
          <w:rFonts w:ascii="Times New Roman" w:hAnsi="Times New Roman" w:cs="Times New Roman"/>
        </w:rPr>
        <w:t xml:space="preserve"> príhod alebo s </w:t>
      </w:r>
      <w:proofErr w:type="spellStart"/>
      <w:r w:rsidRPr="00F8207F">
        <w:rPr>
          <w:rFonts w:ascii="Times New Roman" w:hAnsi="Times New Roman" w:cs="Times New Roman"/>
        </w:rPr>
        <w:t>trombotickými</w:t>
      </w:r>
      <w:proofErr w:type="spellEnd"/>
      <w:r w:rsidRPr="00F8207F">
        <w:rPr>
          <w:rFonts w:ascii="Times New Roman" w:hAnsi="Times New Roman" w:cs="Times New Roman"/>
        </w:rPr>
        <w:t xml:space="preserve"> príhodami v anamnéze. </w:t>
      </w:r>
      <w:proofErr w:type="spellStart"/>
      <w:r w:rsidRPr="00F8207F">
        <w:rPr>
          <w:rFonts w:ascii="Times New Roman" w:hAnsi="Times New Roman" w:cs="Times New Roman"/>
        </w:rPr>
        <w:t>Pazopanib</w:t>
      </w:r>
      <w:proofErr w:type="spellEnd"/>
      <w:r w:rsidRPr="00F8207F">
        <w:rPr>
          <w:rFonts w:ascii="Times New Roman" w:hAnsi="Times New Roman" w:cs="Times New Roman"/>
        </w:rPr>
        <w:t xml:space="preserve"> sa nesledoval u</w:t>
      </w:r>
    </w:p>
    <w:p w14:paraId="3EDD365A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pacientov, ktorí v predchádzajúcich 6 mesiacoch prekonali </w:t>
      </w:r>
      <w:proofErr w:type="spellStart"/>
      <w:r w:rsidRPr="00F8207F">
        <w:rPr>
          <w:rFonts w:ascii="Times New Roman" w:hAnsi="Times New Roman" w:cs="Times New Roman"/>
        </w:rPr>
        <w:t>trombotickú</w:t>
      </w:r>
      <w:proofErr w:type="spellEnd"/>
      <w:r w:rsidRPr="00F8207F">
        <w:rPr>
          <w:rFonts w:ascii="Times New Roman" w:hAnsi="Times New Roman" w:cs="Times New Roman"/>
        </w:rPr>
        <w:t xml:space="preserve"> príhodu. Rozhodnutie o liečbe</w:t>
      </w:r>
    </w:p>
    <w:p w14:paraId="477AFF66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má vychádzať z hodnotenia prínosu/rizika liečby pre jednotlivého pacienta.</w:t>
      </w:r>
    </w:p>
    <w:p w14:paraId="54A4CAB0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5100AB96" w14:textId="77777777" w:rsidR="00336526" w:rsidRPr="00A577E0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A577E0">
        <w:rPr>
          <w:rFonts w:ascii="Times New Roman" w:hAnsi="Times New Roman" w:cs="Times New Roman"/>
          <w:u w:val="single"/>
        </w:rPr>
        <w:t>Venózne</w:t>
      </w:r>
      <w:proofErr w:type="spellEnd"/>
      <w:r w:rsidRPr="00A577E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A577E0">
        <w:rPr>
          <w:rFonts w:ascii="Times New Roman" w:hAnsi="Times New Roman" w:cs="Times New Roman"/>
          <w:u w:val="single"/>
        </w:rPr>
        <w:t>tromboembolické</w:t>
      </w:r>
      <w:proofErr w:type="spellEnd"/>
      <w:r w:rsidRPr="00A577E0">
        <w:rPr>
          <w:rFonts w:ascii="Times New Roman" w:hAnsi="Times New Roman" w:cs="Times New Roman"/>
          <w:u w:val="single"/>
        </w:rPr>
        <w:t xml:space="preserve"> príhody</w:t>
      </w:r>
    </w:p>
    <w:p w14:paraId="21C377AE" w14:textId="77777777" w:rsidR="00A577E0" w:rsidRDefault="00A577E0" w:rsidP="00F8207F">
      <w:pPr>
        <w:spacing w:after="0" w:line="240" w:lineRule="auto"/>
        <w:rPr>
          <w:rFonts w:ascii="Times New Roman" w:hAnsi="Times New Roman" w:cs="Times New Roman"/>
        </w:rPr>
      </w:pPr>
    </w:p>
    <w:p w14:paraId="62D30E0C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klinických štúdiách s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sa vyskytli </w:t>
      </w:r>
      <w:proofErr w:type="spellStart"/>
      <w:r w:rsidRPr="00F8207F">
        <w:rPr>
          <w:rFonts w:ascii="Times New Roman" w:hAnsi="Times New Roman" w:cs="Times New Roman"/>
        </w:rPr>
        <w:t>venózne</w:t>
      </w:r>
      <w:proofErr w:type="spellEnd"/>
      <w:r w:rsidRPr="00F8207F">
        <w:rPr>
          <w:rFonts w:ascii="Times New Roman" w:hAnsi="Times New Roman" w:cs="Times New Roman"/>
        </w:rPr>
        <w:t xml:space="preserve"> </w:t>
      </w:r>
      <w:proofErr w:type="spellStart"/>
      <w:r w:rsidRPr="00F8207F">
        <w:rPr>
          <w:rFonts w:ascii="Times New Roman" w:hAnsi="Times New Roman" w:cs="Times New Roman"/>
        </w:rPr>
        <w:t>tromboembolické</w:t>
      </w:r>
      <w:proofErr w:type="spellEnd"/>
      <w:r w:rsidRPr="00F8207F">
        <w:rPr>
          <w:rFonts w:ascii="Times New Roman" w:hAnsi="Times New Roman" w:cs="Times New Roman"/>
        </w:rPr>
        <w:t xml:space="preserve"> príhody zahŕňajúce</w:t>
      </w:r>
    </w:p>
    <w:p w14:paraId="55CED945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8207F">
        <w:rPr>
          <w:rFonts w:ascii="Times New Roman" w:hAnsi="Times New Roman" w:cs="Times New Roman"/>
        </w:rPr>
        <w:t>venóznu</w:t>
      </w:r>
      <w:proofErr w:type="spellEnd"/>
      <w:r w:rsidRPr="00F8207F">
        <w:rPr>
          <w:rFonts w:ascii="Times New Roman" w:hAnsi="Times New Roman" w:cs="Times New Roman"/>
        </w:rPr>
        <w:t xml:space="preserve"> trombózu a fatálnu pľúcnu embóliu. Hoci sa pozorovali tak v štúdiách RCC, ako aj v štúdiách</w:t>
      </w:r>
    </w:p>
    <w:p w14:paraId="7B721004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STS, ich výskyt bol vyšší v populácii pacientov so STS (5 %) ako v populácii pacientov s RCC (2 %).</w:t>
      </w:r>
    </w:p>
    <w:p w14:paraId="61DD757E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07F14F59" w14:textId="77777777" w:rsidR="00336526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0D10FB">
        <w:rPr>
          <w:rFonts w:ascii="Times New Roman" w:hAnsi="Times New Roman" w:cs="Times New Roman"/>
          <w:u w:val="single"/>
        </w:rPr>
        <w:lastRenderedPageBreak/>
        <w:t>Trombotická</w:t>
      </w:r>
      <w:proofErr w:type="spellEnd"/>
      <w:r w:rsidRPr="000D10F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0D10FB">
        <w:rPr>
          <w:rFonts w:ascii="Times New Roman" w:hAnsi="Times New Roman" w:cs="Times New Roman"/>
          <w:u w:val="single"/>
        </w:rPr>
        <w:t>mikroangiopatia</w:t>
      </w:r>
      <w:proofErr w:type="spellEnd"/>
      <w:r w:rsidRPr="000D10FB">
        <w:rPr>
          <w:rFonts w:ascii="Times New Roman" w:hAnsi="Times New Roman" w:cs="Times New Roman"/>
          <w:u w:val="single"/>
        </w:rPr>
        <w:t xml:space="preserve"> (TMA)</w:t>
      </w:r>
    </w:p>
    <w:p w14:paraId="4F7DC460" w14:textId="77777777" w:rsidR="00863D65" w:rsidRPr="000D10FB" w:rsidRDefault="00863D65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6E375D0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klinických skúšaniach s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podávaným v </w:t>
      </w:r>
      <w:proofErr w:type="spellStart"/>
      <w:r w:rsidRPr="00F8207F">
        <w:rPr>
          <w:rFonts w:ascii="Times New Roman" w:hAnsi="Times New Roman" w:cs="Times New Roman"/>
        </w:rPr>
        <w:t>monoterapii</w:t>
      </w:r>
      <w:proofErr w:type="spellEnd"/>
      <w:r w:rsidRPr="00F8207F">
        <w:rPr>
          <w:rFonts w:ascii="Times New Roman" w:hAnsi="Times New Roman" w:cs="Times New Roman"/>
        </w:rPr>
        <w:t xml:space="preserve">, v kombinácii s </w:t>
      </w:r>
      <w:proofErr w:type="spellStart"/>
      <w:r w:rsidRPr="00F8207F">
        <w:rPr>
          <w:rFonts w:ascii="Times New Roman" w:hAnsi="Times New Roman" w:cs="Times New Roman"/>
        </w:rPr>
        <w:t>bevacizumabom</w:t>
      </w:r>
      <w:proofErr w:type="spellEnd"/>
      <w:r w:rsidRPr="00F8207F">
        <w:rPr>
          <w:rFonts w:ascii="Times New Roman" w:hAnsi="Times New Roman" w:cs="Times New Roman"/>
        </w:rPr>
        <w:t xml:space="preserve"> a</w:t>
      </w:r>
    </w:p>
    <w:p w14:paraId="7F2B655B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kombinácii s </w:t>
      </w:r>
      <w:proofErr w:type="spellStart"/>
      <w:r w:rsidRPr="00F8207F">
        <w:rPr>
          <w:rFonts w:ascii="Times New Roman" w:hAnsi="Times New Roman" w:cs="Times New Roman"/>
        </w:rPr>
        <w:t>topotekánom</w:t>
      </w:r>
      <w:proofErr w:type="spellEnd"/>
      <w:r w:rsidRPr="00F8207F">
        <w:rPr>
          <w:rFonts w:ascii="Times New Roman" w:hAnsi="Times New Roman" w:cs="Times New Roman"/>
        </w:rPr>
        <w:t xml:space="preserve"> bola hlásená TMA (pozri časť 4.8). Pacienti, u ktorých vznikne TMA,</w:t>
      </w:r>
    </w:p>
    <w:p w14:paraId="3EDC481F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musia liečbu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natrvalo ukončiť. Po ukončení liečby bolo pozorované vymiznutie</w:t>
      </w:r>
    </w:p>
    <w:p w14:paraId="23C7B50A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následkov TMA. </w:t>
      </w:r>
      <w:proofErr w:type="spellStart"/>
      <w:r w:rsidRPr="00F8207F">
        <w:rPr>
          <w:rFonts w:ascii="Times New Roman" w:hAnsi="Times New Roman" w:cs="Times New Roman"/>
        </w:rPr>
        <w:t>Pazopanib</w:t>
      </w:r>
      <w:proofErr w:type="spellEnd"/>
      <w:r w:rsidRPr="00F8207F">
        <w:rPr>
          <w:rFonts w:ascii="Times New Roman" w:hAnsi="Times New Roman" w:cs="Times New Roman"/>
        </w:rPr>
        <w:t xml:space="preserve"> nie je indikovaný na použitie v kombinácii s inými liekmi.</w:t>
      </w:r>
    </w:p>
    <w:p w14:paraId="3F790A10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14:paraId="2183E1F4" w14:textId="77777777" w:rsidR="00336526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D10FB">
        <w:rPr>
          <w:rFonts w:ascii="Times New Roman" w:hAnsi="Times New Roman" w:cs="Times New Roman"/>
          <w:u w:val="single"/>
        </w:rPr>
        <w:t>Krvácavé príhody</w:t>
      </w:r>
    </w:p>
    <w:p w14:paraId="5B8014D2" w14:textId="77777777" w:rsidR="000D10FB" w:rsidRPr="000D10FB" w:rsidRDefault="000D10FB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BABAB8E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klinických štúdiách s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boli hlásené krvácavé príhody (pozri časť 4.8). Vyskytli sa</w:t>
      </w:r>
    </w:p>
    <w:p w14:paraId="63E15CAC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fatálne krvácavé príhody. </w:t>
      </w:r>
      <w:proofErr w:type="spellStart"/>
      <w:r w:rsidRPr="00F8207F">
        <w:rPr>
          <w:rFonts w:ascii="Times New Roman" w:hAnsi="Times New Roman" w:cs="Times New Roman"/>
        </w:rPr>
        <w:t>Pazopanib</w:t>
      </w:r>
      <w:proofErr w:type="spellEnd"/>
      <w:r w:rsidRPr="00F8207F">
        <w:rPr>
          <w:rFonts w:ascii="Times New Roman" w:hAnsi="Times New Roman" w:cs="Times New Roman"/>
        </w:rPr>
        <w:t xml:space="preserve"> sa nesledoval u pacientov, ktorí v predchádzajúcich 6 mesiacoch</w:t>
      </w:r>
    </w:p>
    <w:p w14:paraId="57AD1683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prekonali </w:t>
      </w:r>
      <w:proofErr w:type="spellStart"/>
      <w:r w:rsidRPr="00F8207F">
        <w:rPr>
          <w:rFonts w:ascii="Times New Roman" w:hAnsi="Times New Roman" w:cs="Times New Roman"/>
        </w:rPr>
        <w:t>hemoptýzu</w:t>
      </w:r>
      <w:proofErr w:type="spellEnd"/>
      <w:r w:rsidRPr="00F8207F">
        <w:rPr>
          <w:rFonts w:ascii="Times New Roman" w:hAnsi="Times New Roman" w:cs="Times New Roman"/>
        </w:rPr>
        <w:t>, cerebrálne krvácanie alebo klinicky významné gastrointestinálne (GI)</w:t>
      </w:r>
    </w:p>
    <w:p w14:paraId="26458C3D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krvácanie. </w:t>
      </w:r>
      <w:proofErr w:type="spellStart"/>
      <w:r w:rsidRPr="00F8207F">
        <w:rPr>
          <w:rFonts w:ascii="Times New Roman" w:hAnsi="Times New Roman" w:cs="Times New Roman"/>
        </w:rPr>
        <w:t>Pazopanib</w:t>
      </w:r>
      <w:proofErr w:type="spellEnd"/>
      <w:r w:rsidRPr="00F8207F">
        <w:rPr>
          <w:rFonts w:ascii="Times New Roman" w:hAnsi="Times New Roman" w:cs="Times New Roman"/>
        </w:rPr>
        <w:t xml:space="preserve"> sa má používať opatrne u pacientov s významným rizikom krvácania.</w:t>
      </w:r>
    </w:p>
    <w:p w14:paraId="5521C22C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0B22ECCD" w14:textId="77777777" w:rsidR="00336526" w:rsidRPr="000D10FB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D10FB">
        <w:rPr>
          <w:rFonts w:ascii="Times New Roman" w:hAnsi="Times New Roman" w:cs="Times New Roman"/>
          <w:u w:val="single"/>
        </w:rPr>
        <w:t xml:space="preserve">Aneuryzmy a arteriálne </w:t>
      </w:r>
      <w:proofErr w:type="spellStart"/>
      <w:r w:rsidRPr="000D10FB">
        <w:rPr>
          <w:rFonts w:ascii="Times New Roman" w:hAnsi="Times New Roman" w:cs="Times New Roman"/>
          <w:u w:val="single"/>
        </w:rPr>
        <w:t>disekcie</w:t>
      </w:r>
      <w:proofErr w:type="spellEnd"/>
    </w:p>
    <w:p w14:paraId="55E32DA4" w14:textId="77777777" w:rsidR="000D10FB" w:rsidRDefault="000D10FB" w:rsidP="00F8207F">
      <w:pPr>
        <w:spacing w:after="0" w:line="240" w:lineRule="auto"/>
        <w:rPr>
          <w:rFonts w:ascii="Times New Roman" w:hAnsi="Times New Roman" w:cs="Times New Roman"/>
        </w:rPr>
      </w:pPr>
    </w:p>
    <w:p w14:paraId="075ADD20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Používanie inhibítorov dráhy vaskulárneho endotelového rastového faktora (</w:t>
      </w:r>
      <w:proofErr w:type="spellStart"/>
      <w:r w:rsidRPr="00F8207F">
        <w:rPr>
          <w:rFonts w:ascii="Times New Roman" w:hAnsi="Times New Roman" w:cs="Times New Roman"/>
        </w:rPr>
        <w:t>vascular</w:t>
      </w:r>
      <w:proofErr w:type="spellEnd"/>
      <w:r w:rsidRPr="00F8207F">
        <w:rPr>
          <w:rFonts w:ascii="Times New Roman" w:hAnsi="Times New Roman" w:cs="Times New Roman"/>
        </w:rPr>
        <w:t xml:space="preserve"> </w:t>
      </w:r>
      <w:proofErr w:type="spellStart"/>
      <w:r w:rsidRPr="00F8207F">
        <w:rPr>
          <w:rFonts w:ascii="Times New Roman" w:hAnsi="Times New Roman" w:cs="Times New Roman"/>
        </w:rPr>
        <w:t>endothelial</w:t>
      </w:r>
      <w:proofErr w:type="spellEnd"/>
    </w:p>
    <w:p w14:paraId="43E1C15B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8207F">
        <w:rPr>
          <w:rFonts w:ascii="Times New Roman" w:hAnsi="Times New Roman" w:cs="Times New Roman"/>
        </w:rPr>
        <w:t>growth</w:t>
      </w:r>
      <w:proofErr w:type="spellEnd"/>
      <w:r w:rsidRPr="00F8207F">
        <w:rPr>
          <w:rFonts w:ascii="Times New Roman" w:hAnsi="Times New Roman" w:cs="Times New Roman"/>
        </w:rPr>
        <w:t xml:space="preserve"> </w:t>
      </w:r>
      <w:proofErr w:type="spellStart"/>
      <w:r w:rsidRPr="00F8207F">
        <w:rPr>
          <w:rFonts w:ascii="Times New Roman" w:hAnsi="Times New Roman" w:cs="Times New Roman"/>
        </w:rPr>
        <w:t>factor</w:t>
      </w:r>
      <w:proofErr w:type="spellEnd"/>
      <w:r w:rsidRPr="00F8207F">
        <w:rPr>
          <w:rFonts w:ascii="Times New Roman" w:hAnsi="Times New Roman" w:cs="Times New Roman"/>
        </w:rPr>
        <w:t>, VEGF) u pacientov s hypertenziou alebo bez hypertenzie môže podporovať tvorbu</w:t>
      </w:r>
    </w:p>
    <w:p w14:paraId="46C3AAC2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aneuryziem a/alebo arteriálnych </w:t>
      </w:r>
      <w:proofErr w:type="spellStart"/>
      <w:r w:rsidRPr="00F8207F">
        <w:rPr>
          <w:rFonts w:ascii="Times New Roman" w:hAnsi="Times New Roman" w:cs="Times New Roman"/>
        </w:rPr>
        <w:t>disekcií</w:t>
      </w:r>
      <w:proofErr w:type="spellEnd"/>
      <w:r w:rsidRPr="00F8207F">
        <w:rPr>
          <w:rFonts w:ascii="Times New Roman" w:hAnsi="Times New Roman" w:cs="Times New Roman"/>
        </w:rPr>
        <w:t xml:space="preserve">. Pred začatím liečby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je potrebné toto riziko</w:t>
      </w:r>
    </w:p>
    <w:p w14:paraId="5B7AA120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dôkladne zvážiť u pacientov s rizikovými faktormi, ako je hypertenzia alebo aneuryzma v anamnéze.</w:t>
      </w:r>
    </w:p>
    <w:p w14:paraId="0A8441DD" w14:textId="77777777" w:rsidR="00F8207F" w:rsidRPr="00F8207F" w:rsidRDefault="00F8207F" w:rsidP="00F8207F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14:paraId="0EDF6AB8" w14:textId="77777777" w:rsidR="00336526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D10FB">
        <w:rPr>
          <w:rFonts w:ascii="Times New Roman" w:hAnsi="Times New Roman" w:cs="Times New Roman"/>
          <w:u w:val="single"/>
        </w:rPr>
        <w:t>Gastrointestinálne (GI) perforácie a</w:t>
      </w:r>
      <w:r w:rsidR="000D10FB">
        <w:rPr>
          <w:rFonts w:ascii="Times New Roman" w:hAnsi="Times New Roman" w:cs="Times New Roman"/>
          <w:u w:val="single"/>
        </w:rPr>
        <w:t> </w:t>
      </w:r>
      <w:r w:rsidRPr="000D10FB">
        <w:rPr>
          <w:rFonts w:ascii="Times New Roman" w:hAnsi="Times New Roman" w:cs="Times New Roman"/>
          <w:u w:val="single"/>
        </w:rPr>
        <w:t>fistula</w:t>
      </w:r>
    </w:p>
    <w:p w14:paraId="2C0DC77F" w14:textId="77777777" w:rsidR="000D10FB" w:rsidRPr="000D10FB" w:rsidRDefault="000D10FB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7AB24E3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 klinických štúdiách s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sa vyskytli prípady GI perforácie alebo fistuly (pozri časť 4.8).</w:t>
      </w:r>
    </w:p>
    <w:p w14:paraId="6BB2D275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Vyskytli sa fatálne prípady perforácie. </w:t>
      </w:r>
      <w:proofErr w:type="spellStart"/>
      <w:r w:rsidRPr="00F8207F">
        <w:rPr>
          <w:rFonts w:ascii="Times New Roman" w:hAnsi="Times New Roman" w:cs="Times New Roman"/>
        </w:rPr>
        <w:t>Pazopanib</w:t>
      </w:r>
      <w:proofErr w:type="spellEnd"/>
      <w:r w:rsidRPr="00F8207F">
        <w:rPr>
          <w:rFonts w:ascii="Times New Roman" w:hAnsi="Times New Roman" w:cs="Times New Roman"/>
        </w:rPr>
        <w:t xml:space="preserve"> sa má používať opatrne u pacientov s rizikom</w:t>
      </w:r>
    </w:p>
    <w:p w14:paraId="4640C2F9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vzniku GI perforácie alebo fistuly.</w:t>
      </w:r>
    </w:p>
    <w:p w14:paraId="3D8496A9" w14:textId="77777777" w:rsidR="00F8207F" w:rsidRDefault="00F8207F" w:rsidP="00F8207F">
      <w:pPr>
        <w:spacing w:after="0" w:line="240" w:lineRule="auto"/>
        <w:rPr>
          <w:rFonts w:ascii="Times New Roman" w:hAnsi="Times New Roman" w:cs="Times New Roman"/>
        </w:rPr>
      </w:pPr>
    </w:p>
    <w:p w14:paraId="2294A0D2" w14:textId="77777777" w:rsidR="00336526" w:rsidRDefault="00336526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D10FB">
        <w:rPr>
          <w:rFonts w:ascii="Times New Roman" w:hAnsi="Times New Roman" w:cs="Times New Roman"/>
          <w:u w:val="single"/>
        </w:rPr>
        <w:t>Hojenie rán</w:t>
      </w:r>
    </w:p>
    <w:p w14:paraId="3AEA6072" w14:textId="77777777" w:rsidR="000D10FB" w:rsidRPr="000D10FB" w:rsidRDefault="000D10FB" w:rsidP="00F8207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C82CC2E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Neuskutočnili sa žiadne formálne štúdie o účinku </w:t>
      </w:r>
      <w:proofErr w:type="spellStart"/>
      <w:r w:rsidRPr="00F8207F">
        <w:rPr>
          <w:rFonts w:ascii="Times New Roman" w:hAnsi="Times New Roman" w:cs="Times New Roman"/>
        </w:rPr>
        <w:t>pazopanibu</w:t>
      </w:r>
      <w:proofErr w:type="spellEnd"/>
      <w:r w:rsidRPr="00F8207F">
        <w:rPr>
          <w:rFonts w:ascii="Times New Roman" w:hAnsi="Times New Roman" w:cs="Times New Roman"/>
        </w:rPr>
        <w:t xml:space="preserve"> na hojenie rán. Keďže inhibítory</w:t>
      </w:r>
    </w:p>
    <w:p w14:paraId="50DFE796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>cievneho endotelového rastového faktora (</w:t>
      </w:r>
      <w:proofErr w:type="spellStart"/>
      <w:r w:rsidRPr="00F8207F">
        <w:rPr>
          <w:rFonts w:ascii="Times New Roman" w:hAnsi="Times New Roman" w:cs="Times New Roman"/>
        </w:rPr>
        <w:t>vascular</w:t>
      </w:r>
      <w:proofErr w:type="spellEnd"/>
      <w:r w:rsidRPr="00F8207F">
        <w:rPr>
          <w:rFonts w:ascii="Times New Roman" w:hAnsi="Times New Roman" w:cs="Times New Roman"/>
        </w:rPr>
        <w:t xml:space="preserve"> </w:t>
      </w:r>
      <w:proofErr w:type="spellStart"/>
      <w:r w:rsidRPr="00F8207F">
        <w:rPr>
          <w:rFonts w:ascii="Times New Roman" w:hAnsi="Times New Roman" w:cs="Times New Roman"/>
        </w:rPr>
        <w:t>endothelial</w:t>
      </w:r>
      <w:proofErr w:type="spellEnd"/>
      <w:r w:rsidRPr="00F8207F">
        <w:rPr>
          <w:rFonts w:ascii="Times New Roman" w:hAnsi="Times New Roman" w:cs="Times New Roman"/>
        </w:rPr>
        <w:t xml:space="preserve"> </w:t>
      </w:r>
      <w:proofErr w:type="spellStart"/>
      <w:r w:rsidRPr="00F8207F">
        <w:rPr>
          <w:rFonts w:ascii="Times New Roman" w:hAnsi="Times New Roman" w:cs="Times New Roman"/>
        </w:rPr>
        <w:t>growth</w:t>
      </w:r>
      <w:proofErr w:type="spellEnd"/>
      <w:r w:rsidRPr="00F8207F">
        <w:rPr>
          <w:rFonts w:ascii="Times New Roman" w:hAnsi="Times New Roman" w:cs="Times New Roman"/>
        </w:rPr>
        <w:t xml:space="preserve"> </w:t>
      </w:r>
      <w:proofErr w:type="spellStart"/>
      <w:r w:rsidRPr="00F8207F">
        <w:rPr>
          <w:rFonts w:ascii="Times New Roman" w:hAnsi="Times New Roman" w:cs="Times New Roman"/>
        </w:rPr>
        <w:t>factor</w:t>
      </w:r>
      <w:proofErr w:type="spellEnd"/>
      <w:r w:rsidRPr="00F8207F">
        <w:rPr>
          <w:rFonts w:ascii="Times New Roman" w:hAnsi="Times New Roman" w:cs="Times New Roman"/>
        </w:rPr>
        <w:t>, VEGF) môžu narušiť</w:t>
      </w:r>
    </w:p>
    <w:p w14:paraId="38C44E64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hojenie rán, liečba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sa má prerušiť aspoň 7 dní pred plánovaným chirurgickým zákrokom.</w:t>
      </w:r>
    </w:p>
    <w:p w14:paraId="5E00378E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Rozhodnutie o opätovnom začatí liečby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po chirurgickom zákroku má vychádzať z</w:t>
      </w:r>
    </w:p>
    <w:p w14:paraId="49602BA3" w14:textId="77777777" w:rsidR="00336526" w:rsidRPr="00F8207F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r w:rsidRPr="00F8207F">
        <w:rPr>
          <w:rFonts w:ascii="Times New Roman" w:hAnsi="Times New Roman" w:cs="Times New Roman"/>
        </w:rPr>
        <w:t xml:space="preserve">klinického posúdenia adekvátneho hojenia rany. Liečba </w:t>
      </w:r>
      <w:proofErr w:type="spellStart"/>
      <w:r w:rsidRPr="00F8207F">
        <w:rPr>
          <w:rFonts w:ascii="Times New Roman" w:hAnsi="Times New Roman" w:cs="Times New Roman"/>
        </w:rPr>
        <w:t>pazopanibom</w:t>
      </w:r>
      <w:proofErr w:type="spellEnd"/>
      <w:r w:rsidRPr="00F8207F">
        <w:rPr>
          <w:rFonts w:ascii="Times New Roman" w:hAnsi="Times New Roman" w:cs="Times New Roman"/>
        </w:rPr>
        <w:t xml:space="preserve"> sa má ukončiť u pacientov s</w:t>
      </w:r>
    </w:p>
    <w:p w14:paraId="0976D905" w14:textId="77777777" w:rsidR="002E56F2" w:rsidRDefault="00336526" w:rsidP="00F8207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8207F">
        <w:rPr>
          <w:rFonts w:ascii="Times New Roman" w:hAnsi="Times New Roman" w:cs="Times New Roman"/>
        </w:rPr>
        <w:t>dehiscenciou</w:t>
      </w:r>
      <w:proofErr w:type="spellEnd"/>
      <w:r w:rsidRPr="00F8207F">
        <w:rPr>
          <w:rFonts w:ascii="Times New Roman" w:hAnsi="Times New Roman" w:cs="Times New Roman"/>
        </w:rPr>
        <w:t xml:space="preserve"> rany.</w:t>
      </w:r>
    </w:p>
    <w:p w14:paraId="2F704F43" w14:textId="77777777" w:rsidR="004A0C37" w:rsidRDefault="004A0C37" w:rsidP="00F8207F">
      <w:pPr>
        <w:spacing w:after="0" w:line="240" w:lineRule="auto"/>
        <w:rPr>
          <w:rFonts w:ascii="Times New Roman" w:hAnsi="Times New Roman" w:cs="Times New Roman"/>
        </w:rPr>
      </w:pPr>
    </w:p>
    <w:p w14:paraId="029D8AE5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4A0C37">
        <w:rPr>
          <w:rFonts w:ascii="Times New Roman" w:hAnsi="Times New Roman" w:cs="Times New Roman"/>
          <w:u w:val="single"/>
        </w:rPr>
        <w:t>Hypotyreóza</w:t>
      </w:r>
      <w:proofErr w:type="spellEnd"/>
      <w:r w:rsidRPr="004A0C37">
        <w:rPr>
          <w:rFonts w:ascii="Times New Roman" w:hAnsi="Times New Roman" w:cs="Times New Roman"/>
          <w:u w:val="single"/>
        </w:rPr>
        <w:t xml:space="preserve"> </w:t>
      </w:r>
    </w:p>
    <w:p w14:paraId="70E62697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</w:p>
    <w:p w14:paraId="48635FED" w14:textId="77777777" w:rsidR="00863D65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V klinických štúdiách s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sa vyskytli prípady </w:t>
      </w:r>
      <w:proofErr w:type="spellStart"/>
      <w:r w:rsidRPr="004A0C37">
        <w:rPr>
          <w:rFonts w:ascii="Times New Roman" w:hAnsi="Times New Roman" w:cs="Times New Roman"/>
        </w:rPr>
        <w:t>hypotyreózy</w:t>
      </w:r>
      <w:proofErr w:type="spellEnd"/>
      <w:r w:rsidRPr="004A0C37">
        <w:rPr>
          <w:rFonts w:ascii="Times New Roman" w:hAnsi="Times New Roman" w:cs="Times New Roman"/>
        </w:rPr>
        <w:t xml:space="preserve"> (pozri časť 4.8). Odporúča sa </w:t>
      </w:r>
      <w:proofErr w:type="spellStart"/>
      <w:r w:rsidRPr="004A0C37">
        <w:rPr>
          <w:rFonts w:ascii="Times New Roman" w:hAnsi="Times New Roman" w:cs="Times New Roman"/>
        </w:rPr>
        <w:t>predliečebné</w:t>
      </w:r>
      <w:proofErr w:type="spellEnd"/>
      <w:r w:rsidRPr="004A0C37">
        <w:rPr>
          <w:rFonts w:ascii="Times New Roman" w:hAnsi="Times New Roman" w:cs="Times New Roman"/>
        </w:rPr>
        <w:t xml:space="preserve"> laboratórne vyšetrenie funkcie štítnej žľazy a pacienti s </w:t>
      </w:r>
      <w:proofErr w:type="spellStart"/>
      <w:r w:rsidRPr="004A0C37">
        <w:rPr>
          <w:rFonts w:ascii="Times New Roman" w:hAnsi="Times New Roman" w:cs="Times New Roman"/>
        </w:rPr>
        <w:t>hypotyreózou</w:t>
      </w:r>
      <w:proofErr w:type="spellEnd"/>
      <w:r w:rsidRPr="004A0C37">
        <w:rPr>
          <w:rFonts w:ascii="Times New Roman" w:hAnsi="Times New Roman" w:cs="Times New Roman"/>
        </w:rPr>
        <w:t xml:space="preserve"> sa pred začatím liečby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majú liečiť v súlade so štandardnou medicínskou praxou. Všetci pacienti majú byť počas liečby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pozorne sledovaní kvôli prejavom a príznakom dysfunkcie štítnej žľazy. </w:t>
      </w:r>
    </w:p>
    <w:p w14:paraId="2763D540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Laboratórne sledovanie funkcie štítnej žľazy sa má vykonávať v pravidelných intervaloch a funkcia štítnej žľazy sa má liečiť v súlade so štandardnou medicínskou praxou. </w:t>
      </w:r>
    </w:p>
    <w:p w14:paraId="3BF8BD09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078D25E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4A0C37">
        <w:rPr>
          <w:rFonts w:ascii="Times New Roman" w:hAnsi="Times New Roman" w:cs="Times New Roman"/>
          <w:u w:val="single"/>
        </w:rPr>
        <w:t>Proteinúria</w:t>
      </w:r>
      <w:proofErr w:type="spellEnd"/>
      <w:r w:rsidRPr="004A0C37">
        <w:rPr>
          <w:rFonts w:ascii="Times New Roman" w:hAnsi="Times New Roman" w:cs="Times New Roman"/>
          <w:u w:val="single"/>
        </w:rPr>
        <w:t xml:space="preserve"> </w:t>
      </w:r>
    </w:p>
    <w:p w14:paraId="462B40A8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</w:p>
    <w:p w14:paraId="045C4513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V klinických štúdiách s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bola hlásená </w:t>
      </w:r>
      <w:proofErr w:type="spellStart"/>
      <w:r w:rsidRPr="004A0C37">
        <w:rPr>
          <w:rFonts w:ascii="Times New Roman" w:hAnsi="Times New Roman" w:cs="Times New Roman"/>
        </w:rPr>
        <w:t>proteinúria</w:t>
      </w:r>
      <w:proofErr w:type="spellEnd"/>
      <w:r w:rsidRPr="004A0C37">
        <w:rPr>
          <w:rFonts w:ascii="Times New Roman" w:hAnsi="Times New Roman" w:cs="Times New Roman"/>
        </w:rPr>
        <w:t xml:space="preserve">. Odporúča sa vykonať vyšetrenie moču pred liečbou a v pravidelných intervaloch počas liečby a pacientov treba sledovať kvôli zhoršujúcej sa </w:t>
      </w:r>
      <w:proofErr w:type="spellStart"/>
      <w:r w:rsidRPr="004A0C37">
        <w:rPr>
          <w:rFonts w:ascii="Times New Roman" w:hAnsi="Times New Roman" w:cs="Times New Roman"/>
        </w:rPr>
        <w:t>proteinúrii</w:t>
      </w:r>
      <w:proofErr w:type="spellEnd"/>
      <w:r w:rsidRPr="004A0C37">
        <w:rPr>
          <w:rFonts w:ascii="Times New Roman" w:hAnsi="Times New Roman" w:cs="Times New Roman"/>
        </w:rPr>
        <w:t xml:space="preserve">. Liečba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sa má ukončiť, ak u pacienta vznikne </w:t>
      </w:r>
      <w:proofErr w:type="spellStart"/>
      <w:r w:rsidRPr="004A0C37">
        <w:rPr>
          <w:rFonts w:ascii="Times New Roman" w:hAnsi="Times New Roman" w:cs="Times New Roman"/>
        </w:rPr>
        <w:t>nefrotický</w:t>
      </w:r>
      <w:proofErr w:type="spellEnd"/>
      <w:r w:rsidRPr="004A0C37">
        <w:rPr>
          <w:rFonts w:ascii="Times New Roman" w:hAnsi="Times New Roman" w:cs="Times New Roman"/>
        </w:rPr>
        <w:t xml:space="preserve"> syndróm. </w:t>
      </w:r>
    </w:p>
    <w:p w14:paraId="62D2ADC9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</w:p>
    <w:p w14:paraId="4761E796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A0C37">
        <w:rPr>
          <w:rFonts w:ascii="Times New Roman" w:hAnsi="Times New Roman" w:cs="Times New Roman"/>
          <w:u w:val="single"/>
        </w:rPr>
        <w:t>Syndróm z rozpadu nádoru (</w:t>
      </w:r>
      <w:proofErr w:type="spellStart"/>
      <w:r w:rsidRPr="004A0C37">
        <w:rPr>
          <w:rFonts w:ascii="Times New Roman" w:hAnsi="Times New Roman" w:cs="Times New Roman"/>
          <w:u w:val="single"/>
        </w:rPr>
        <w:t>tumour</w:t>
      </w:r>
      <w:proofErr w:type="spellEnd"/>
      <w:r w:rsidRPr="004A0C37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A0C37">
        <w:rPr>
          <w:rFonts w:ascii="Times New Roman" w:hAnsi="Times New Roman" w:cs="Times New Roman"/>
          <w:u w:val="single"/>
        </w:rPr>
        <w:t>lysis</w:t>
      </w:r>
      <w:proofErr w:type="spellEnd"/>
      <w:r w:rsidRPr="004A0C37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A0C37">
        <w:rPr>
          <w:rFonts w:ascii="Times New Roman" w:hAnsi="Times New Roman" w:cs="Times New Roman"/>
          <w:u w:val="single"/>
        </w:rPr>
        <w:t>syndrome</w:t>
      </w:r>
      <w:proofErr w:type="spellEnd"/>
      <w:r w:rsidRPr="004A0C37">
        <w:rPr>
          <w:rFonts w:ascii="Times New Roman" w:hAnsi="Times New Roman" w:cs="Times New Roman"/>
          <w:u w:val="single"/>
        </w:rPr>
        <w:t xml:space="preserve">, TLS) </w:t>
      </w:r>
    </w:p>
    <w:p w14:paraId="11FE5118" w14:textId="77777777" w:rsidR="00793D65" w:rsidRDefault="00793D65" w:rsidP="004A0C37">
      <w:pPr>
        <w:spacing w:after="0" w:line="240" w:lineRule="auto"/>
        <w:rPr>
          <w:rFonts w:ascii="Times New Roman" w:hAnsi="Times New Roman" w:cs="Times New Roman"/>
        </w:rPr>
      </w:pPr>
    </w:p>
    <w:p w14:paraId="6479B2E6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lastRenderedPageBreak/>
        <w:t xml:space="preserve">Výskyt TLS, vrátane fatálneho TLS bol spojený s užívaním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(pozri časť 4.8). Pacienti so zvýšeným rizikom TLS sú pacienti s rýchlo rastúcimi nádormi, vysokým nádorovým zaťažením, </w:t>
      </w:r>
      <w:proofErr w:type="spellStart"/>
      <w:r w:rsidRPr="004A0C37">
        <w:rPr>
          <w:rFonts w:ascii="Times New Roman" w:hAnsi="Times New Roman" w:cs="Times New Roman"/>
        </w:rPr>
        <w:t>renálnou</w:t>
      </w:r>
      <w:proofErr w:type="spellEnd"/>
      <w:r w:rsidRPr="004A0C37">
        <w:rPr>
          <w:rFonts w:ascii="Times New Roman" w:hAnsi="Times New Roman" w:cs="Times New Roman"/>
        </w:rPr>
        <w:t xml:space="preserve"> dysfunkciou alebo dehydratáciou. Pred začatím liečby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sa majú zvážiť preventívne opatrenia, ako je liečba vysokých hladín kyseliny močovej a intravenózna hydratácia. Rizikových pacientov treba starostlivo sledovať a liečiť podľa klinickej potreby. </w:t>
      </w:r>
    </w:p>
    <w:p w14:paraId="2BD10FB3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E542052" w14:textId="77777777" w:rsidR="004A0C37" w:rsidRPr="009526C6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9526C6">
        <w:rPr>
          <w:rFonts w:ascii="Times New Roman" w:hAnsi="Times New Roman" w:cs="Times New Roman"/>
          <w:u w:val="single"/>
        </w:rPr>
        <w:t>Pneumotorax</w:t>
      </w:r>
      <w:proofErr w:type="spellEnd"/>
      <w:r w:rsidRPr="009526C6">
        <w:rPr>
          <w:rFonts w:ascii="Times New Roman" w:hAnsi="Times New Roman" w:cs="Times New Roman"/>
          <w:u w:val="single"/>
        </w:rPr>
        <w:t xml:space="preserve"> </w:t>
      </w:r>
    </w:p>
    <w:p w14:paraId="4C68988B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63B0F385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V klinických štúdiách s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sledovaným pri pokročilom sarkóme mäkkých tkanív sa vyskytli prípady </w:t>
      </w:r>
      <w:proofErr w:type="spellStart"/>
      <w:r w:rsidRPr="004A0C37">
        <w:rPr>
          <w:rFonts w:ascii="Times New Roman" w:hAnsi="Times New Roman" w:cs="Times New Roman"/>
        </w:rPr>
        <w:t>pneumotoraxu</w:t>
      </w:r>
      <w:proofErr w:type="spellEnd"/>
      <w:r w:rsidRPr="004A0C37">
        <w:rPr>
          <w:rFonts w:ascii="Times New Roman" w:hAnsi="Times New Roman" w:cs="Times New Roman"/>
        </w:rPr>
        <w:t xml:space="preserve"> (pozri časť 4.8). Pacientov liečených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treba dôkladne sledovať kvôli prejavom a príznakom </w:t>
      </w:r>
      <w:proofErr w:type="spellStart"/>
      <w:r w:rsidRPr="004A0C37">
        <w:rPr>
          <w:rFonts w:ascii="Times New Roman" w:hAnsi="Times New Roman" w:cs="Times New Roman"/>
        </w:rPr>
        <w:t>pneumotoraxu</w:t>
      </w:r>
      <w:proofErr w:type="spellEnd"/>
      <w:r w:rsidRPr="004A0C37">
        <w:rPr>
          <w:rFonts w:ascii="Times New Roman" w:hAnsi="Times New Roman" w:cs="Times New Roman"/>
        </w:rPr>
        <w:t xml:space="preserve">. </w:t>
      </w:r>
    </w:p>
    <w:p w14:paraId="167B2C28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0E59B128" w14:textId="77777777" w:rsidR="004A0C37" w:rsidRPr="009526C6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526C6">
        <w:rPr>
          <w:rFonts w:ascii="Times New Roman" w:hAnsi="Times New Roman" w:cs="Times New Roman"/>
          <w:u w:val="single"/>
        </w:rPr>
        <w:t xml:space="preserve">Pediatrická populácia </w:t>
      </w:r>
    </w:p>
    <w:p w14:paraId="21EE0EF8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44C105DA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Keďže spôsob účinku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môže závažným spôsobom ovplyvniť rast a dozrievanie orgánov počas skorého </w:t>
      </w:r>
      <w:proofErr w:type="spellStart"/>
      <w:r w:rsidRPr="004A0C37">
        <w:rPr>
          <w:rFonts w:ascii="Times New Roman" w:hAnsi="Times New Roman" w:cs="Times New Roman"/>
        </w:rPr>
        <w:t>postnatálneho</w:t>
      </w:r>
      <w:proofErr w:type="spellEnd"/>
      <w:r w:rsidRPr="004A0C37">
        <w:rPr>
          <w:rFonts w:ascii="Times New Roman" w:hAnsi="Times New Roman" w:cs="Times New Roman"/>
        </w:rPr>
        <w:t xml:space="preserve"> vývoja hlodavcov (pozri časť 5.3),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sa nemá podávať pediatrickým pacientom mladším ako 2 roky. </w:t>
      </w:r>
    </w:p>
    <w:p w14:paraId="3C0A5A28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743181D3" w14:textId="77777777" w:rsidR="004A0C37" w:rsidRPr="009526C6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526C6">
        <w:rPr>
          <w:rFonts w:ascii="Times New Roman" w:hAnsi="Times New Roman" w:cs="Times New Roman"/>
          <w:u w:val="single"/>
        </w:rPr>
        <w:t xml:space="preserve">Infekcie </w:t>
      </w:r>
    </w:p>
    <w:p w14:paraId="2A4E7EEE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20682CEE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Hlásené boli prípady závažných infekcií (s </w:t>
      </w:r>
      <w:proofErr w:type="spellStart"/>
      <w:r w:rsidRPr="004A0C37">
        <w:rPr>
          <w:rFonts w:ascii="Times New Roman" w:hAnsi="Times New Roman" w:cs="Times New Roman"/>
        </w:rPr>
        <w:t>neutropéniou</w:t>
      </w:r>
      <w:proofErr w:type="spellEnd"/>
      <w:r w:rsidRPr="004A0C37">
        <w:rPr>
          <w:rFonts w:ascii="Times New Roman" w:hAnsi="Times New Roman" w:cs="Times New Roman"/>
        </w:rPr>
        <w:t xml:space="preserve"> alebo bez nej), v niektorých prípadoch so smrteľným koncom. </w:t>
      </w:r>
    </w:p>
    <w:p w14:paraId="57907057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5B329731" w14:textId="77777777" w:rsidR="004A0C37" w:rsidRPr="009526C6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526C6">
        <w:rPr>
          <w:rFonts w:ascii="Times New Roman" w:hAnsi="Times New Roman" w:cs="Times New Roman"/>
          <w:u w:val="single"/>
        </w:rPr>
        <w:t xml:space="preserve">Kombinácia s inými systémovými </w:t>
      </w:r>
      <w:proofErr w:type="spellStart"/>
      <w:r w:rsidRPr="009526C6">
        <w:rPr>
          <w:rFonts w:ascii="Times New Roman" w:hAnsi="Times New Roman" w:cs="Times New Roman"/>
          <w:u w:val="single"/>
        </w:rPr>
        <w:t>protinádorovými</w:t>
      </w:r>
      <w:proofErr w:type="spellEnd"/>
      <w:r w:rsidRPr="009526C6">
        <w:rPr>
          <w:rFonts w:ascii="Times New Roman" w:hAnsi="Times New Roman" w:cs="Times New Roman"/>
          <w:u w:val="single"/>
        </w:rPr>
        <w:t xml:space="preserve"> terapiami </w:t>
      </w:r>
    </w:p>
    <w:p w14:paraId="3EDF079F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0D3429EB" w14:textId="1F2E74AE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Klinické štúdie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v kombinácii s</w:t>
      </w:r>
      <w:r w:rsidR="0059305B">
        <w:rPr>
          <w:rFonts w:ascii="Times New Roman" w:hAnsi="Times New Roman" w:cs="Times New Roman"/>
        </w:rPr>
        <w:t xml:space="preserve"> množstvom iných </w:t>
      </w:r>
      <w:proofErr w:type="spellStart"/>
      <w:r w:rsidR="0059305B">
        <w:rPr>
          <w:rFonts w:ascii="Times New Roman" w:hAnsi="Times New Roman" w:cs="Times New Roman"/>
        </w:rPr>
        <w:t>protinádorových</w:t>
      </w:r>
      <w:proofErr w:type="spellEnd"/>
      <w:r w:rsidR="0059305B">
        <w:rPr>
          <w:rFonts w:ascii="Times New Roman" w:hAnsi="Times New Roman" w:cs="Times New Roman"/>
        </w:rPr>
        <w:t xml:space="preserve"> terapií (vrátane </w:t>
      </w:r>
      <w:r w:rsidR="00932656">
        <w:rPr>
          <w:rFonts w:ascii="Times New Roman" w:hAnsi="Times New Roman" w:cs="Times New Roman"/>
        </w:rPr>
        <w:t xml:space="preserve">napr. </w:t>
      </w:r>
      <w:proofErr w:type="spellStart"/>
      <w:r w:rsidR="0059305B">
        <w:rPr>
          <w:rFonts w:ascii="Times New Roman" w:hAnsi="Times New Roman" w:cs="Times New Roman"/>
        </w:rPr>
        <w:t>pemetrexedu</w:t>
      </w:r>
      <w:proofErr w:type="spellEnd"/>
      <w:r w:rsidR="0059305B">
        <w:rPr>
          <w:rFonts w:ascii="Times New Roman" w:hAnsi="Times New Roman" w:cs="Times New Roman"/>
        </w:rPr>
        <w:t xml:space="preserve">, </w:t>
      </w:r>
      <w:proofErr w:type="spellStart"/>
      <w:r w:rsidR="0059305B">
        <w:rPr>
          <w:rFonts w:ascii="Times New Roman" w:hAnsi="Times New Roman" w:cs="Times New Roman"/>
        </w:rPr>
        <w:t>lapatinibu</w:t>
      </w:r>
      <w:proofErr w:type="spellEnd"/>
      <w:r w:rsidR="0059305B">
        <w:rPr>
          <w:rFonts w:ascii="Times New Roman" w:hAnsi="Times New Roman" w:cs="Times New Roman"/>
        </w:rPr>
        <w:t xml:space="preserve"> alebo </w:t>
      </w:r>
      <w:proofErr w:type="spellStart"/>
      <w:r w:rsidR="0059305B">
        <w:rPr>
          <w:rFonts w:ascii="Times New Roman" w:hAnsi="Times New Roman" w:cs="Times New Roman"/>
        </w:rPr>
        <w:t>pembrolizumabu</w:t>
      </w:r>
      <w:proofErr w:type="spellEnd"/>
      <w:r w:rsidR="0059305B">
        <w:rPr>
          <w:rFonts w:ascii="Times New Roman" w:hAnsi="Times New Roman" w:cs="Times New Roman"/>
        </w:rPr>
        <w:t>)</w:t>
      </w:r>
      <w:r w:rsidRPr="004A0C37">
        <w:rPr>
          <w:rFonts w:ascii="Times New Roman" w:hAnsi="Times New Roman" w:cs="Times New Roman"/>
        </w:rPr>
        <w:t xml:space="preserve"> boli v skorej fáze ukončené kvôli obavám zo zvýšenej toxicity a/alebo úmrtnosti a pri týchto kombinovaných režimoch liečby nebola stanovená bezpečná a účinná dávka. </w:t>
      </w:r>
    </w:p>
    <w:p w14:paraId="2538D6F8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109B9D39" w14:textId="77777777" w:rsidR="004A0C37" w:rsidRPr="009526C6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526C6">
        <w:rPr>
          <w:rFonts w:ascii="Times New Roman" w:hAnsi="Times New Roman" w:cs="Times New Roman"/>
          <w:u w:val="single"/>
        </w:rPr>
        <w:t xml:space="preserve">Gravidita </w:t>
      </w:r>
    </w:p>
    <w:p w14:paraId="3CEB3EDE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27D7961A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Predklinické štúdie na zvieratách preukázali reprodukčnú toxicitu (pozri časť 5.3). Ak sa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používa počas gravidity alebo ak pacientka otehotnie počas liečby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, pacientku treba oboznámiť s možným rizikom pre plod. Ženám vo fertilnom veku sa má odporučiť, aby sa počas liečby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vyhli otehotneniu (pozri časť 4.6). </w:t>
      </w:r>
    </w:p>
    <w:p w14:paraId="14A639EA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48089103" w14:textId="77777777" w:rsidR="004A0C37" w:rsidRPr="009526C6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526C6">
        <w:rPr>
          <w:rFonts w:ascii="Times New Roman" w:hAnsi="Times New Roman" w:cs="Times New Roman"/>
          <w:u w:val="single"/>
        </w:rPr>
        <w:t xml:space="preserve">Interakcie </w:t>
      </w:r>
    </w:p>
    <w:p w14:paraId="0BAFF31D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780E5CE6" w14:textId="543EF21B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>Je potrebné v</w:t>
      </w:r>
      <w:r w:rsidR="0059305B">
        <w:rPr>
          <w:rFonts w:ascii="Times New Roman" w:hAnsi="Times New Roman" w:cs="Times New Roman"/>
        </w:rPr>
        <w:t>y</w:t>
      </w:r>
      <w:r w:rsidRPr="004A0C37">
        <w:rPr>
          <w:rFonts w:ascii="Times New Roman" w:hAnsi="Times New Roman" w:cs="Times New Roman"/>
        </w:rPr>
        <w:t>hnúť sa súbežnej liečbe silnými inhibítormi CYP3A4, P-</w:t>
      </w:r>
      <w:proofErr w:type="spellStart"/>
      <w:r w:rsidRPr="004A0C37">
        <w:rPr>
          <w:rFonts w:ascii="Times New Roman" w:hAnsi="Times New Roman" w:cs="Times New Roman"/>
        </w:rPr>
        <w:t>glykoproteínu</w:t>
      </w:r>
      <w:proofErr w:type="spellEnd"/>
      <w:r w:rsidRPr="004A0C37">
        <w:rPr>
          <w:rFonts w:ascii="Times New Roman" w:hAnsi="Times New Roman" w:cs="Times New Roman"/>
        </w:rPr>
        <w:t xml:space="preserve"> (P-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>) alebo proteínu zodpovedného za rezistenciu pri rakovine prsníka (</w:t>
      </w:r>
      <w:proofErr w:type="spellStart"/>
      <w:r w:rsidRPr="004A0C37">
        <w:rPr>
          <w:rFonts w:ascii="Times New Roman" w:hAnsi="Times New Roman" w:cs="Times New Roman"/>
        </w:rPr>
        <w:t>breast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Pr="004A0C37">
        <w:rPr>
          <w:rFonts w:ascii="Times New Roman" w:hAnsi="Times New Roman" w:cs="Times New Roman"/>
        </w:rPr>
        <w:t>cancer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Pr="004A0C37">
        <w:rPr>
          <w:rFonts w:ascii="Times New Roman" w:hAnsi="Times New Roman" w:cs="Times New Roman"/>
        </w:rPr>
        <w:t>resistance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Pr="004A0C37">
        <w:rPr>
          <w:rFonts w:ascii="Times New Roman" w:hAnsi="Times New Roman" w:cs="Times New Roman"/>
        </w:rPr>
        <w:t>protein</w:t>
      </w:r>
      <w:proofErr w:type="spellEnd"/>
      <w:r w:rsidRPr="004A0C37">
        <w:rPr>
          <w:rFonts w:ascii="Times New Roman" w:hAnsi="Times New Roman" w:cs="Times New Roman"/>
        </w:rPr>
        <w:t xml:space="preserve">, BCRP) vzhľadom na riziko zvýšenej expozície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(pozri časť 4.5). Má sa zvážiť výber alternatívnych, súbežne podávaných liekov s nulovým alebo minimálnym potenciálom inhibície CYP3A4,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alebo BCRP. </w:t>
      </w:r>
    </w:p>
    <w:p w14:paraId="5A0EDAB0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06E88AF3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Je potrebné vyhnúť sa súbežnej liečbe induktormi CYP3A4 vzhľadom na riziko zníženej expozície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(pozri časť 4.5). </w:t>
      </w:r>
    </w:p>
    <w:p w14:paraId="22274D2B" w14:textId="77777777" w:rsidR="009526C6" w:rsidRDefault="009526C6" w:rsidP="004A0C37">
      <w:pPr>
        <w:spacing w:after="0" w:line="240" w:lineRule="auto"/>
        <w:rPr>
          <w:rFonts w:ascii="Times New Roman" w:hAnsi="Times New Roman" w:cs="Times New Roman"/>
        </w:rPr>
      </w:pPr>
    </w:p>
    <w:p w14:paraId="58C829A2" w14:textId="77777777" w:rsidR="004A0C37" w:rsidRPr="004A0C37" w:rsidRDefault="004A0C37" w:rsidP="009526C6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Počas súbežnej liečby </w:t>
      </w:r>
      <w:proofErr w:type="spellStart"/>
      <w:r w:rsidRPr="004A0C37">
        <w:rPr>
          <w:rFonts w:ascii="Times New Roman" w:hAnsi="Times New Roman" w:cs="Times New Roman"/>
        </w:rPr>
        <w:t>ketokonazolom</w:t>
      </w:r>
      <w:proofErr w:type="spellEnd"/>
      <w:r w:rsidRPr="004A0C37">
        <w:rPr>
          <w:rFonts w:ascii="Times New Roman" w:hAnsi="Times New Roman" w:cs="Times New Roman"/>
        </w:rPr>
        <w:t xml:space="preserve"> boli pozorované prípady hyperglykémie. </w:t>
      </w:r>
    </w:p>
    <w:p w14:paraId="11F222D7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</w:p>
    <w:p w14:paraId="112F56AB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Pri súbežnom podávaní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so substrátmi </w:t>
      </w:r>
      <w:proofErr w:type="spellStart"/>
      <w:r w:rsidRPr="004A0C37">
        <w:rPr>
          <w:rFonts w:ascii="Times New Roman" w:hAnsi="Times New Roman" w:cs="Times New Roman"/>
        </w:rPr>
        <w:t>uridín-difosfát-glukuronozyltransferázy</w:t>
      </w:r>
      <w:proofErr w:type="spellEnd"/>
      <w:r w:rsidRPr="004A0C37">
        <w:rPr>
          <w:rFonts w:ascii="Times New Roman" w:hAnsi="Times New Roman" w:cs="Times New Roman"/>
        </w:rPr>
        <w:t xml:space="preserve"> 1A1 (UGT1A1) (napr. s </w:t>
      </w:r>
      <w:proofErr w:type="spellStart"/>
      <w:r w:rsidRPr="004A0C37">
        <w:rPr>
          <w:rFonts w:ascii="Times New Roman" w:hAnsi="Times New Roman" w:cs="Times New Roman"/>
        </w:rPr>
        <w:t>irinotekánom</w:t>
      </w:r>
      <w:proofErr w:type="spellEnd"/>
      <w:r w:rsidRPr="004A0C37">
        <w:rPr>
          <w:rFonts w:ascii="Times New Roman" w:hAnsi="Times New Roman" w:cs="Times New Roman"/>
        </w:rPr>
        <w:t xml:space="preserve">) je potrebná opatrnosť, keďže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je inhibítor UGT1A1 (pozri časť 4.5). </w:t>
      </w:r>
    </w:p>
    <w:p w14:paraId="601C9950" w14:textId="77777777" w:rsidR="00FD7DDC" w:rsidRDefault="00FD7DDC" w:rsidP="004A0C37">
      <w:pPr>
        <w:spacing w:after="0" w:line="240" w:lineRule="auto"/>
        <w:rPr>
          <w:rFonts w:ascii="Times New Roman" w:hAnsi="Times New Roman" w:cs="Times New Roman"/>
        </w:rPr>
      </w:pPr>
    </w:p>
    <w:p w14:paraId="44327EEF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Počas liečby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sa nemá piť grapefruitová šťava (pozri časť 4.5). </w:t>
      </w:r>
    </w:p>
    <w:p w14:paraId="603C6DBD" w14:textId="77777777" w:rsidR="00FD7DDC" w:rsidRDefault="00FD7DDC" w:rsidP="004A0C37">
      <w:pPr>
        <w:spacing w:after="0" w:line="240" w:lineRule="auto"/>
        <w:rPr>
          <w:rFonts w:ascii="Times New Roman" w:hAnsi="Times New Roman" w:cs="Times New Roman"/>
        </w:rPr>
      </w:pPr>
    </w:p>
    <w:p w14:paraId="094AE07A" w14:textId="77777777" w:rsidR="004A0C37" w:rsidRPr="00FD7DDC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D7DDC">
        <w:rPr>
          <w:rFonts w:ascii="Times New Roman" w:hAnsi="Times New Roman" w:cs="Times New Roman"/>
          <w:u w:val="single"/>
        </w:rPr>
        <w:t xml:space="preserve">Pomocné látky </w:t>
      </w:r>
    </w:p>
    <w:p w14:paraId="1892629E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Tento liek obsahuje menej ako 1 mmol sodíka (23 mg) v jednej filmom obalenej tablete, </w:t>
      </w:r>
      <w:proofErr w:type="spellStart"/>
      <w:r w:rsidRPr="004A0C37">
        <w:rPr>
          <w:rFonts w:ascii="Times New Roman" w:hAnsi="Times New Roman" w:cs="Times New Roman"/>
        </w:rPr>
        <w:t>t.j</w:t>
      </w:r>
      <w:proofErr w:type="spellEnd"/>
      <w:r w:rsidRPr="004A0C37">
        <w:rPr>
          <w:rFonts w:ascii="Times New Roman" w:hAnsi="Times New Roman" w:cs="Times New Roman"/>
        </w:rPr>
        <w:t xml:space="preserve">. v podstate zanedbateľné množstvo sodíka. </w:t>
      </w:r>
    </w:p>
    <w:p w14:paraId="42DE0703" w14:textId="77777777" w:rsidR="00FD7DDC" w:rsidRDefault="00FD7DDC" w:rsidP="004A0C3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BFE018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  <w:b/>
          <w:bCs/>
        </w:rPr>
        <w:t xml:space="preserve">4.5 </w:t>
      </w:r>
      <w:r w:rsidR="009E11AB">
        <w:rPr>
          <w:rFonts w:ascii="Times New Roman" w:hAnsi="Times New Roman" w:cs="Times New Roman"/>
          <w:b/>
          <w:bCs/>
        </w:rPr>
        <w:tab/>
      </w:r>
      <w:r w:rsidRPr="004A0C37">
        <w:rPr>
          <w:rFonts w:ascii="Times New Roman" w:hAnsi="Times New Roman" w:cs="Times New Roman"/>
          <w:b/>
          <w:bCs/>
        </w:rPr>
        <w:t xml:space="preserve">Liekové a iné interakcie </w:t>
      </w:r>
    </w:p>
    <w:p w14:paraId="0E04E90A" w14:textId="77777777" w:rsidR="00FD7DDC" w:rsidRDefault="00FD7DDC" w:rsidP="004A0C37">
      <w:pPr>
        <w:spacing w:after="0" w:line="240" w:lineRule="auto"/>
        <w:rPr>
          <w:rFonts w:ascii="Times New Roman" w:hAnsi="Times New Roman" w:cs="Times New Roman"/>
        </w:rPr>
      </w:pPr>
    </w:p>
    <w:p w14:paraId="6D6CE2D2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D7DDC">
        <w:rPr>
          <w:rFonts w:ascii="Times New Roman" w:hAnsi="Times New Roman" w:cs="Times New Roman"/>
          <w:u w:val="single"/>
        </w:rPr>
        <w:t xml:space="preserve">Účinky iných liekov na </w:t>
      </w:r>
      <w:proofErr w:type="spellStart"/>
      <w:r w:rsidRPr="00FD7DDC">
        <w:rPr>
          <w:rFonts w:ascii="Times New Roman" w:hAnsi="Times New Roman" w:cs="Times New Roman"/>
          <w:u w:val="single"/>
        </w:rPr>
        <w:t>pazopanib</w:t>
      </w:r>
      <w:proofErr w:type="spellEnd"/>
      <w:r w:rsidRPr="00FD7DDC">
        <w:rPr>
          <w:rFonts w:ascii="Times New Roman" w:hAnsi="Times New Roman" w:cs="Times New Roman"/>
          <w:u w:val="single"/>
        </w:rPr>
        <w:t xml:space="preserve"> </w:t>
      </w:r>
    </w:p>
    <w:p w14:paraId="0546895B" w14:textId="77777777" w:rsidR="00720AA6" w:rsidRPr="00FD7DDC" w:rsidRDefault="00720AA6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E100D4B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  <w:i/>
          <w:iCs/>
        </w:rPr>
        <w:t xml:space="preserve">In vitro </w:t>
      </w:r>
      <w:r w:rsidRPr="004A0C37">
        <w:rPr>
          <w:rFonts w:ascii="Times New Roman" w:hAnsi="Times New Roman" w:cs="Times New Roman"/>
        </w:rPr>
        <w:t xml:space="preserve">štúdie naznačili, že oxidačný metabolizmus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v </w:t>
      </w:r>
      <w:proofErr w:type="spellStart"/>
      <w:r w:rsidRPr="004A0C37">
        <w:rPr>
          <w:rFonts w:ascii="Times New Roman" w:hAnsi="Times New Roman" w:cs="Times New Roman"/>
        </w:rPr>
        <w:t>mikrozómoch</w:t>
      </w:r>
      <w:proofErr w:type="spellEnd"/>
      <w:r w:rsidRPr="004A0C37">
        <w:rPr>
          <w:rFonts w:ascii="Times New Roman" w:hAnsi="Times New Roman" w:cs="Times New Roman"/>
        </w:rPr>
        <w:t xml:space="preserve"> ľudskej pečene je sprostredkovaný hlavne CYP3A4, pričom v menšej miere sa na ňom podieľajú CYP1A2 a CYP2C8. Inhibítory a induktory CYP3A4 preto môžu pozmeniť metabolizmus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. </w:t>
      </w:r>
    </w:p>
    <w:p w14:paraId="48DB0103" w14:textId="77777777" w:rsidR="00FD7DDC" w:rsidRDefault="00FD7DDC" w:rsidP="004A0C3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4C2B938" w14:textId="77777777" w:rsidR="004A0C37" w:rsidRPr="00FD7DDC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D7DDC">
        <w:rPr>
          <w:rFonts w:ascii="Times New Roman" w:hAnsi="Times New Roman" w:cs="Times New Roman"/>
          <w:i/>
          <w:iCs/>
          <w:u w:val="single"/>
        </w:rPr>
        <w:t>Inhibítory CYP3A4, P-</w:t>
      </w:r>
      <w:proofErr w:type="spellStart"/>
      <w:r w:rsidRPr="00FD7DDC">
        <w:rPr>
          <w:rFonts w:ascii="Times New Roman" w:hAnsi="Times New Roman" w:cs="Times New Roman"/>
          <w:i/>
          <w:iCs/>
          <w:u w:val="single"/>
        </w:rPr>
        <w:t>gp</w:t>
      </w:r>
      <w:proofErr w:type="spellEnd"/>
      <w:r w:rsidRPr="00FD7DDC">
        <w:rPr>
          <w:rFonts w:ascii="Times New Roman" w:hAnsi="Times New Roman" w:cs="Times New Roman"/>
          <w:i/>
          <w:iCs/>
          <w:u w:val="single"/>
        </w:rPr>
        <w:t xml:space="preserve">, BCRP </w:t>
      </w:r>
    </w:p>
    <w:p w14:paraId="0D4846C1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je substrát CYP3A4,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a BCRP. </w:t>
      </w:r>
    </w:p>
    <w:p w14:paraId="28CF1070" w14:textId="77777777" w:rsidR="00FD7DDC" w:rsidRPr="004A0C37" w:rsidRDefault="00FD7DDC" w:rsidP="004A0C37">
      <w:pPr>
        <w:spacing w:after="0" w:line="240" w:lineRule="auto"/>
        <w:rPr>
          <w:rFonts w:ascii="Times New Roman" w:hAnsi="Times New Roman" w:cs="Times New Roman"/>
        </w:rPr>
      </w:pPr>
    </w:p>
    <w:p w14:paraId="2AB6669D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Súbežné podávanie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(400 mg jedenkrát denne) so silným inhibítorom CYP3A4 a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, </w:t>
      </w:r>
      <w:proofErr w:type="spellStart"/>
      <w:r w:rsidRPr="004A0C37">
        <w:rPr>
          <w:rFonts w:ascii="Times New Roman" w:hAnsi="Times New Roman" w:cs="Times New Roman"/>
        </w:rPr>
        <w:t>ketokonazolom</w:t>
      </w:r>
      <w:proofErr w:type="spellEnd"/>
      <w:r w:rsidRPr="004A0C37">
        <w:rPr>
          <w:rFonts w:ascii="Times New Roman" w:hAnsi="Times New Roman" w:cs="Times New Roman"/>
        </w:rPr>
        <w:t xml:space="preserve"> (400 mg jedenkrát denne), počas 5 po sebe nasledujúcich dní, viedlo k 66 % a 45 % zvýšeniu priemernej hodnoty AUC</w:t>
      </w:r>
      <w:r w:rsidRPr="00531CFF">
        <w:rPr>
          <w:rFonts w:ascii="Times New Roman" w:hAnsi="Times New Roman" w:cs="Times New Roman"/>
          <w:vertAlign w:val="subscript"/>
        </w:rPr>
        <w:t>(0-24)</w:t>
      </w:r>
      <w:r w:rsidRPr="004A0C37">
        <w:rPr>
          <w:rFonts w:ascii="Times New Roman" w:hAnsi="Times New Roman" w:cs="Times New Roman"/>
        </w:rPr>
        <w:t xml:space="preserve"> a </w:t>
      </w:r>
      <w:proofErr w:type="spellStart"/>
      <w:r w:rsidRPr="004A0C37">
        <w:rPr>
          <w:rFonts w:ascii="Times New Roman" w:hAnsi="Times New Roman" w:cs="Times New Roman"/>
        </w:rPr>
        <w:t>C</w:t>
      </w:r>
      <w:r w:rsidRPr="00531CFF">
        <w:rPr>
          <w:rFonts w:ascii="Times New Roman" w:hAnsi="Times New Roman" w:cs="Times New Roman"/>
          <w:vertAlign w:val="subscript"/>
        </w:rPr>
        <w:t>max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, v uvedenom poradí, v porovnaní so samostatným podávaním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(400 mg jedenkrát denne počas 7 dní). Porovnanie </w:t>
      </w:r>
      <w:proofErr w:type="spellStart"/>
      <w:r w:rsidRPr="004A0C37">
        <w:rPr>
          <w:rFonts w:ascii="Times New Roman" w:hAnsi="Times New Roman" w:cs="Times New Roman"/>
        </w:rPr>
        <w:t>farmakokinetických</w:t>
      </w:r>
      <w:proofErr w:type="spellEnd"/>
      <w:r w:rsidRPr="004A0C37">
        <w:rPr>
          <w:rFonts w:ascii="Times New Roman" w:hAnsi="Times New Roman" w:cs="Times New Roman"/>
        </w:rPr>
        <w:t xml:space="preserve"> parametrov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, a to </w:t>
      </w:r>
      <w:proofErr w:type="spellStart"/>
      <w:r w:rsidRPr="004A0C37">
        <w:rPr>
          <w:rFonts w:ascii="Times New Roman" w:hAnsi="Times New Roman" w:cs="Times New Roman"/>
        </w:rPr>
        <w:t>C</w:t>
      </w:r>
      <w:r w:rsidRPr="00531CFF">
        <w:rPr>
          <w:rFonts w:ascii="Times New Roman" w:hAnsi="Times New Roman" w:cs="Times New Roman"/>
          <w:vertAlign w:val="subscript"/>
        </w:rPr>
        <w:t>max</w:t>
      </w:r>
      <w:proofErr w:type="spellEnd"/>
      <w:r w:rsidRPr="004A0C37">
        <w:rPr>
          <w:rFonts w:ascii="Times New Roman" w:hAnsi="Times New Roman" w:cs="Times New Roman"/>
        </w:rPr>
        <w:t xml:space="preserve"> (rozmedzie priemerných hodnôt 27,5 až 58,1 </w:t>
      </w:r>
      <w:proofErr w:type="spellStart"/>
      <w:r w:rsidRPr="004A0C37">
        <w:rPr>
          <w:rFonts w:ascii="Times New Roman" w:hAnsi="Times New Roman" w:cs="Times New Roman"/>
        </w:rPr>
        <w:t>μg</w:t>
      </w:r>
      <w:proofErr w:type="spellEnd"/>
      <w:r w:rsidRPr="004A0C37">
        <w:rPr>
          <w:rFonts w:ascii="Times New Roman" w:hAnsi="Times New Roman" w:cs="Times New Roman"/>
        </w:rPr>
        <w:t>/ml) a AUC</w:t>
      </w:r>
      <w:r w:rsidRPr="00531CFF">
        <w:rPr>
          <w:rFonts w:ascii="Times New Roman" w:hAnsi="Times New Roman" w:cs="Times New Roman"/>
          <w:vertAlign w:val="subscript"/>
        </w:rPr>
        <w:t>(0-24)</w:t>
      </w:r>
      <w:r w:rsidRPr="004A0C37">
        <w:rPr>
          <w:rFonts w:ascii="Times New Roman" w:hAnsi="Times New Roman" w:cs="Times New Roman"/>
        </w:rPr>
        <w:t xml:space="preserve"> (rozmedzie priemerných hodnôt 48,7 až 1 040 </w:t>
      </w:r>
      <w:proofErr w:type="spellStart"/>
      <w:r w:rsidRPr="004A0C37">
        <w:rPr>
          <w:rFonts w:ascii="Times New Roman" w:hAnsi="Times New Roman" w:cs="Times New Roman"/>
        </w:rPr>
        <w:t>μg</w:t>
      </w:r>
      <w:proofErr w:type="spellEnd"/>
      <w:r w:rsidRPr="004A0C37">
        <w:rPr>
          <w:rFonts w:ascii="Times New Roman" w:hAnsi="Times New Roman" w:cs="Times New Roman"/>
        </w:rPr>
        <w:t xml:space="preserve">*h/ml) po samostatnom podaní 800 mg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a po podaní 400 mg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a 400 mg </w:t>
      </w:r>
      <w:proofErr w:type="spellStart"/>
      <w:r w:rsidRPr="004A0C37">
        <w:rPr>
          <w:rFonts w:ascii="Times New Roman" w:hAnsi="Times New Roman" w:cs="Times New Roman"/>
        </w:rPr>
        <w:t>ketokonazolu</w:t>
      </w:r>
      <w:proofErr w:type="spellEnd"/>
      <w:r w:rsidRPr="004A0C37">
        <w:rPr>
          <w:rFonts w:ascii="Times New Roman" w:hAnsi="Times New Roman" w:cs="Times New Roman"/>
        </w:rPr>
        <w:t xml:space="preserve"> (priemerná hodnota </w:t>
      </w:r>
      <w:proofErr w:type="spellStart"/>
      <w:r w:rsidRPr="004A0C37">
        <w:rPr>
          <w:rFonts w:ascii="Times New Roman" w:hAnsi="Times New Roman" w:cs="Times New Roman"/>
        </w:rPr>
        <w:t>C</w:t>
      </w:r>
      <w:r w:rsidRPr="00531CFF">
        <w:rPr>
          <w:rFonts w:ascii="Times New Roman" w:hAnsi="Times New Roman" w:cs="Times New Roman"/>
          <w:vertAlign w:val="subscript"/>
        </w:rPr>
        <w:t>max</w:t>
      </w:r>
      <w:proofErr w:type="spellEnd"/>
      <w:r w:rsidRPr="004A0C37">
        <w:rPr>
          <w:rFonts w:ascii="Times New Roman" w:hAnsi="Times New Roman" w:cs="Times New Roman"/>
        </w:rPr>
        <w:t xml:space="preserve"> 59,2 </w:t>
      </w:r>
      <w:proofErr w:type="spellStart"/>
      <w:r w:rsidRPr="004A0C37">
        <w:rPr>
          <w:rFonts w:ascii="Times New Roman" w:hAnsi="Times New Roman" w:cs="Times New Roman"/>
        </w:rPr>
        <w:t>μg</w:t>
      </w:r>
      <w:proofErr w:type="spellEnd"/>
      <w:r w:rsidRPr="004A0C37">
        <w:rPr>
          <w:rFonts w:ascii="Times New Roman" w:hAnsi="Times New Roman" w:cs="Times New Roman"/>
        </w:rPr>
        <w:t>/ml, priemerná hodnota AUC</w:t>
      </w:r>
      <w:r w:rsidRPr="00531CFF">
        <w:rPr>
          <w:rFonts w:ascii="Times New Roman" w:hAnsi="Times New Roman" w:cs="Times New Roman"/>
          <w:vertAlign w:val="subscript"/>
        </w:rPr>
        <w:t>(0-24)</w:t>
      </w:r>
      <w:r w:rsidRPr="004A0C37">
        <w:rPr>
          <w:rFonts w:ascii="Times New Roman" w:hAnsi="Times New Roman" w:cs="Times New Roman"/>
        </w:rPr>
        <w:t xml:space="preserve">1 300 </w:t>
      </w:r>
      <w:proofErr w:type="spellStart"/>
      <w:r w:rsidRPr="004A0C37">
        <w:rPr>
          <w:rFonts w:ascii="Times New Roman" w:hAnsi="Times New Roman" w:cs="Times New Roman"/>
        </w:rPr>
        <w:t>μg</w:t>
      </w:r>
      <w:proofErr w:type="spellEnd"/>
      <w:r w:rsidRPr="004A0C37">
        <w:rPr>
          <w:rFonts w:ascii="Times New Roman" w:hAnsi="Times New Roman" w:cs="Times New Roman"/>
        </w:rPr>
        <w:t>*h/ml) naznačilo, že v prítomnosti silného inhibítora CYP3A4 a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bude zníženie dávky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na 400 mg jedenkrát denne u väčšiny pacientov viesť k systémovej expozícii podobnej tej, ktorá je pozorovaná po samostatnom podávaní 800 mg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jedenkrát denne. U niektorých pacientov sa však môže dosiahnuť vyššia systémová expozícia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ako tá, ktorá bola pozorovaná po samostatnom podávaní 800 mg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. </w:t>
      </w:r>
    </w:p>
    <w:p w14:paraId="328B6B47" w14:textId="77777777" w:rsidR="00FD7DDC" w:rsidRDefault="00FD7DDC" w:rsidP="004A0C37">
      <w:pPr>
        <w:spacing w:after="0" w:line="240" w:lineRule="auto"/>
        <w:rPr>
          <w:rFonts w:ascii="Times New Roman" w:hAnsi="Times New Roman" w:cs="Times New Roman"/>
        </w:rPr>
      </w:pPr>
    </w:p>
    <w:p w14:paraId="299F5F42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Súbežné podávanie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s inými silnými inhibítormi enzýmov z rodiny CYP3A4 (napr. s </w:t>
      </w:r>
      <w:proofErr w:type="spellStart"/>
      <w:r w:rsidRPr="004A0C37">
        <w:rPr>
          <w:rFonts w:ascii="Times New Roman" w:hAnsi="Times New Roman" w:cs="Times New Roman"/>
        </w:rPr>
        <w:t>itrakonazolom</w:t>
      </w:r>
      <w:proofErr w:type="spellEnd"/>
      <w:r w:rsidRPr="004A0C37">
        <w:rPr>
          <w:rFonts w:ascii="Times New Roman" w:hAnsi="Times New Roman" w:cs="Times New Roman"/>
        </w:rPr>
        <w:t xml:space="preserve">, </w:t>
      </w:r>
      <w:proofErr w:type="spellStart"/>
      <w:r w:rsidRPr="004A0C37">
        <w:rPr>
          <w:rFonts w:ascii="Times New Roman" w:hAnsi="Times New Roman" w:cs="Times New Roman"/>
        </w:rPr>
        <w:t>klaritromycínom</w:t>
      </w:r>
      <w:proofErr w:type="spellEnd"/>
      <w:r w:rsidRPr="004A0C37">
        <w:rPr>
          <w:rFonts w:ascii="Times New Roman" w:hAnsi="Times New Roman" w:cs="Times New Roman"/>
        </w:rPr>
        <w:t xml:space="preserve">, </w:t>
      </w:r>
      <w:proofErr w:type="spellStart"/>
      <w:r w:rsidRPr="004A0C37">
        <w:rPr>
          <w:rFonts w:ascii="Times New Roman" w:hAnsi="Times New Roman" w:cs="Times New Roman"/>
        </w:rPr>
        <w:t>atazanavirom</w:t>
      </w:r>
      <w:proofErr w:type="spellEnd"/>
      <w:r w:rsidRPr="004A0C37">
        <w:rPr>
          <w:rFonts w:ascii="Times New Roman" w:hAnsi="Times New Roman" w:cs="Times New Roman"/>
        </w:rPr>
        <w:t xml:space="preserve">, </w:t>
      </w:r>
      <w:proofErr w:type="spellStart"/>
      <w:r w:rsidRPr="004A0C37">
        <w:rPr>
          <w:rFonts w:ascii="Times New Roman" w:hAnsi="Times New Roman" w:cs="Times New Roman"/>
        </w:rPr>
        <w:t>indinavirom</w:t>
      </w:r>
      <w:proofErr w:type="spellEnd"/>
      <w:r w:rsidRPr="004A0C37">
        <w:rPr>
          <w:rFonts w:ascii="Times New Roman" w:hAnsi="Times New Roman" w:cs="Times New Roman"/>
        </w:rPr>
        <w:t xml:space="preserve">, </w:t>
      </w:r>
      <w:proofErr w:type="spellStart"/>
      <w:r w:rsidRPr="004A0C37">
        <w:rPr>
          <w:rFonts w:ascii="Times New Roman" w:hAnsi="Times New Roman" w:cs="Times New Roman"/>
        </w:rPr>
        <w:t>nefazodónom</w:t>
      </w:r>
      <w:proofErr w:type="spellEnd"/>
      <w:r w:rsidRPr="004A0C37">
        <w:rPr>
          <w:rFonts w:ascii="Times New Roman" w:hAnsi="Times New Roman" w:cs="Times New Roman"/>
        </w:rPr>
        <w:t xml:space="preserve">, </w:t>
      </w:r>
      <w:proofErr w:type="spellStart"/>
      <w:r w:rsidRPr="004A0C37">
        <w:rPr>
          <w:rFonts w:ascii="Times New Roman" w:hAnsi="Times New Roman" w:cs="Times New Roman"/>
        </w:rPr>
        <w:t>nelfinavirom</w:t>
      </w:r>
      <w:proofErr w:type="spellEnd"/>
      <w:r w:rsidRPr="004A0C37">
        <w:rPr>
          <w:rFonts w:ascii="Times New Roman" w:hAnsi="Times New Roman" w:cs="Times New Roman"/>
        </w:rPr>
        <w:t xml:space="preserve">, ritonavirom, </w:t>
      </w:r>
      <w:proofErr w:type="spellStart"/>
      <w:r w:rsidRPr="004A0C37">
        <w:rPr>
          <w:rFonts w:ascii="Times New Roman" w:hAnsi="Times New Roman" w:cs="Times New Roman"/>
        </w:rPr>
        <w:t>sakvinavirom</w:t>
      </w:r>
      <w:proofErr w:type="spellEnd"/>
      <w:r w:rsidRPr="004A0C37">
        <w:rPr>
          <w:rFonts w:ascii="Times New Roman" w:hAnsi="Times New Roman" w:cs="Times New Roman"/>
        </w:rPr>
        <w:t xml:space="preserve">, </w:t>
      </w:r>
      <w:proofErr w:type="spellStart"/>
      <w:r w:rsidRPr="004A0C37">
        <w:rPr>
          <w:rFonts w:ascii="Times New Roman" w:hAnsi="Times New Roman" w:cs="Times New Roman"/>
        </w:rPr>
        <w:t>telitromycínom</w:t>
      </w:r>
      <w:proofErr w:type="spellEnd"/>
      <w:r w:rsidRPr="004A0C37">
        <w:rPr>
          <w:rFonts w:ascii="Times New Roman" w:hAnsi="Times New Roman" w:cs="Times New Roman"/>
        </w:rPr>
        <w:t xml:space="preserve">, </w:t>
      </w:r>
      <w:proofErr w:type="spellStart"/>
      <w:r w:rsidRPr="004A0C37">
        <w:rPr>
          <w:rFonts w:ascii="Times New Roman" w:hAnsi="Times New Roman" w:cs="Times New Roman"/>
        </w:rPr>
        <w:t>vorikonazolom</w:t>
      </w:r>
      <w:proofErr w:type="spellEnd"/>
      <w:r w:rsidRPr="004A0C37">
        <w:rPr>
          <w:rFonts w:ascii="Times New Roman" w:hAnsi="Times New Roman" w:cs="Times New Roman"/>
        </w:rPr>
        <w:t xml:space="preserve">) môže zvýšiť koncentrácie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. Grapefruitová šťava obsahuje inhibítor CYP3A4 a taktiež môže zvyšovať plazmatické koncentrácie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. </w:t>
      </w:r>
    </w:p>
    <w:p w14:paraId="62161FFF" w14:textId="77777777" w:rsidR="00FD7DDC" w:rsidRDefault="00FD7DDC" w:rsidP="004A0C37">
      <w:pPr>
        <w:spacing w:after="0" w:line="240" w:lineRule="auto"/>
        <w:rPr>
          <w:rFonts w:ascii="Times New Roman" w:hAnsi="Times New Roman" w:cs="Times New Roman"/>
        </w:rPr>
      </w:pPr>
    </w:p>
    <w:p w14:paraId="05D65C3F" w14:textId="77777777" w:rsidR="00802BB1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Podanie 1 500 mg </w:t>
      </w:r>
      <w:proofErr w:type="spellStart"/>
      <w:r w:rsidRPr="004A0C37">
        <w:rPr>
          <w:rFonts w:ascii="Times New Roman" w:hAnsi="Times New Roman" w:cs="Times New Roman"/>
        </w:rPr>
        <w:t>lapatinibu</w:t>
      </w:r>
      <w:proofErr w:type="spellEnd"/>
      <w:r w:rsidRPr="004A0C37">
        <w:rPr>
          <w:rFonts w:ascii="Times New Roman" w:hAnsi="Times New Roman" w:cs="Times New Roman"/>
        </w:rPr>
        <w:t xml:space="preserve"> (substrátu a slabého inhibítora CYP3A4 a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a silného inhibítora BCRP) s 800 mg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viedlo k približne 50 % až 60 % zvýšeniu priemerných hodnôt AUC</w:t>
      </w:r>
      <w:r w:rsidRPr="00531CFF">
        <w:rPr>
          <w:rFonts w:ascii="Times New Roman" w:hAnsi="Times New Roman" w:cs="Times New Roman"/>
          <w:vertAlign w:val="subscript"/>
        </w:rPr>
        <w:t>(0-24)</w:t>
      </w:r>
      <w:r w:rsidRPr="004A0C37">
        <w:rPr>
          <w:rFonts w:ascii="Times New Roman" w:hAnsi="Times New Roman" w:cs="Times New Roman"/>
        </w:rPr>
        <w:t xml:space="preserve"> a </w:t>
      </w:r>
      <w:proofErr w:type="spellStart"/>
      <w:r w:rsidRPr="004A0C37">
        <w:rPr>
          <w:rFonts w:ascii="Times New Roman" w:hAnsi="Times New Roman" w:cs="Times New Roman"/>
        </w:rPr>
        <w:t>C</w:t>
      </w:r>
      <w:r w:rsidRPr="00531CFF">
        <w:rPr>
          <w:rFonts w:ascii="Times New Roman" w:hAnsi="Times New Roman" w:cs="Times New Roman"/>
          <w:vertAlign w:val="subscript"/>
        </w:rPr>
        <w:t>max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v porovnaní so samostatným podaním 800 mg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. </w:t>
      </w:r>
    </w:p>
    <w:p w14:paraId="0B9D91DD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>Inhibícia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a/alebo BCRP </w:t>
      </w:r>
      <w:proofErr w:type="spellStart"/>
      <w:r w:rsidRPr="004A0C37">
        <w:rPr>
          <w:rFonts w:ascii="Times New Roman" w:hAnsi="Times New Roman" w:cs="Times New Roman"/>
        </w:rPr>
        <w:t>lapatinibom</w:t>
      </w:r>
      <w:proofErr w:type="spellEnd"/>
      <w:r w:rsidRPr="004A0C37">
        <w:rPr>
          <w:rFonts w:ascii="Times New Roman" w:hAnsi="Times New Roman" w:cs="Times New Roman"/>
        </w:rPr>
        <w:t xml:space="preserve"> pravdepodobne prispela k zvýšenej expozícii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. </w:t>
      </w:r>
    </w:p>
    <w:p w14:paraId="36F18EDF" w14:textId="77777777" w:rsidR="009074D0" w:rsidRPr="004A0C37" w:rsidRDefault="009074D0" w:rsidP="004A0C37">
      <w:pPr>
        <w:spacing w:after="0" w:line="240" w:lineRule="auto"/>
        <w:rPr>
          <w:rFonts w:ascii="Times New Roman" w:hAnsi="Times New Roman" w:cs="Times New Roman"/>
        </w:rPr>
      </w:pPr>
    </w:p>
    <w:p w14:paraId="6C02D4B4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Súbežné podanie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s inhibítorom CYP3A4,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a BCRP, akým je </w:t>
      </w:r>
      <w:proofErr w:type="spellStart"/>
      <w:r w:rsidRPr="004A0C37">
        <w:rPr>
          <w:rFonts w:ascii="Times New Roman" w:hAnsi="Times New Roman" w:cs="Times New Roman"/>
        </w:rPr>
        <w:t>lapatinib</w:t>
      </w:r>
      <w:proofErr w:type="spellEnd"/>
      <w:r w:rsidRPr="004A0C37">
        <w:rPr>
          <w:rFonts w:ascii="Times New Roman" w:hAnsi="Times New Roman" w:cs="Times New Roman"/>
        </w:rPr>
        <w:t xml:space="preserve">, vedie k zvýšeniu plazmatických koncentrácií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>. Súbežné podanie silných inhibítorov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alebo BCRP môže pozmeniť aj expozíciu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a jeho distribúciu, vrátane distribúcie do centrálneho nervového systému (CNS). </w:t>
      </w:r>
    </w:p>
    <w:p w14:paraId="43A6F979" w14:textId="77777777" w:rsidR="009074D0" w:rsidRPr="004A0C37" w:rsidRDefault="009074D0" w:rsidP="004A0C37">
      <w:pPr>
        <w:spacing w:after="0" w:line="240" w:lineRule="auto"/>
        <w:rPr>
          <w:rFonts w:ascii="Times New Roman" w:hAnsi="Times New Roman" w:cs="Times New Roman"/>
        </w:rPr>
      </w:pPr>
    </w:p>
    <w:p w14:paraId="77BD6900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Je potrebné vyhnúť sa súbežnému podávaniu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so silným inhibítorom CYP3A4 (pozri časť 4.4). Ak nie je dostupná žiadna medicínsky prijateľná alternatíva silného inhibítora CYP3A4, počas súbežného podávania sa má dávka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znížiť na 400 mg denne. V takýchto prípadoch treba venovať dôkladnú pozornosť nežiaducim reakciám na liek a v prípade výskytu nežiaducich udalostí s možnou súvislosťou s liekom sa môže uvažovať o ďalšom znížení dávky. </w:t>
      </w:r>
    </w:p>
    <w:p w14:paraId="3872213B" w14:textId="77777777" w:rsidR="009074D0" w:rsidRPr="004A0C37" w:rsidRDefault="009074D0" w:rsidP="004A0C37">
      <w:pPr>
        <w:spacing w:after="0" w:line="240" w:lineRule="auto"/>
        <w:rPr>
          <w:rFonts w:ascii="Times New Roman" w:hAnsi="Times New Roman" w:cs="Times New Roman"/>
        </w:rPr>
      </w:pPr>
    </w:p>
    <w:p w14:paraId="0D71B492" w14:textId="77777777" w:rsidR="007D2419" w:rsidRPr="004A0C37" w:rsidRDefault="004A0C37" w:rsidP="007D2419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>Je potrebné vyhnúť sa kombinácii so silnými inhibítormi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alebo BCRP alebo sa odporúča výber </w:t>
      </w:r>
    </w:p>
    <w:p w14:paraId="5E28FA3D" w14:textId="1EC2F06D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>alternatívneho, súbežn</w:t>
      </w:r>
      <w:r w:rsidR="00720AA6">
        <w:rPr>
          <w:rFonts w:ascii="Times New Roman" w:hAnsi="Times New Roman" w:cs="Times New Roman"/>
        </w:rPr>
        <w:t>e</w:t>
      </w:r>
      <w:r w:rsidRPr="004A0C37">
        <w:rPr>
          <w:rFonts w:ascii="Times New Roman" w:hAnsi="Times New Roman" w:cs="Times New Roman"/>
        </w:rPr>
        <w:t xml:space="preserve"> podávaného lieku s nulovým alebo minimálnym potenciálom inhibície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alebo BCRP. </w:t>
      </w:r>
    </w:p>
    <w:p w14:paraId="7FC86AD7" w14:textId="77777777" w:rsidR="007D2419" w:rsidRDefault="007D2419" w:rsidP="004A0C37">
      <w:pPr>
        <w:spacing w:after="0" w:line="240" w:lineRule="auto"/>
        <w:rPr>
          <w:rFonts w:ascii="Times New Roman" w:hAnsi="Times New Roman" w:cs="Times New Roman"/>
          <w:i/>
          <w:iCs/>
          <w:u w:val="single"/>
        </w:rPr>
      </w:pPr>
    </w:p>
    <w:p w14:paraId="46B7A7F3" w14:textId="77777777" w:rsidR="004A0C37" w:rsidRPr="007D2419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D2419">
        <w:rPr>
          <w:rFonts w:ascii="Times New Roman" w:hAnsi="Times New Roman" w:cs="Times New Roman"/>
          <w:i/>
          <w:iCs/>
          <w:u w:val="single"/>
        </w:rPr>
        <w:lastRenderedPageBreak/>
        <w:t>Induktory CYP3A4, P-</w:t>
      </w:r>
      <w:proofErr w:type="spellStart"/>
      <w:r w:rsidRPr="007D2419">
        <w:rPr>
          <w:rFonts w:ascii="Times New Roman" w:hAnsi="Times New Roman" w:cs="Times New Roman"/>
          <w:i/>
          <w:iCs/>
          <w:u w:val="single"/>
        </w:rPr>
        <w:t>gp</w:t>
      </w:r>
      <w:proofErr w:type="spellEnd"/>
      <w:r w:rsidRPr="007D2419">
        <w:rPr>
          <w:rFonts w:ascii="Times New Roman" w:hAnsi="Times New Roman" w:cs="Times New Roman"/>
          <w:i/>
          <w:iCs/>
          <w:u w:val="single"/>
        </w:rPr>
        <w:t xml:space="preserve">, BCRP </w:t>
      </w:r>
    </w:p>
    <w:p w14:paraId="0EB2FA36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Induktory CYP3A4, ako napríklad </w:t>
      </w:r>
      <w:proofErr w:type="spellStart"/>
      <w:r w:rsidRPr="004A0C37">
        <w:rPr>
          <w:rFonts w:ascii="Times New Roman" w:hAnsi="Times New Roman" w:cs="Times New Roman"/>
        </w:rPr>
        <w:t>rifampín</w:t>
      </w:r>
      <w:proofErr w:type="spellEnd"/>
      <w:r w:rsidRPr="004A0C37">
        <w:rPr>
          <w:rFonts w:ascii="Times New Roman" w:hAnsi="Times New Roman" w:cs="Times New Roman"/>
        </w:rPr>
        <w:t xml:space="preserve">, môžu znižovať plazmatické koncentrácie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. Súbežné podanie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so silnými induktormi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alebo BCRP môže pozmeniť expozíciu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a jeho distribúciu, vrátane distribúcie do CNS. Odporúča sa výber alternatívneho, súbežne podávaného lieku s nulovým alebo minimálnym potenciálom indukcie enzýmov alebo transportných proteínov. </w:t>
      </w:r>
    </w:p>
    <w:p w14:paraId="0335906F" w14:textId="77777777" w:rsidR="007D2419" w:rsidRDefault="007D2419" w:rsidP="004A0C37">
      <w:pPr>
        <w:spacing w:after="0" w:line="240" w:lineRule="auto"/>
        <w:rPr>
          <w:rFonts w:ascii="Times New Roman" w:hAnsi="Times New Roman" w:cs="Times New Roman"/>
        </w:rPr>
      </w:pPr>
    </w:p>
    <w:p w14:paraId="38F2A93F" w14:textId="77777777" w:rsidR="004A0C37" w:rsidRPr="007D2419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D2419">
        <w:rPr>
          <w:rFonts w:ascii="Times New Roman" w:hAnsi="Times New Roman" w:cs="Times New Roman"/>
          <w:u w:val="single"/>
        </w:rPr>
        <w:t xml:space="preserve">Účinky </w:t>
      </w:r>
      <w:proofErr w:type="spellStart"/>
      <w:r w:rsidRPr="007D2419">
        <w:rPr>
          <w:rFonts w:ascii="Times New Roman" w:hAnsi="Times New Roman" w:cs="Times New Roman"/>
          <w:u w:val="single"/>
        </w:rPr>
        <w:t>pazopanibu</w:t>
      </w:r>
      <w:proofErr w:type="spellEnd"/>
      <w:r w:rsidRPr="007D2419">
        <w:rPr>
          <w:rFonts w:ascii="Times New Roman" w:hAnsi="Times New Roman" w:cs="Times New Roman"/>
          <w:u w:val="single"/>
        </w:rPr>
        <w:t xml:space="preserve"> na iné lieky </w:t>
      </w:r>
    </w:p>
    <w:p w14:paraId="5053B532" w14:textId="77777777" w:rsidR="007D2419" w:rsidRDefault="007D2419" w:rsidP="004A0C3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65B31CE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  <w:i/>
          <w:iCs/>
        </w:rPr>
        <w:t xml:space="preserve">In vitro </w:t>
      </w:r>
      <w:r w:rsidRPr="004A0C37">
        <w:rPr>
          <w:rFonts w:ascii="Times New Roman" w:hAnsi="Times New Roman" w:cs="Times New Roman"/>
        </w:rPr>
        <w:t xml:space="preserve">štúdie s </w:t>
      </w:r>
      <w:proofErr w:type="spellStart"/>
      <w:r w:rsidRPr="004A0C37">
        <w:rPr>
          <w:rFonts w:ascii="Times New Roman" w:hAnsi="Times New Roman" w:cs="Times New Roman"/>
        </w:rPr>
        <w:t>mikrozómami</w:t>
      </w:r>
      <w:proofErr w:type="spellEnd"/>
      <w:r w:rsidRPr="004A0C37">
        <w:rPr>
          <w:rFonts w:ascii="Times New Roman" w:hAnsi="Times New Roman" w:cs="Times New Roman"/>
        </w:rPr>
        <w:t xml:space="preserve"> ľudskej pečene preukázali, že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inhibuje enzýmy CYP 1A2, 3A4, 2B6, 2C8, 2C9, 2C19 a 2E1. Potenciálna indukcia ľudského CYP3A4 sa preukázala v </w:t>
      </w:r>
      <w:r w:rsidRPr="004A0C37">
        <w:rPr>
          <w:rFonts w:ascii="Times New Roman" w:hAnsi="Times New Roman" w:cs="Times New Roman"/>
          <w:i/>
          <w:iCs/>
        </w:rPr>
        <w:t xml:space="preserve">in vitro </w:t>
      </w:r>
      <w:r w:rsidRPr="004A0C37">
        <w:rPr>
          <w:rFonts w:ascii="Times New Roman" w:hAnsi="Times New Roman" w:cs="Times New Roman"/>
        </w:rPr>
        <w:t xml:space="preserve">teste ľudského PXR. Štúdie klinickej farmakológie, s použitím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v dávke 800 mg jedenkrát denne, preukázali, že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nemá u onkologických pacientov klinicky významný vplyv na </w:t>
      </w:r>
      <w:proofErr w:type="spellStart"/>
      <w:r w:rsidRPr="004A0C37">
        <w:rPr>
          <w:rFonts w:ascii="Times New Roman" w:hAnsi="Times New Roman" w:cs="Times New Roman"/>
        </w:rPr>
        <w:t>farmakokinetiku</w:t>
      </w:r>
      <w:proofErr w:type="spellEnd"/>
      <w:r w:rsidRPr="004A0C37">
        <w:rPr>
          <w:rFonts w:ascii="Times New Roman" w:hAnsi="Times New Roman" w:cs="Times New Roman"/>
        </w:rPr>
        <w:t xml:space="preserve"> kofeínu (skúšobný substrát CYP1A2), </w:t>
      </w:r>
      <w:proofErr w:type="spellStart"/>
      <w:r w:rsidRPr="004A0C37">
        <w:rPr>
          <w:rFonts w:ascii="Times New Roman" w:hAnsi="Times New Roman" w:cs="Times New Roman"/>
        </w:rPr>
        <w:t>warfarínu</w:t>
      </w:r>
      <w:proofErr w:type="spellEnd"/>
      <w:r w:rsidRPr="004A0C37">
        <w:rPr>
          <w:rFonts w:ascii="Times New Roman" w:hAnsi="Times New Roman" w:cs="Times New Roman"/>
        </w:rPr>
        <w:t xml:space="preserve"> (skúšobný substrát CYP2C9) alebo </w:t>
      </w:r>
      <w:proofErr w:type="spellStart"/>
      <w:r w:rsidRPr="004A0C37">
        <w:rPr>
          <w:rFonts w:ascii="Times New Roman" w:hAnsi="Times New Roman" w:cs="Times New Roman"/>
        </w:rPr>
        <w:t>omeprazolu</w:t>
      </w:r>
      <w:proofErr w:type="spellEnd"/>
      <w:r w:rsidRPr="004A0C37">
        <w:rPr>
          <w:rFonts w:ascii="Times New Roman" w:hAnsi="Times New Roman" w:cs="Times New Roman"/>
        </w:rPr>
        <w:t xml:space="preserve"> (skúšobný substrát CYP2C19). Podanie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viedlo k približne 30 % zvýšeniu priemerných hodnôt AUC a </w:t>
      </w:r>
      <w:proofErr w:type="spellStart"/>
      <w:r w:rsidRPr="004A0C37">
        <w:rPr>
          <w:rFonts w:ascii="Times New Roman" w:hAnsi="Times New Roman" w:cs="Times New Roman"/>
        </w:rPr>
        <w:t>C</w:t>
      </w:r>
      <w:r w:rsidRPr="00531CFF">
        <w:rPr>
          <w:rFonts w:ascii="Times New Roman" w:hAnsi="Times New Roman" w:cs="Times New Roman"/>
          <w:vertAlign w:val="subscript"/>
        </w:rPr>
        <w:t>max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Pr="004A0C37">
        <w:rPr>
          <w:rFonts w:ascii="Times New Roman" w:hAnsi="Times New Roman" w:cs="Times New Roman"/>
        </w:rPr>
        <w:t>midazolamu</w:t>
      </w:r>
      <w:proofErr w:type="spellEnd"/>
      <w:r w:rsidRPr="004A0C37">
        <w:rPr>
          <w:rFonts w:ascii="Times New Roman" w:hAnsi="Times New Roman" w:cs="Times New Roman"/>
        </w:rPr>
        <w:t xml:space="preserve"> (skúšobný substrát CYP3A4) a k 33 % až 64 % zvýšeniu pomeru koncentrácií </w:t>
      </w:r>
      <w:proofErr w:type="spellStart"/>
      <w:r w:rsidRPr="004A0C37">
        <w:rPr>
          <w:rFonts w:ascii="Times New Roman" w:hAnsi="Times New Roman" w:cs="Times New Roman"/>
        </w:rPr>
        <w:t>dextrometrofánu</w:t>
      </w:r>
      <w:proofErr w:type="spellEnd"/>
      <w:r w:rsidRPr="004A0C37">
        <w:rPr>
          <w:rFonts w:ascii="Times New Roman" w:hAnsi="Times New Roman" w:cs="Times New Roman"/>
        </w:rPr>
        <w:t xml:space="preserve"> k </w:t>
      </w:r>
      <w:proofErr w:type="spellStart"/>
      <w:r w:rsidRPr="004A0C37">
        <w:rPr>
          <w:rFonts w:ascii="Times New Roman" w:hAnsi="Times New Roman" w:cs="Times New Roman"/>
        </w:rPr>
        <w:t>dextrofánu</w:t>
      </w:r>
      <w:proofErr w:type="spellEnd"/>
      <w:r w:rsidRPr="004A0C37">
        <w:rPr>
          <w:rFonts w:ascii="Times New Roman" w:hAnsi="Times New Roman" w:cs="Times New Roman"/>
        </w:rPr>
        <w:t xml:space="preserve"> v moči po perorálnom podaní </w:t>
      </w:r>
      <w:proofErr w:type="spellStart"/>
      <w:r w:rsidRPr="004A0C37">
        <w:rPr>
          <w:rFonts w:ascii="Times New Roman" w:hAnsi="Times New Roman" w:cs="Times New Roman"/>
        </w:rPr>
        <w:t>dextrometorfánu</w:t>
      </w:r>
      <w:proofErr w:type="spellEnd"/>
      <w:r w:rsidRPr="004A0C37">
        <w:rPr>
          <w:rFonts w:ascii="Times New Roman" w:hAnsi="Times New Roman" w:cs="Times New Roman"/>
        </w:rPr>
        <w:t xml:space="preserve"> (skúšobný substrát CYP2D6). Súbežné podanie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v dávke 800 mg jedenkrát denne a </w:t>
      </w:r>
      <w:proofErr w:type="spellStart"/>
      <w:r w:rsidRPr="004A0C37">
        <w:rPr>
          <w:rFonts w:ascii="Times New Roman" w:hAnsi="Times New Roman" w:cs="Times New Roman"/>
        </w:rPr>
        <w:t>paklitaxelu</w:t>
      </w:r>
      <w:proofErr w:type="spellEnd"/>
      <w:r w:rsidRPr="004A0C37">
        <w:rPr>
          <w:rFonts w:ascii="Times New Roman" w:hAnsi="Times New Roman" w:cs="Times New Roman"/>
        </w:rPr>
        <w:t xml:space="preserve"> v dávke 80 mg/m</w:t>
      </w:r>
      <w:r w:rsidRPr="00531CFF">
        <w:rPr>
          <w:rFonts w:ascii="Times New Roman" w:hAnsi="Times New Roman" w:cs="Times New Roman"/>
          <w:vertAlign w:val="superscript"/>
        </w:rPr>
        <w:t>2</w:t>
      </w:r>
      <w:r w:rsidRPr="004A0C37">
        <w:rPr>
          <w:rFonts w:ascii="Times New Roman" w:hAnsi="Times New Roman" w:cs="Times New Roman"/>
        </w:rPr>
        <w:t xml:space="preserve"> (substrát CYP3A4 a CYP2C8) raz týždenne viedlo k priemerne 26 % zvýšeniu AUC a 31 % zvýšeniu </w:t>
      </w:r>
      <w:proofErr w:type="spellStart"/>
      <w:r w:rsidRPr="004A0C37">
        <w:rPr>
          <w:rFonts w:ascii="Times New Roman" w:hAnsi="Times New Roman" w:cs="Times New Roman"/>
        </w:rPr>
        <w:t>C</w:t>
      </w:r>
      <w:r w:rsidRPr="00531CFF">
        <w:rPr>
          <w:rFonts w:ascii="Times New Roman" w:hAnsi="Times New Roman" w:cs="Times New Roman"/>
          <w:vertAlign w:val="subscript"/>
        </w:rPr>
        <w:t>max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Pr="004A0C37">
        <w:rPr>
          <w:rFonts w:ascii="Times New Roman" w:hAnsi="Times New Roman" w:cs="Times New Roman"/>
        </w:rPr>
        <w:t>paklitaxelu</w:t>
      </w:r>
      <w:proofErr w:type="spellEnd"/>
      <w:r w:rsidRPr="004A0C37">
        <w:rPr>
          <w:rFonts w:ascii="Times New Roman" w:hAnsi="Times New Roman" w:cs="Times New Roman"/>
        </w:rPr>
        <w:t xml:space="preserve">. </w:t>
      </w:r>
    </w:p>
    <w:p w14:paraId="6392823A" w14:textId="77777777" w:rsidR="00FA78F1" w:rsidRDefault="00FA78F1" w:rsidP="004A0C37">
      <w:pPr>
        <w:spacing w:after="0" w:line="240" w:lineRule="auto"/>
        <w:rPr>
          <w:rFonts w:ascii="Times New Roman" w:hAnsi="Times New Roman" w:cs="Times New Roman"/>
        </w:rPr>
      </w:pPr>
    </w:p>
    <w:p w14:paraId="069AD579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Na základe </w:t>
      </w:r>
      <w:r w:rsidRPr="004A0C37">
        <w:rPr>
          <w:rFonts w:ascii="Times New Roman" w:hAnsi="Times New Roman" w:cs="Times New Roman"/>
          <w:i/>
          <w:iCs/>
        </w:rPr>
        <w:t xml:space="preserve">in vitro </w:t>
      </w:r>
      <w:r w:rsidRPr="004A0C37">
        <w:rPr>
          <w:rFonts w:ascii="Times New Roman" w:hAnsi="Times New Roman" w:cs="Times New Roman"/>
        </w:rPr>
        <w:t>hodnôt IC</w:t>
      </w:r>
      <w:r w:rsidRPr="00531CFF">
        <w:rPr>
          <w:rFonts w:ascii="Times New Roman" w:hAnsi="Times New Roman" w:cs="Times New Roman"/>
          <w:vertAlign w:val="subscript"/>
        </w:rPr>
        <w:t>50</w:t>
      </w:r>
      <w:r w:rsidRPr="004A0C37">
        <w:rPr>
          <w:rFonts w:ascii="Times New Roman" w:hAnsi="Times New Roman" w:cs="Times New Roman"/>
        </w:rPr>
        <w:t xml:space="preserve"> a </w:t>
      </w:r>
      <w:r w:rsidRPr="004A0C37">
        <w:rPr>
          <w:rFonts w:ascii="Times New Roman" w:hAnsi="Times New Roman" w:cs="Times New Roman"/>
          <w:i/>
          <w:iCs/>
        </w:rPr>
        <w:t xml:space="preserve">in </w:t>
      </w:r>
      <w:proofErr w:type="spellStart"/>
      <w:r w:rsidRPr="004A0C37">
        <w:rPr>
          <w:rFonts w:ascii="Times New Roman" w:hAnsi="Times New Roman" w:cs="Times New Roman"/>
          <w:i/>
          <w:iCs/>
        </w:rPr>
        <w:t>vivo</w:t>
      </w:r>
      <w:proofErr w:type="spellEnd"/>
      <w:r w:rsidRPr="004A0C37">
        <w:rPr>
          <w:rFonts w:ascii="Times New Roman" w:hAnsi="Times New Roman" w:cs="Times New Roman"/>
          <w:i/>
          <w:iCs/>
        </w:rPr>
        <w:t xml:space="preserve"> </w:t>
      </w:r>
      <w:r w:rsidRPr="004A0C37">
        <w:rPr>
          <w:rFonts w:ascii="Times New Roman" w:hAnsi="Times New Roman" w:cs="Times New Roman"/>
        </w:rPr>
        <w:t xml:space="preserve">hodnôt plazmatickej </w:t>
      </w:r>
      <w:proofErr w:type="spellStart"/>
      <w:r w:rsidRPr="004A0C37">
        <w:rPr>
          <w:rFonts w:ascii="Times New Roman" w:hAnsi="Times New Roman" w:cs="Times New Roman"/>
        </w:rPr>
        <w:t>C</w:t>
      </w:r>
      <w:r w:rsidRPr="00531CFF">
        <w:rPr>
          <w:rFonts w:ascii="Times New Roman" w:hAnsi="Times New Roman" w:cs="Times New Roman"/>
          <w:vertAlign w:val="subscript"/>
        </w:rPr>
        <w:t>max</w:t>
      </w:r>
      <w:proofErr w:type="spellEnd"/>
      <w:r w:rsidRPr="004A0C37">
        <w:rPr>
          <w:rFonts w:ascii="Times New Roman" w:hAnsi="Times New Roman" w:cs="Times New Roman"/>
        </w:rPr>
        <w:t xml:space="preserve"> môžu metabolity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, GSK1268992 a GSK1268997, prispievať k čistému inhibičnému účinku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voči BCRP. Okrem toho nemožno vylúčiť inhibíciu BCRP a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v gastrointestinálnom trakte. Pri súbežnom podávaní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s inými perorálnymi substrátmi BCRP a P-</w:t>
      </w:r>
      <w:proofErr w:type="spellStart"/>
      <w:r w:rsidRPr="004A0C37">
        <w:rPr>
          <w:rFonts w:ascii="Times New Roman" w:hAnsi="Times New Roman" w:cs="Times New Roman"/>
        </w:rPr>
        <w:t>gp</w:t>
      </w:r>
      <w:proofErr w:type="spellEnd"/>
      <w:r w:rsidRPr="004A0C37">
        <w:rPr>
          <w:rFonts w:ascii="Times New Roman" w:hAnsi="Times New Roman" w:cs="Times New Roman"/>
        </w:rPr>
        <w:t xml:space="preserve"> je potrebná opatrnosť. </w:t>
      </w:r>
    </w:p>
    <w:p w14:paraId="7CFC33BB" w14:textId="77777777" w:rsidR="003E06F1" w:rsidRDefault="003E06F1" w:rsidP="004A0C37">
      <w:pPr>
        <w:spacing w:after="0" w:line="240" w:lineRule="auto"/>
        <w:rPr>
          <w:rFonts w:ascii="Times New Roman" w:hAnsi="Times New Roman" w:cs="Times New Roman"/>
        </w:rPr>
      </w:pPr>
    </w:p>
    <w:p w14:paraId="725996A6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V </w:t>
      </w:r>
      <w:r w:rsidRPr="004A0C37">
        <w:rPr>
          <w:rFonts w:ascii="Times New Roman" w:hAnsi="Times New Roman" w:cs="Times New Roman"/>
          <w:i/>
          <w:iCs/>
        </w:rPr>
        <w:t xml:space="preserve">in vitro </w:t>
      </w:r>
      <w:r w:rsidRPr="004A0C37">
        <w:rPr>
          <w:rFonts w:ascii="Times New Roman" w:hAnsi="Times New Roman" w:cs="Times New Roman"/>
        </w:rPr>
        <w:t xml:space="preserve">podmienkach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inhiboval ľudský transportný </w:t>
      </w:r>
      <w:proofErr w:type="spellStart"/>
      <w:r w:rsidRPr="004A0C37">
        <w:rPr>
          <w:rFonts w:ascii="Times New Roman" w:hAnsi="Times New Roman" w:cs="Times New Roman"/>
        </w:rPr>
        <w:t>polypeptid</w:t>
      </w:r>
      <w:proofErr w:type="spellEnd"/>
      <w:r w:rsidRPr="004A0C37">
        <w:rPr>
          <w:rFonts w:ascii="Times New Roman" w:hAnsi="Times New Roman" w:cs="Times New Roman"/>
        </w:rPr>
        <w:t xml:space="preserve"> organických aniónov (</w:t>
      </w:r>
      <w:proofErr w:type="spellStart"/>
      <w:r w:rsidRPr="004A0C37">
        <w:rPr>
          <w:rFonts w:ascii="Times New Roman" w:hAnsi="Times New Roman" w:cs="Times New Roman"/>
        </w:rPr>
        <w:t>organic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Pr="004A0C37">
        <w:rPr>
          <w:rFonts w:ascii="Times New Roman" w:hAnsi="Times New Roman" w:cs="Times New Roman"/>
        </w:rPr>
        <w:t>anion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Pr="004A0C37">
        <w:rPr>
          <w:rFonts w:ascii="Times New Roman" w:hAnsi="Times New Roman" w:cs="Times New Roman"/>
        </w:rPr>
        <w:t>transporting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Pr="004A0C37">
        <w:rPr>
          <w:rFonts w:ascii="Times New Roman" w:hAnsi="Times New Roman" w:cs="Times New Roman"/>
        </w:rPr>
        <w:t>polypeptide</w:t>
      </w:r>
      <w:proofErr w:type="spellEnd"/>
      <w:r w:rsidRPr="004A0C37">
        <w:rPr>
          <w:rFonts w:ascii="Times New Roman" w:hAnsi="Times New Roman" w:cs="Times New Roman"/>
        </w:rPr>
        <w:t xml:space="preserve">, OATP1B1). Nie je možné vylúčiť, že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ovplyvní </w:t>
      </w:r>
      <w:proofErr w:type="spellStart"/>
      <w:r w:rsidRPr="004A0C37">
        <w:rPr>
          <w:rFonts w:ascii="Times New Roman" w:hAnsi="Times New Roman" w:cs="Times New Roman"/>
        </w:rPr>
        <w:t>farmakokinetiku</w:t>
      </w:r>
      <w:proofErr w:type="spellEnd"/>
      <w:r w:rsidRPr="004A0C37">
        <w:rPr>
          <w:rFonts w:ascii="Times New Roman" w:hAnsi="Times New Roman" w:cs="Times New Roman"/>
        </w:rPr>
        <w:t xml:space="preserve"> substrátov OATP1B1 (napr. </w:t>
      </w:r>
      <w:proofErr w:type="spellStart"/>
      <w:r w:rsidRPr="004A0C37">
        <w:rPr>
          <w:rFonts w:ascii="Times New Roman" w:hAnsi="Times New Roman" w:cs="Times New Roman"/>
        </w:rPr>
        <w:t>statínov</w:t>
      </w:r>
      <w:proofErr w:type="spellEnd"/>
      <w:r w:rsidRPr="004A0C37">
        <w:rPr>
          <w:rFonts w:ascii="Times New Roman" w:hAnsi="Times New Roman" w:cs="Times New Roman"/>
        </w:rPr>
        <w:t xml:space="preserve">, pozri ďalej „Účinok súbežného použitia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a </w:t>
      </w:r>
      <w:proofErr w:type="spellStart"/>
      <w:r w:rsidRPr="004A0C37">
        <w:rPr>
          <w:rFonts w:ascii="Times New Roman" w:hAnsi="Times New Roman" w:cs="Times New Roman"/>
        </w:rPr>
        <w:t>simvastatínu</w:t>
      </w:r>
      <w:proofErr w:type="spellEnd"/>
      <w:r w:rsidRPr="004A0C37">
        <w:rPr>
          <w:rFonts w:ascii="Times New Roman" w:hAnsi="Times New Roman" w:cs="Times New Roman"/>
        </w:rPr>
        <w:t xml:space="preserve">“). </w:t>
      </w:r>
    </w:p>
    <w:p w14:paraId="71F5591C" w14:textId="77777777" w:rsidR="00FA78F1" w:rsidRDefault="00FA78F1" w:rsidP="004A0C37">
      <w:pPr>
        <w:spacing w:after="0" w:line="240" w:lineRule="auto"/>
        <w:rPr>
          <w:rFonts w:ascii="Times New Roman" w:hAnsi="Times New Roman" w:cs="Times New Roman"/>
        </w:rPr>
      </w:pPr>
    </w:p>
    <w:p w14:paraId="6C687C48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V </w:t>
      </w:r>
      <w:r w:rsidRPr="004A0C37">
        <w:rPr>
          <w:rFonts w:ascii="Times New Roman" w:hAnsi="Times New Roman" w:cs="Times New Roman"/>
          <w:i/>
          <w:iCs/>
        </w:rPr>
        <w:t xml:space="preserve">in vitro </w:t>
      </w:r>
      <w:r w:rsidRPr="004A0C37">
        <w:rPr>
          <w:rFonts w:ascii="Times New Roman" w:hAnsi="Times New Roman" w:cs="Times New Roman"/>
        </w:rPr>
        <w:t xml:space="preserve">podmienkach je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inhibítor enzýmu </w:t>
      </w:r>
      <w:proofErr w:type="spellStart"/>
      <w:r w:rsidRPr="004A0C37">
        <w:rPr>
          <w:rFonts w:ascii="Times New Roman" w:hAnsi="Times New Roman" w:cs="Times New Roman"/>
        </w:rPr>
        <w:t>uridín-difosfát-glukuronozyltransferázy</w:t>
      </w:r>
      <w:proofErr w:type="spellEnd"/>
      <w:r w:rsidRPr="004A0C37">
        <w:rPr>
          <w:rFonts w:ascii="Times New Roman" w:hAnsi="Times New Roman" w:cs="Times New Roman"/>
        </w:rPr>
        <w:t xml:space="preserve"> 1A1 (UGT1A1). Aktívny metabolit </w:t>
      </w:r>
      <w:proofErr w:type="spellStart"/>
      <w:r w:rsidRPr="004A0C37">
        <w:rPr>
          <w:rFonts w:ascii="Times New Roman" w:hAnsi="Times New Roman" w:cs="Times New Roman"/>
        </w:rPr>
        <w:t>irinotekánu</w:t>
      </w:r>
      <w:proofErr w:type="spellEnd"/>
      <w:r w:rsidRPr="004A0C37">
        <w:rPr>
          <w:rFonts w:ascii="Times New Roman" w:hAnsi="Times New Roman" w:cs="Times New Roman"/>
        </w:rPr>
        <w:t xml:space="preserve">, SN-38, je substrát OATP1B1 a UGT1A1. Súbežné podávanie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v dávke 400 mg jedenkrát denne s </w:t>
      </w:r>
      <w:proofErr w:type="spellStart"/>
      <w:r w:rsidRPr="004A0C37">
        <w:rPr>
          <w:rFonts w:ascii="Times New Roman" w:hAnsi="Times New Roman" w:cs="Times New Roman"/>
        </w:rPr>
        <w:t>cetuximabom</w:t>
      </w:r>
      <w:proofErr w:type="spellEnd"/>
      <w:r w:rsidRPr="004A0C37">
        <w:rPr>
          <w:rFonts w:ascii="Times New Roman" w:hAnsi="Times New Roman" w:cs="Times New Roman"/>
        </w:rPr>
        <w:t xml:space="preserve"> v dávke 250 mg/m</w:t>
      </w:r>
      <w:r w:rsidRPr="00531CFF">
        <w:rPr>
          <w:rFonts w:ascii="Times New Roman" w:hAnsi="Times New Roman" w:cs="Times New Roman"/>
          <w:vertAlign w:val="superscript"/>
        </w:rPr>
        <w:t>2</w:t>
      </w:r>
      <w:r w:rsidRPr="004A0C37">
        <w:rPr>
          <w:rFonts w:ascii="Times New Roman" w:hAnsi="Times New Roman" w:cs="Times New Roman"/>
        </w:rPr>
        <w:t xml:space="preserve"> a </w:t>
      </w:r>
      <w:proofErr w:type="spellStart"/>
      <w:r w:rsidRPr="004A0C37">
        <w:rPr>
          <w:rFonts w:ascii="Times New Roman" w:hAnsi="Times New Roman" w:cs="Times New Roman"/>
        </w:rPr>
        <w:t>irinotekánom</w:t>
      </w:r>
      <w:proofErr w:type="spellEnd"/>
      <w:r w:rsidRPr="004A0C37">
        <w:rPr>
          <w:rFonts w:ascii="Times New Roman" w:hAnsi="Times New Roman" w:cs="Times New Roman"/>
        </w:rPr>
        <w:t xml:space="preserve"> v dávke 150 mg/m</w:t>
      </w:r>
      <w:r w:rsidRPr="00531CFF">
        <w:rPr>
          <w:rFonts w:ascii="Times New Roman" w:hAnsi="Times New Roman" w:cs="Times New Roman"/>
          <w:vertAlign w:val="superscript"/>
        </w:rPr>
        <w:t>2</w:t>
      </w:r>
      <w:r w:rsidRPr="004A0C37">
        <w:rPr>
          <w:rFonts w:ascii="Times New Roman" w:hAnsi="Times New Roman" w:cs="Times New Roman"/>
        </w:rPr>
        <w:t xml:space="preserve"> viedlo približne k 20 % zvýšeniu systémovej expozície SN-38.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môže mať väčší vplyv na dispozíciu SN-38 u osôb s polymorfizmom UGT1A1*28 v porovnaní s osobami s alelou divokého typu. Na základe genotypu UGT1A1 sa však nedal vždy predpovedať vplyv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na dispozíciu SN-38. Pri súbežnom podávaní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a substrátov UGT1A1 je potrebná obozretnosť. </w:t>
      </w:r>
    </w:p>
    <w:p w14:paraId="7F74D2C2" w14:textId="77777777" w:rsidR="00BB3CBB" w:rsidRDefault="00BB3CBB" w:rsidP="004A0C37">
      <w:pPr>
        <w:spacing w:after="0" w:line="240" w:lineRule="auto"/>
        <w:rPr>
          <w:rFonts w:ascii="Times New Roman" w:hAnsi="Times New Roman" w:cs="Times New Roman"/>
        </w:rPr>
      </w:pPr>
    </w:p>
    <w:p w14:paraId="3FC65F60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B3CBB">
        <w:rPr>
          <w:rFonts w:ascii="Times New Roman" w:hAnsi="Times New Roman" w:cs="Times New Roman"/>
          <w:u w:val="single"/>
        </w:rPr>
        <w:t xml:space="preserve">Účinok súbežného použitia </w:t>
      </w:r>
      <w:proofErr w:type="spellStart"/>
      <w:r w:rsidRPr="00BB3CBB">
        <w:rPr>
          <w:rFonts w:ascii="Times New Roman" w:hAnsi="Times New Roman" w:cs="Times New Roman"/>
          <w:u w:val="single"/>
        </w:rPr>
        <w:t>pazopanibu</w:t>
      </w:r>
      <w:proofErr w:type="spellEnd"/>
      <w:r w:rsidRPr="00BB3CBB">
        <w:rPr>
          <w:rFonts w:ascii="Times New Roman" w:hAnsi="Times New Roman" w:cs="Times New Roman"/>
          <w:u w:val="single"/>
        </w:rPr>
        <w:t xml:space="preserve"> a </w:t>
      </w:r>
      <w:proofErr w:type="spellStart"/>
      <w:r w:rsidRPr="00BB3CBB">
        <w:rPr>
          <w:rFonts w:ascii="Times New Roman" w:hAnsi="Times New Roman" w:cs="Times New Roman"/>
          <w:u w:val="single"/>
        </w:rPr>
        <w:t>simvastatínu</w:t>
      </w:r>
      <w:proofErr w:type="spellEnd"/>
      <w:r w:rsidRPr="00BB3CBB">
        <w:rPr>
          <w:rFonts w:ascii="Times New Roman" w:hAnsi="Times New Roman" w:cs="Times New Roman"/>
          <w:u w:val="single"/>
        </w:rPr>
        <w:t xml:space="preserve"> </w:t>
      </w:r>
    </w:p>
    <w:p w14:paraId="3845CC4E" w14:textId="77777777" w:rsidR="00BB3CBB" w:rsidRPr="00BB3CBB" w:rsidRDefault="00BB3CBB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8BB8B6C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Súbežné použitie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a </w:t>
      </w:r>
      <w:proofErr w:type="spellStart"/>
      <w:r w:rsidRPr="004A0C37">
        <w:rPr>
          <w:rFonts w:ascii="Times New Roman" w:hAnsi="Times New Roman" w:cs="Times New Roman"/>
        </w:rPr>
        <w:t>simvastatínu</w:t>
      </w:r>
      <w:proofErr w:type="spellEnd"/>
      <w:r w:rsidRPr="004A0C37">
        <w:rPr>
          <w:rFonts w:ascii="Times New Roman" w:hAnsi="Times New Roman" w:cs="Times New Roman"/>
        </w:rPr>
        <w:t xml:space="preserve"> zvyšuje výskyt vzostupov hodnôt ALT. Výsledky </w:t>
      </w:r>
      <w:proofErr w:type="spellStart"/>
      <w:r w:rsidRPr="004A0C37">
        <w:rPr>
          <w:rFonts w:ascii="Times New Roman" w:hAnsi="Times New Roman" w:cs="Times New Roman"/>
        </w:rPr>
        <w:t>meta</w:t>
      </w:r>
      <w:proofErr w:type="spellEnd"/>
      <w:r w:rsidRPr="004A0C37">
        <w:rPr>
          <w:rFonts w:ascii="Times New Roman" w:hAnsi="Times New Roman" w:cs="Times New Roman"/>
        </w:rPr>
        <w:t xml:space="preserve">-analýzy súhrnných údajov z klinických štúdií s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ukazujú, že hodnota ALT &gt; 3-násobok ULN bola hlásená u 126/895 (14 %) pacientov, ktorí nepoužívali </w:t>
      </w:r>
      <w:proofErr w:type="spellStart"/>
      <w:r w:rsidRPr="004A0C37">
        <w:rPr>
          <w:rFonts w:ascii="Times New Roman" w:hAnsi="Times New Roman" w:cs="Times New Roman"/>
        </w:rPr>
        <w:t>statíny</w:t>
      </w:r>
      <w:proofErr w:type="spellEnd"/>
      <w:r w:rsidRPr="004A0C37">
        <w:rPr>
          <w:rFonts w:ascii="Times New Roman" w:hAnsi="Times New Roman" w:cs="Times New Roman"/>
        </w:rPr>
        <w:t xml:space="preserve">, v porovnaní s 11/41 (27 %) pacientmi, ktorí súbežne používali </w:t>
      </w:r>
      <w:proofErr w:type="spellStart"/>
      <w:r w:rsidRPr="004A0C37">
        <w:rPr>
          <w:rFonts w:ascii="Times New Roman" w:hAnsi="Times New Roman" w:cs="Times New Roman"/>
        </w:rPr>
        <w:t>simvastatín</w:t>
      </w:r>
      <w:proofErr w:type="spellEnd"/>
      <w:r w:rsidRPr="004A0C37">
        <w:rPr>
          <w:rFonts w:ascii="Times New Roman" w:hAnsi="Times New Roman" w:cs="Times New Roman"/>
        </w:rPr>
        <w:t xml:space="preserve"> (p = 0,038). Ak u pacienta súbežne liečeného </w:t>
      </w:r>
      <w:proofErr w:type="spellStart"/>
      <w:r w:rsidRPr="004A0C37">
        <w:rPr>
          <w:rFonts w:ascii="Times New Roman" w:hAnsi="Times New Roman" w:cs="Times New Roman"/>
        </w:rPr>
        <w:t>simvastatínom</w:t>
      </w:r>
      <w:proofErr w:type="spellEnd"/>
      <w:r w:rsidRPr="004A0C37">
        <w:rPr>
          <w:rFonts w:ascii="Times New Roman" w:hAnsi="Times New Roman" w:cs="Times New Roman"/>
        </w:rPr>
        <w:t xml:space="preserve"> dôjde k zvýšeniu hodnôt ALT, treba dodržiavať odporúčania pre dávkovanie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a prerušiť podávanie </w:t>
      </w:r>
      <w:proofErr w:type="spellStart"/>
      <w:r w:rsidRPr="004A0C37">
        <w:rPr>
          <w:rFonts w:ascii="Times New Roman" w:hAnsi="Times New Roman" w:cs="Times New Roman"/>
        </w:rPr>
        <w:t>simvastatínu</w:t>
      </w:r>
      <w:proofErr w:type="spellEnd"/>
      <w:r w:rsidRPr="004A0C37">
        <w:rPr>
          <w:rFonts w:ascii="Times New Roman" w:hAnsi="Times New Roman" w:cs="Times New Roman"/>
        </w:rPr>
        <w:t xml:space="preserve"> (pozri časť 4.4). Navyše je pri súbežnom použití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a iných </w:t>
      </w:r>
      <w:proofErr w:type="spellStart"/>
      <w:r w:rsidRPr="004A0C37">
        <w:rPr>
          <w:rFonts w:ascii="Times New Roman" w:hAnsi="Times New Roman" w:cs="Times New Roman"/>
        </w:rPr>
        <w:t>statínov</w:t>
      </w:r>
      <w:proofErr w:type="spellEnd"/>
      <w:r w:rsidRPr="004A0C37">
        <w:rPr>
          <w:rFonts w:ascii="Times New Roman" w:hAnsi="Times New Roman" w:cs="Times New Roman"/>
        </w:rPr>
        <w:t xml:space="preserve"> potrebná obozretnosť, keďže v súčasnosti nie sú k dispozícii dostatočné údaje na zhodnotenie ich vplyvu na hladiny ALT. Nie je možné vylúčiť, že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ovplyvní </w:t>
      </w:r>
      <w:proofErr w:type="spellStart"/>
      <w:r w:rsidRPr="004A0C37">
        <w:rPr>
          <w:rFonts w:ascii="Times New Roman" w:hAnsi="Times New Roman" w:cs="Times New Roman"/>
        </w:rPr>
        <w:t>farmakokinetiku</w:t>
      </w:r>
      <w:proofErr w:type="spellEnd"/>
      <w:r w:rsidRPr="004A0C37">
        <w:rPr>
          <w:rFonts w:ascii="Times New Roman" w:hAnsi="Times New Roman" w:cs="Times New Roman"/>
        </w:rPr>
        <w:t xml:space="preserve"> iných </w:t>
      </w:r>
      <w:proofErr w:type="spellStart"/>
      <w:r w:rsidRPr="004A0C37">
        <w:rPr>
          <w:rFonts w:ascii="Times New Roman" w:hAnsi="Times New Roman" w:cs="Times New Roman"/>
        </w:rPr>
        <w:t>statínov</w:t>
      </w:r>
      <w:proofErr w:type="spellEnd"/>
      <w:r w:rsidRPr="004A0C37">
        <w:rPr>
          <w:rFonts w:ascii="Times New Roman" w:hAnsi="Times New Roman" w:cs="Times New Roman"/>
        </w:rPr>
        <w:t xml:space="preserve"> (napr. </w:t>
      </w:r>
      <w:proofErr w:type="spellStart"/>
      <w:r w:rsidRPr="004A0C37">
        <w:rPr>
          <w:rFonts w:ascii="Times New Roman" w:hAnsi="Times New Roman" w:cs="Times New Roman"/>
        </w:rPr>
        <w:t>atorvastatínu</w:t>
      </w:r>
      <w:proofErr w:type="spellEnd"/>
      <w:r w:rsidRPr="004A0C37">
        <w:rPr>
          <w:rFonts w:ascii="Times New Roman" w:hAnsi="Times New Roman" w:cs="Times New Roman"/>
        </w:rPr>
        <w:t xml:space="preserve">, </w:t>
      </w:r>
      <w:proofErr w:type="spellStart"/>
      <w:r w:rsidRPr="004A0C37">
        <w:rPr>
          <w:rFonts w:ascii="Times New Roman" w:hAnsi="Times New Roman" w:cs="Times New Roman"/>
        </w:rPr>
        <w:t>fluvastatínu</w:t>
      </w:r>
      <w:proofErr w:type="spellEnd"/>
      <w:r w:rsidRPr="004A0C37">
        <w:rPr>
          <w:rFonts w:ascii="Times New Roman" w:hAnsi="Times New Roman" w:cs="Times New Roman"/>
        </w:rPr>
        <w:t xml:space="preserve">, </w:t>
      </w:r>
      <w:proofErr w:type="spellStart"/>
      <w:r w:rsidRPr="004A0C37">
        <w:rPr>
          <w:rFonts w:ascii="Times New Roman" w:hAnsi="Times New Roman" w:cs="Times New Roman"/>
        </w:rPr>
        <w:t>pravastatínu</w:t>
      </w:r>
      <w:proofErr w:type="spellEnd"/>
      <w:r w:rsidRPr="004A0C37">
        <w:rPr>
          <w:rFonts w:ascii="Times New Roman" w:hAnsi="Times New Roman" w:cs="Times New Roman"/>
        </w:rPr>
        <w:t xml:space="preserve">, </w:t>
      </w:r>
      <w:proofErr w:type="spellStart"/>
      <w:r w:rsidRPr="004A0C37">
        <w:rPr>
          <w:rFonts w:ascii="Times New Roman" w:hAnsi="Times New Roman" w:cs="Times New Roman"/>
        </w:rPr>
        <w:t>rosuvastatínu</w:t>
      </w:r>
      <w:proofErr w:type="spellEnd"/>
      <w:r w:rsidRPr="004A0C37">
        <w:rPr>
          <w:rFonts w:ascii="Times New Roman" w:hAnsi="Times New Roman" w:cs="Times New Roman"/>
        </w:rPr>
        <w:t xml:space="preserve">). </w:t>
      </w:r>
    </w:p>
    <w:p w14:paraId="7DE0AC2F" w14:textId="77777777" w:rsidR="00BB3CBB" w:rsidRDefault="00BB3CBB" w:rsidP="004A0C37">
      <w:pPr>
        <w:spacing w:after="0" w:line="240" w:lineRule="auto"/>
        <w:rPr>
          <w:rFonts w:ascii="Times New Roman" w:hAnsi="Times New Roman" w:cs="Times New Roman"/>
        </w:rPr>
      </w:pPr>
    </w:p>
    <w:p w14:paraId="2F3A943E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B3CBB">
        <w:rPr>
          <w:rFonts w:ascii="Times New Roman" w:hAnsi="Times New Roman" w:cs="Times New Roman"/>
          <w:u w:val="single"/>
        </w:rPr>
        <w:t xml:space="preserve">Účinok jedla na </w:t>
      </w:r>
      <w:proofErr w:type="spellStart"/>
      <w:r w:rsidRPr="00BB3CBB">
        <w:rPr>
          <w:rFonts w:ascii="Times New Roman" w:hAnsi="Times New Roman" w:cs="Times New Roman"/>
          <w:u w:val="single"/>
        </w:rPr>
        <w:t>pazopanib</w:t>
      </w:r>
      <w:proofErr w:type="spellEnd"/>
      <w:r w:rsidRPr="00BB3CBB">
        <w:rPr>
          <w:rFonts w:ascii="Times New Roman" w:hAnsi="Times New Roman" w:cs="Times New Roman"/>
          <w:u w:val="single"/>
        </w:rPr>
        <w:t xml:space="preserve"> </w:t>
      </w:r>
    </w:p>
    <w:p w14:paraId="7555CA17" w14:textId="77777777" w:rsidR="005C5BF7" w:rsidRPr="00BB3CBB" w:rsidRDefault="005C5BF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736BDB4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lastRenderedPageBreak/>
        <w:t xml:space="preserve">Podanie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s jedlom s vysokým alebo nízkym obsahom tuku viedlo k približne 2-násobnému zvýšeniu hodnôt AUC a </w:t>
      </w:r>
      <w:proofErr w:type="spellStart"/>
      <w:r w:rsidRPr="004A0C37">
        <w:rPr>
          <w:rFonts w:ascii="Times New Roman" w:hAnsi="Times New Roman" w:cs="Times New Roman"/>
        </w:rPr>
        <w:t>C</w:t>
      </w:r>
      <w:r w:rsidRPr="00531CFF">
        <w:rPr>
          <w:rFonts w:ascii="Times New Roman" w:hAnsi="Times New Roman" w:cs="Times New Roman"/>
          <w:vertAlign w:val="subscript"/>
        </w:rPr>
        <w:t>max</w:t>
      </w:r>
      <w:proofErr w:type="spellEnd"/>
      <w:r w:rsidRPr="004A0C37">
        <w:rPr>
          <w:rFonts w:ascii="Times New Roman" w:hAnsi="Times New Roman" w:cs="Times New Roman"/>
        </w:rPr>
        <w:t xml:space="preserve">.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sa má preto podávať aspoň 1 hodinu pred alebo 2 hodiny po jedle. </w:t>
      </w:r>
    </w:p>
    <w:p w14:paraId="0A188B38" w14:textId="77777777" w:rsidR="009E11AB" w:rsidRPr="004A0C37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6AA19B50" w14:textId="77777777" w:rsidR="004A0C37" w:rsidRPr="009E11AB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E11AB">
        <w:rPr>
          <w:rFonts w:ascii="Times New Roman" w:hAnsi="Times New Roman" w:cs="Times New Roman"/>
          <w:u w:val="single"/>
        </w:rPr>
        <w:t xml:space="preserve">Lieky, ktoré zvyšujú hodnotu pH v žalúdku </w:t>
      </w:r>
    </w:p>
    <w:p w14:paraId="54D04033" w14:textId="77777777" w:rsidR="009E11AB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543BD332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Súbežné podanie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s </w:t>
      </w:r>
      <w:proofErr w:type="spellStart"/>
      <w:r w:rsidRPr="004A0C37">
        <w:rPr>
          <w:rFonts w:ascii="Times New Roman" w:hAnsi="Times New Roman" w:cs="Times New Roman"/>
        </w:rPr>
        <w:t>ezomeprazolom</w:t>
      </w:r>
      <w:proofErr w:type="spellEnd"/>
      <w:r w:rsidRPr="004A0C37">
        <w:rPr>
          <w:rFonts w:ascii="Times New Roman" w:hAnsi="Times New Roman" w:cs="Times New Roman"/>
        </w:rPr>
        <w:t xml:space="preserve"> znižuje biologickú dostupnosť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približne o 40 % (AUC a </w:t>
      </w:r>
      <w:proofErr w:type="spellStart"/>
      <w:r w:rsidRPr="004A0C37">
        <w:rPr>
          <w:rFonts w:ascii="Times New Roman" w:hAnsi="Times New Roman" w:cs="Times New Roman"/>
        </w:rPr>
        <w:t>C</w:t>
      </w:r>
      <w:r w:rsidRPr="00531CFF">
        <w:rPr>
          <w:rFonts w:ascii="Times New Roman" w:hAnsi="Times New Roman" w:cs="Times New Roman"/>
          <w:vertAlign w:val="subscript"/>
        </w:rPr>
        <w:t>max</w:t>
      </w:r>
      <w:proofErr w:type="spellEnd"/>
      <w:r w:rsidRPr="004A0C37">
        <w:rPr>
          <w:rFonts w:ascii="Times New Roman" w:hAnsi="Times New Roman" w:cs="Times New Roman"/>
        </w:rPr>
        <w:t xml:space="preserve">) a je potrebné vyhnúť sa súbežnému podaniu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s liekmi, ktoré zvyšujú hodnotu pH v žalúdku. Ak je súbežné použitie inhibítora protónovej pumpy (PPI) medicínsky nevyhnutné, odporúča sa užívať dávku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bez jedla jedenkrát denne večer súbežne s PPI. Ak je súbežné podanie antagonistu H2-receptora medicínsky nevyhnutné,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sa má užívať bez jedla aspoň 2 hodiny pred podaním dávky antagonistu H2-receptora alebo aspoň 10 hodín po jeho podaní.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sa má podať aspoň 1 hodinu pred podaním krátkodobo pôsobiacich </w:t>
      </w:r>
      <w:proofErr w:type="spellStart"/>
      <w:r w:rsidRPr="004A0C37">
        <w:rPr>
          <w:rFonts w:ascii="Times New Roman" w:hAnsi="Times New Roman" w:cs="Times New Roman"/>
        </w:rPr>
        <w:t>antacíd</w:t>
      </w:r>
      <w:proofErr w:type="spellEnd"/>
      <w:r w:rsidRPr="004A0C37">
        <w:rPr>
          <w:rFonts w:ascii="Times New Roman" w:hAnsi="Times New Roman" w:cs="Times New Roman"/>
        </w:rPr>
        <w:t xml:space="preserve"> alebo 2 hodiny po ich podaní. Odporúčania týkajúce sa súbežného podávania PPI a antagonistov H2-receptorov vychádzajú z fyziologických hľadísk. </w:t>
      </w:r>
    </w:p>
    <w:p w14:paraId="162209DF" w14:textId="77777777" w:rsidR="009E11AB" w:rsidRDefault="009E11AB" w:rsidP="004A0C3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E16849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  <w:b/>
          <w:bCs/>
        </w:rPr>
        <w:t xml:space="preserve">4.6 </w:t>
      </w:r>
      <w:r w:rsidR="009E11AB">
        <w:rPr>
          <w:rFonts w:ascii="Times New Roman" w:hAnsi="Times New Roman" w:cs="Times New Roman"/>
          <w:b/>
          <w:bCs/>
        </w:rPr>
        <w:tab/>
      </w:r>
      <w:proofErr w:type="spellStart"/>
      <w:r w:rsidRPr="004A0C37">
        <w:rPr>
          <w:rFonts w:ascii="Times New Roman" w:hAnsi="Times New Roman" w:cs="Times New Roman"/>
          <w:b/>
          <w:bCs/>
        </w:rPr>
        <w:t>Fertilita</w:t>
      </w:r>
      <w:proofErr w:type="spellEnd"/>
      <w:r w:rsidRPr="004A0C37">
        <w:rPr>
          <w:rFonts w:ascii="Times New Roman" w:hAnsi="Times New Roman" w:cs="Times New Roman"/>
          <w:b/>
          <w:bCs/>
        </w:rPr>
        <w:t xml:space="preserve">, gravidita a laktácia </w:t>
      </w:r>
    </w:p>
    <w:p w14:paraId="0C6A7BCF" w14:textId="77777777" w:rsidR="009E11AB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6C1C6C05" w14:textId="77777777" w:rsidR="004A0C37" w:rsidRPr="009E11AB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E11AB">
        <w:rPr>
          <w:rFonts w:ascii="Times New Roman" w:hAnsi="Times New Roman" w:cs="Times New Roman"/>
          <w:u w:val="single"/>
        </w:rPr>
        <w:t xml:space="preserve">Gravidita / Antikoncepcia u mužov a žien </w:t>
      </w:r>
    </w:p>
    <w:p w14:paraId="1968E205" w14:textId="77777777" w:rsidR="009E11AB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67B3AA5D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Nie sú k dispozícii dostatočné údaje o použití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u gravidných žien. Štúdie na zvieratách preukázali reprodukčnú toxicitu (pozri časť 5.3). Nie je známe potenciálne riziko pre ľudí. </w:t>
      </w:r>
    </w:p>
    <w:p w14:paraId="729B95BD" w14:textId="77777777" w:rsidR="009E11AB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55CC5956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sa nemá používať počas gravidity, pokiaľ klinický stav ženy nevyžaduje liečbu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. Ak sa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používa počas gravidity alebo ak pacientka otehotnie počas liečby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, pacientku treba oboznámiť s možným rizikom pre plod. </w:t>
      </w:r>
    </w:p>
    <w:p w14:paraId="1B8C24D1" w14:textId="77777777" w:rsidR="009E11AB" w:rsidRPr="004A0C37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6A6D20F8" w14:textId="10ECD194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Ženám vo fertilnom veku sa má odporučiť, aby počas liečby a počas najmenej 2 týždňov po poslednej dávke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>, používali účinnú antikoncepciu</w:t>
      </w:r>
      <w:r w:rsidR="007A4A27">
        <w:rPr>
          <w:rFonts w:ascii="Times New Roman" w:hAnsi="Times New Roman" w:cs="Times New Roman"/>
        </w:rPr>
        <w:t>,</w:t>
      </w:r>
      <w:r w:rsidRPr="004A0C37">
        <w:rPr>
          <w:rFonts w:ascii="Times New Roman" w:hAnsi="Times New Roman" w:cs="Times New Roman"/>
        </w:rPr>
        <w:t xml:space="preserve"> a aby sa počas liečby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vyhli otehotneniu. </w:t>
      </w:r>
    </w:p>
    <w:p w14:paraId="7796A906" w14:textId="77777777" w:rsidR="009E11AB" w:rsidRPr="004A0C37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69DF50B3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Pacienti mužského pohlavia (vrátane tých, ktorí podstúpili </w:t>
      </w:r>
      <w:proofErr w:type="spellStart"/>
      <w:r w:rsidRPr="004A0C37">
        <w:rPr>
          <w:rFonts w:ascii="Times New Roman" w:hAnsi="Times New Roman" w:cs="Times New Roman"/>
        </w:rPr>
        <w:t>vazektómiu</w:t>
      </w:r>
      <w:proofErr w:type="spellEnd"/>
      <w:r w:rsidRPr="004A0C37">
        <w:rPr>
          <w:rFonts w:ascii="Times New Roman" w:hAnsi="Times New Roman" w:cs="Times New Roman"/>
        </w:rPr>
        <w:t xml:space="preserve">) musia počas užívania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a najmenej 2 týždne po poslednej dávke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pri pohlavnom styku používať kondómy, aby sa predišlo možnej expozícii lieku u gravidných partneriek a partneriek vo fertilnom veku. </w:t>
      </w:r>
    </w:p>
    <w:p w14:paraId="3727D73E" w14:textId="77777777" w:rsidR="009E11AB" w:rsidRPr="004A0C37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0E7934CD" w14:textId="77777777" w:rsidR="004A0C37" w:rsidRPr="009E11AB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E11AB">
        <w:rPr>
          <w:rFonts w:ascii="Times New Roman" w:hAnsi="Times New Roman" w:cs="Times New Roman"/>
          <w:u w:val="single"/>
        </w:rPr>
        <w:t xml:space="preserve">Dojčenie </w:t>
      </w:r>
    </w:p>
    <w:p w14:paraId="5AEB56B1" w14:textId="77777777" w:rsidR="009E11AB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1169A350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Bezpečnosť používania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počas dojčenia nebola stanovená. Nie je známe, či sa </w:t>
      </w: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alebo jeho metabolity vylučujú do materského mlieka. Nie sú žiadne údaje o vylučovaní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do mlieka u zvierat. Riziko u dojčiat nemôže byť vylúčené. Dojčenie sa má počas liečby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ukončiť. </w:t>
      </w:r>
    </w:p>
    <w:p w14:paraId="1CAAF3D4" w14:textId="77777777" w:rsidR="009E11AB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6558D598" w14:textId="77777777" w:rsidR="004A0C37" w:rsidRPr="009E11AB" w:rsidRDefault="004A0C37" w:rsidP="004A0C37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9E11AB">
        <w:rPr>
          <w:rFonts w:ascii="Times New Roman" w:hAnsi="Times New Roman" w:cs="Times New Roman"/>
          <w:u w:val="single"/>
        </w:rPr>
        <w:t>Fertilita</w:t>
      </w:r>
      <w:proofErr w:type="spellEnd"/>
      <w:r w:rsidRPr="009E11AB">
        <w:rPr>
          <w:rFonts w:ascii="Times New Roman" w:hAnsi="Times New Roman" w:cs="Times New Roman"/>
          <w:u w:val="single"/>
        </w:rPr>
        <w:t xml:space="preserve"> </w:t>
      </w:r>
    </w:p>
    <w:p w14:paraId="1C07104C" w14:textId="77777777" w:rsidR="009E11AB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5608F28C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</w:rPr>
        <w:t xml:space="preserve">Štúdie na zvieratách preukázali, že samčia a samičia </w:t>
      </w:r>
      <w:proofErr w:type="spellStart"/>
      <w:r w:rsidRPr="004A0C37">
        <w:rPr>
          <w:rFonts w:ascii="Times New Roman" w:hAnsi="Times New Roman" w:cs="Times New Roman"/>
        </w:rPr>
        <w:t>fertilita</w:t>
      </w:r>
      <w:proofErr w:type="spellEnd"/>
      <w:r w:rsidRPr="004A0C37">
        <w:rPr>
          <w:rFonts w:ascii="Times New Roman" w:hAnsi="Times New Roman" w:cs="Times New Roman"/>
        </w:rPr>
        <w:t xml:space="preserve"> môže byť ovplyvnená liečbou </w:t>
      </w:r>
      <w:proofErr w:type="spellStart"/>
      <w:r w:rsidRPr="004A0C37">
        <w:rPr>
          <w:rFonts w:ascii="Times New Roman" w:hAnsi="Times New Roman" w:cs="Times New Roman"/>
        </w:rPr>
        <w:t>pazopanibom</w:t>
      </w:r>
      <w:proofErr w:type="spellEnd"/>
      <w:r w:rsidRPr="004A0C37">
        <w:rPr>
          <w:rFonts w:ascii="Times New Roman" w:hAnsi="Times New Roman" w:cs="Times New Roman"/>
        </w:rPr>
        <w:t xml:space="preserve"> (pozri časť 5.3). </w:t>
      </w:r>
    </w:p>
    <w:p w14:paraId="304DD4E1" w14:textId="77777777" w:rsidR="009E11AB" w:rsidRDefault="009E11AB" w:rsidP="004A0C3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EC846B" w14:textId="77777777" w:rsidR="004A0C37" w:rsidRP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r w:rsidRPr="004A0C37">
        <w:rPr>
          <w:rFonts w:ascii="Times New Roman" w:hAnsi="Times New Roman" w:cs="Times New Roman"/>
          <w:b/>
          <w:bCs/>
        </w:rPr>
        <w:t xml:space="preserve">4.7 </w:t>
      </w:r>
      <w:r w:rsidR="0060670B">
        <w:rPr>
          <w:rFonts w:ascii="Times New Roman" w:hAnsi="Times New Roman" w:cs="Times New Roman"/>
          <w:b/>
          <w:bCs/>
        </w:rPr>
        <w:tab/>
      </w:r>
      <w:r w:rsidRPr="004A0C37">
        <w:rPr>
          <w:rFonts w:ascii="Times New Roman" w:hAnsi="Times New Roman" w:cs="Times New Roman"/>
          <w:b/>
          <w:bCs/>
        </w:rPr>
        <w:t xml:space="preserve">Ovplyvnenie schopnosti viesť vozidlá a obsluhovať stroje </w:t>
      </w:r>
    </w:p>
    <w:p w14:paraId="70A0DE0D" w14:textId="77777777" w:rsidR="009E11AB" w:rsidRDefault="009E11AB" w:rsidP="004A0C37">
      <w:pPr>
        <w:spacing w:after="0" w:line="240" w:lineRule="auto"/>
        <w:rPr>
          <w:rFonts w:ascii="Times New Roman" w:hAnsi="Times New Roman" w:cs="Times New Roman"/>
        </w:rPr>
      </w:pPr>
    </w:p>
    <w:p w14:paraId="6673891D" w14:textId="77777777" w:rsidR="004A0C37" w:rsidRDefault="004A0C37" w:rsidP="004A0C3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A0C37">
        <w:rPr>
          <w:rFonts w:ascii="Times New Roman" w:hAnsi="Times New Roman" w:cs="Times New Roman"/>
        </w:rPr>
        <w:t>Pazopanib</w:t>
      </w:r>
      <w:proofErr w:type="spellEnd"/>
      <w:r w:rsidRPr="004A0C37">
        <w:rPr>
          <w:rFonts w:ascii="Times New Roman" w:hAnsi="Times New Roman" w:cs="Times New Roman"/>
        </w:rPr>
        <w:t xml:space="preserve"> </w:t>
      </w:r>
      <w:proofErr w:type="spellStart"/>
      <w:r w:rsidR="0060670B">
        <w:rPr>
          <w:rFonts w:ascii="Times New Roman" w:hAnsi="Times New Roman" w:cs="Times New Roman"/>
        </w:rPr>
        <w:t>Teva</w:t>
      </w:r>
      <w:proofErr w:type="spellEnd"/>
      <w:r w:rsidRPr="004A0C37">
        <w:rPr>
          <w:rFonts w:ascii="Times New Roman" w:hAnsi="Times New Roman" w:cs="Times New Roman"/>
        </w:rPr>
        <w:t xml:space="preserve"> nemá žiadny alebo má zanedbateľný vplyv na schopnosť viesť vozidlá a obsluhovať stroje. Na základe farmakologického účinku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 xml:space="preserve"> nie je možné predvídať škodlivý účinok na takéto činnosti. Pri posudzovaní schopnosti pacienta vykonávať činnosti, ktoré vyžadujú úsudok, motorické alebo kognitívne schopnosti, treba mať na pamäti klinický stav pacienta a profil </w:t>
      </w:r>
      <w:r w:rsidRPr="004A0C37">
        <w:rPr>
          <w:rFonts w:ascii="Times New Roman" w:hAnsi="Times New Roman" w:cs="Times New Roman"/>
        </w:rPr>
        <w:lastRenderedPageBreak/>
        <w:t xml:space="preserve">nežiaducich udalostí </w:t>
      </w:r>
      <w:proofErr w:type="spellStart"/>
      <w:r w:rsidRPr="004A0C37">
        <w:rPr>
          <w:rFonts w:ascii="Times New Roman" w:hAnsi="Times New Roman" w:cs="Times New Roman"/>
        </w:rPr>
        <w:t>pazopanibu</w:t>
      </w:r>
      <w:proofErr w:type="spellEnd"/>
      <w:r w:rsidRPr="004A0C37">
        <w:rPr>
          <w:rFonts w:ascii="Times New Roman" w:hAnsi="Times New Roman" w:cs="Times New Roman"/>
        </w:rPr>
        <w:t>. Pacienti nesmú viesť vozidlá alebo obsluhovať stroje, ak pociťujú závraty, únavu alebo slabosť.</w:t>
      </w:r>
    </w:p>
    <w:p w14:paraId="7960090E" w14:textId="77777777" w:rsidR="00222D9A" w:rsidRDefault="00222D9A" w:rsidP="004A0C37">
      <w:pPr>
        <w:spacing w:after="0" w:line="240" w:lineRule="auto"/>
        <w:rPr>
          <w:rFonts w:ascii="Times New Roman" w:hAnsi="Times New Roman" w:cs="Times New Roman"/>
        </w:rPr>
      </w:pPr>
    </w:p>
    <w:p w14:paraId="74485106" w14:textId="77777777" w:rsidR="00222D9A" w:rsidRP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  <w:r w:rsidRPr="00222D9A">
        <w:rPr>
          <w:rFonts w:ascii="Times New Roman" w:hAnsi="Times New Roman" w:cs="Times New Roman"/>
          <w:b/>
          <w:bCs/>
        </w:rPr>
        <w:t xml:space="preserve">4.8 </w:t>
      </w:r>
      <w:r>
        <w:rPr>
          <w:rFonts w:ascii="Times New Roman" w:hAnsi="Times New Roman" w:cs="Times New Roman"/>
          <w:b/>
          <w:bCs/>
        </w:rPr>
        <w:tab/>
      </w:r>
      <w:r w:rsidRPr="00222D9A">
        <w:rPr>
          <w:rFonts w:ascii="Times New Roman" w:hAnsi="Times New Roman" w:cs="Times New Roman"/>
          <w:b/>
          <w:bCs/>
        </w:rPr>
        <w:t xml:space="preserve">Nežiaduce účinky </w:t>
      </w:r>
    </w:p>
    <w:p w14:paraId="15594599" w14:textId="77777777" w:rsid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</w:p>
    <w:p w14:paraId="1CCFC026" w14:textId="77777777" w:rsidR="00222D9A" w:rsidRPr="00222D9A" w:rsidRDefault="00222D9A" w:rsidP="00222D9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22D9A">
        <w:rPr>
          <w:rFonts w:ascii="Times New Roman" w:hAnsi="Times New Roman" w:cs="Times New Roman"/>
          <w:u w:val="single"/>
        </w:rPr>
        <w:t xml:space="preserve">Súhrn bezpečnostného profilu </w:t>
      </w:r>
    </w:p>
    <w:p w14:paraId="690B22CE" w14:textId="77777777" w:rsid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</w:p>
    <w:p w14:paraId="6B433118" w14:textId="77777777" w:rsid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  <w:r w:rsidRPr="00222D9A">
        <w:rPr>
          <w:rFonts w:ascii="Times New Roman" w:hAnsi="Times New Roman" w:cs="Times New Roman"/>
        </w:rPr>
        <w:t xml:space="preserve">Súhrnné údaje z </w:t>
      </w:r>
      <w:proofErr w:type="spellStart"/>
      <w:r w:rsidRPr="00222D9A">
        <w:rPr>
          <w:rFonts w:ascii="Times New Roman" w:hAnsi="Times New Roman" w:cs="Times New Roman"/>
        </w:rPr>
        <w:t>pivotného</w:t>
      </w:r>
      <w:proofErr w:type="spellEnd"/>
      <w:r w:rsidRPr="00222D9A">
        <w:rPr>
          <w:rFonts w:ascii="Times New Roman" w:hAnsi="Times New Roman" w:cs="Times New Roman"/>
        </w:rPr>
        <w:t xml:space="preserve"> skúšania RCC (VEG105192, n = 290), z predĺženej štúdie (VEG107769, n = 71), z podporného skúšania fázy II (VEG102616, n = 225) a z </w:t>
      </w:r>
      <w:proofErr w:type="spellStart"/>
      <w:r w:rsidRPr="00222D9A">
        <w:rPr>
          <w:rFonts w:ascii="Times New Roman" w:hAnsi="Times New Roman" w:cs="Times New Roman"/>
        </w:rPr>
        <w:t>randomizovanej</w:t>
      </w:r>
      <w:proofErr w:type="spellEnd"/>
      <w:r w:rsidRPr="00222D9A">
        <w:rPr>
          <w:rFonts w:ascii="Times New Roman" w:hAnsi="Times New Roman" w:cs="Times New Roman"/>
        </w:rPr>
        <w:t xml:space="preserve">, otvorenej štúdie fázy III s paralelným usporiadaním skupín skúmajúcej </w:t>
      </w:r>
      <w:proofErr w:type="spellStart"/>
      <w:r w:rsidRPr="00222D9A">
        <w:rPr>
          <w:rFonts w:ascii="Times New Roman" w:hAnsi="Times New Roman" w:cs="Times New Roman"/>
        </w:rPr>
        <w:t>noninferioritu</w:t>
      </w:r>
      <w:proofErr w:type="spellEnd"/>
      <w:r w:rsidRPr="00222D9A">
        <w:rPr>
          <w:rFonts w:ascii="Times New Roman" w:hAnsi="Times New Roman" w:cs="Times New Roman"/>
        </w:rPr>
        <w:t xml:space="preserve"> (VEG108844, n = 577) boli hodnotené pri celkovom posúdení bezpečnosti a znášanlivosti </w:t>
      </w:r>
      <w:proofErr w:type="spellStart"/>
      <w:r w:rsidRPr="00222D9A">
        <w:rPr>
          <w:rFonts w:ascii="Times New Roman" w:hAnsi="Times New Roman" w:cs="Times New Roman"/>
        </w:rPr>
        <w:t>pazopanibu</w:t>
      </w:r>
      <w:proofErr w:type="spellEnd"/>
      <w:r w:rsidRPr="00222D9A">
        <w:rPr>
          <w:rFonts w:ascii="Times New Roman" w:hAnsi="Times New Roman" w:cs="Times New Roman"/>
        </w:rPr>
        <w:t xml:space="preserve"> (celkový n = 1 149) u</w:t>
      </w:r>
      <w:r>
        <w:rPr>
          <w:rFonts w:ascii="Times New Roman" w:hAnsi="Times New Roman" w:cs="Times New Roman"/>
        </w:rPr>
        <w:t xml:space="preserve"> </w:t>
      </w:r>
      <w:r w:rsidRPr="00222D9A">
        <w:rPr>
          <w:rFonts w:ascii="Times New Roman" w:hAnsi="Times New Roman" w:cs="Times New Roman"/>
        </w:rPr>
        <w:t>jedincov s RCC (pozri časť 5.1).</w:t>
      </w:r>
    </w:p>
    <w:p w14:paraId="0BBF5404" w14:textId="77777777" w:rsid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</w:p>
    <w:p w14:paraId="4606DF51" w14:textId="77777777" w:rsid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  <w:r w:rsidRPr="00222D9A">
        <w:rPr>
          <w:rFonts w:ascii="Times New Roman" w:hAnsi="Times New Roman" w:cs="Times New Roman"/>
        </w:rPr>
        <w:t xml:space="preserve">Súhrnné údaje z </w:t>
      </w:r>
      <w:proofErr w:type="spellStart"/>
      <w:r w:rsidRPr="00222D9A">
        <w:rPr>
          <w:rFonts w:ascii="Times New Roman" w:hAnsi="Times New Roman" w:cs="Times New Roman"/>
        </w:rPr>
        <w:t>pivotného</w:t>
      </w:r>
      <w:proofErr w:type="spellEnd"/>
      <w:r w:rsidRPr="00222D9A">
        <w:rPr>
          <w:rFonts w:ascii="Times New Roman" w:hAnsi="Times New Roman" w:cs="Times New Roman"/>
        </w:rPr>
        <w:t xml:space="preserve"> skúšania STS (VEG110727, n = 369) a z podporného skúšania fázy II (VEG20002, n = 142) boli hodnotené pri celkovom posúdení bezpečnosti a znášanlivosti </w:t>
      </w:r>
      <w:proofErr w:type="spellStart"/>
      <w:r w:rsidRPr="00222D9A">
        <w:rPr>
          <w:rFonts w:ascii="Times New Roman" w:hAnsi="Times New Roman" w:cs="Times New Roman"/>
        </w:rPr>
        <w:t>pazopanibu</w:t>
      </w:r>
      <w:proofErr w:type="spellEnd"/>
      <w:r w:rsidRPr="00222D9A">
        <w:rPr>
          <w:rFonts w:ascii="Times New Roman" w:hAnsi="Times New Roman" w:cs="Times New Roman"/>
        </w:rPr>
        <w:t xml:space="preserve"> (celková populácia pacientov pre hodnotenie bezpečnosti n = 382) u jedincov so STS (pozri časť 5.1). </w:t>
      </w:r>
    </w:p>
    <w:p w14:paraId="6DE2A8EB" w14:textId="77777777" w:rsidR="003D31B7" w:rsidRPr="00222D9A" w:rsidRDefault="003D31B7" w:rsidP="00222D9A">
      <w:pPr>
        <w:spacing w:after="0" w:line="240" w:lineRule="auto"/>
        <w:rPr>
          <w:rFonts w:ascii="Times New Roman" w:hAnsi="Times New Roman" w:cs="Times New Roman"/>
        </w:rPr>
      </w:pPr>
    </w:p>
    <w:p w14:paraId="10B1F34E" w14:textId="77777777" w:rsid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  <w:r w:rsidRPr="00222D9A">
        <w:rPr>
          <w:rFonts w:ascii="Times New Roman" w:hAnsi="Times New Roman" w:cs="Times New Roman"/>
        </w:rPr>
        <w:t xml:space="preserve">Najvýznamnejšie závažné nežiaduce reakcie zistené v skúšaniach RCC alebo STS boli </w:t>
      </w:r>
      <w:proofErr w:type="spellStart"/>
      <w:r w:rsidRPr="00222D9A">
        <w:rPr>
          <w:rFonts w:ascii="Times New Roman" w:hAnsi="Times New Roman" w:cs="Times New Roman"/>
        </w:rPr>
        <w:t>tranzitórny</w:t>
      </w:r>
      <w:proofErr w:type="spellEnd"/>
      <w:r w:rsidRPr="00222D9A">
        <w:rPr>
          <w:rFonts w:ascii="Times New Roman" w:hAnsi="Times New Roman" w:cs="Times New Roman"/>
        </w:rPr>
        <w:t xml:space="preserve"> ischemický atak, ischemická cievna mozgová príhoda, ischémia myokardu, infarkt myokardu a mozgový infarkt, srdcová dysfunkcia, gastrointestinálna perforácia a fistula, predĺženie QT intervalu, </w:t>
      </w:r>
      <w:proofErr w:type="spellStart"/>
      <w:r w:rsidRPr="00222D9A">
        <w:rPr>
          <w:rFonts w:ascii="Times New Roman" w:hAnsi="Times New Roman" w:cs="Times New Roman"/>
        </w:rPr>
        <w:t>torsade</w:t>
      </w:r>
      <w:proofErr w:type="spellEnd"/>
      <w:r w:rsidRPr="00222D9A">
        <w:rPr>
          <w:rFonts w:ascii="Times New Roman" w:hAnsi="Times New Roman" w:cs="Times New Roman"/>
        </w:rPr>
        <w:t xml:space="preserve"> de </w:t>
      </w:r>
      <w:proofErr w:type="spellStart"/>
      <w:r w:rsidRPr="00222D9A">
        <w:rPr>
          <w:rFonts w:ascii="Times New Roman" w:hAnsi="Times New Roman" w:cs="Times New Roman"/>
        </w:rPr>
        <w:t>pointes</w:t>
      </w:r>
      <w:proofErr w:type="spellEnd"/>
      <w:r w:rsidRPr="00222D9A">
        <w:rPr>
          <w:rFonts w:ascii="Times New Roman" w:hAnsi="Times New Roman" w:cs="Times New Roman"/>
        </w:rPr>
        <w:t xml:space="preserve"> a pľúcne, gastrointestinálne a cerebrálne krvácanie, pričom všetky tieto nežiaduce reakcie boli hlásené u &lt; 1 % liečených pacientov. Ďalšie významné závažné nežiaduce reakcie zistené v skúšaniach STS zahŕňali </w:t>
      </w:r>
      <w:proofErr w:type="spellStart"/>
      <w:r w:rsidRPr="00222D9A">
        <w:rPr>
          <w:rFonts w:ascii="Times New Roman" w:hAnsi="Times New Roman" w:cs="Times New Roman"/>
        </w:rPr>
        <w:t>venózne</w:t>
      </w:r>
      <w:proofErr w:type="spellEnd"/>
      <w:r w:rsidRPr="00222D9A">
        <w:rPr>
          <w:rFonts w:ascii="Times New Roman" w:hAnsi="Times New Roman" w:cs="Times New Roman"/>
        </w:rPr>
        <w:t xml:space="preserve"> </w:t>
      </w:r>
      <w:proofErr w:type="spellStart"/>
      <w:r w:rsidRPr="00222D9A">
        <w:rPr>
          <w:rFonts w:ascii="Times New Roman" w:hAnsi="Times New Roman" w:cs="Times New Roman"/>
        </w:rPr>
        <w:t>tromboembolické</w:t>
      </w:r>
      <w:proofErr w:type="spellEnd"/>
      <w:r w:rsidRPr="00222D9A">
        <w:rPr>
          <w:rFonts w:ascii="Times New Roman" w:hAnsi="Times New Roman" w:cs="Times New Roman"/>
        </w:rPr>
        <w:t xml:space="preserve"> príhody, dysfunkciu ľavej komory a </w:t>
      </w:r>
      <w:proofErr w:type="spellStart"/>
      <w:r w:rsidRPr="00222D9A">
        <w:rPr>
          <w:rFonts w:ascii="Times New Roman" w:hAnsi="Times New Roman" w:cs="Times New Roman"/>
        </w:rPr>
        <w:t>pneumotorax</w:t>
      </w:r>
      <w:proofErr w:type="spellEnd"/>
      <w:r w:rsidRPr="00222D9A">
        <w:rPr>
          <w:rFonts w:ascii="Times New Roman" w:hAnsi="Times New Roman" w:cs="Times New Roman"/>
        </w:rPr>
        <w:t xml:space="preserve">. </w:t>
      </w:r>
    </w:p>
    <w:p w14:paraId="15CFB8C0" w14:textId="77777777" w:rsidR="00222D9A" w:rsidRP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</w:p>
    <w:p w14:paraId="5CEF672E" w14:textId="77777777" w:rsid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  <w:r w:rsidRPr="00222D9A">
        <w:rPr>
          <w:rFonts w:ascii="Times New Roman" w:hAnsi="Times New Roman" w:cs="Times New Roman"/>
        </w:rPr>
        <w:t xml:space="preserve">Smrteľné prípady s možnou súvislosťou s liečbou </w:t>
      </w:r>
      <w:proofErr w:type="spellStart"/>
      <w:r w:rsidRPr="00222D9A">
        <w:rPr>
          <w:rFonts w:ascii="Times New Roman" w:hAnsi="Times New Roman" w:cs="Times New Roman"/>
        </w:rPr>
        <w:t>pazopanibom</w:t>
      </w:r>
      <w:proofErr w:type="spellEnd"/>
      <w:r w:rsidRPr="00222D9A">
        <w:rPr>
          <w:rFonts w:ascii="Times New Roman" w:hAnsi="Times New Roman" w:cs="Times New Roman"/>
        </w:rPr>
        <w:t xml:space="preserve"> zahŕňali gastrointestinálne krvácanie, pľúcne krvácanie/</w:t>
      </w:r>
      <w:proofErr w:type="spellStart"/>
      <w:r w:rsidRPr="00222D9A">
        <w:rPr>
          <w:rFonts w:ascii="Times New Roman" w:hAnsi="Times New Roman" w:cs="Times New Roman"/>
        </w:rPr>
        <w:t>hemoptýzu</w:t>
      </w:r>
      <w:proofErr w:type="spellEnd"/>
      <w:r w:rsidRPr="00222D9A">
        <w:rPr>
          <w:rFonts w:ascii="Times New Roman" w:hAnsi="Times New Roman" w:cs="Times New Roman"/>
        </w:rPr>
        <w:t xml:space="preserve">, poruchu funkcie pečene, perforáciu čreva a ischemickú cievnu mozgovú príhodu. </w:t>
      </w:r>
    </w:p>
    <w:p w14:paraId="675629D9" w14:textId="77777777" w:rsidR="00222D9A" w:rsidRP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</w:p>
    <w:p w14:paraId="6F905760" w14:textId="77777777" w:rsidR="00222D9A" w:rsidRP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  <w:r w:rsidRPr="00222D9A">
        <w:rPr>
          <w:rFonts w:ascii="Times New Roman" w:hAnsi="Times New Roman" w:cs="Times New Roman"/>
        </w:rPr>
        <w:t xml:space="preserve">Najčastejšie nežiaduce reakcie (vyskytujúce sa aspoň u 10 % pacientov) akéhokoľvek stupňa závažnosti v skúšaniach RCC a STS zahŕňali: hnačku, zmenu farby vlasov, </w:t>
      </w:r>
      <w:proofErr w:type="spellStart"/>
      <w:r w:rsidRPr="00222D9A">
        <w:rPr>
          <w:rFonts w:ascii="Times New Roman" w:hAnsi="Times New Roman" w:cs="Times New Roman"/>
        </w:rPr>
        <w:t>hypopigmentáciu</w:t>
      </w:r>
      <w:proofErr w:type="spellEnd"/>
      <w:r w:rsidRPr="00222D9A">
        <w:rPr>
          <w:rFonts w:ascii="Times New Roman" w:hAnsi="Times New Roman" w:cs="Times New Roman"/>
        </w:rPr>
        <w:t xml:space="preserve"> kože, </w:t>
      </w:r>
      <w:proofErr w:type="spellStart"/>
      <w:r w:rsidRPr="00222D9A">
        <w:rPr>
          <w:rFonts w:ascii="Times New Roman" w:hAnsi="Times New Roman" w:cs="Times New Roman"/>
        </w:rPr>
        <w:t>exfoliatívnu</w:t>
      </w:r>
      <w:proofErr w:type="spellEnd"/>
      <w:r w:rsidRPr="00222D9A">
        <w:rPr>
          <w:rFonts w:ascii="Times New Roman" w:hAnsi="Times New Roman" w:cs="Times New Roman"/>
        </w:rPr>
        <w:t xml:space="preserve"> vyrážku, hypertenziu, nauzeu, bolesť hlavy, únavu, </w:t>
      </w:r>
      <w:proofErr w:type="spellStart"/>
      <w:r w:rsidRPr="00222D9A">
        <w:rPr>
          <w:rFonts w:ascii="Times New Roman" w:hAnsi="Times New Roman" w:cs="Times New Roman"/>
        </w:rPr>
        <w:t>anorexiu</w:t>
      </w:r>
      <w:proofErr w:type="spellEnd"/>
      <w:r w:rsidRPr="00222D9A">
        <w:rPr>
          <w:rFonts w:ascii="Times New Roman" w:hAnsi="Times New Roman" w:cs="Times New Roman"/>
        </w:rPr>
        <w:t xml:space="preserve">, vracanie, </w:t>
      </w:r>
      <w:proofErr w:type="spellStart"/>
      <w:r w:rsidRPr="00222D9A">
        <w:rPr>
          <w:rFonts w:ascii="Times New Roman" w:hAnsi="Times New Roman" w:cs="Times New Roman"/>
        </w:rPr>
        <w:t>dysgeúziu</w:t>
      </w:r>
      <w:proofErr w:type="spellEnd"/>
      <w:r w:rsidRPr="00222D9A">
        <w:rPr>
          <w:rFonts w:ascii="Times New Roman" w:hAnsi="Times New Roman" w:cs="Times New Roman"/>
        </w:rPr>
        <w:t xml:space="preserve">, </w:t>
      </w:r>
      <w:proofErr w:type="spellStart"/>
      <w:r w:rsidRPr="00222D9A">
        <w:rPr>
          <w:rFonts w:ascii="Times New Roman" w:hAnsi="Times New Roman" w:cs="Times New Roman"/>
        </w:rPr>
        <w:t>stomatitídu</w:t>
      </w:r>
      <w:proofErr w:type="spellEnd"/>
      <w:r w:rsidRPr="00222D9A">
        <w:rPr>
          <w:rFonts w:ascii="Times New Roman" w:hAnsi="Times New Roman" w:cs="Times New Roman"/>
        </w:rPr>
        <w:t xml:space="preserve">, zníženie telesnej hmotnosti, bolesť, zvýšené hladiny </w:t>
      </w:r>
      <w:proofErr w:type="spellStart"/>
      <w:r w:rsidRPr="00222D9A">
        <w:rPr>
          <w:rFonts w:ascii="Times New Roman" w:hAnsi="Times New Roman" w:cs="Times New Roman"/>
        </w:rPr>
        <w:t>alanínaminotransferázy</w:t>
      </w:r>
      <w:proofErr w:type="spellEnd"/>
      <w:r w:rsidRPr="00222D9A">
        <w:rPr>
          <w:rFonts w:ascii="Times New Roman" w:hAnsi="Times New Roman" w:cs="Times New Roman"/>
        </w:rPr>
        <w:t xml:space="preserve"> a zvýšené hladiny </w:t>
      </w:r>
      <w:proofErr w:type="spellStart"/>
      <w:r w:rsidRPr="00222D9A">
        <w:rPr>
          <w:rFonts w:ascii="Times New Roman" w:hAnsi="Times New Roman" w:cs="Times New Roman"/>
        </w:rPr>
        <w:t>aspartátaminotransferázy</w:t>
      </w:r>
      <w:proofErr w:type="spellEnd"/>
      <w:r w:rsidRPr="00222D9A">
        <w:rPr>
          <w:rFonts w:ascii="Times New Roman" w:hAnsi="Times New Roman" w:cs="Times New Roman"/>
        </w:rPr>
        <w:t xml:space="preserve">. </w:t>
      </w:r>
    </w:p>
    <w:p w14:paraId="0F74ED26" w14:textId="77777777" w:rsid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</w:p>
    <w:p w14:paraId="13BA743E" w14:textId="378E4344" w:rsid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  <w:r w:rsidRPr="00222D9A">
        <w:rPr>
          <w:rFonts w:ascii="Times New Roman" w:hAnsi="Times New Roman" w:cs="Times New Roman"/>
        </w:rPr>
        <w:t xml:space="preserve">Nežiaduce reakcie na liek, všetkých stupňov závažnosti, ktoré boli hlásené u jedincov s RCC a u jedincov so STS alebo počas obdobia po uvedení lieku na trh sú nižšie uvedené podľa triedy orgánových systémov </w:t>
      </w:r>
      <w:proofErr w:type="spellStart"/>
      <w:r w:rsidRPr="00222D9A">
        <w:rPr>
          <w:rFonts w:ascii="Times New Roman" w:hAnsi="Times New Roman" w:cs="Times New Roman"/>
        </w:rPr>
        <w:t>MedDRA</w:t>
      </w:r>
      <w:proofErr w:type="spellEnd"/>
      <w:r w:rsidRPr="00222D9A">
        <w:rPr>
          <w:rFonts w:ascii="Times New Roman" w:hAnsi="Times New Roman" w:cs="Times New Roman"/>
        </w:rPr>
        <w:t xml:space="preserve">, frekvencie a stupňa závažnosti. Na klasifikáciu frekvencie sa použila nasledujúca konvencia: veľmi časté (≥1/10); časté (≥1/100 až &lt;1/10); menej časté (≥1/1 000 až &lt;1/100); zriedkavé (≥1/10 000 až &lt;1/1 000); veľmi zriedkavé (&lt;1/10 000); neznáme (z dostupných údajov). </w:t>
      </w:r>
    </w:p>
    <w:p w14:paraId="730A3328" w14:textId="77777777" w:rsidR="00222D9A" w:rsidRP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</w:p>
    <w:p w14:paraId="69596E0E" w14:textId="77777777" w:rsid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  <w:r w:rsidRPr="00222D9A">
        <w:rPr>
          <w:rFonts w:ascii="Times New Roman" w:hAnsi="Times New Roman" w:cs="Times New Roman"/>
        </w:rPr>
        <w:t xml:space="preserve">Kategórie boli priradené na základe absolútnych frekvencií podľa údajov z klinických skúšaní. Hodnotené boli aj údaje o bezpečnosti a znášanlivosti získané v období po uvedení lieku na trh zo všetkých klinických skúšaní s </w:t>
      </w:r>
      <w:proofErr w:type="spellStart"/>
      <w:r w:rsidRPr="00222D9A">
        <w:rPr>
          <w:rFonts w:ascii="Times New Roman" w:hAnsi="Times New Roman" w:cs="Times New Roman"/>
        </w:rPr>
        <w:t>pazopanibom</w:t>
      </w:r>
      <w:proofErr w:type="spellEnd"/>
      <w:r w:rsidRPr="00222D9A">
        <w:rPr>
          <w:rFonts w:ascii="Times New Roman" w:hAnsi="Times New Roman" w:cs="Times New Roman"/>
        </w:rPr>
        <w:t xml:space="preserve"> a zo spontánnych hlásení. V rámci každej triedy orgánových systémov sú nežiaduce reakcie s rovnakou frekvenciou uvedené v poradí klesajúcej závažnosti.</w:t>
      </w:r>
    </w:p>
    <w:p w14:paraId="26DFF7EA" w14:textId="77777777" w:rsidR="00222D9A" w:rsidRDefault="00222D9A" w:rsidP="00222D9A">
      <w:pPr>
        <w:spacing w:after="0" w:line="240" w:lineRule="auto"/>
        <w:rPr>
          <w:rFonts w:ascii="Times New Roman" w:hAnsi="Times New Roman" w:cs="Times New Roman"/>
        </w:rPr>
      </w:pPr>
    </w:p>
    <w:p w14:paraId="793683E7" w14:textId="77777777" w:rsidR="00222D9A" w:rsidRPr="000F2DF1" w:rsidRDefault="00222D9A" w:rsidP="00222D9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F2DF1">
        <w:rPr>
          <w:rFonts w:ascii="Times New Roman" w:hAnsi="Times New Roman" w:cs="Times New Roman"/>
          <w:u w:val="single"/>
        </w:rPr>
        <w:t xml:space="preserve">Zoznam nežiaducich reakcií uvedený v tabuľke </w:t>
      </w:r>
    </w:p>
    <w:p w14:paraId="3B6F2217" w14:textId="77777777" w:rsidR="000F2DF1" w:rsidRDefault="000F2DF1" w:rsidP="00222D9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7B98DC" w14:textId="77777777" w:rsidR="00222D9A" w:rsidRDefault="00222D9A" w:rsidP="000F2DF1">
      <w:pPr>
        <w:spacing w:after="0" w:line="240" w:lineRule="auto"/>
        <w:ind w:left="1410" w:hanging="1410"/>
        <w:rPr>
          <w:rFonts w:ascii="Times New Roman" w:hAnsi="Times New Roman" w:cs="Times New Roman"/>
          <w:b/>
          <w:bCs/>
        </w:rPr>
      </w:pPr>
      <w:r w:rsidRPr="00222D9A">
        <w:rPr>
          <w:rFonts w:ascii="Times New Roman" w:hAnsi="Times New Roman" w:cs="Times New Roman"/>
          <w:b/>
          <w:bCs/>
        </w:rPr>
        <w:t xml:space="preserve">Tabuľka 2 </w:t>
      </w:r>
      <w:r w:rsidR="000F2DF1">
        <w:rPr>
          <w:rFonts w:ascii="Times New Roman" w:hAnsi="Times New Roman" w:cs="Times New Roman"/>
          <w:b/>
          <w:bCs/>
        </w:rPr>
        <w:tab/>
      </w:r>
      <w:r w:rsidRPr="00222D9A">
        <w:rPr>
          <w:rFonts w:ascii="Times New Roman" w:hAnsi="Times New Roman" w:cs="Times New Roman"/>
          <w:b/>
          <w:bCs/>
        </w:rPr>
        <w:t>Nežiaduce reakcie súvisiace s liečbou hlásené v štúdiách RCC (n = 1 149) alebo počas obdobia po uvedení lieku na trh</w:t>
      </w:r>
    </w:p>
    <w:p w14:paraId="6DA3F4DA" w14:textId="77777777" w:rsidR="00F209FF" w:rsidRDefault="00F209FF" w:rsidP="000F2DF1">
      <w:pPr>
        <w:spacing w:after="0" w:line="240" w:lineRule="auto"/>
        <w:ind w:left="1410" w:hanging="1410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56"/>
        <w:gridCol w:w="1267"/>
        <w:gridCol w:w="2455"/>
        <w:gridCol w:w="1194"/>
        <w:gridCol w:w="1194"/>
        <w:gridCol w:w="1194"/>
      </w:tblGrid>
      <w:tr w:rsidR="00F209FF" w:rsidRPr="000B176B" w14:paraId="0CF43AFE" w14:textId="77777777" w:rsidTr="00531CFF">
        <w:tc>
          <w:tcPr>
            <w:tcW w:w="21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40"/>
            </w:tblGrid>
            <w:tr w:rsidR="00F209FF" w:rsidRPr="00F209FF" w14:paraId="6F94C68E" w14:textId="77777777">
              <w:trPr>
                <w:trHeight w:val="351"/>
              </w:trPr>
              <w:tc>
                <w:tcPr>
                  <w:tcW w:w="0" w:type="auto"/>
                </w:tcPr>
                <w:p w14:paraId="45F55398" w14:textId="77777777" w:rsidR="00F209FF" w:rsidRPr="00F209FF" w:rsidRDefault="00F209FF" w:rsidP="00F209FF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lang w:eastAsia="el-GR"/>
                    </w:rPr>
                  </w:pPr>
                  <w:r w:rsidRPr="00F209FF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lastRenderedPageBreak/>
                    <w:t xml:space="preserve">Trieda </w:t>
                  </w:r>
                  <w:proofErr w:type="spellStart"/>
                  <w:r w:rsidRPr="00F209FF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orgánových</w:t>
                  </w:r>
                  <w:proofErr w:type="spellEnd"/>
                  <w:r w:rsidRPr="00F209FF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 xml:space="preserve"> systémov </w:t>
                  </w:r>
                </w:p>
              </w:tc>
            </w:tr>
          </w:tbl>
          <w:p w14:paraId="39923BB5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</w:tcPr>
          <w:p w14:paraId="3A096DFD" w14:textId="77777777" w:rsidR="00F209FF" w:rsidRPr="000B176B" w:rsidRDefault="00F209FF" w:rsidP="00DB3EE0">
            <w:pPr>
              <w:ind w:right="-108"/>
              <w:rPr>
                <w:b/>
                <w:sz w:val="22"/>
                <w:szCs w:val="22"/>
              </w:rPr>
            </w:pPr>
            <w:r w:rsidRPr="00F209FF">
              <w:rPr>
                <w:b/>
                <w:sz w:val="22"/>
                <w:szCs w:val="22"/>
              </w:rPr>
              <w:t>Frekvencia (všetky stupne závažnosti)</w:t>
            </w:r>
          </w:p>
        </w:tc>
        <w:tc>
          <w:tcPr>
            <w:tcW w:w="2567" w:type="dxa"/>
          </w:tcPr>
          <w:p w14:paraId="16CD5795" w14:textId="77777777" w:rsidR="00F209FF" w:rsidRPr="000B176B" w:rsidRDefault="00F209FF" w:rsidP="00DB3EE0">
            <w:pPr>
              <w:ind w:right="-108"/>
              <w:rPr>
                <w:b/>
                <w:sz w:val="22"/>
                <w:szCs w:val="22"/>
              </w:rPr>
            </w:pPr>
            <w:r w:rsidRPr="00F209FF">
              <w:rPr>
                <w:b/>
                <w:sz w:val="22"/>
                <w:szCs w:val="22"/>
              </w:rPr>
              <w:t>Nežiaduce reakcie</w:t>
            </w:r>
          </w:p>
        </w:tc>
        <w:tc>
          <w:tcPr>
            <w:tcW w:w="1127" w:type="dxa"/>
          </w:tcPr>
          <w:p w14:paraId="5EA5AC58" w14:textId="77777777" w:rsidR="00F209FF" w:rsidRPr="000B176B" w:rsidRDefault="00560F69" w:rsidP="00DB3EE0">
            <w:pPr>
              <w:ind w:right="-72"/>
              <w:rPr>
                <w:b/>
                <w:sz w:val="22"/>
                <w:szCs w:val="22"/>
              </w:rPr>
            </w:pPr>
            <w:r w:rsidRPr="00560F69">
              <w:rPr>
                <w:b/>
                <w:sz w:val="22"/>
                <w:szCs w:val="22"/>
              </w:rPr>
              <w:t>Všetky stupne závažnosti n (%)</w:t>
            </w:r>
          </w:p>
        </w:tc>
        <w:tc>
          <w:tcPr>
            <w:tcW w:w="1127" w:type="dxa"/>
          </w:tcPr>
          <w:p w14:paraId="14D1952C" w14:textId="77777777" w:rsidR="00F209FF" w:rsidRPr="000B176B" w:rsidRDefault="00560F69" w:rsidP="00DB3EE0">
            <w:pPr>
              <w:rPr>
                <w:b/>
                <w:sz w:val="22"/>
                <w:szCs w:val="22"/>
              </w:rPr>
            </w:pPr>
            <w:r w:rsidRPr="00560F69">
              <w:rPr>
                <w:b/>
                <w:sz w:val="22"/>
                <w:szCs w:val="22"/>
              </w:rPr>
              <w:t>3. stupeň závažnosti n (%)</w:t>
            </w:r>
          </w:p>
        </w:tc>
        <w:tc>
          <w:tcPr>
            <w:tcW w:w="1127" w:type="dxa"/>
          </w:tcPr>
          <w:p w14:paraId="47546D5C" w14:textId="77777777" w:rsidR="00F209FF" w:rsidRPr="000B176B" w:rsidRDefault="00560F69" w:rsidP="00DB3EE0">
            <w:pPr>
              <w:rPr>
                <w:b/>
                <w:sz w:val="22"/>
                <w:szCs w:val="22"/>
              </w:rPr>
            </w:pPr>
            <w:r w:rsidRPr="00560F69">
              <w:rPr>
                <w:b/>
                <w:sz w:val="22"/>
                <w:szCs w:val="22"/>
              </w:rPr>
              <w:t>4. stupeň závažnosti n (%)</w:t>
            </w:r>
          </w:p>
        </w:tc>
      </w:tr>
      <w:tr w:rsidR="00F209FF" w14:paraId="67EB6EDB" w14:textId="77777777" w:rsidTr="00531CFF">
        <w:tc>
          <w:tcPr>
            <w:tcW w:w="2188" w:type="dxa"/>
            <w:vMerge w:val="restart"/>
            <w:vAlign w:val="center"/>
          </w:tcPr>
          <w:p w14:paraId="1087CA37" w14:textId="77777777" w:rsidR="00F209FF" w:rsidRPr="00650FC6" w:rsidRDefault="00560F69" w:rsidP="00DB3EE0">
            <w:pPr>
              <w:ind w:right="-108"/>
              <w:rPr>
                <w:b/>
                <w:sz w:val="22"/>
                <w:szCs w:val="22"/>
              </w:rPr>
            </w:pPr>
            <w:r w:rsidRPr="00560F69">
              <w:rPr>
                <w:b/>
                <w:sz w:val="22"/>
                <w:szCs w:val="22"/>
              </w:rPr>
              <w:t>Infekcie a nákazy</w:t>
            </w:r>
          </w:p>
        </w:tc>
        <w:tc>
          <w:tcPr>
            <w:tcW w:w="926" w:type="dxa"/>
          </w:tcPr>
          <w:p w14:paraId="44654C57" w14:textId="77777777" w:rsidR="00560F69" w:rsidRDefault="00560F69" w:rsidP="00560F69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7D2E6D75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92A291F" w14:textId="77777777" w:rsidR="00F209FF" w:rsidRPr="000B176B" w:rsidRDefault="00560F69" w:rsidP="00560F69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Infekcie (s neutropéniou alebo bez nej)† </w:t>
            </w:r>
          </w:p>
        </w:tc>
        <w:tc>
          <w:tcPr>
            <w:tcW w:w="1127" w:type="dxa"/>
          </w:tcPr>
          <w:p w14:paraId="617881C5" w14:textId="77777777" w:rsidR="00560F69" w:rsidRDefault="00560F69" w:rsidP="00560F69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671757FA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059703DD" w14:textId="77777777" w:rsidR="00560F69" w:rsidRDefault="00560F69" w:rsidP="00560F69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0D7BFA4C" w14:textId="77777777" w:rsidR="00F209FF" w:rsidRDefault="00F209FF" w:rsidP="00DB3EE0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683DF43F" w14:textId="77777777" w:rsidR="00560F69" w:rsidRDefault="00560F69" w:rsidP="00560F69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2BD00F65" w14:textId="77777777" w:rsidR="00F209FF" w:rsidRDefault="00F209FF" w:rsidP="00DB3EE0">
            <w:pPr>
              <w:rPr>
                <w:sz w:val="22"/>
                <w:szCs w:val="22"/>
              </w:rPr>
            </w:pPr>
          </w:p>
        </w:tc>
      </w:tr>
      <w:tr w:rsidR="00F209FF" w14:paraId="58D3352E" w14:textId="77777777" w:rsidTr="00531CFF">
        <w:tc>
          <w:tcPr>
            <w:tcW w:w="2188" w:type="dxa"/>
            <w:vMerge/>
            <w:vAlign w:val="center"/>
          </w:tcPr>
          <w:p w14:paraId="4E08A73E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3D04CDA4" w14:textId="77777777" w:rsidR="00560F69" w:rsidRDefault="00560F69" w:rsidP="00560F69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7C51D76E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AC28268" w14:textId="77777777" w:rsidR="00F209FF" w:rsidRDefault="00560F69" w:rsidP="00560F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Infekcia ďasien </w:t>
            </w:r>
          </w:p>
        </w:tc>
        <w:tc>
          <w:tcPr>
            <w:tcW w:w="1127" w:type="dxa"/>
          </w:tcPr>
          <w:p w14:paraId="4311BBE7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650FC6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1A626AE1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4CAB0B09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5F3C9FB3" w14:textId="77777777" w:rsidTr="00531CFF">
        <w:tc>
          <w:tcPr>
            <w:tcW w:w="2188" w:type="dxa"/>
            <w:vMerge/>
            <w:vAlign w:val="center"/>
          </w:tcPr>
          <w:p w14:paraId="39AC088B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7D08661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5BFEE76" w14:textId="77777777" w:rsidR="00F209FF" w:rsidRDefault="00560F69" w:rsidP="00DB3EE0">
            <w:pPr>
              <w:ind w:right="-108"/>
              <w:rPr>
                <w:sz w:val="22"/>
                <w:szCs w:val="22"/>
              </w:rPr>
            </w:pPr>
            <w:r w:rsidRPr="00560F69">
              <w:rPr>
                <w:sz w:val="22"/>
                <w:szCs w:val="22"/>
              </w:rPr>
              <w:t>Infekčná peritonitída</w:t>
            </w:r>
          </w:p>
        </w:tc>
        <w:tc>
          <w:tcPr>
            <w:tcW w:w="1127" w:type="dxa"/>
          </w:tcPr>
          <w:p w14:paraId="1F2BF9B0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650FC6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7516A016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00087351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0B65B1E3" w14:textId="77777777" w:rsidTr="00531CFF">
        <w:tc>
          <w:tcPr>
            <w:tcW w:w="2188" w:type="dxa"/>
            <w:vAlign w:val="center"/>
          </w:tcPr>
          <w:p w14:paraId="33C7757D" w14:textId="77777777" w:rsidR="00F209FF" w:rsidRPr="00C5492C" w:rsidRDefault="00316D7D" w:rsidP="00DB3EE0">
            <w:pPr>
              <w:ind w:right="-108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16D7D">
              <w:rPr>
                <w:b/>
                <w:sz w:val="22"/>
                <w:szCs w:val="22"/>
                <w:lang w:val="en-US"/>
              </w:rPr>
              <w:t>Benígne</w:t>
            </w:r>
            <w:proofErr w:type="spellEnd"/>
            <w:r w:rsidRPr="00316D7D">
              <w:rPr>
                <w:b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16D7D">
              <w:rPr>
                <w:b/>
                <w:sz w:val="22"/>
                <w:szCs w:val="22"/>
                <w:lang w:val="en-US"/>
              </w:rPr>
              <w:t>malígne</w:t>
            </w:r>
            <w:proofErr w:type="spellEnd"/>
            <w:r w:rsidRPr="00316D7D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6D7D">
              <w:rPr>
                <w:b/>
                <w:sz w:val="22"/>
                <w:szCs w:val="22"/>
                <w:lang w:val="en-US"/>
              </w:rPr>
              <w:t>nádory</w:t>
            </w:r>
            <w:proofErr w:type="spellEnd"/>
            <w:r w:rsidRPr="00316D7D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6D7D">
              <w:rPr>
                <w:b/>
                <w:sz w:val="22"/>
                <w:szCs w:val="22"/>
                <w:lang w:val="en-US"/>
              </w:rPr>
              <w:t>vrátane</w:t>
            </w:r>
            <w:proofErr w:type="spellEnd"/>
            <w:r w:rsidRPr="00316D7D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6D7D">
              <w:rPr>
                <w:b/>
                <w:sz w:val="22"/>
                <w:szCs w:val="22"/>
                <w:lang w:val="en-US"/>
              </w:rPr>
              <w:t>nešpecifiko-vaných</w:t>
            </w:r>
            <w:proofErr w:type="spellEnd"/>
            <w:r w:rsidRPr="00316D7D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6D7D">
              <w:rPr>
                <w:b/>
                <w:sz w:val="22"/>
                <w:szCs w:val="22"/>
                <w:lang w:val="en-US"/>
              </w:rPr>
              <w:t>novotvarov</w:t>
            </w:r>
            <w:proofErr w:type="spellEnd"/>
            <w:r w:rsidRPr="00316D7D">
              <w:rPr>
                <w:b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16D7D">
              <w:rPr>
                <w:b/>
                <w:sz w:val="22"/>
                <w:szCs w:val="22"/>
                <w:lang w:val="en-US"/>
              </w:rPr>
              <w:t>cysty</w:t>
            </w:r>
            <w:proofErr w:type="spellEnd"/>
            <w:r w:rsidRPr="00316D7D">
              <w:rPr>
                <w:b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316D7D">
              <w:rPr>
                <w:b/>
                <w:sz w:val="22"/>
                <w:szCs w:val="22"/>
                <w:lang w:val="en-US"/>
              </w:rPr>
              <w:t>polypy</w:t>
            </w:r>
            <w:proofErr w:type="spellEnd"/>
            <w:r w:rsidRPr="00316D7D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26" w:type="dxa"/>
          </w:tcPr>
          <w:p w14:paraId="05F30D43" w14:textId="77777777" w:rsidR="00316D7D" w:rsidRDefault="00316D7D" w:rsidP="00316D7D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58507671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1DCA23F" w14:textId="77777777" w:rsidR="00560F69" w:rsidRDefault="00560F69" w:rsidP="00560F69">
            <w:pPr>
              <w:pStyle w:val="Default"/>
            </w:pPr>
            <w:r>
              <w:rPr>
                <w:sz w:val="22"/>
                <w:szCs w:val="22"/>
              </w:rPr>
              <w:t xml:space="preserve">Bolesť v mieste nádoru </w:t>
            </w:r>
          </w:p>
          <w:p w14:paraId="28491285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165844AC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650FC6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534F317B" w14:textId="77777777" w:rsidR="00F209FF" w:rsidRDefault="00F209FF" w:rsidP="00DB3EE0">
            <w:pPr>
              <w:rPr>
                <w:sz w:val="22"/>
                <w:szCs w:val="22"/>
              </w:rPr>
            </w:pPr>
            <w:r w:rsidRPr="00650FC6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202A21F7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417BA537" w14:textId="77777777" w:rsidTr="00531CFF">
        <w:tc>
          <w:tcPr>
            <w:tcW w:w="2188" w:type="dxa"/>
            <w:vMerge w:val="restart"/>
            <w:vAlign w:val="center"/>
          </w:tcPr>
          <w:p w14:paraId="57660AEF" w14:textId="77777777" w:rsidR="00F209FF" w:rsidRPr="00650FC6" w:rsidRDefault="00316D7D" w:rsidP="00DB3EE0">
            <w:pPr>
              <w:ind w:right="-108"/>
              <w:rPr>
                <w:b/>
                <w:sz w:val="22"/>
                <w:szCs w:val="22"/>
              </w:rPr>
            </w:pPr>
            <w:r w:rsidRPr="00316D7D">
              <w:rPr>
                <w:b/>
                <w:sz w:val="22"/>
                <w:szCs w:val="22"/>
              </w:rPr>
              <w:t>Poruchy krvi a lymfatického systému</w:t>
            </w:r>
          </w:p>
        </w:tc>
        <w:tc>
          <w:tcPr>
            <w:tcW w:w="926" w:type="dxa"/>
            <w:vMerge w:val="restart"/>
          </w:tcPr>
          <w:p w14:paraId="00BE58E1" w14:textId="77777777" w:rsidR="00316D7D" w:rsidRDefault="00316D7D" w:rsidP="00316D7D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2164725A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583AC88" w14:textId="77777777" w:rsidR="00F209FF" w:rsidRDefault="00316D7D" w:rsidP="00DB3EE0">
            <w:pPr>
              <w:ind w:right="-108"/>
              <w:rPr>
                <w:sz w:val="22"/>
                <w:szCs w:val="22"/>
              </w:rPr>
            </w:pPr>
            <w:r w:rsidRPr="00316D7D">
              <w:rPr>
                <w:sz w:val="22"/>
                <w:szCs w:val="22"/>
              </w:rPr>
              <w:t>Trombocytopénia</w:t>
            </w:r>
          </w:p>
        </w:tc>
        <w:tc>
          <w:tcPr>
            <w:tcW w:w="1127" w:type="dxa"/>
          </w:tcPr>
          <w:p w14:paraId="477EA779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80 (7%)</w:t>
            </w:r>
          </w:p>
        </w:tc>
        <w:tc>
          <w:tcPr>
            <w:tcW w:w="1127" w:type="dxa"/>
          </w:tcPr>
          <w:p w14:paraId="60EBA8C8" w14:textId="77777777" w:rsidR="00F209FF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10 (&lt;1%)</w:t>
            </w:r>
          </w:p>
        </w:tc>
        <w:tc>
          <w:tcPr>
            <w:tcW w:w="1127" w:type="dxa"/>
          </w:tcPr>
          <w:p w14:paraId="4BB6DE51" w14:textId="77777777" w:rsidR="00F209FF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5 (&lt;1%)</w:t>
            </w:r>
          </w:p>
        </w:tc>
      </w:tr>
      <w:tr w:rsidR="00F209FF" w14:paraId="060E1DFD" w14:textId="77777777" w:rsidTr="00531CFF">
        <w:tc>
          <w:tcPr>
            <w:tcW w:w="2188" w:type="dxa"/>
            <w:vMerge/>
            <w:vAlign w:val="center"/>
          </w:tcPr>
          <w:p w14:paraId="3F7DF603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5E53B26C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BF0B133" w14:textId="77777777" w:rsidR="00F209FF" w:rsidRDefault="00316D7D" w:rsidP="00DB3EE0">
            <w:pPr>
              <w:ind w:right="-108"/>
              <w:rPr>
                <w:sz w:val="22"/>
                <w:szCs w:val="22"/>
              </w:rPr>
            </w:pPr>
            <w:r w:rsidRPr="00316D7D">
              <w:rPr>
                <w:sz w:val="22"/>
                <w:szCs w:val="22"/>
              </w:rPr>
              <w:t>Neutropénia</w:t>
            </w:r>
          </w:p>
        </w:tc>
        <w:tc>
          <w:tcPr>
            <w:tcW w:w="1127" w:type="dxa"/>
          </w:tcPr>
          <w:p w14:paraId="6BCAD4CE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79 (7%)</w:t>
            </w:r>
          </w:p>
        </w:tc>
        <w:tc>
          <w:tcPr>
            <w:tcW w:w="1127" w:type="dxa"/>
          </w:tcPr>
          <w:p w14:paraId="5F52D686" w14:textId="77777777" w:rsidR="00F209FF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20 (2%)</w:t>
            </w:r>
          </w:p>
        </w:tc>
        <w:tc>
          <w:tcPr>
            <w:tcW w:w="1127" w:type="dxa"/>
          </w:tcPr>
          <w:p w14:paraId="07FCBDE8" w14:textId="77777777" w:rsidR="00F209FF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4 (&lt;1%)</w:t>
            </w:r>
          </w:p>
        </w:tc>
      </w:tr>
      <w:tr w:rsidR="00F209FF" w14:paraId="4EF39D09" w14:textId="77777777" w:rsidTr="00531CFF">
        <w:tc>
          <w:tcPr>
            <w:tcW w:w="2188" w:type="dxa"/>
            <w:vMerge/>
            <w:vAlign w:val="center"/>
          </w:tcPr>
          <w:p w14:paraId="66A128EE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FAC313D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BE9D7E4" w14:textId="77777777" w:rsidR="00F209FF" w:rsidRDefault="00316D7D" w:rsidP="00DB3EE0">
            <w:pPr>
              <w:ind w:right="-108"/>
              <w:rPr>
                <w:sz w:val="22"/>
                <w:szCs w:val="22"/>
              </w:rPr>
            </w:pPr>
            <w:r w:rsidRPr="00316D7D">
              <w:rPr>
                <w:sz w:val="22"/>
                <w:szCs w:val="22"/>
              </w:rPr>
              <w:t>Leukopénia</w:t>
            </w:r>
          </w:p>
        </w:tc>
        <w:tc>
          <w:tcPr>
            <w:tcW w:w="1127" w:type="dxa"/>
          </w:tcPr>
          <w:p w14:paraId="750BFA6D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63 (5%)</w:t>
            </w:r>
          </w:p>
        </w:tc>
        <w:tc>
          <w:tcPr>
            <w:tcW w:w="1127" w:type="dxa"/>
          </w:tcPr>
          <w:p w14:paraId="67931511" w14:textId="77777777" w:rsidR="00F209FF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5 (&lt;1%)</w:t>
            </w:r>
          </w:p>
        </w:tc>
        <w:tc>
          <w:tcPr>
            <w:tcW w:w="1127" w:type="dxa"/>
          </w:tcPr>
          <w:p w14:paraId="109C158E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0E480591" w14:textId="77777777" w:rsidTr="00531CFF">
        <w:tc>
          <w:tcPr>
            <w:tcW w:w="2188" w:type="dxa"/>
            <w:vMerge/>
            <w:vAlign w:val="center"/>
          </w:tcPr>
          <w:p w14:paraId="72DC41CD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</w:tcPr>
          <w:p w14:paraId="06D54605" w14:textId="77777777" w:rsidR="00316D7D" w:rsidRDefault="00316D7D" w:rsidP="00316D7D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3EEBDAB3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931D74C" w14:textId="77777777" w:rsidR="00F209FF" w:rsidRDefault="00316D7D" w:rsidP="00DB3EE0">
            <w:pPr>
              <w:ind w:right="-108"/>
              <w:rPr>
                <w:sz w:val="22"/>
                <w:szCs w:val="22"/>
              </w:rPr>
            </w:pPr>
            <w:r w:rsidRPr="00316D7D">
              <w:rPr>
                <w:sz w:val="22"/>
                <w:szCs w:val="22"/>
              </w:rPr>
              <w:t>Polycytémia</w:t>
            </w:r>
          </w:p>
        </w:tc>
        <w:tc>
          <w:tcPr>
            <w:tcW w:w="1127" w:type="dxa"/>
          </w:tcPr>
          <w:p w14:paraId="081D6963" w14:textId="77777777" w:rsidR="00F209FF" w:rsidRDefault="00316D7D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(0,</w:t>
            </w:r>
            <w:r w:rsidR="00F209FF" w:rsidRPr="00C5492C">
              <w:rPr>
                <w:sz w:val="22"/>
                <w:szCs w:val="22"/>
              </w:rPr>
              <w:t>03%)</w:t>
            </w:r>
          </w:p>
        </w:tc>
        <w:tc>
          <w:tcPr>
            <w:tcW w:w="1127" w:type="dxa"/>
          </w:tcPr>
          <w:p w14:paraId="6B60A84B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7" w:type="dxa"/>
          </w:tcPr>
          <w:p w14:paraId="76254153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42A8344F" w14:textId="77777777" w:rsidTr="00531CFF">
        <w:tc>
          <w:tcPr>
            <w:tcW w:w="2188" w:type="dxa"/>
            <w:vMerge/>
            <w:vAlign w:val="center"/>
          </w:tcPr>
          <w:p w14:paraId="7C0A3B40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</w:tcPr>
          <w:p w14:paraId="2F901391" w14:textId="77777777" w:rsidR="00F209FF" w:rsidRDefault="00316D7D" w:rsidP="00DB3EE0">
            <w:pPr>
              <w:ind w:right="-108"/>
              <w:rPr>
                <w:sz w:val="22"/>
                <w:szCs w:val="22"/>
              </w:rPr>
            </w:pPr>
            <w:r w:rsidRPr="00316D7D">
              <w:rPr>
                <w:sz w:val="22"/>
                <w:szCs w:val="22"/>
              </w:rPr>
              <w:t>Zriedkavé</w:t>
            </w:r>
          </w:p>
        </w:tc>
        <w:tc>
          <w:tcPr>
            <w:tcW w:w="2567" w:type="dxa"/>
          </w:tcPr>
          <w:p w14:paraId="454B6B55" w14:textId="77777777" w:rsidR="00316D7D" w:rsidRDefault="00316D7D" w:rsidP="00316D7D">
            <w:pPr>
              <w:pStyle w:val="Default"/>
            </w:pPr>
            <w:r>
              <w:rPr>
                <w:sz w:val="22"/>
                <w:szCs w:val="22"/>
              </w:rPr>
              <w:t xml:space="preserve">Trombotická mikroangiopatia (vrátane trombotickej trombocytopenickej purpury a hemolyticko-uremického syndrómu)† </w:t>
            </w:r>
          </w:p>
          <w:p w14:paraId="7961648E" w14:textId="77777777" w:rsidR="00F209FF" w:rsidRPr="00C5492C" w:rsidRDefault="00F209FF" w:rsidP="00DB3EE0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127" w:type="dxa"/>
          </w:tcPr>
          <w:p w14:paraId="285BA322" w14:textId="77777777" w:rsidR="00F209FF" w:rsidRDefault="005B1A64" w:rsidP="00DB3EE0">
            <w:pPr>
              <w:ind w:right="-72"/>
              <w:rPr>
                <w:sz w:val="22"/>
                <w:szCs w:val="22"/>
              </w:rPr>
            </w:pPr>
            <w:r w:rsidRPr="005B1A64">
              <w:rPr>
                <w:sz w:val="22"/>
                <w:szCs w:val="22"/>
              </w:rPr>
              <w:t>neznáme</w:t>
            </w:r>
          </w:p>
        </w:tc>
        <w:tc>
          <w:tcPr>
            <w:tcW w:w="1127" w:type="dxa"/>
          </w:tcPr>
          <w:p w14:paraId="5E8E1974" w14:textId="77777777" w:rsidR="00F209FF" w:rsidRDefault="005B1A64" w:rsidP="00DB3EE0">
            <w:pPr>
              <w:rPr>
                <w:sz w:val="22"/>
                <w:szCs w:val="22"/>
              </w:rPr>
            </w:pPr>
            <w:r w:rsidRPr="005B1A64">
              <w:rPr>
                <w:sz w:val="22"/>
                <w:szCs w:val="22"/>
              </w:rPr>
              <w:t>neznáme</w:t>
            </w:r>
          </w:p>
        </w:tc>
        <w:tc>
          <w:tcPr>
            <w:tcW w:w="1127" w:type="dxa"/>
          </w:tcPr>
          <w:p w14:paraId="0C7369A2" w14:textId="77777777" w:rsidR="00F209FF" w:rsidRDefault="005B1A64" w:rsidP="00DB3EE0">
            <w:pPr>
              <w:rPr>
                <w:sz w:val="22"/>
                <w:szCs w:val="22"/>
              </w:rPr>
            </w:pPr>
            <w:r w:rsidRPr="005B1A64">
              <w:rPr>
                <w:sz w:val="22"/>
                <w:szCs w:val="22"/>
              </w:rPr>
              <w:t>neznáme</w:t>
            </w:r>
          </w:p>
        </w:tc>
      </w:tr>
      <w:tr w:rsidR="00F209FF" w:rsidRPr="00C5492C" w14:paraId="6A8ACDC3" w14:textId="77777777" w:rsidTr="00531CFF">
        <w:tc>
          <w:tcPr>
            <w:tcW w:w="2188" w:type="dxa"/>
            <w:vAlign w:val="center"/>
          </w:tcPr>
          <w:p w14:paraId="49EB86FA" w14:textId="77777777" w:rsidR="00F209FF" w:rsidRPr="00C5492C" w:rsidRDefault="00D67F7B" w:rsidP="00DB3EE0">
            <w:pPr>
              <w:ind w:right="-108"/>
              <w:rPr>
                <w:b/>
                <w:sz w:val="22"/>
                <w:szCs w:val="22"/>
              </w:rPr>
            </w:pPr>
            <w:r w:rsidRPr="00D67F7B">
              <w:rPr>
                <w:b/>
                <w:sz w:val="22"/>
                <w:szCs w:val="22"/>
              </w:rPr>
              <w:t>Poruchy endokrinného systému</w:t>
            </w:r>
          </w:p>
        </w:tc>
        <w:tc>
          <w:tcPr>
            <w:tcW w:w="926" w:type="dxa"/>
          </w:tcPr>
          <w:p w14:paraId="6BA5FB36" w14:textId="77777777" w:rsidR="00F209FF" w:rsidRPr="00C5492C" w:rsidRDefault="00D67F7B" w:rsidP="00DB3EE0">
            <w:pPr>
              <w:ind w:right="-108"/>
              <w:rPr>
                <w:sz w:val="22"/>
                <w:szCs w:val="22"/>
              </w:rPr>
            </w:pPr>
            <w:r w:rsidRPr="00D67F7B">
              <w:rPr>
                <w:sz w:val="22"/>
                <w:szCs w:val="22"/>
              </w:rPr>
              <w:t>Časté</w:t>
            </w:r>
          </w:p>
        </w:tc>
        <w:tc>
          <w:tcPr>
            <w:tcW w:w="2567" w:type="dxa"/>
          </w:tcPr>
          <w:p w14:paraId="59A33104" w14:textId="77777777" w:rsidR="00F209FF" w:rsidRPr="00C5492C" w:rsidRDefault="00D67F7B" w:rsidP="00DB3EE0">
            <w:pPr>
              <w:ind w:right="-108"/>
              <w:rPr>
                <w:sz w:val="22"/>
                <w:szCs w:val="22"/>
              </w:rPr>
            </w:pPr>
            <w:r w:rsidRPr="00D67F7B">
              <w:rPr>
                <w:sz w:val="22"/>
                <w:szCs w:val="22"/>
              </w:rPr>
              <w:t>Hypotyreóza</w:t>
            </w:r>
          </w:p>
        </w:tc>
        <w:tc>
          <w:tcPr>
            <w:tcW w:w="1127" w:type="dxa"/>
          </w:tcPr>
          <w:p w14:paraId="649C3D98" w14:textId="77777777" w:rsidR="00F209FF" w:rsidRPr="00C5492C" w:rsidRDefault="00F209FF" w:rsidP="00DB3EE0">
            <w:pPr>
              <w:ind w:right="-72"/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83 (7%)</w:t>
            </w:r>
          </w:p>
        </w:tc>
        <w:tc>
          <w:tcPr>
            <w:tcW w:w="1127" w:type="dxa"/>
          </w:tcPr>
          <w:p w14:paraId="58F3D393" w14:textId="77777777" w:rsidR="00F209FF" w:rsidRPr="00C5492C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1D0882B3" w14:textId="77777777" w:rsidR="00F209FF" w:rsidRPr="00C5492C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0</w:t>
            </w:r>
          </w:p>
        </w:tc>
      </w:tr>
      <w:tr w:rsidR="00F209FF" w:rsidRPr="00C5492C" w14:paraId="5414F9A9" w14:textId="77777777" w:rsidTr="00531CFF">
        <w:tc>
          <w:tcPr>
            <w:tcW w:w="2188" w:type="dxa"/>
            <w:vMerge w:val="restart"/>
            <w:vAlign w:val="center"/>
          </w:tcPr>
          <w:p w14:paraId="6A04AFA4" w14:textId="77777777" w:rsidR="00F209FF" w:rsidRPr="00C5492C" w:rsidRDefault="00DB6397" w:rsidP="00DB3EE0">
            <w:pPr>
              <w:ind w:right="-108"/>
              <w:rPr>
                <w:b/>
                <w:sz w:val="22"/>
                <w:szCs w:val="22"/>
              </w:rPr>
            </w:pPr>
            <w:r w:rsidRPr="00DB6397">
              <w:rPr>
                <w:b/>
                <w:sz w:val="22"/>
                <w:szCs w:val="22"/>
              </w:rPr>
              <w:t>Poruchy metabolizmu a výživy</w:t>
            </w:r>
          </w:p>
        </w:tc>
        <w:tc>
          <w:tcPr>
            <w:tcW w:w="926" w:type="dxa"/>
          </w:tcPr>
          <w:p w14:paraId="50D325CE" w14:textId="77777777" w:rsidR="00DB6397" w:rsidRDefault="00DB6397" w:rsidP="00DB6397">
            <w:pPr>
              <w:pStyle w:val="Default"/>
            </w:pPr>
            <w:r>
              <w:rPr>
                <w:sz w:val="22"/>
                <w:szCs w:val="22"/>
              </w:rPr>
              <w:t xml:space="preserve">Veľmi časté </w:t>
            </w:r>
          </w:p>
          <w:p w14:paraId="4F5E3A02" w14:textId="77777777" w:rsidR="00F209FF" w:rsidRPr="00C5492C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CE44753" w14:textId="77777777" w:rsidR="00F209FF" w:rsidRPr="00C5492C" w:rsidRDefault="00DB6397" w:rsidP="00DB3EE0">
            <w:pPr>
              <w:ind w:right="-108"/>
              <w:rPr>
                <w:sz w:val="22"/>
                <w:szCs w:val="22"/>
              </w:rPr>
            </w:pPr>
            <w:r w:rsidRPr="00DB6397">
              <w:rPr>
                <w:sz w:val="22"/>
                <w:szCs w:val="22"/>
              </w:rPr>
              <w:t>Znížená chuť do jedla</w:t>
            </w:r>
            <w:r w:rsidRPr="00DB6397">
              <w:rPr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1127" w:type="dxa"/>
          </w:tcPr>
          <w:p w14:paraId="0C912AE0" w14:textId="77777777" w:rsidR="00F209FF" w:rsidRPr="00C5492C" w:rsidRDefault="00F209FF" w:rsidP="00DB3EE0">
            <w:pPr>
              <w:ind w:right="-72"/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317 (28%)</w:t>
            </w:r>
          </w:p>
        </w:tc>
        <w:tc>
          <w:tcPr>
            <w:tcW w:w="1127" w:type="dxa"/>
          </w:tcPr>
          <w:p w14:paraId="38268042" w14:textId="77777777" w:rsidR="00F209FF" w:rsidRPr="00C5492C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14 (1%)</w:t>
            </w:r>
          </w:p>
        </w:tc>
        <w:tc>
          <w:tcPr>
            <w:tcW w:w="1127" w:type="dxa"/>
          </w:tcPr>
          <w:p w14:paraId="38133640" w14:textId="77777777" w:rsidR="00F209FF" w:rsidRPr="00C5492C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0</w:t>
            </w:r>
          </w:p>
        </w:tc>
      </w:tr>
      <w:tr w:rsidR="00F209FF" w:rsidRPr="00C5492C" w14:paraId="643AEFB5" w14:textId="77777777" w:rsidTr="00531CFF">
        <w:tc>
          <w:tcPr>
            <w:tcW w:w="2188" w:type="dxa"/>
            <w:vMerge/>
            <w:vAlign w:val="center"/>
          </w:tcPr>
          <w:p w14:paraId="43BA9C04" w14:textId="77777777" w:rsidR="00F209FF" w:rsidRPr="00C5492C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69001433" w14:textId="77777777" w:rsidR="00DB6397" w:rsidRDefault="00DB6397" w:rsidP="00DB6397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4313E50F" w14:textId="77777777" w:rsidR="00F209FF" w:rsidRPr="00C5492C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D4745F1" w14:textId="77777777" w:rsidR="00F209FF" w:rsidRPr="00C5492C" w:rsidRDefault="00DB6397" w:rsidP="00DB3EE0">
            <w:pPr>
              <w:ind w:right="-108"/>
              <w:rPr>
                <w:sz w:val="22"/>
                <w:szCs w:val="22"/>
              </w:rPr>
            </w:pPr>
            <w:r w:rsidRPr="00DB6397">
              <w:rPr>
                <w:sz w:val="22"/>
                <w:szCs w:val="22"/>
              </w:rPr>
              <w:t>Hypofosfatémia</w:t>
            </w:r>
          </w:p>
        </w:tc>
        <w:tc>
          <w:tcPr>
            <w:tcW w:w="1127" w:type="dxa"/>
          </w:tcPr>
          <w:p w14:paraId="6253120E" w14:textId="77777777" w:rsidR="00F209FF" w:rsidRPr="00C5492C" w:rsidRDefault="00F209FF" w:rsidP="00DB3EE0">
            <w:pPr>
              <w:ind w:right="-72"/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21 (2%)</w:t>
            </w:r>
          </w:p>
        </w:tc>
        <w:tc>
          <w:tcPr>
            <w:tcW w:w="1127" w:type="dxa"/>
          </w:tcPr>
          <w:p w14:paraId="27E88552" w14:textId="77777777" w:rsidR="00F209FF" w:rsidRPr="00C5492C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7 (&lt;1%)</w:t>
            </w:r>
          </w:p>
        </w:tc>
        <w:tc>
          <w:tcPr>
            <w:tcW w:w="1127" w:type="dxa"/>
          </w:tcPr>
          <w:p w14:paraId="1E4F534A" w14:textId="77777777" w:rsidR="00F209FF" w:rsidRPr="00C5492C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0</w:t>
            </w:r>
          </w:p>
        </w:tc>
      </w:tr>
      <w:tr w:rsidR="00F209FF" w:rsidRPr="00C5492C" w14:paraId="4081220D" w14:textId="77777777" w:rsidTr="00531CFF">
        <w:tc>
          <w:tcPr>
            <w:tcW w:w="2188" w:type="dxa"/>
            <w:vMerge/>
            <w:vAlign w:val="center"/>
          </w:tcPr>
          <w:p w14:paraId="440AEAF0" w14:textId="77777777" w:rsidR="00F209FF" w:rsidRPr="00C5492C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71E3E083" w14:textId="77777777" w:rsidR="00F209FF" w:rsidRPr="00C5492C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E28EDF0" w14:textId="77777777" w:rsidR="00F209FF" w:rsidRPr="00C5492C" w:rsidRDefault="00DB6397" w:rsidP="00DB3EE0">
            <w:pPr>
              <w:ind w:right="-108"/>
              <w:rPr>
                <w:sz w:val="22"/>
                <w:szCs w:val="22"/>
              </w:rPr>
            </w:pPr>
            <w:r w:rsidRPr="00DB6397">
              <w:rPr>
                <w:sz w:val="22"/>
                <w:szCs w:val="22"/>
              </w:rPr>
              <w:t>Dehydratácia</w:t>
            </w:r>
          </w:p>
        </w:tc>
        <w:tc>
          <w:tcPr>
            <w:tcW w:w="1127" w:type="dxa"/>
          </w:tcPr>
          <w:p w14:paraId="133CDCD8" w14:textId="77777777" w:rsidR="00F209FF" w:rsidRPr="00C5492C" w:rsidRDefault="00F209FF" w:rsidP="00DB3EE0">
            <w:pPr>
              <w:ind w:right="-72"/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16 (1%)</w:t>
            </w:r>
          </w:p>
        </w:tc>
        <w:tc>
          <w:tcPr>
            <w:tcW w:w="1127" w:type="dxa"/>
          </w:tcPr>
          <w:p w14:paraId="20F0F6FA" w14:textId="77777777" w:rsidR="00F209FF" w:rsidRPr="00C5492C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5 (&lt;1%)</w:t>
            </w:r>
          </w:p>
        </w:tc>
        <w:tc>
          <w:tcPr>
            <w:tcW w:w="1127" w:type="dxa"/>
          </w:tcPr>
          <w:p w14:paraId="573FAA9D" w14:textId="77777777" w:rsidR="00F209FF" w:rsidRPr="00C5492C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0</w:t>
            </w:r>
          </w:p>
        </w:tc>
      </w:tr>
      <w:tr w:rsidR="00F209FF" w:rsidRPr="00C5492C" w14:paraId="2F31AAE5" w14:textId="77777777" w:rsidTr="00531CFF">
        <w:tc>
          <w:tcPr>
            <w:tcW w:w="2188" w:type="dxa"/>
            <w:vMerge/>
            <w:vAlign w:val="center"/>
          </w:tcPr>
          <w:p w14:paraId="35041E78" w14:textId="77777777" w:rsidR="00F209FF" w:rsidRPr="00C5492C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</w:tcPr>
          <w:p w14:paraId="7A11C1F3" w14:textId="77777777" w:rsidR="00DB6397" w:rsidRDefault="00DB6397" w:rsidP="00DB6397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164A77BF" w14:textId="77777777" w:rsidR="00F209FF" w:rsidRPr="00C5492C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1E0A697" w14:textId="77777777" w:rsidR="00F209FF" w:rsidRPr="00C5492C" w:rsidRDefault="00DB6397" w:rsidP="00DB3EE0">
            <w:pPr>
              <w:ind w:right="-108"/>
              <w:rPr>
                <w:sz w:val="22"/>
                <w:szCs w:val="22"/>
              </w:rPr>
            </w:pPr>
            <w:r w:rsidRPr="00DB6397">
              <w:rPr>
                <w:sz w:val="22"/>
                <w:szCs w:val="22"/>
              </w:rPr>
              <w:t>Hypomagneziémia</w:t>
            </w:r>
          </w:p>
        </w:tc>
        <w:tc>
          <w:tcPr>
            <w:tcW w:w="1127" w:type="dxa"/>
          </w:tcPr>
          <w:p w14:paraId="6263BE47" w14:textId="77777777" w:rsidR="00F209FF" w:rsidRPr="00C5492C" w:rsidRDefault="00F209FF" w:rsidP="00DB3EE0">
            <w:pPr>
              <w:ind w:right="-72"/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10 (&lt;1%)</w:t>
            </w:r>
          </w:p>
        </w:tc>
        <w:tc>
          <w:tcPr>
            <w:tcW w:w="1127" w:type="dxa"/>
          </w:tcPr>
          <w:p w14:paraId="27879850" w14:textId="77777777" w:rsidR="00F209FF" w:rsidRPr="00C5492C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17EB0BD5" w14:textId="77777777" w:rsidR="00F209FF" w:rsidRPr="00C5492C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0</w:t>
            </w:r>
          </w:p>
        </w:tc>
      </w:tr>
      <w:tr w:rsidR="00F209FF" w14:paraId="6EB703F9" w14:textId="77777777" w:rsidTr="00531CFF">
        <w:trPr>
          <w:trHeight w:val="718"/>
        </w:trPr>
        <w:tc>
          <w:tcPr>
            <w:tcW w:w="2188" w:type="dxa"/>
            <w:vMerge/>
            <w:vAlign w:val="center"/>
          </w:tcPr>
          <w:p w14:paraId="1F75D5BB" w14:textId="77777777" w:rsidR="00F209FF" w:rsidRPr="00C5492C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</w:tcPr>
          <w:p w14:paraId="069525CD" w14:textId="77777777" w:rsidR="00DB6397" w:rsidRDefault="00DB6397" w:rsidP="00DB6397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22D7EC29" w14:textId="77777777" w:rsidR="00F209FF" w:rsidRPr="00C5492C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08BADB2" w14:textId="77777777" w:rsidR="00F209FF" w:rsidRPr="00C5492C" w:rsidRDefault="00DB6397" w:rsidP="00DB3EE0">
            <w:pPr>
              <w:ind w:right="-108"/>
              <w:rPr>
                <w:sz w:val="22"/>
                <w:szCs w:val="22"/>
              </w:rPr>
            </w:pPr>
            <w:r w:rsidRPr="00DB6397">
              <w:rPr>
                <w:sz w:val="22"/>
                <w:szCs w:val="22"/>
              </w:rPr>
              <w:t>Syndróm z rozpadu nádoru*</w:t>
            </w:r>
          </w:p>
        </w:tc>
        <w:tc>
          <w:tcPr>
            <w:tcW w:w="1127" w:type="dxa"/>
          </w:tcPr>
          <w:p w14:paraId="19936679" w14:textId="77777777" w:rsidR="00F209FF" w:rsidRPr="00C5492C" w:rsidRDefault="00447932" w:rsidP="00DB3EE0">
            <w:pPr>
              <w:ind w:right="-72"/>
              <w:rPr>
                <w:sz w:val="22"/>
                <w:szCs w:val="22"/>
              </w:rPr>
            </w:pPr>
            <w:r w:rsidRPr="00447932">
              <w:rPr>
                <w:sz w:val="22"/>
                <w:szCs w:val="22"/>
              </w:rPr>
              <w:t>neznáme</w:t>
            </w:r>
          </w:p>
        </w:tc>
        <w:tc>
          <w:tcPr>
            <w:tcW w:w="1127" w:type="dxa"/>
          </w:tcPr>
          <w:p w14:paraId="46CEFD82" w14:textId="77777777" w:rsidR="00F209FF" w:rsidRPr="00C5492C" w:rsidRDefault="00447932" w:rsidP="00DB3EE0">
            <w:pPr>
              <w:rPr>
                <w:sz w:val="22"/>
                <w:szCs w:val="22"/>
              </w:rPr>
            </w:pPr>
            <w:r w:rsidRPr="00447932">
              <w:rPr>
                <w:sz w:val="22"/>
                <w:szCs w:val="22"/>
              </w:rPr>
              <w:t>neznáme</w:t>
            </w:r>
          </w:p>
        </w:tc>
        <w:tc>
          <w:tcPr>
            <w:tcW w:w="1127" w:type="dxa"/>
          </w:tcPr>
          <w:p w14:paraId="0DE03DFE" w14:textId="77777777" w:rsidR="00F209FF" w:rsidRDefault="00447932" w:rsidP="00DB3EE0">
            <w:pPr>
              <w:rPr>
                <w:sz w:val="22"/>
                <w:szCs w:val="22"/>
              </w:rPr>
            </w:pPr>
            <w:r w:rsidRPr="00447932">
              <w:rPr>
                <w:sz w:val="22"/>
                <w:szCs w:val="22"/>
              </w:rPr>
              <w:t>neznáme</w:t>
            </w:r>
          </w:p>
        </w:tc>
      </w:tr>
      <w:tr w:rsidR="00F209FF" w14:paraId="3E7C3168" w14:textId="77777777" w:rsidTr="00531CFF">
        <w:tc>
          <w:tcPr>
            <w:tcW w:w="2188" w:type="dxa"/>
            <w:vAlign w:val="center"/>
          </w:tcPr>
          <w:p w14:paraId="7E206B54" w14:textId="77777777" w:rsidR="00F209FF" w:rsidRPr="00650FC6" w:rsidRDefault="00447932" w:rsidP="00DB3EE0">
            <w:pPr>
              <w:ind w:right="-108"/>
              <w:rPr>
                <w:b/>
                <w:sz w:val="22"/>
                <w:szCs w:val="22"/>
              </w:rPr>
            </w:pPr>
            <w:r w:rsidRPr="00447932">
              <w:rPr>
                <w:b/>
                <w:sz w:val="22"/>
                <w:szCs w:val="22"/>
              </w:rPr>
              <w:t>Psychické poruchy</w:t>
            </w:r>
          </w:p>
        </w:tc>
        <w:tc>
          <w:tcPr>
            <w:tcW w:w="926" w:type="dxa"/>
          </w:tcPr>
          <w:p w14:paraId="3CC269BB" w14:textId="77777777" w:rsidR="00447932" w:rsidRDefault="00447932" w:rsidP="00447932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095EFA49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BB483B6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Insomnia</w:t>
            </w:r>
          </w:p>
        </w:tc>
        <w:tc>
          <w:tcPr>
            <w:tcW w:w="1127" w:type="dxa"/>
          </w:tcPr>
          <w:p w14:paraId="772D91A4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30 (3%)</w:t>
            </w:r>
          </w:p>
        </w:tc>
        <w:tc>
          <w:tcPr>
            <w:tcW w:w="1127" w:type="dxa"/>
          </w:tcPr>
          <w:p w14:paraId="2A392715" w14:textId="77777777" w:rsidR="00F209FF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D9D16AF" w14:textId="77777777" w:rsidR="00F209FF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0</w:t>
            </w:r>
          </w:p>
        </w:tc>
      </w:tr>
      <w:tr w:rsidR="00F209FF" w14:paraId="0CD5E2F0" w14:textId="77777777" w:rsidTr="00531CFF">
        <w:tc>
          <w:tcPr>
            <w:tcW w:w="2188" w:type="dxa"/>
            <w:vMerge w:val="restart"/>
            <w:vAlign w:val="center"/>
          </w:tcPr>
          <w:p w14:paraId="3D804A1C" w14:textId="77777777" w:rsidR="00434B60" w:rsidRDefault="00434B60" w:rsidP="00434B6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nervového systému </w:t>
            </w:r>
          </w:p>
          <w:p w14:paraId="7DA7DA27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2B68FD09" w14:textId="77777777" w:rsidR="00447932" w:rsidRDefault="00447932" w:rsidP="00447932">
            <w:pPr>
              <w:pStyle w:val="Default"/>
            </w:pPr>
            <w:r>
              <w:rPr>
                <w:sz w:val="22"/>
                <w:szCs w:val="22"/>
              </w:rPr>
              <w:t xml:space="preserve">Veľmi časté </w:t>
            </w:r>
          </w:p>
          <w:p w14:paraId="75C00747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2E413CB" w14:textId="77777777" w:rsidR="00F209FF" w:rsidRDefault="00447932" w:rsidP="00DB3EE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Dysge</w:t>
            </w:r>
            <w:r>
              <w:rPr>
                <w:sz w:val="22"/>
                <w:szCs w:val="22"/>
                <w:lang w:val="sk-SK"/>
              </w:rPr>
              <w:t>ú</w:t>
            </w:r>
            <w:r>
              <w:rPr>
                <w:sz w:val="22"/>
                <w:szCs w:val="22"/>
              </w:rPr>
              <w:t>z</w:t>
            </w:r>
            <w:r w:rsidR="00F209FF" w:rsidRPr="00C5492C">
              <w:rPr>
                <w:sz w:val="22"/>
                <w:szCs w:val="22"/>
              </w:rPr>
              <w:t>ia</w:t>
            </w:r>
            <w:r w:rsidR="00F209FF" w:rsidRPr="00C5492C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27" w:type="dxa"/>
          </w:tcPr>
          <w:p w14:paraId="62D84D41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254 (22%)</w:t>
            </w:r>
          </w:p>
        </w:tc>
        <w:tc>
          <w:tcPr>
            <w:tcW w:w="1127" w:type="dxa"/>
          </w:tcPr>
          <w:p w14:paraId="1F188FC8" w14:textId="77777777" w:rsidR="00F209FF" w:rsidRDefault="00F209FF" w:rsidP="00DB3EE0">
            <w:pPr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0C50A4FB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3EE6855C" w14:textId="77777777" w:rsidTr="00531CFF">
        <w:tc>
          <w:tcPr>
            <w:tcW w:w="2188" w:type="dxa"/>
            <w:vMerge/>
            <w:vAlign w:val="center"/>
          </w:tcPr>
          <w:p w14:paraId="046FDC0B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52595714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86E863D" w14:textId="77777777" w:rsidR="00434B60" w:rsidRDefault="00434B60" w:rsidP="00434B60">
            <w:pPr>
              <w:pStyle w:val="Default"/>
            </w:pPr>
            <w:r>
              <w:rPr>
                <w:sz w:val="22"/>
                <w:szCs w:val="22"/>
              </w:rPr>
              <w:t xml:space="preserve">Bolesť hlavy </w:t>
            </w:r>
          </w:p>
          <w:p w14:paraId="5320A22F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25FABE9E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122 (11%)</w:t>
            </w:r>
          </w:p>
        </w:tc>
        <w:tc>
          <w:tcPr>
            <w:tcW w:w="1127" w:type="dxa"/>
          </w:tcPr>
          <w:p w14:paraId="1F6F6933" w14:textId="77777777" w:rsidR="00F209FF" w:rsidRDefault="00F209FF" w:rsidP="00DB3EE0">
            <w:pPr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11 (&lt;1%)</w:t>
            </w:r>
          </w:p>
        </w:tc>
        <w:tc>
          <w:tcPr>
            <w:tcW w:w="1127" w:type="dxa"/>
          </w:tcPr>
          <w:p w14:paraId="10238D0A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7432E3E6" w14:textId="77777777" w:rsidTr="00531CFF">
        <w:tc>
          <w:tcPr>
            <w:tcW w:w="2188" w:type="dxa"/>
            <w:vMerge/>
            <w:vAlign w:val="center"/>
          </w:tcPr>
          <w:p w14:paraId="2C96F443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36258003" w14:textId="77777777" w:rsidR="00447932" w:rsidRDefault="00447932" w:rsidP="00447932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57ACCC7A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B2D58E9" w14:textId="77777777" w:rsidR="00F209FF" w:rsidRDefault="00434B60" w:rsidP="00434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Závraty </w:t>
            </w:r>
          </w:p>
        </w:tc>
        <w:tc>
          <w:tcPr>
            <w:tcW w:w="1127" w:type="dxa"/>
          </w:tcPr>
          <w:p w14:paraId="35B8AE66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55 (5%)</w:t>
            </w:r>
          </w:p>
        </w:tc>
        <w:tc>
          <w:tcPr>
            <w:tcW w:w="1127" w:type="dxa"/>
          </w:tcPr>
          <w:p w14:paraId="09074B09" w14:textId="77777777" w:rsidR="00F209FF" w:rsidRDefault="00F209FF" w:rsidP="00DB3EE0">
            <w:pPr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77D652C9" w14:textId="77777777" w:rsidR="00F209FF" w:rsidRDefault="00F209FF" w:rsidP="00DB3EE0">
            <w:pPr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1 (&lt;1%)</w:t>
            </w:r>
          </w:p>
        </w:tc>
      </w:tr>
      <w:tr w:rsidR="00F209FF" w14:paraId="4CA33373" w14:textId="77777777" w:rsidTr="00531CFF">
        <w:tc>
          <w:tcPr>
            <w:tcW w:w="2188" w:type="dxa"/>
            <w:vMerge/>
            <w:vAlign w:val="center"/>
          </w:tcPr>
          <w:p w14:paraId="5F5DEA8F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0FC6178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D33F330" w14:textId="77777777" w:rsidR="00F209FF" w:rsidRDefault="00434B60" w:rsidP="00434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Letargia </w:t>
            </w:r>
          </w:p>
        </w:tc>
        <w:tc>
          <w:tcPr>
            <w:tcW w:w="1127" w:type="dxa"/>
          </w:tcPr>
          <w:p w14:paraId="2D0553ED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30 (3%)</w:t>
            </w:r>
          </w:p>
        </w:tc>
        <w:tc>
          <w:tcPr>
            <w:tcW w:w="1127" w:type="dxa"/>
          </w:tcPr>
          <w:p w14:paraId="40717C9F" w14:textId="77777777" w:rsidR="00F209FF" w:rsidRDefault="00F209FF" w:rsidP="00DB3EE0">
            <w:pPr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5CC6AB37" w14:textId="77777777" w:rsidR="00F209FF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0</w:t>
            </w:r>
          </w:p>
        </w:tc>
      </w:tr>
      <w:tr w:rsidR="00F209FF" w14:paraId="5A7D1517" w14:textId="77777777" w:rsidTr="00531CFF">
        <w:tc>
          <w:tcPr>
            <w:tcW w:w="2188" w:type="dxa"/>
            <w:vMerge/>
            <w:vAlign w:val="center"/>
          </w:tcPr>
          <w:p w14:paraId="2BF98DC8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FC104AE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ADD4494" w14:textId="77777777" w:rsidR="00F209FF" w:rsidRDefault="00434B60" w:rsidP="00434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Parestézia </w:t>
            </w:r>
          </w:p>
        </w:tc>
        <w:tc>
          <w:tcPr>
            <w:tcW w:w="1127" w:type="dxa"/>
          </w:tcPr>
          <w:p w14:paraId="259CB28A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20 (2%)</w:t>
            </w:r>
          </w:p>
        </w:tc>
        <w:tc>
          <w:tcPr>
            <w:tcW w:w="1127" w:type="dxa"/>
          </w:tcPr>
          <w:p w14:paraId="077A2AA2" w14:textId="77777777" w:rsidR="00F209FF" w:rsidRDefault="00F209FF" w:rsidP="00DB3EE0">
            <w:pPr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74C23BCD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266DA6CA" w14:textId="77777777" w:rsidTr="00531CFF">
        <w:tc>
          <w:tcPr>
            <w:tcW w:w="2188" w:type="dxa"/>
            <w:vMerge/>
            <w:vAlign w:val="center"/>
          </w:tcPr>
          <w:p w14:paraId="0B9F09AC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F42B7B1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D8DE195" w14:textId="77777777" w:rsidR="00F209FF" w:rsidRDefault="00434B60" w:rsidP="00434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Periférna senzorická neuropatia </w:t>
            </w:r>
          </w:p>
        </w:tc>
        <w:tc>
          <w:tcPr>
            <w:tcW w:w="1127" w:type="dxa"/>
          </w:tcPr>
          <w:p w14:paraId="7713FAB3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17 (1%)</w:t>
            </w:r>
          </w:p>
        </w:tc>
        <w:tc>
          <w:tcPr>
            <w:tcW w:w="1127" w:type="dxa"/>
          </w:tcPr>
          <w:p w14:paraId="5485A2AE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25BEDE94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1A5D0B61" w14:textId="77777777" w:rsidTr="00531CFF">
        <w:tc>
          <w:tcPr>
            <w:tcW w:w="2188" w:type="dxa"/>
            <w:vMerge/>
            <w:vAlign w:val="center"/>
          </w:tcPr>
          <w:p w14:paraId="57A450BF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55BAA686" w14:textId="77777777" w:rsidR="00434B60" w:rsidRDefault="00434B60" w:rsidP="00434B60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7493352C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E6BD8A9" w14:textId="77777777" w:rsidR="00F209FF" w:rsidRDefault="00434B60" w:rsidP="00434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Hypestézia </w:t>
            </w:r>
          </w:p>
        </w:tc>
        <w:tc>
          <w:tcPr>
            <w:tcW w:w="1127" w:type="dxa"/>
          </w:tcPr>
          <w:p w14:paraId="1A63B904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8 (&lt;1%)</w:t>
            </w:r>
          </w:p>
        </w:tc>
        <w:tc>
          <w:tcPr>
            <w:tcW w:w="1127" w:type="dxa"/>
          </w:tcPr>
          <w:p w14:paraId="7EBD9E53" w14:textId="77777777" w:rsidR="00F209FF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4B6FC81E" w14:textId="77777777" w:rsidR="00F209FF" w:rsidRDefault="00F209FF" w:rsidP="00DB3EE0">
            <w:pPr>
              <w:rPr>
                <w:sz w:val="22"/>
                <w:szCs w:val="22"/>
              </w:rPr>
            </w:pPr>
            <w:r w:rsidRPr="00C5492C">
              <w:rPr>
                <w:sz w:val="22"/>
                <w:szCs w:val="22"/>
              </w:rPr>
              <w:t>0</w:t>
            </w:r>
          </w:p>
        </w:tc>
      </w:tr>
      <w:tr w:rsidR="00F209FF" w14:paraId="03A1323C" w14:textId="77777777" w:rsidTr="00531CFF">
        <w:tc>
          <w:tcPr>
            <w:tcW w:w="2188" w:type="dxa"/>
            <w:vMerge/>
            <w:vAlign w:val="center"/>
          </w:tcPr>
          <w:p w14:paraId="7E8A51F7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B7766BF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EAD6429" w14:textId="77777777" w:rsidR="00F209FF" w:rsidRDefault="00434B60" w:rsidP="00434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Tranzitórny ischemický atak </w:t>
            </w:r>
          </w:p>
        </w:tc>
        <w:tc>
          <w:tcPr>
            <w:tcW w:w="1127" w:type="dxa"/>
          </w:tcPr>
          <w:p w14:paraId="6CE84A44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7 (&lt;1%)</w:t>
            </w:r>
          </w:p>
        </w:tc>
        <w:tc>
          <w:tcPr>
            <w:tcW w:w="1127" w:type="dxa"/>
          </w:tcPr>
          <w:p w14:paraId="2675F696" w14:textId="77777777" w:rsidR="00F209FF" w:rsidRDefault="00F209FF" w:rsidP="00DB3EE0">
            <w:pPr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4 (&lt;1%)</w:t>
            </w:r>
          </w:p>
        </w:tc>
        <w:tc>
          <w:tcPr>
            <w:tcW w:w="1127" w:type="dxa"/>
          </w:tcPr>
          <w:p w14:paraId="168190EB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5CC84A0C" w14:textId="77777777" w:rsidTr="00531CFF">
        <w:tc>
          <w:tcPr>
            <w:tcW w:w="2188" w:type="dxa"/>
            <w:vMerge/>
            <w:vAlign w:val="center"/>
          </w:tcPr>
          <w:p w14:paraId="5A10D760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532364D3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FDFE286" w14:textId="77777777" w:rsidR="00F209FF" w:rsidRDefault="00434B60" w:rsidP="00DB3EE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Somnolencia</w:t>
            </w:r>
          </w:p>
        </w:tc>
        <w:tc>
          <w:tcPr>
            <w:tcW w:w="1127" w:type="dxa"/>
          </w:tcPr>
          <w:p w14:paraId="1B01E96D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3364BDA9" w14:textId="77777777" w:rsidR="00F209FF" w:rsidRDefault="00F209FF" w:rsidP="00DB3EE0">
            <w:pPr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3ACCC5AD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7449BED6" w14:textId="77777777" w:rsidTr="00531CFF">
        <w:tc>
          <w:tcPr>
            <w:tcW w:w="2188" w:type="dxa"/>
            <w:vMerge/>
            <w:vAlign w:val="center"/>
          </w:tcPr>
          <w:p w14:paraId="0ACDA426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0E1F0DF7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8676D22" w14:textId="77777777" w:rsidR="00F209FF" w:rsidRDefault="00434B60" w:rsidP="00434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Cievna mozgová príhoda </w:t>
            </w:r>
          </w:p>
        </w:tc>
        <w:tc>
          <w:tcPr>
            <w:tcW w:w="1127" w:type="dxa"/>
          </w:tcPr>
          <w:p w14:paraId="12D2983B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057BE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3426D1F9" w14:textId="77777777" w:rsidR="00F209FF" w:rsidRDefault="00F209FF" w:rsidP="00DB3EE0">
            <w:pPr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5051FC52" w14:textId="77777777" w:rsidR="00F209FF" w:rsidRDefault="00F209FF" w:rsidP="00DB3EE0">
            <w:pPr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1 (&lt;1%)</w:t>
            </w:r>
          </w:p>
        </w:tc>
      </w:tr>
      <w:tr w:rsidR="00F209FF" w14:paraId="0882A6EA" w14:textId="77777777" w:rsidTr="00531CFF">
        <w:tc>
          <w:tcPr>
            <w:tcW w:w="2188" w:type="dxa"/>
            <w:vMerge/>
            <w:vAlign w:val="center"/>
          </w:tcPr>
          <w:p w14:paraId="4C2B0AE8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2A4E472A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80CEAC8" w14:textId="77777777" w:rsidR="00F209FF" w:rsidRDefault="00434B60" w:rsidP="00434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Ischemická cievna mozgová príhoda </w:t>
            </w:r>
          </w:p>
        </w:tc>
        <w:tc>
          <w:tcPr>
            <w:tcW w:w="1127" w:type="dxa"/>
          </w:tcPr>
          <w:p w14:paraId="4297A9F0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057BE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4F5F2744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107235B2" w14:textId="77777777" w:rsidR="00F209FF" w:rsidRDefault="00F209FF" w:rsidP="00DB3EE0">
            <w:pPr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1 (&lt;1%)</w:t>
            </w:r>
          </w:p>
        </w:tc>
      </w:tr>
      <w:tr w:rsidR="00F209FF" w14:paraId="0CFE5414" w14:textId="77777777" w:rsidTr="00531CFF">
        <w:tc>
          <w:tcPr>
            <w:tcW w:w="2188" w:type="dxa"/>
            <w:vMerge/>
            <w:vAlign w:val="center"/>
          </w:tcPr>
          <w:p w14:paraId="174A09CB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</w:tcPr>
          <w:p w14:paraId="0E667FB9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  <w:r w:rsidRPr="007818DA">
              <w:rPr>
                <w:sz w:val="22"/>
                <w:szCs w:val="22"/>
              </w:rPr>
              <w:t>Rare</w:t>
            </w:r>
          </w:p>
        </w:tc>
        <w:tc>
          <w:tcPr>
            <w:tcW w:w="2567" w:type="dxa"/>
          </w:tcPr>
          <w:p w14:paraId="0D3EA0EB" w14:textId="77777777" w:rsidR="00F209FF" w:rsidRPr="007818DA" w:rsidRDefault="00434B60" w:rsidP="00434B6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Syndróm reverzibilnej posteriórnej encefalopatie/syndróm reverzibilnej posteriórnej leukoencefalopatie† </w:t>
            </w:r>
          </w:p>
        </w:tc>
        <w:tc>
          <w:tcPr>
            <w:tcW w:w="1127" w:type="dxa"/>
          </w:tcPr>
          <w:p w14:paraId="36B02081" w14:textId="77777777" w:rsidR="00434B60" w:rsidRDefault="00434B60" w:rsidP="00434B60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1DDBB322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1073D0A8" w14:textId="77777777" w:rsidR="00434B60" w:rsidRDefault="00434B60" w:rsidP="00434B60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46188470" w14:textId="77777777" w:rsidR="00F209FF" w:rsidRDefault="00F209FF" w:rsidP="00DB3EE0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359D9A80" w14:textId="77777777" w:rsidR="00434B60" w:rsidRDefault="00434B60" w:rsidP="00434B60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7A3CE3DB" w14:textId="77777777" w:rsidR="00F209FF" w:rsidRDefault="00F209FF" w:rsidP="00DB3EE0">
            <w:pPr>
              <w:rPr>
                <w:sz w:val="22"/>
                <w:szCs w:val="22"/>
              </w:rPr>
            </w:pPr>
          </w:p>
        </w:tc>
      </w:tr>
      <w:tr w:rsidR="00F209FF" w14:paraId="0510F462" w14:textId="77777777" w:rsidTr="00531CFF">
        <w:tc>
          <w:tcPr>
            <w:tcW w:w="2188" w:type="dxa"/>
            <w:vMerge w:val="restart"/>
            <w:vAlign w:val="center"/>
          </w:tcPr>
          <w:p w14:paraId="13EC3F23" w14:textId="77777777" w:rsidR="00434B60" w:rsidRDefault="00434B60" w:rsidP="00434B6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oka </w:t>
            </w:r>
          </w:p>
          <w:p w14:paraId="693EDA35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</w:tcPr>
          <w:p w14:paraId="2B4621CF" w14:textId="77777777" w:rsidR="00F209FF" w:rsidRDefault="00434B60" w:rsidP="00434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2567" w:type="dxa"/>
          </w:tcPr>
          <w:p w14:paraId="3C8BD405" w14:textId="77777777" w:rsidR="00F209FF" w:rsidRDefault="00434B60" w:rsidP="00434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Rozmazané videnie </w:t>
            </w:r>
          </w:p>
        </w:tc>
        <w:tc>
          <w:tcPr>
            <w:tcW w:w="1127" w:type="dxa"/>
          </w:tcPr>
          <w:p w14:paraId="5B51AB24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224314">
              <w:rPr>
                <w:sz w:val="22"/>
                <w:szCs w:val="22"/>
              </w:rPr>
              <w:t>19 (2%)</w:t>
            </w:r>
          </w:p>
        </w:tc>
        <w:tc>
          <w:tcPr>
            <w:tcW w:w="1127" w:type="dxa"/>
          </w:tcPr>
          <w:p w14:paraId="671F706C" w14:textId="77777777" w:rsidR="00F209FF" w:rsidRDefault="00F209FF" w:rsidP="00DB3EE0">
            <w:pPr>
              <w:rPr>
                <w:sz w:val="22"/>
                <w:szCs w:val="22"/>
              </w:rPr>
            </w:pPr>
            <w:r w:rsidRPr="00224314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3C28D21A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1286478E" w14:textId="77777777" w:rsidTr="00531CFF">
        <w:tc>
          <w:tcPr>
            <w:tcW w:w="2188" w:type="dxa"/>
            <w:vMerge/>
            <w:vAlign w:val="center"/>
          </w:tcPr>
          <w:p w14:paraId="767C0B45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0FC954B3" w14:textId="77777777" w:rsidR="00434B60" w:rsidRDefault="00434B60" w:rsidP="00434B60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39C3099B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A544A17" w14:textId="77777777" w:rsidR="00F209FF" w:rsidRDefault="00434B60" w:rsidP="00DB3EE0">
            <w:pPr>
              <w:ind w:right="-108"/>
              <w:rPr>
                <w:sz w:val="22"/>
                <w:szCs w:val="22"/>
              </w:rPr>
            </w:pPr>
            <w:r w:rsidRPr="00434B60">
              <w:rPr>
                <w:sz w:val="22"/>
                <w:szCs w:val="22"/>
              </w:rPr>
              <w:t>Odlúpenie sietnice†</w:t>
            </w:r>
          </w:p>
        </w:tc>
        <w:tc>
          <w:tcPr>
            <w:tcW w:w="1127" w:type="dxa"/>
          </w:tcPr>
          <w:p w14:paraId="5EAB1278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63F075AF" w14:textId="77777777" w:rsidR="00F209FF" w:rsidRDefault="00F209FF" w:rsidP="00DB3EE0">
            <w:pPr>
              <w:rPr>
                <w:sz w:val="22"/>
                <w:szCs w:val="22"/>
              </w:rPr>
            </w:pPr>
            <w:r w:rsidRPr="00224314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1ADFB097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0DB8E2DB" w14:textId="77777777" w:rsidTr="00531CFF">
        <w:tc>
          <w:tcPr>
            <w:tcW w:w="2188" w:type="dxa"/>
            <w:vMerge/>
            <w:vAlign w:val="center"/>
          </w:tcPr>
          <w:p w14:paraId="4473DCFD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2BF1BDEA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40F71FA" w14:textId="77777777" w:rsidR="00F209FF" w:rsidRDefault="00434B60" w:rsidP="00DB3EE0">
            <w:pPr>
              <w:ind w:right="-108"/>
              <w:rPr>
                <w:sz w:val="22"/>
                <w:szCs w:val="22"/>
              </w:rPr>
            </w:pPr>
            <w:r w:rsidRPr="00434B60">
              <w:rPr>
                <w:sz w:val="22"/>
                <w:szCs w:val="22"/>
              </w:rPr>
              <w:t>Natrhnutie sietnice†</w:t>
            </w:r>
          </w:p>
        </w:tc>
        <w:tc>
          <w:tcPr>
            <w:tcW w:w="1127" w:type="dxa"/>
          </w:tcPr>
          <w:p w14:paraId="0F9477F6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9057BE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4DCAE0D3" w14:textId="77777777" w:rsidR="00F209FF" w:rsidRDefault="00F209FF" w:rsidP="00DB3EE0">
            <w:pPr>
              <w:rPr>
                <w:sz w:val="22"/>
                <w:szCs w:val="22"/>
              </w:rPr>
            </w:pPr>
            <w:r w:rsidRPr="00224314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7B1FCAED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02F0826B" w14:textId="77777777" w:rsidTr="00531CFF">
        <w:tc>
          <w:tcPr>
            <w:tcW w:w="2188" w:type="dxa"/>
            <w:vMerge/>
            <w:vAlign w:val="center"/>
          </w:tcPr>
          <w:p w14:paraId="08E3AFAC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21D7113C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2BCE3AB" w14:textId="77777777" w:rsidR="00F209FF" w:rsidRDefault="00434B60" w:rsidP="00DB3EE0">
            <w:pPr>
              <w:ind w:right="-108"/>
              <w:rPr>
                <w:sz w:val="22"/>
                <w:szCs w:val="22"/>
              </w:rPr>
            </w:pPr>
            <w:r w:rsidRPr="00434B60">
              <w:rPr>
                <w:sz w:val="22"/>
                <w:szCs w:val="22"/>
              </w:rPr>
              <w:t>Zmena farby mihalníc</w:t>
            </w:r>
          </w:p>
        </w:tc>
        <w:tc>
          <w:tcPr>
            <w:tcW w:w="1127" w:type="dxa"/>
          </w:tcPr>
          <w:p w14:paraId="3376EBCB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057BE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744087F6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AACD190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4D9C4774" w14:textId="77777777" w:rsidTr="00531CFF">
        <w:tc>
          <w:tcPr>
            <w:tcW w:w="2188" w:type="dxa"/>
            <w:vMerge w:val="restart"/>
            <w:vAlign w:val="center"/>
          </w:tcPr>
          <w:p w14:paraId="5FC7F512" w14:textId="77777777" w:rsidR="00A72AC1" w:rsidRDefault="00A72AC1" w:rsidP="00A72AC1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srdca a srdcovej činnosti </w:t>
            </w:r>
          </w:p>
          <w:p w14:paraId="1511A835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616EBC9D" w14:textId="77777777" w:rsidR="00A72AC1" w:rsidRDefault="00A72AC1" w:rsidP="00A72AC1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7046B830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414EB84" w14:textId="77777777" w:rsidR="00F209FF" w:rsidRDefault="00A72AC1" w:rsidP="00A72A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Bradykardia </w:t>
            </w:r>
          </w:p>
        </w:tc>
        <w:tc>
          <w:tcPr>
            <w:tcW w:w="1127" w:type="dxa"/>
          </w:tcPr>
          <w:p w14:paraId="119C1E51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(&lt;1%) </w:t>
            </w:r>
          </w:p>
        </w:tc>
        <w:tc>
          <w:tcPr>
            <w:tcW w:w="1127" w:type="dxa"/>
          </w:tcPr>
          <w:p w14:paraId="2D43CA77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1CBB042F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14EF4B85" w14:textId="77777777" w:rsidTr="00531CFF">
        <w:tc>
          <w:tcPr>
            <w:tcW w:w="2188" w:type="dxa"/>
            <w:vMerge/>
            <w:vAlign w:val="center"/>
          </w:tcPr>
          <w:p w14:paraId="7F6E18CF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DBABE14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01AC8ED" w14:textId="77777777" w:rsidR="00F209FF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Infarkt myokardu</w:t>
            </w:r>
          </w:p>
        </w:tc>
        <w:tc>
          <w:tcPr>
            <w:tcW w:w="1127" w:type="dxa"/>
          </w:tcPr>
          <w:p w14:paraId="5E9B06C2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224314">
              <w:rPr>
                <w:sz w:val="22"/>
                <w:szCs w:val="22"/>
              </w:rPr>
              <w:t>5 (&lt;1%)</w:t>
            </w:r>
          </w:p>
        </w:tc>
        <w:tc>
          <w:tcPr>
            <w:tcW w:w="1127" w:type="dxa"/>
          </w:tcPr>
          <w:p w14:paraId="7C5F386F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24314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6C04F31B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24314">
              <w:rPr>
                <w:sz w:val="22"/>
                <w:szCs w:val="22"/>
              </w:rPr>
              <w:t xml:space="preserve"> (&lt;1%)</w:t>
            </w:r>
          </w:p>
        </w:tc>
      </w:tr>
      <w:tr w:rsidR="00F209FF" w14:paraId="11A51DA6" w14:textId="77777777" w:rsidTr="00531CFF">
        <w:tc>
          <w:tcPr>
            <w:tcW w:w="2188" w:type="dxa"/>
            <w:vMerge/>
            <w:vAlign w:val="center"/>
          </w:tcPr>
          <w:p w14:paraId="3B30F8C5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0C47408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BA44845" w14:textId="77777777" w:rsidR="00F209FF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Srdcová dysfunkcia</w:t>
            </w:r>
            <w:r w:rsidRPr="00A72AC1">
              <w:rPr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127" w:type="dxa"/>
          </w:tcPr>
          <w:p w14:paraId="18757874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24314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6D9AB781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24314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637EC6FF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7779B37F" w14:textId="77777777" w:rsidTr="00531CFF">
        <w:tc>
          <w:tcPr>
            <w:tcW w:w="2188" w:type="dxa"/>
            <w:vMerge/>
            <w:vAlign w:val="center"/>
          </w:tcPr>
          <w:p w14:paraId="066F2A32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71B27F2D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7C5D855" w14:textId="77777777" w:rsidR="00F209FF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Ischémia myokardu</w:t>
            </w:r>
          </w:p>
        </w:tc>
        <w:tc>
          <w:tcPr>
            <w:tcW w:w="1127" w:type="dxa"/>
          </w:tcPr>
          <w:p w14:paraId="2C091FCE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224314"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7515DD07" w14:textId="77777777" w:rsidR="00F209FF" w:rsidRDefault="00F209FF" w:rsidP="00DB3EE0">
            <w:pPr>
              <w:rPr>
                <w:sz w:val="22"/>
                <w:szCs w:val="22"/>
              </w:rPr>
            </w:pPr>
            <w:r w:rsidRPr="00224314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62CD4269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:rsidRPr="00224314" w14:paraId="05FC4EC8" w14:textId="77777777" w:rsidTr="00531CFF">
        <w:tc>
          <w:tcPr>
            <w:tcW w:w="2188" w:type="dxa"/>
            <w:vMerge w:val="restart"/>
            <w:vAlign w:val="center"/>
          </w:tcPr>
          <w:p w14:paraId="12E80AEC" w14:textId="77777777" w:rsidR="00F209FF" w:rsidRPr="00650FC6" w:rsidRDefault="00A72AC1" w:rsidP="00DB3EE0">
            <w:pPr>
              <w:ind w:right="-108"/>
              <w:rPr>
                <w:b/>
                <w:sz w:val="22"/>
                <w:szCs w:val="22"/>
              </w:rPr>
            </w:pPr>
            <w:r w:rsidRPr="00A72AC1">
              <w:rPr>
                <w:b/>
                <w:sz w:val="22"/>
                <w:szCs w:val="22"/>
              </w:rPr>
              <w:t>Poruchy ciev</w:t>
            </w:r>
          </w:p>
        </w:tc>
        <w:tc>
          <w:tcPr>
            <w:tcW w:w="926" w:type="dxa"/>
          </w:tcPr>
          <w:p w14:paraId="6AF7B5E8" w14:textId="77777777" w:rsidR="00F209FF" w:rsidRPr="002A44E9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Veľmi časté</w:t>
            </w:r>
          </w:p>
        </w:tc>
        <w:tc>
          <w:tcPr>
            <w:tcW w:w="2567" w:type="dxa"/>
          </w:tcPr>
          <w:p w14:paraId="3C0A6BA2" w14:textId="77777777" w:rsidR="00F209FF" w:rsidRPr="002A44E9" w:rsidRDefault="00A72AC1" w:rsidP="00A72A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Hypertenzia </w:t>
            </w:r>
          </w:p>
        </w:tc>
        <w:tc>
          <w:tcPr>
            <w:tcW w:w="1127" w:type="dxa"/>
          </w:tcPr>
          <w:p w14:paraId="76D0047C" w14:textId="77777777" w:rsidR="00F209FF" w:rsidRPr="00224314" w:rsidRDefault="00F209FF" w:rsidP="00DB3EE0">
            <w:pPr>
              <w:ind w:right="-72"/>
              <w:rPr>
                <w:sz w:val="22"/>
                <w:szCs w:val="22"/>
                <w:highlight w:val="yellow"/>
              </w:rPr>
            </w:pPr>
            <w:r w:rsidRPr="002A44E9">
              <w:rPr>
                <w:sz w:val="22"/>
                <w:szCs w:val="22"/>
              </w:rPr>
              <w:t>473 (41%)</w:t>
            </w:r>
          </w:p>
        </w:tc>
        <w:tc>
          <w:tcPr>
            <w:tcW w:w="1127" w:type="dxa"/>
          </w:tcPr>
          <w:p w14:paraId="2548F2B3" w14:textId="77777777" w:rsidR="00F209FF" w:rsidRPr="00224314" w:rsidRDefault="00F209FF" w:rsidP="00DB3EE0">
            <w:pPr>
              <w:ind w:right="-140"/>
              <w:rPr>
                <w:sz w:val="22"/>
                <w:szCs w:val="22"/>
                <w:highlight w:val="yellow"/>
              </w:rPr>
            </w:pPr>
            <w:r w:rsidRPr="002A44E9">
              <w:rPr>
                <w:sz w:val="22"/>
                <w:szCs w:val="22"/>
              </w:rPr>
              <w:t>115 (10%)</w:t>
            </w:r>
          </w:p>
        </w:tc>
        <w:tc>
          <w:tcPr>
            <w:tcW w:w="1127" w:type="dxa"/>
          </w:tcPr>
          <w:p w14:paraId="7A9374FF" w14:textId="77777777" w:rsidR="00F209FF" w:rsidRPr="00224314" w:rsidRDefault="00F209FF" w:rsidP="00DB3EE0">
            <w:pPr>
              <w:rPr>
                <w:sz w:val="22"/>
                <w:szCs w:val="22"/>
                <w:highlight w:val="yellow"/>
              </w:rPr>
            </w:pPr>
            <w:r w:rsidRPr="002A44E9">
              <w:rPr>
                <w:sz w:val="22"/>
                <w:szCs w:val="22"/>
              </w:rPr>
              <w:t>(&lt;1%)</w:t>
            </w:r>
          </w:p>
        </w:tc>
      </w:tr>
      <w:tr w:rsidR="00F209FF" w:rsidRPr="00224314" w14:paraId="56C609EF" w14:textId="77777777" w:rsidTr="00531CFF">
        <w:tc>
          <w:tcPr>
            <w:tcW w:w="2188" w:type="dxa"/>
            <w:vMerge/>
            <w:vAlign w:val="center"/>
          </w:tcPr>
          <w:p w14:paraId="3B66F0C0" w14:textId="77777777" w:rsidR="00F209FF" w:rsidRPr="00224314" w:rsidRDefault="00F209FF" w:rsidP="00DB3EE0">
            <w:pPr>
              <w:ind w:right="-108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772EC206" w14:textId="77777777" w:rsidR="00F209FF" w:rsidRPr="002A44E9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Časté</w:t>
            </w:r>
          </w:p>
        </w:tc>
        <w:tc>
          <w:tcPr>
            <w:tcW w:w="2567" w:type="dxa"/>
          </w:tcPr>
          <w:p w14:paraId="57D65CEF" w14:textId="77777777" w:rsidR="00F209FF" w:rsidRPr="002A44E9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Návaly tepla</w:t>
            </w:r>
          </w:p>
        </w:tc>
        <w:tc>
          <w:tcPr>
            <w:tcW w:w="1127" w:type="dxa"/>
          </w:tcPr>
          <w:p w14:paraId="55B8274C" w14:textId="77777777" w:rsidR="00F209FF" w:rsidRPr="00224314" w:rsidRDefault="00F209FF" w:rsidP="00DB3EE0">
            <w:pPr>
              <w:ind w:right="-72"/>
              <w:rPr>
                <w:sz w:val="22"/>
                <w:szCs w:val="22"/>
                <w:highlight w:val="yellow"/>
              </w:rPr>
            </w:pPr>
            <w:r w:rsidRPr="002A44E9">
              <w:rPr>
                <w:sz w:val="22"/>
                <w:szCs w:val="22"/>
              </w:rPr>
              <w:t>16 (1%)</w:t>
            </w:r>
          </w:p>
        </w:tc>
        <w:tc>
          <w:tcPr>
            <w:tcW w:w="1127" w:type="dxa"/>
          </w:tcPr>
          <w:p w14:paraId="14C86CB9" w14:textId="77777777" w:rsidR="00F209FF" w:rsidRPr="00224314" w:rsidRDefault="00F209FF" w:rsidP="00DB3EE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7FFAE13" w14:textId="77777777" w:rsidR="00F209FF" w:rsidRPr="00224314" w:rsidRDefault="00F209FF" w:rsidP="00DB3EE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:rsidRPr="00224314" w14:paraId="3C1F23ED" w14:textId="77777777" w:rsidTr="00531CFF">
        <w:tc>
          <w:tcPr>
            <w:tcW w:w="2188" w:type="dxa"/>
            <w:vMerge/>
            <w:vAlign w:val="center"/>
          </w:tcPr>
          <w:p w14:paraId="0677F968" w14:textId="77777777" w:rsidR="00F209FF" w:rsidRPr="00224314" w:rsidRDefault="00F209FF" w:rsidP="00DB3EE0">
            <w:pPr>
              <w:ind w:right="-108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26" w:type="dxa"/>
            <w:vMerge/>
          </w:tcPr>
          <w:p w14:paraId="43A7CD9E" w14:textId="77777777" w:rsidR="00F209FF" w:rsidRPr="002A44E9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7880124" w14:textId="77777777" w:rsidR="00F209FF" w:rsidRPr="002A44E9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Venózna tromboembolická príhoda</w:t>
            </w:r>
            <w:r w:rsidRPr="00A72AC1">
              <w:rPr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127" w:type="dxa"/>
          </w:tcPr>
          <w:p w14:paraId="57A07447" w14:textId="77777777" w:rsidR="00F209FF" w:rsidRPr="00224314" w:rsidRDefault="00F209FF" w:rsidP="00DB3EE0">
            <w:pPr>
              <w:ind w:right="-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</w:t>
            </w:r>
            <w:r w:rsidRPr="002A44E9">
              <w:rPr>
                <w:sz w:val="22"/>
                <w:szCs w:val="22"/>
              </w:rPr>
              <w:t xml:space="preserve"> (1%)</w:t>
            </w:r>
          </w:p>
        </w:tc>
        <w:tc>
          <w:tcPr>
            <w:tcW w:w="1127" w:type="dxa"/>
          </w:tcPr>
          <w:p w14:paraId="4199BC75" w14:textId="77777777" w:rsidR="00F209FF" w:rsidRPr="00224314" w:rsidRDefault="00F209FF" w:rsidP="00DB3EE0">
            <w:pPr>
              <w:rPr>
                <w:sz w:val="22"/>
                <w:szCs w:val="22"/>
                <w:highlight w:val="yellow"/>
              </w:rPr>
            </w:pPr>
            <w:r w:rsidRPr="002A44E9">
              <w:rPr>
                <w:sz w:val="22"/>
                <w:szCs w:val="22"/>
              </w:rPr>
              <w:t>6 (&lt;1%)</w:t>
            </w:r>
          </w:p>
        </w:tc>
        <w:tc>
          <w:tcPr>
            <w:tcW w:w="1127" w:type="dxa"/>
          </w:tcPr>
          <w:p w14:paraId="41DFA73A" w14:textId="77777777" w:rsidR="00F209FF" w:rsidRPr="00224314" w:rsidRDefault="00F209FF" w:rsidP="00DB3EE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</w:t>
            </w:r>
            <w:r w:rsidRPr="002A44E9">
              <w:rPr>
                <w:sz w:val="22"/>
                <w:szCs w:val="22"/>
              </w:rPr>
              <w:t xml:space="preserve"> (&lt;1%)</w:t>
            </w:r>
          </w:p>
        </w:tc>
      </w:tr>
      <w:tr w:rsidR="00F209FF" w:rsidRPr="00224314" w14:paraId="50F062F9" w14:textId="77777777" w:rsidTr="00531CFF">
        <w:tc>
          <w:tcPr>
            <w:tcW w:w="2188" w:type="dxa"/>
            <w:vMerge/>
            <w:vAlign w:val="center"/>
          </w:tcPr>
          <w:p w14:paraId="11B21C5C" w14:textId="77777777" w:rsidR="00F209FF" w:rsidRPr="00224314" w:rsidRDefault="00F209FF" w:rsidP="00DB3EE0">
            <w:pPr>
              <w:ind w:right="-108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26" w:type="dxa"/>
            <w:vMerge/>
          </w:tcPr>
          <w:p w14:paraId="78F6A00E" w14:textId="77777777" w:rsidR="00F209FF" w:rsidRPr="002A44E9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867207D" w14:textId="77777777" w:rsidR="00F209FF" w:rsidRPr="002A44E9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Sčervenanie</w:t>
            </w:r>
          </w:p>
        </w:tc>
        <w:tc>
          <w:tcPr>
            <w:tcW w:w="1127" w:type="dxa"/>
          </w:tcPr>
          <w:p w14:paraId="1756285D" w14:textId="77777777" w:rsidR="00F209FF" w:rsidRPr="00224314" w:rsidRDefault="00F209FF" w:rsidP="00DB3EE0">
            <w:pPr>
              <w:ind w:right="-72"/>
              <w:rPr>
                <w:sz w:val="22"/>
                <w:szCs w:val="22"/>
                <w:highlight w:val="yellow"/>
              </w:rPr>
            </w:pPr>
            <w:r w:rsidRPr="002A44E9">
              <w:rPr>
                <w:sz w:val="22"/>
                <w:szCs w:val="22"/>
              </w:rPr>
              <w:t>12 (1%)</w:t>
            </w:r>
          </w:p>
        </w:tc>
        <w:tc>
          <w:tcPr>
            <w:tcW w:w="1127" w:type="dxa"/>
          </w:tcPr>
          <w:p w14:paraId="5F57402A" w14:textId="77777777" w:rsidR="00F209FF" w:rsidRPr="002A44E9" w:rsidRDefault="00F209FF" w:rsidP="00DB3EE0">
            <w:pPr>
              <w:rPr>
                <w:sz w:val="22"/>
                <w:szCs w:val="22"/>
              </w:rPr>
            </w:pPr>
            <w:r w:rsidRPr="002A44E9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314576EE" w14:textId="77777777" w:rsidR="00F209FF" w:rsidRPr="00224314" w:rsidRDefault="00F209FF" w:rsidP="00DB3EE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:rsidRPr="00224314" w14:paraId="4B0B1508" w14:textId="77777777" w:rsidTr="00531CFF">
        <w:tc>
          <w:tcPr>
            <w:tcW w:w="2188" w:type="dxa"/>
            <w:vMerge/>
            <w:vAlign w:val="center"/>
          </w:tcPr>
          <w:p w14:paraId="3111D47B" w14:textId="77777777" w:rsidR="00F209FF" w:rsidRPr="00224314" w:rsidRDefault="00F209FF" w:rsidP="00DB3EE0">
            <w:pPr>
              <w:ind w:right="-108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26" w:type="dxa"/>
            <w:vMerge w:val="restart"/>
          </w:tcPr>
          <w:p w14:paraId="14114D5A" w14:textId="77777777" w:rsidR="00F209FF" w:rsidRPr="002A44E9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Menej časté</w:t>
            </w:r>
          </w:p>
        </w:tc>
        <w:tc>
          <w:tcPr>
            <w:tcW w:w="2567" w:type="dxa"/>
          </w:tcPr>
          <w:p w14:paraId="76D120ED" w14:textId="77777777" w:rsidR="00F209FF" w:rsidRPr="002A44E9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Hypertenzná kríza</w:t>
            </w:r>
          </w:p>
        </w:tc>
        <w:tc>
          <w:tcPr>
            <w:tcW w:w="1127" w:type="dxa"/>
          </w:tcPr>
          <w:p w14:paraId="4FE91CE2" w14:textId="77777777" w:rsidR="00F209FF" w:rsidRPr="00224314" w:rsidRDefault="00F209FF" w:rsidP="00DB3EE0">
            <w:pPr>
              <w:ind w:right="-72"/>
              <w:rPr>
                <w:sz w:val="22"/>
                <w:szCs w:val="22"/>
                <w:highlight w:val="yellow"/>
              </w:rPr>
            </w:pPr>
            <w:r w:rsidRPr="002A44E9">
              <w:rPr>
                <w:sz w:val="22"/>
                <w:szCs w:val="22"/>
              </w:rPr>
              <w:t>6 (&lt;1%)</w:t>
            </w:r>
          </w:p>
        </w:tc>
        <w:tc>
          <w:tcPr>
            <w:tcW w:w="1127" w:type="dxa"/>
          </w:tcPr>
          <w:p w14:paraId="3D05DC73" w14:textId="77777777" w:rsidR="00F209FF" w:rsidRPr="002A44E9" w:rsidRDefault="00F209FF" w:rsidP="00DB3EE0">
            <w:pPr>
              <w:rPr>
                <w:sz w:val="22"/>
                <w:szCs w:val="22"/>
              </w:rPr>
            </w:pPr>
            <w:r w:rsidRPr="002A44E9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24E6F328" w14:textId="77777777" w:rsidR="00F209FF" w:rsidRPr="00224314" w:rsidRDefault="00F209FF" w:rsidP="00DB3EE0">
            <w:pPr>
              <w:rPr>
                <w:sz w:val="22"/>
                <w:szCs w:val="22"/>
                <w:highlight w:val="yellow"/>
              </w:rPr>
            </w:pPr>
            <w:r w:rsidRPr="002A44E9">
              <w:rPr>
                <w:sz w:val="22"/>
                <w:szCs w:val="22"/>
              </w:rPr>
              <w:t>2 (&lt;1%)</w:t>
            </w:r>
          </w:p>
        </w:tc>
      </w:tr>
      <w:tr w:rsidR="00F209FF" w:rsidRPr="00224314" w14:paraId="55190835" w14:textId="77777777" w:rsidTr="00531CFF">
        <w:tc>
          <w:tcPr>
            <w:tcW w:w="2188" w:type="dxa"/>
            <w:vMerge/>
            <w:vAlign w:val="center"/>
          </w:tcPr>
          <w:p w14:paraId="0332A309" w14:textId="77777777" w:rsidR="00F209FF" w:rsidRPr="00224314" w:rsidRDefault="00F209FF" w:rsidP="00DB3EE0">
            <w:pPr>
              <w:ind w:right="-108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26" w:type="dxa"/>
            <w:vMerge/>
          </w:tcPr>
          <w:p w14:paraId="48A53C8D" w14:textId="77777777" w:rsidR="00F209FF" w:rsidRPr="002A44E9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610D47B" w14:textId="77777777" w:rsidR="00F209FF" w:rsidRPr="002A44E9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Krvácanie</w:t>
            </w:r>
          </w:p>
        </w:tc>
        <w:tc>
          <w:tcPr>
            <w:tcW w:w="1127" w:type="dxa"/>
          </w:tcPr>
          <w:p w14:paraId="4EB42256" w14:textId="77777777" w:rsidR="00F209FF" w:rsidRPr="00224314" w:rsidRDefault="00F209FF" w:rsidP="00DB3EE0">
            <w:pPr>
              <w:ind w:right="-72"/>
              <w:rPr>
                <w:sz w:val="22"/>
                <w:szCs w:val="22"/>
                <w:highlight w:val="yellow"/>
              </w:rPr>
            </w:pPr>
            <w:r w:rsidRPr="002A44E9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6F962B29" w14:textId="77777777" w:rsidR="00F209FF" w:rsidRPr="002A44E9" w:rsidRDefault="00F209FF" w:rsidP="00DB3EE0">
            <w:pPr>
              <w:rPr>
                <w:sz w:val="22"/>
                <w:szCs w:val="22"/>
              </w:rPr>
            </w:pPr>
            <w:r w:rsidRPr="002A44E9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F02AFA4" w14:textId="77777777" w:rsidR="00F209FF" w:rsidRPr="00224314" w:rsidRDefault="00F209FF" w:rsidP="00DB3EE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4C89FCD6" w14:textId="77777777" w:rsidTr="00531CFF">
        <w:tc>
          <w:tcPr>
            <w:tcW w:w="2188" w:type="dxa"/>
            <w:vMerge/>
            <w:vAlign w:val="center"/>
          </w:tcPr>
          <w:p w14:paraId="3C5CCD2B" w14:textId="77777777" w:rsidR="00F209FF" w:rsidRPr="00224314" w:rsidRDefault="00F209FF" w:rsidP="00DB3EE0">
            <w:pPr>
              <w:ind w:right="-108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926" w:type="dxa"/>
          </w:tcPr>
          <w:p w14:paraId="4F37C462" w14:textId="77777777" w:rsidR="00F209FF" w:rsidRPr="00253F14" w:rsidRDefault="00253F14" w:rsidP="00DB3EE0">
            <w:pPr>
              <w:ind w:right="-108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2567" w:type="dxa"/>
          </w:tcPr>
          <w:p w14:paraId="2975D4AC" w14:textId="77777777" w:rsidR="00F209FF" w:rsidRPr="002A44E9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Aneuryzmy a arteriálne disekcie</w:t>
            </w:r>
            <w:r w:rsidR="00253F14" w:rsidRPr="00593D27">
              <w:rPr>
                <w:sz w:val="22"/>
                <w:szCs w:val="22"/>
              </w:rPr>
              <w:t>†</w:t>
            </w:r>
          </w:p>
        </w:tc>
        <w:tc>
          <w:tcPr>
            <w:tcW w:w="1127" w:type="dxa"/>
          </w:tcPr>
          <w:p w14:paraId="286C81A2" w14:textId="77777777" w:rsidR="00A72AC1" w:rsidRDefault="00A72AC1" w:rsidP="00A72AC1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65B5F1B3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100655AB" w14:textId="77777777" w:rsidR="00A72AC1" w:rsidRDefault="00A72AC1" w:rsidP="00A72AC1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5E113B57" w14:textId="77777777" w:rsidR="00F209FF" w:rsidRDefault="00F209FF" w:rsidP="00DB3EE0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561E579D" w14:textId="77777777" w:rsidR="00A72AC1" w:rsidRDefault="00A72AC1" w:rsidP="00A72AC1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65140829" w14:textId="77777777" w:rsidR="00F209FF" w:rsidRDefault="00F209FF" w:rsidP="00DB3EE0">
            <w:pPr>
              <w:rPr>
                <w:sz w:val="22"/>
                <w:szCs w:val="22"/>
              </w:rPr>
            </w:pPr>
          </w:p>
        </w:tc>
      </w:tr>
      <w:tr w:rsidR="00F209FF" w14:paraId="28846325" w14:textId="77777777" w:rsidTr="00531CFF">
        <w:tc>
          <w:tcPr>
            <w:tcW w:w="2188" w:type="dxa"/>
            <w:vMerge w:val="restart"/>
            <w:vAlign w:val="center"/>
          </w:tcPr>
          <w:p w14:paraId="64B585D1" w14:textId="77777777" w:rsidR="00F209FF" w:rsidRPr="00650FC6" w:rsidRDefault="00A72AC1" w:rsidP="00DB3EE0">
            <w:pPr>
              <w:ind w:right="-108"/>
              <w:rPr>
                <w:b/>
                <w:sz w:val="22"/>
                <w:szCs w:val="22"/>
              </w:rPr>
            </w:pPr>
            <w:r w:rsidRPr="00A72AC1">
              <w:rPr>
                <w:b/>
                <w:sz w:val="22"/>
                <w:szCs w:val="22"/>
              </w:rPr>
              <w:t>Poruchy dýchacej sústavy, hrudníka a mediastína</w:t>
            </w:r>
          </w:p>
        </w:tc>
        <w:tc>
          <w:tcPr>
            <w:tcW w:w="926" w:type="dxa"/>
            <w:vMerge w:val="restart"/>
          </w:tcPr>
          <w:p w14:paraId="22DB883B" w14:textId="77777777" w:rsidR="00F209FF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Časté</w:t>
            </w:r>
          </w:p>
        </w:tc>
        <w:tc>
          <w:tcPr>
            <w:tcW w:w="2567" w:type="dxa"/>
          </w:tcPr>
          <w:p w14:paraId="5B060916" w14:textId="77777777" w:rsidR="00F209FF" w:rsidRPr="00593D27" w:rsidRDefault="00A72AC1" w:rsidP="00A72A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Epistaxa </w:t>
            </w:r>
          </w:p>
        </w:tc>
        <w:tc>
          <w:tcPr>
            <w:tcW w:w="1127" w:type="dxa"/>
          </w:tcPr>
          <w:p w14:paraId="1197800A" w14:textId="77777777" w:rsidR="00F209FF" w:rsidRPr="00593D27" w:rsidRDefault="00F209FF" w:rsidP="00DB3EE0">
            <w:pPr>
              <w:ind w:right="-72"/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50 (4%)</w:t>
            </w:r>
          </w:p>
        </w:tc>
        <w:tc>
          <w:tcPr>
            <w:tcW w:w="1127" w:type="dxa"/>
          </w:tcPr>
          <w:p w14:paraId="7C17BA73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3558BE2C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0</w:t>
            </w:r>
          </w:p>
        </w:tc>
      </w:tr>
      <w:tr w:rsidR="00F209FF" w14:paraId="5C02874E" w14:textId="77777777" w:rsidTr="00531CFF">
        <w:tc>
          <w:tcPr>
            <w:tcW w:w="2188" w:type="dxa"/>
            <w:vMerge/>
            <w:vAlign w:val="center"/>
          </w:tcPr>
          <w:p w14:paraId="79DC4F04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3D03EB9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702F2D5" w14:textId="77777777" w:rsidR="00F209FF" w:rsidRPr="00593D27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Dysfónia</w:t>
            </w:r>
          </w:p>
        </w:tc>
        <w:tc>
          <w:tcPr>
            <w:tcW w:w="1127" w:type="dxa"/>
          </w:tcPr>
          <w:p w14:paraId="072AB4FE" w14:textId="77777777" w:rsidR="00F209FF" w:rsidRPr="00593D27" w:rsidRDefault="00F209FF" w:rsidP="00DB3EE0">
            <w:pPr>
              <w:ind w:right="-72"/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48 (4%)</w:t>
            </w:r>
          </w:p>
        </w:tc>
        <w:tc>
          <w:tcPr>
            <w:tcW w:w="1127" w:type="dxa"/>
          </w:tcPr>
          <w:p w14:paraId="0C6E1F10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77AA516C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0</w:t>
            </w:r>
          </w:p>
        </w:tc>
      </w:tr>
      <w:tr w:rsidR="00F209FF" w14:paraId="2B8A26A3" w14:textId="77777777" w:rsidTr="00531CFF">
        <w:tc>
          <w:tcPr>
            <w:tcW w:w="2188" w:type="dxa"/>
            <w:vMerge/>
            <w:vAlign w:val="center"/>
          </w:tcPr>
          <w:p w14:paraId="680DAAE7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F624B83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8F7DA80" w14:textId="77777777" w:rsidR="00F209FF" w:rsidRPr="00593D27" w:rsidRDefault="00A72AC1" w:rsidP="00DB3EE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Dyspnoe</w:t>
            </w:r>
          </w:p>
        </w:tc>
        <w:tc>
          <w:tcPr>
            <w:tcW w:w="1127" w:type="dxa"/>
          </w:tcPr>
          <w:p w14:paraId="4786285B" w14:textId="77777777" w:rsidR="00F209FF" w:rsidRPr="00593D27" w:rsidRDefault="00F209FF" w:rsidP="00DB3EE0">
            <w:pPr>
              <w:ind w:right="-72"/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42 (4%)</w:t>
            </w:r>
          </w:p>
        </w:tc>
        <w:tc>
          <w:tcPr>
            <w:tcW w:w="1127" w:type="dxa"/>
          </w:tcPr>
          <w:p w14:paraId="00C70C52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8 (&lt;1%)</w:t>
            </w:r>
          </w:p>
        </w:tc>
        <w:tc>
          <w:tcPr>
            <w:tcW w:w="1127" w:type="dxa"/>
          </w:tcPr>
          <w:p w14:paraId="6F30506C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1 (&lt;1%)</w:t>
            </w:r>
          </w:p>
        </w:tc>
      </w:tr>
      <w:tr w:rsidR="00F209FF" w14:paraId="3B11F3D5" w14:textId="77777777" w:rsidTr="00531CFF">
        <w:tc>
          <w:tcPr>
            <w:tcW w:w="2188" w:type="dxa"/>
            <w:vMerge/>
            <w:vAlign w:val="center"/>
          </w:tcPr>
          <w:p w14:paraId="6DF913B4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0775CE17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D6FF8D5" w14:textId="77777777" w:rsidR="00F209FF" w:rsidRPr="00593D27" w:rsidRDefault="00A72AC1" w:rsidP="00A72A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Hemoptýza </w:t>
            </w:r>
          </w:p>
        </w:tc>
        <w:tc>
          <w:tcPr>
            <w:tcW w:w="1127" w:type="dxa"/>
          </w:tcPr>
          <w:p w14:paraId="5BA9F139" w14:textId="77777777" w:rsidR="00F209FF" w:rsidRPr="00593D27" w:rsidRDefault="00F209FF" w:rsidP="00DB3EE0">
            <w:pPr>
              <w:ind w:right="-72"/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15 (1%)</w:t>
            </w:r>
          </w:p>
        </w:tc>
        <w:tc>
          <w:tcPr>
            <w:tcW w:w="1127" w:type="dxa"/>
          </w:tcPr>
          <w:p w14:paraId="2197FC7D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5EBE06A6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0</w:t>
            </w:r>
          </w:p>
        </w:tc>
      </w:tr>
      <w:tr w:rsidR="00F209FF" w14:paraId="76190384" w14:textId="77777777" w:rsidTr="00531CFF">
        <w:tc>
          <w:tcPr>
            <w:tcW w:w="2188" w:type="dxa"/>
            <w:vMerge/>
            <w:vAlign w:val="center"/>
          </w:tcPr>
          <w:p w14:paraId="3AC410F0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0ECAA9DF" w14:textId="77777777" w:rsidR="00F209FF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Menej časté</w:t>
            </w:r>
          </w:p>
        </w:tc>
        <w:tc>
          <w:tcPr>
            <w:tcW w:w="2567" w:type="dxa"/>
          </w:tcPr>
          <w:p w14:paraId="0FE38BF5" w14:textId="77777777" w:rsidR="00F209FF" w:rsidRPr="00593D27" w:rsidRDefault="007756D6" w:rsidP="00DB3EE0">
            <w:pPr>
              <w:ind w:right="-108"/>
              <w:rPr>
                <w:sz w:val="22"/>
                <w:szCs w:val="22"/>
              </w:rPr>
            </w:pPr>
            <w:r w:rsidRPr="007756D6">
              <w:rPr>
                <w:sz w:val="22"/>
                <w:szCs w:val="22"/>
              </w:rPr>
              <w:t>Rinorea</w:t>
            </w:r>
          </w:p>
        </w:tc>
        <w:tc>
          <w:tcPr>
            <w:tcW w:w="1127" w:type="dxa"/>
          </w:tcPr>
          <w:p w14:paraId="277CF578" w14:textId="77777777" w:rsidR="00F209FF" w:rsidRPr="00593D27" w:rsidRDefault="00F209FF" w:rsidP="00DB3EE0">
            <w:pPr>
              <w:ind w:right="-72"/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8 (&lt;1%)</w:t>
            </w:r>
          </w:p>
        </w:tc>
        <w:tc>
          <w:tcPr>
            <w:tcW w:w="1127" w:type="dxa"/>
          </w:tcPr>
          <w:p w14:paraId="7FE1D0A9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150EDBF5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0</w:t>
            </w:r>
          </w:p>
        </w:tc>
      </w:tr>
      <w:tr w:rsidR="00F209FF" w14:paraId="79AE1D30" w14:textId="77777777" w:rsidTr="00531CFF">
        <w:tc>
          <w:tcPr>
            <w:tcW w:w="2188" w:type="dxa"/>
            <w:vMerge/>
            <w:vAlign w:val="center"/>
          </w:tcPr>
          <w:p w14:paraId="38A8E407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240AACC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5E52E2C" w14:textId="77777777" w:rsidR="00F209FF" w:rsidRPr="00593D27" w:rsidRDefault="007756D6" w:rsidP="00DB3EE0">
            <w:pPr>
              <w:ind w:right="-108"/>
              <w:rPr>
                <w:sz w:val="22"/>
                <w:szCs w:val="22"/>
              </w:rPr>
            </w:pPr>
            <w:r w:rsidRPr="007756D6">
              <w:rPr>
                <w:sz w:val="22"/>
                <w:szCs w:val="22"/>
              </w:rPr>
              <w:t>Pľúcne krvácanie</w:t>
            </w:r>
          </w:p>
        </w:tc>
        <w:tc>
          <w:tcPr>
            <w:tcW w:w="1127" w:type="dxa"/>
          </w:tcPr>
          <w:p w14:paraId="04293491" w14:textId="77777777" w:rsidR="00F209FF" w:rsidRPr="00593D27" w:rsidRDefault="00F209FF" w:rsidP="00DB3EE0">
            <w:pPr>
              <w:ind w:right="-72"/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3BD24557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0CBAE9F5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0</w:t>
            </w:r>
          </w:p>
        </w:tc>
      </w:tr>
      <w:tr w:rsidR="00F209FF" w14:paraId="6D194754" w14:textId="77777777" w:rsidTr="00531CFF">
        <w:tc>
          <w:tcPr>
            <w:tcW w:w="2188" w:type="dxa"/>
            <w:vMerge/>
            <w:vAlign w:val="center"/>
          </w:tcPr>
          <w:p w14:paraId="27A2BBB1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29073584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49CD5FB" w14:textId="77777777" w:rsidR="00F209FF" w:rsidRPr="00593D27" w:rsidRDefault="007756D6" w:rsidP="007756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Pneumotorax </w:t>
            </w:r>
          </w:p>
        </w:tc>
        <w:tc>
          <w:tcPr>
            <w:tcW w:w="1127" w:type="dxa"/>
          </w:tcPr>
          <w:p w14:paraId="5FC9CD88" w14:textId="77777777" w:rsidR="00F209FF" w:rsidRPr="00593D27" w:rsidRDefault="00F209FF" w:rsidP="00DB3EE0">
            <w:pPr>
              <w:ind w:right="-72"/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5BDEC1F5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0BC3AEE5" w14:textId="77777777" w:rsidR="00F209FF" w:rsidRPr="00593D27" w:rsidRDefault="00F209FF" w:rsidP="00DB3EE0">
            <w:pPr>
              <w:rPr>
                <w:sz w:val="22"/>
                <w:szCs w:val="22"/>
              </w:rPr>
            </w:pPr>
            <w:r w:rsidRPr="00593D27">
              <w:rPr>
                <w:sz w:val="22"/>
                <w:szCs w:val="22"/>
              </w:rPr>
              <w:t>0</w:t>
            </w:r>
          </w:p>
        </w:tc>
      </w:tr>
      <w:tr w:rsidR="00F209FF" w14:paraId="2AFD04B7" w14:textId="77777777" w:rsidTr="00531CFF">
        <w:tc>
          <w:tcPr>
            <w:tcW w:w="2188" w:type="dxa"/>
            <w:vMerge/>
            <w:vAlign w:val="center"/>
          </w:tcPr>
          <w:p w14:paraId="7DD24DEF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</w:tcPr>
          <w:p w14:paraId="0804C3BC" w14:textId="77777777" w:rsidR="00F209FF" w:rsidRDefault="00A72AC1" w:rsidP="00DB3EE0">
            <w:pPr>
              <w:ind w:right="-108"/>
              <w:rPr>
                <w:sz w:val="22"/>
                <w:szCs w:val="22"/>
              </w:rPr>
            </w:pPr>
            <w:r w:rsidRPr="00A72AC1">
              <w:rPr>
                <w:sz w:val="22"/>
                <w:szCs w:val="22"/>
              </w:rPr>
              <w:t>Neznáme</w:t>
            </w:r>
          </w:p>
        </w:tc>
        <w:tc>
          <w:tcPr>
            <w:tcW w:w="2567" w:type="dxa"/>
          </w:tcPr>
          <w:p w14:paraId="39D5CB27" w14:textId="77777777" w:rsidR="00F209FF" w:rsidRPr="00593D27" w:rsidRDefault="007756D6" w:rsidP="007756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Intersticiálna choroba pľúc/pneumonitída† </w:t>
            </w:r>
          </w:p>
        </w:tc>
        <w:tc>
          <w:tcPr>
            <w:tcW w:w="1127" w:type="dxa"/>
          </w:tcPr>
          <w:p w14:paraId="59DF786C" w14:textId="77777777" w:rsidR="00F209FF" w:rsidRPr="00593D27" w:rsidRDefault="007756D6" w:rsidP="00DB3EE0">
            <w:pPr>
              <w:ind w:right="-72"/>
              <w:rPr>
                <w:sz w:val="22"/>
                <w:szCs w:val="22"/>
              </w:rPr>
            </w:pPr>
            <w:r w:rsidRPr="007756D6">
              <w:rPr>
                <w:sz w:val="22"/>
                <w:szCs w:val="22"/>
              </w:rPr>
              <w:t>neznáme</w:t>
            </w:r>
          </w:p>
        </w:tc>
        <w:tc>
          <w:tcPr>
            <w:tcW w:w="1127" w:type="dxa"/>
          </w:tcPr>
          <w:p w14:paraId="6D1BBE98" w14:textId="77777777" w:rsidR="00F209FF" w:rsidRPr="00593D27" w:rsidRDefault="007756D6" w:rsidP="00DB3EE0">
            <w:pPr>
              <w:rPr>
                <w:sz w:val="22"/>
                <w:szCs w:val="22"/>
              </w:rPr>
            </w:pPr>
            <w:r w:rsidRPr="007756D6">
              <w:rPr>
                <w:sz w:val="22"/>
                <w:szCs w:val="22"/>
              </w:rPr>
              <w:t>neznáme</w:t>
            </w:r>
          </w:p>
        </w:tc>
        <w:tc>
          <w:tcPr>
            <w:tcW w:w="1127" w:type="dxa"/>
          </w:tcPr>
          <w:p w14:paraId="5C6BB49E" w14:textId="77777777" w:rsidR="00F209FF" w:rsidRPr="00593D27" w:rsidRDefault="007756D6" w:rsidP="00DB3EE0">
            <w:pPr>
              <w:rPr>
                <w:sz w:val="22"/>
                <w:szCs w:val="22"/>
              </w:rPr>
            </w:pPr>
            <w:r w:rsidRPr="007756D6">
              <w:rPr>
                <w:sz w:val="22"/>
                <w:szCs w:val="22"/>
              </w:rPr>
              <w:t>neznáme</w:t>
            </w:r>
          </w:p>
        </w:tc>
      </w:tr>
      <w:tr w:rsidR="00F209FF" w14:paraId="642F40EB" w14:textId="77777777" w:rsidTr="00531CFF">
        <w:tc>
          <w:tcPr>
            <w:tcW w:w="2188" w:type="dxa"/>
            <w:vMerge w:val="restart"/>
            <w:vAlign w:val="center"/>
          </w:tcPr>
          <w:p w14:paraId="47AAA8DC" w14:textId="77777777" w:rsidR="00F209FF" w:rsidRPr="00650FC6" w:rsidRDefault="007756D6" w:rsidP="00DB3EE0">
            <w:pPr>
              <w:ind w:right="-108"/>
              <w:rPr>
                <w:b/>
                <w:sz w:val="22"/>
                <w:szCs w:val="22"/>
              </w:rPr>
            </w:pPr>
            <w:r w:rsidRPr="007756D6">
              <w:rPr>
                <w:b/>
                <w:sz w:val="22"/>
                <w:szCs w:val="22"/>
              </w:rPr>
              <w:t>Poruchy gastrointestinál- neho traktu</w:t>
            </w:r>
          </w:p>
        </w:tc>
        <w:tc>
          <w:tcPr>
            <w:tcW w:w="926" w:type="dxa"/>
            <w:vMerge w:val="restart"/>
          </w:tcPr>
          <w:p w14:paraId="791CEB97" w14:textId="77777777" w:rsidR="007756D6" w:rsidRDefault="007756D6" w:rsidP="007756D6">
            <w:pPr>
              <w:pStyle w:val="Default"/>
            </w:pPr>
            <w:r>
              <w:rPr>
                <w:sz w:val="22"/>
                <w:szCs w:val="22"/>
              </w:rPr>
              <w:t xml:space="preserve">Veľmi časté </w:t>
            </w:r>
          </w:p>
          <w:p w14:paraId="658700BB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733EFF6" w14:textId="77777777" w:rsidR="00F209FF" w:rsidRDefault="007756D6" w:rsidP="007756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Hnačka </w:t>
            </w:r>
          </w:p>
        </w:tc>
        <w:tc>
          <w:tcPr>
            <w:tcW w:w="1127" w:type="dxa"/>
          </w:tcPr>
          <w:p w14:paraId="6E8964AA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 (53%</w:t>
            </w:r>
            <w:r w:rsidRPr="006A38FC">
              <w:rPr>
                <w:sz w:val="22"/>
                <w:szCs w:val="22"/>
              </w:rPr>
              <w:t>)</w:t>
            </w:r>
          </w:p>
        </w:tc>
        <w:tc>
          <w:tcPr>
            <w:tcW w:w="1127" w:type="dxa"/>
          </w:tcPr>
          <w:p w14:paraId="27E7C5B8" w14:textId="77777777" w:rsidR="00F209FF" w:rsidRDefault="00F209FF" w:rsidP="00DB3EE0">
            <w:pPr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65 (6%)</w:t>
            </w:r>
          </w:p>
        </w:tc>
        <w:tc>
          <w:tcPr>
            <w:tcW w:w="1127" w:type="dxa"/>
          </w:tcPr>
          <w:p w14:paraId="0198F658" w14:textId="77777777" w:rsidR="00F209FF" w:rsidRDefault="00F209FF" w:rsidP="00DB3EE0">
            <w:pPr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2 (&lt;1%)</w:t>
            </w:r>
          </w:p>
        </w:tc>
      </w:tr>
      <w:tr w:rsidR="00F209FF" w14:paraId="604B9C63" w14:textId="77777777" w:rsidTr="00531CFF">
        <w:tc>
          <w:tcPr>
            <w:tcW w:w="2188" w:type="dxa"/>
            <w:vMerge/>
            <w:vAlign w:val="center"/>
          </w:tcPr>
          <w:p w14:paraId="03DA64FF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C613F9C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9D22D9E" w14:textId="77777777" w:rsidR="00F209FF" w:rsidRDefault="007756D6" w:rsidP="00DB3EE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Nauz</w:t>
            </w:r>
            <w:r w:rsidR="00F209FF" w:rsidRPr="00187E77">
              <w:rPr>
                <w:sz w:val="22"/>
                <w:szCs w:val="22"/>
              </w:rPr>
              <w:t>ea</w:t>
            </w:r>
          </w:p>
        </w:tc>
        <w:tc>
          <w:tcPr>
            <w:tcW w:w="1127" w:type="dxa"/>
          </w:tcPr>
          <w:p w14:paraId="3F2D009B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386 (34%)</w:t>
            </w:r>
          </w:p>
        </w:tc>
        <w:tc>
          <w:tcPr>
            <w:tcW w:w="1127" w:type="dxa"/>
          </w:tcPr>
          <w:p w14:paraId="3C7D1DF7" w14:textId="77777777" w:rsidR="00F209FF" w:rsidRDefault="00F209FF" w:rsidP="00DB3EE0">
            <w:pPr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14 (1%)</w:t>
            </w:r>
          </w:p>
        </w:tc>
        <w:tc>
          <w:tcPr>
            <w:tcW w:w="1127" w:type="dxa"/>
          </w:tcPr>
          <w:p w14:paraId="26F35689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44C63D74" w14:textId="77777777" w:rsidTr="00531CFF">
        <w:tc>
          <w:tcPr>
            <w:tcW w:w="2188" w:type="dxa"/>
            <w:vMerge/>
            <w:vAlign w:val="center"/>
          </w:tcPr>
          <w:p w14:paraId="4FBB5AE7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19B410F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C1BC0EE" w14:textId="77777777" w:rsidR="00F209FF" w:rsidRDefault="007756D6" w:rsidP="007756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Vracanie </w:t>
            </w:r>
          </w:p>
        </w:tc>
        <w:tc>
          <w:tcPr>
            <w:tcW w:w="1127" w:type="dxa"/>
          </w:tcPr>
          <w:p w14:paraId="6FC53430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225 (20%)</w:t>
            </w:r>
          </w:p>
        </w:tc>
        <w:tc>
          <w:tcPr>
            <w:tcW w:w="1127" w:type="dxa"/>
          </w:tcPr>
          <w:p w14:paraId="7B700B72" w14:textId="77777777" w:rsidR="00F209FF" w:rsidRDefault="00F209FF" w:rsidP="00DB3EE0">
            <w:pPr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18 (2%)</w:t>
            </w:r>
          </w:p>
        </w:tc>
        <w:tc>
          <w:tcPr>
            <w:tcW w:w="1127" w:type="dxa"/>
          </w:tcPr>
          <w:p w14:paraId="147417EB" w14:textId="77777777" w:rsidR="00F209FF" w:rsidRDefault="00F209FF" w:rsidP="00DB3EE0">
            <w:pPr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1 (&lt;1%)</w:t>
            </w:r>
          </w:p>
        </w:tc>
      </w:tr>
      <w:tr w:rsidR="00F209FF" w:rsidRPr="00187E77" w14:paraId="046637D3" w14:textId="77777777" w:rsidTr="00531CFF">
        <w:tc>
          <w:tcPr>
            <w:tcW w:w="2188" w:type="dxa"/>
            <w:vMerge/>
            <w:vAlign w:val="center"/>
          </w:tcPr>
          <w:p w14:paraId="043075FE" w14:textId="77777777" w:rsidR="00F209FF" w:rsidRPr="00187E77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522B457F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1160A20" w14:textId="77777777" w:rsidR="00F209FF" w:rsidRPr="00187E77" w:rsidRDefault="007756D6" w:rsidP="007756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Bolesť brucha</w:t>
            </w:r>
            <w:r w:rsidRPr="007756D6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27" w:type="dxa"/>
          </w:tcPr>
          <w:p w14:paraId="258F6A88" w14:textId="77777777" w:rsidR="00F209FF" w:rsidRPr="00187E77" w:rsidRDefault="00F209FF" w:rsidP="00DB3EE0">
            <w:pPr>
              <w:ind w:right="-72"/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139 (12%)</w:t>
            </w:r>
          </w:p>
        </w:tc>
        <w:tc>
          <w:tcPr>
            <w:tcW w:w="1127" w:type="dxa"/>
          </w:tcPr>
          <w:p w14:paraId="09F6B562" w14:textId="77777777" w:rsidR="00F209FF" w:rsidRPr="00187E77" w:rsidRDefault="00F209FF" w:rsidP="00DB3EE0">
            <w:pPr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15 (1%)</w:t>
            </w:r>
          </w:p>
        </w:tc>
        <w:tc>
          <w:tcPr>
            <w:tcW w:w="1127" w:type="dxa"/>
          </w:tcPr>
          <w:p w14:paraId="58991923" w14:textId="77777777" w:rsidR="00F209FF" w:rsidRPr="00187E77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:rsidRPr="00187E77" w14:paraId="740E5BF6" w14:textId="77777777" w:rsidTr="00531CFF">
        <w:tc>
          <w:tcPr>
            <w:tcW w:w="2188" w:type="dxa"/>
            <w:vMerge/>
            <w:vAlign w:val="center"/>
          </w:tcPr>
          <w:p w14:paraId="6078408A" w14:textId="77777777" w:rsidR="00F209FF" w:rsidRPr="00187E77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0050D264" w14:textId="77777777" w:rsidR="007756D6" w:rsidRDefault="007756D6" w:rsidP="007756D6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37A3FB27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8E6E32F" w14:textId="77777777" w:rsidR="00F209FF" w:rsidRPr="00187E77" w:rsidRDefault="007756D6" w:rsidP="007756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Stomatitída </w:t>
            </w:r>
          </w:p>
        </w:tc>
        <w:tc>
          <w:tcPr>
            <w:tcW w:w="1127" w:type="dxa"/>
          </w:tcPr>
          <w:p w14:paraId="3CA64609" w14:textId="77777777" w:rsidR="00F209FF" w:rsidRPr="00187E77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(8%)</w:t>
            </w:r>
          </w:p>
        </w:tc>
        <w:tc>
          <w:tcPr>
            <w:tcW w:w="1127" w:type="dxa"/>
          </w:tcPr>
          <w:p w14:paraId="51D99771" w14:textId="77777777" w:rsidR="00F209FF" w:rsidRPr="00187E77" w:rsidRDefault="00F209FF" w:rsidP="00DB3EE0">
            <w:pPr>
              <w:ind w:right="-72"/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4 (&lt;1%)</w:t>
            </w:r>
          </w:p>
        </w:tc>
        <w:tc>
          <w:tcPr>
            <w:tcW w:w="1127" w:type="dxa"/>
          </w:tcPr>
          <w:p w14:paraId="2393B187" w14:textId="77777777" w:rsidR="00F209FF" w:rsidRPr="00187E77" w:rsidRDefault="00F209FF" w:rsidP="00DB3EE0">
            <w:pPr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0</w:t>
            </w:r>
          </w:p>
        </w:tc>
      </w:tr>
      <w:tr w:rsidR="00F209FF" w:rsidRPr="00187E77" w14:paraId="177B7969" w14:textId="77777777" w:rsidTr="00531CFF">
        <w:tc>
          <w:tcPr>
            <w:tcW w:w="2188" w:type="dxa"/>
            <w:vMerge/>
            <w:vAlign w:val="center"/>
          </w:tcPr>
          <w:p w14:paraId="65EAD6FD" w14:textId="77777777" w:rsidR="00F209FF" w:rsidRPr="00187E77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7D469407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7A9D4DE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  <w:r w:rsidRPr="00187E77">
              <w:rPr>
                <w:sz w:val="22"/>
                <w:szCs w:val="22"/>
              </w:rPr>
              <w:t>Dyspepsia</w:t>
            </w:r>
          </w:p>
        </w:tc>
        <w:tc>
          <w:tcPr>
            <w:tcW w:w="1127" w:type="dxa"/>
          </w:tcPr>
          <w:p w14:paraId="69581A18" w14:textId="77777777" w:rsidR="00F209FF" w:rsidRPr="00187E77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(7%)</w:t>
            </w:r>
          </w:p>
        </w:tc>
        <w:tc>
          <w:tcPr>
            <w:tcW w:w="1127" w:type="dxa"/>
          </w:tcPr>
          <w:p w14:paraId="73EDF590" w14:textId="77777777" w:rsidR="00F209FF" w:rsidRPr="00187E77" w:rsidRDefault="00F209FF" w:rsidP="00DB3EE0">
            <w:pPr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0AF29645" w14:textId="77777777" w:rsidR="00F209FF" w:rsidRPr="00187E77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:rsidRPr="00187E77" w14:paraId="3AF7AAB6" w14:textId="77777777" w:rsidTr="00531CFF">
        <w:tc>
          <w:tcPr>
            <w:tcW w:w="2188" w:type="dxa"/>
            <w:vMerge/>
            <w:vAlign w:val="center"/>
          </w:tcPr>
          <w:p w14:paraId="76ED684A" w14:textId="77777777" w:rsidR="00F209FF" w:rsidRPr="00187E77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0CC6D31A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29D356E" w14:textId="77777777" w:rsidR="00F209FF" w:rsidRPr="00187E77" w:rsidRDefault="007756D6" w:rsidP="007756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Flatulencia </w:t>
            </w:r>
          </w:p>
        </w:tc>
        <w:tc>
          <w:tcPr>
            <w:tcW w:w="1127" w:type="dxa"/>
          </w:tcPr>
          <w:p w14:paraId="2417A484" w14:textId="77777777" w:rsidR="00F209FF" w:rsidRPr="00187E77" w:rsidRDefault="00F209FF" w:rsidP="00DB3EE0">
            <w:pPr>
              <w:ind w:right="-72"/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43 (4%)</w:t>
            </w:r>
          </w:p>
        </w:tc>
        <w:tc>
          <w:tcPr>
            <w:tcW w:w="1127" w:type="dxa"/>
          </w:tcPr>
          <w:p w14:paraId="3A0F107B" w14:textId="77777777" w:rsidR="00F209FF" w:rsidRPr="00187E77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EF7FED2" w14:textId="77777777" w:rsidR="00F209FF" w:rsidRPr="00187E77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:rsidRPr="00187E77" w14:paraId="23F8FC12" w14:textId="77777777" w:rsidTr="00531CFF">
        <w:tc>
          <w:tcPr>
            <w:tcW w:w="2188" w:type="dxa"/>
            <w:vMerge/>
            <w:vAlign w:val="center"/>
          </w:tcPr>
          <w:p w14:paraId="4A5CDBA9" w14:textId="77777777" w:rsidR="00F209FF" w:rsidRPr="00187E77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763D089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B44186B" w14:textId="77777777" w:rsidR="00F209FF" w:rsidRPr="00187E77" w:rsidRDefault="007756D6" w:rsidP="007756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Abdominálna distenzia </w:t>
            </w:r>
          </w:p>
        </w:tc>
        <w:tc>
          <w:tcPr>
            <w:tcW w:w="1127" w:type="dxa"/>
          </w:tcPr>
          <w:p w14:paraId="7E69BC59" w14:textId="77777777" w:rsidR="00F209FF" w:rsidRPr="00187E77" w:rsidRDefault="00F209FF" w:rsidP="00DB3EE0">
            <w:pPr>
              <w:ind w:right="-72"/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36 (3%)</w:t>
            </w:r>
          </w:p>
        </w:tc>
        <w:tc>
          <w:tcPr>
            <w:tcW w:w="1127" w:type="dxa"/>
          </w:tcPr>
          <w:p w14:paraId="396BAFB9" w14:textId="77777777" w:rsidR="00F209FF" w:rsidRPr="00187E77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38FC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73411CC1" w14:textId="77777777" w:rsidR="00F209FF" w:rsidRPr="00187E77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:rsidRPr="00187E77" w14:paraId="3974035A" w14:textId="77777777" w:rsidTr="00531CFF">
        <w:tc>
          <w:tcPr>
            <w:tcW w:w="2188" w:type="dxa"/>
            <w:vMerge/>
            <w:vAlign w:val="center"/>
          </w:tcPr>
          <w:p w14:paraId="21EAFE01" w14:textId="77777777" w:rsidR="00F209FF" w:rsidRPr="00187E77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F1F406F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CF7B484" w14:textId="77777777" w:rsidR="00F209FF" w:rsidRPr="00187E77" w:rsidRDefault="00D169B9" w:rsidP="00DB3EE0">
            <w:pPr>
              <w:ind w:right="-108"/>
              <w:rPr>
                <w:sz w:val="22"/>
                <w:szCs w:val="22"/>
              </w:rPr>
            </w:pPr>
            <w:r w:rsidRPr="00D169B9">
              <w:rPr>
                <w:sz w:val="22"/>
                <w:szCs w:val="22"/>
              </w:rPr>
              <w:t>Vriedky v ústnej dutine</w:t>
            </w:r>
          </w:p>
        </w:tc>
        <w:tc>
          <w:tcPr>
            <w:tcW w:w="1127" w:type="dxa"/>
          </w:tcPr>
          <w:p w14:paraId="45D5361F" w14:textId="77777777" w:rsidR="00F209FF" w:rsidRPr="00187E77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6A38F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2</w:t>
            </w:r>
            <w:r w:rsidRPr="006A38FC">
              <w:rPr>
                <w:sz w:val="22"/>
                <w:szCs w:val="22"/>
              </w:rPr>
              <w:t>%)</w:t>
            </w:r>
          </w:p>
        </w:tc>
        <w:tc>
          <w:tcPr>
            <w:tcW w:w="1127" w:type="dxa"/>
          </w:tcPr>
          <w:p w14:paraId="1F8A1B01" w14:textId="77777777" w:rsidR="00F209FF" w:rsidRPr="00187E77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A38FC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103AC3BE" w14:textId="77777777" w:rsidR="00F209FF" w:rsidRPr="00187E77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75B006F3" w14:textId="77777777" w:rsidTr="00531CFF">
        <w:tc>
          <w:tcPr>
            <w:tcW w:w="2188" w:type="dxa"/>
            <w:vMerge/>
            <w:vAlign w:val="center"/>
          </w:tcPr>
          <w:p w14:paraId="32B1576E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5873F897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414ACB1" w14:textId="77777777" w:rsidR="00F209FF" w:rsidRDefault="00D169B9" w:rsidP="00DB3EE0">
            <w:pPr>
              <w:ind w:right="-108"/>
              <w:rPr>
                <w:sz w:val="22"/>
                <w:szCs w:val="22"/>
              </w:rPr>
            </w:pPr>
            <w:r w:rsidRPr="00D169B9">
              <w:rPr>
                <w:sz w:val="22"/>
                <w:szCs w:val="22"/>
              </w:rPr>
              <w:t>Suchosť v ústach</w:t>
            </w:r>
          </w:p>
        </w:tc>
        <w:tc>
          <w:tcPr>
            <w:tcW w:w="1127" w:type="dxa"/>
          </w:tcPr>
          <w:p w14:paraId="5831FB75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27 (2%)</w:t>
            </w:r>
          </w:p>
        </w:tc>
        <w:tc>
          <w:tcPr>
            <w:tcW w:w="1127" w:type="dxa"/>
          </w:tcPr>
          <w:p w14:paraId="1088ACC5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658BF4E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44D67365" w14:textId="77777777" w:rsidTr="00531CFF">
        <w:tc>
          <w:tcPr>
            <w:tcW w:w="2188" w:type="dxa"/>
            <w:vMerge/>
            <w:vAlign w:val="center"/>
          </w:tcPr>
          <w:p w14:paraId="7D077C87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234148BF" w14:textId="77777777" w:rsidR="007756D6" w:rsidRDefault="007756D6" w:rsidP="007756D6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1A908B0D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6332606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Pankreatitída </w:t>
            </w:r>
          </w:p>
        </w:tc>
        <w:tc>
          <w:tcPr>
            <w:tcW w:w="1127" w:type="dxa"/>
          </w:tcPr>
          <w:p w14:paraId="634685C6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(&lt;1%)</w:t>
            </w:r>
          </w:p>
        </w:tc>
        <w:tc>
          <w:tcPr>
            <w:tcW w:w="1127" w:type="dxa"/>
          </w:tcPr>
          <w:p w14:paraId="2386F5B7" w14:textId="77777777" w:rsidR="00F209FF" w:rsidRDefault="00F209FF" w:rsidP="00DB3EE0">
            <w:pPr>
              <w:rPr>
                <w:sz w:val="22"/>
                <w:szCs w:val="22"/>
              </w:rPr>
            </w:pPr>
            <w:r w:rsidRPr="006A38FC">
              <w:rPr>
                <w:sz w:val="22"/>
                <w:szCs w:val="22"/>
              </w:rPr>
              <w:t>4 (&lt;1%)</w:t>
            </w:r>
          </w:p>
        </w:tc>
        <w:tc>
          <w:tcPr>
            <w:tcW w:w="1127" w:type="dxa"/>
          </w:tcPr>
          <w:p w14:paraId="0B8D3FD5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1B4A0B37" w14:textId="77777777" w:rsidTr="00531CFF">
        <w:tc>
          <w:tcPr>
            <w:tcW w:w="2188" w:type="dxa"/>
            <w:vMerge/>
            <w:vAlign w:val="center"/>
          </w:tcPr>
          <w:p w14:paraId="7215B930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66E5BED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2C965BF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Rektálne krvácanie </w:t>
            </w:r>
          </w:p>
        </w:tc>
        <w:tc>
          <w:tcPr>
            <w:tcW w:w="1127" w:type="dxa"/>
          </w:tcPr>
          <w:p w14:paraId="53511146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(&lt;1%)</w:t>
            </w:r>
          </w:p>
        </w:tc>
        <w:tc>
          <w:tcPr>
            <w:tcW w:w="1127" w:type="dxa"/>
          </w:tcPr>
          <w:p w14:paraId="68108FCE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38FC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5E69C8D2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132EF1B4" w14:textId="77777777" w:rsidTr="00531CFF">
        <w:tc>
          <w:tcPr>
            <w:tcW w:w="2188" w:type="dxa"/>
            <w:vMerge/>
            <w:vAlign w:val="center"/>
          </w:tcPr>
          <w:p w14:paraId="029CF82E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5AE99CDB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F33547A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Hematochézia </w:t>
            </w:r>
          </w:p>
        </w:tc>
        <w:tc>
          <w:tcPr>
            <w:tcW w:w="1127" w:type="dxa"/>
          </w:tcPr>
          <w:p w14:paraId="7F3CB1C5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(&lt;1%)</w:t>
            </w:r>
          </w:p>
        </w:tc>
        <w:tc>
          <w:tcPr>
            <w:tcW w:w="1127" w:type="dxa"/>
          </w:tcPr>
          <w:p w14:paraId="567CD085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0D586532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6A082667" w14:textId="77777777" w:rsidTr="00531CFF">
        <w:tc>
          <w:tcPr>
            <w:tcW w:w="2188" w:type="dxa"/>
            <w:vMerge/>
            <w:vAlign w:val="center"/>
          </w:tcPr>
          <w:p w14:paraId="0AFB4542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49CB7A9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B3EC18F" w14:textId="77777777" w:rsidR="00F209FF" w:rsidRDefault="00D169B9" w:rsidP="00DB3EE0">
            <w:pPr>
              <w:ind w:right="-108"/>
              <w:rPr>
                <w:sz w:val="22"/>
                <w:szCs w:val="22"/>
              </w:rPr>
            </w:pPr>
            <w:r w:rsidRPr="00D169B9">
              <w:rPr>
                <w:sz w:val="22"/>
                <w:szCs w:val="22"/>
              </w:rPr>
              <w:t>Gastrointestinálne krvácanie</w:t>
            </w:r>
          </w:p>
        </w:tc>
        <w:tc>
          <w:tcPr>
            <w:tcW w:w="1127" w:type="dxa"/>
          </w:tcPr>
          <w:p w14:paraId="61946BC1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(&lt;1%)</w:t>
            </w:r>
          </w:p>
        </w:tc>
        <w:tc>
          <w:tcPr>
            <w:tcW w:w="1127" w:type="dxa"/>
          </w:tcPr>
          <w:p w14:paraId="15F6BF08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38FC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360B494F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39C3B543" w14:textId="77777777" w:rsidTr="00531CFF">
        <w:tc>
          <w:tcPr>
            <w:tcW w:w="2188" w:type="dxa"/>
            <w:vMerge/>
            <w:vAlign w:val="center"/>
          </w:tcPr>
          <w:p w14:paraId="55B61AED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633EA50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0B0CE56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Meléna </w:t>
            </w:r>
          </w:p>
        </w:tc>
        <w:tc>
          <w:tcPr>
            <w:tcW w:w="1127" w:type="dxa"/>
          </w:tcPr>
          <w:p w14:paraId="29E899D4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(&lt;1%)</w:t>
            </w:r>
          </w:p>
        </w:tc>
        <w:tc>
          <w:tcPr>
            <w:tcW w:w="1127" w:type="dxa"/>
          </w:tcPr>
          <w:p w14:paraId="5B6212A9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A38FC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5C72C385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7029D800" w14:textId="77777777" w:rsidTr="00531CFF">
        <w:tc>
          <w:tcPr>
            <w:tcW w:w="2188" w:type="dxa"/>
            <w:vMerge/>
            <w:vAlign w:val="center"/>
          </w:tcPr>
          <w:p w14:paraId="240D8D0E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6E91107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63F0333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Častá stolica </w:t>
            </w:r>
          </w:p>
        </w:tc>
        <w:tc>
          <w:tcPr>
            <w:tcW w:w="1127" w:type="dxa"/>
          </w:tcPr>
          <w:p w14:paraId="5A6A8435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435EC670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25EF80B8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09DBC881" w14:textId="77777777" w:rsidTr="00531CFF">
        <w:tc>
          <w:tcPr>
            <w:tcW w:w="2188" w:type="dxa"/>
            <w:vMerge/>
            <w:vAlign w:val="center"/>
          </w:tcPr>
          <w:p w14:paraId="10506AF1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78236B9A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1E3DACD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Krvácanie z anusu </w:t>
            </w:r>
          </w:p>
        </w:tc>
        <w:tc>
          <w:tcPr>
            <w:tcW w:w="1127" w:type="dxa"/>
          </w:tcPr>
          <w:p w14:paraId="1D4D94A9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444CD4FD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5293C43A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463733C0" w14:textId="77777777" w:rsidTr="00531CFF">
        <w:tc>
          <w:tcPr>
            <w:tcW w:w="2188" w:type="dxa"/>
            <w:vMerge/>
            <w:vAlign w:val="center"/>
          </w:tcPr>
          <w:p w14:paraId="4FA7B1C3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F5B68D1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0D1181B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Perforácia hrubého čreva </w:t>
            </w:r>
          </w:p>
        </w:tc>
        <w:tc>
          <w:tcPr>
            <w:tcW w:w="1127" w:type="dxa"/>
          </w:tcPr>
          <w:p w14:paraId="10969928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7C7E42BC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A38FC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12D310C6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01A5568E" w14:textId="77777777" w:rsidTr="00531CFF">
        <w:tc>
          <w:tcPr>
            <w:tcW w:w="2188" w:type="dxa"/>
            <w:vMerge/>
            <w:vAlign w:val="center"/>
          </w:tcPr>
          <w:p w14:paraId="4EC932F4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7B48B31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44C9465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Krvácanie v ústnej dutine </w:t>
            </w:r>
          </w:p>
        </w:tc>
        <w:tc>
          <w:tcPr>
            <w:tcW w:w="1127" w:type="dxa"/>
          </w:tcPr>
          <w:p w14:paraId="08E5A602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6D1E60DB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4176B25C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2D8FAAD3" w14:textId="77777777" w:rsidTr="00531CFF">
        <w:tc>
          <w:tcPr>
            <w:tcW w:w="2188" w:type="dxa"/>
            <w:vMerge/>
            <w:vAlign w:val="center"/>
          </w:tcPr>
          <w:p w14:paraId="3EF644FA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08C0F7ED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DF3FA83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Krvácanie v hornej časti gastrointestinálneho traktu </w:t>
            </w:r>
          </w:p>
        </w:tc>
        <w:tc>
          <w:tcPr>
            <w:tcW w:w="1127" w:type="dxa"/>
          </w:tcPr>
          <w:p w14:paraId="43DE755E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484961B4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A38FC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423605F7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76299E98" w14:textId="77777777" w:rsidTr="00531CFF">
        <w:tc>
          <w:tcPr>
            <w:tcW w:w="2188" w:type="dxa"/>
            <w:vMerge/>
            <w:vAlign w:val="center"/>
          </w:tcPr>
          <w:p w14:paraId="7B992F2D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EB3B8F9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FCC0A64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Enterokutánna fistula</w:t>
            </w:r>
          </w:p>
        </w:tc>
        <w:tc>
          <w:tcPr>
            <w:tcW w:w="1127" w:type="dxa"/>
          </w:tcPr>
          <w:p w14:paraId="21B76151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131D22BE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5FCA7CFB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4B1BE07D" w14:textId="77777777" w:rsidTr="00531CFF">
        <w:tc>
          <w:tcPr>
            <w:tcW w:w="2188" w:type="dxa"/>
            <w:vMerge/>
            <w:vAlign w:val="center"/>
          </w:tcPr>
          <w:p w14:paraId="35B61F43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26DA1280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7048514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Hemateméza </w:t>
            </w:r>
          </w:p>
        </w:tc>
        <w:tc>
          <w:tcPr>
            <w:tcW w:w="1127" w:type="dxa"/>
          </w:tcPr>
          <w:p w14:paraId="23721C2C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6BAF7788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45899B69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613732B1" w14:textId="77777777" w:rsidTr="00531CFF">
        <w:tc>
          <w:tcPr>
            <w:tcW w:w="2188" w:type="dxa"/>
            <w:vMerge/>
            <w:vAlign w:val="center"/>
          </w:tcPr>
          <w:p w14:paraId="077FF0FB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524C914B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E6EC85B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Hemoroidálne krvácanie </w:t>
            </w:r>
          </w:p>
        </w:tc>
        <w:tc>
          <w:tcPr>
            <w:tcW w:w="1127" w:type="dxa"/>
          </w:tcPr>
          <w:p w14:paraId="5B092A4B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09A853EB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19A81B97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3A6AC7C4" w14:textId="77777777" w:rsidTr="00531CFF">
        <w:tc>
          <w:tcPr>
            <w:tcW w:w="2188" w:type="dxa"/>
            <w:vMerge/>
            <w:vAlign w:val="center"/>
          </w:tcPr>
          <w:p w14:paraId="1DA08B0B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302D733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F068DD5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Perforácia ilea </w:t>
            </w:r>
          </w:p>
        </w:tc>
        <w:tc>
          <w:tcPr>
            <w:tcW w:w="1127" w:type="dxa"/>
          </w:tcPr>
          <w:p w14:paraId="097BD0BD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6E03AA84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1DB16B36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</w:tr>
      <w:tr w:rsidR="00F209FF" w14:paraId="0F6D0700" w14:textId="77777777" w:rsidTr="00531CFF">
        <w:tc>
          <w:tcPr>
            <w:tcW w:w="2188" w:type="dxa"/>
            <w:vMerge/>
            <w:vAlign w:val="center"/>
          </w:tcPr>
          <w:p w14:paraId="2D7E792E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7FB9E6B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AF95E5D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Ezofágové krvácanie </w:t>
            </w:r>
          </w:p>
        </w:tc>
        <w:tc>
          <w:tcPr>
            <w:tcW w:w="1127" w:type="dxa"/>
          </w:tcPr>
          <w:p w14:paraId="0BA5FA6B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79848C2C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D0261C0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202DF16D" w14:textId="77777777" w:rsidTr="00531CFF">
        <w:tc>
          <w:tcPr>
            <w:tcW w:w="2188" w:type="dxa"/>
            <w:vMerge/>
            <w:vAlign w:val="center"/>
          </w:tcPr>
          <w:p w14:paraId="64B25567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2883386C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D183F35" w14:textId="77777777" w:rsidR="00F209FF" w:rsidRDefault="00D169B9" w:rsidP="00D169B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Retroperitoneálne krvácanie </w:t>
            </w:r>
          </w:p>
        </w:tc>
        <w:tc>
          <w:tcPr>
            <w:tcW w:w="1127" w:type="dxa"/>
          </w:tcPr>
          <w:p w14:paraId="363DA208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757DD536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77695D51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35057B84" w14:textId="77777777" w:rsidTr="00531CFF">
        <w:tc>
          <w:tcPr>
            <w:tcW w:w="2188" w:type="dxa"/>
            <w:vMerge w:val="restart"/>
            <w:vAlign w:val="center"/>
          </w:tcPr>
          <w:p w14:paraId="1D93A5F6" w14:textId="77777777" w:rsidR="004D3C3B" w:rsidRDefault="004D3C3B" w:rsidP="004D3C3B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pečene a žlčových ciest </w:t>
            </w:r>
          </w:p>
          <w:p w14:paraId="44528D28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2DFE199D" w14:textId="77777777" w:rsidR="004D3C3B" w:rsidRDefault="004D3C3B" w:rsidP="004D3C3B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08296CF6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845D370" w14:textId="77777777" w:rsidR="00F209FF" w:rsidRDefault="004D3C3B" w:rsidP="004D3C3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Hyperbilirubinémia</w:t>
            </w:r>
          </w:p>
        </w:tc>
        <w:tc>
          <w:tcPr>
            <w:tcW w:w="1127" w:type="dxa"/>
          </w:tcPr>
          <w:p w14:paraId="69CD40C2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 w:rsidRPr="006E6673">
              <w:rPr>
                <w:sz w:val="22"/>
                <w:szCs w:val="22"/>
              </w:rPr>
              <w:t>38 (3%)</w:t>
            </w:r>
          </w:p>
        </w:tc>
        <w:tc>
          <w:tcPr>
            <w:tcW w:w="1127" w:type="dxa"/>
          </w:tcPr>
          <w:p w14:paraId="023A40DA" w14:textId="77777777" w:rsidR="00F209FF" w:rsidRDefault="00F209FF" w:rsidP="00DB3EE0">
            <w:pPr>
              <w:rPr>
                <w:sz w:val="22"/>
                <w:szCs w:val="22"/>
              </w:rPr>
            </w:pPr>
            <w:r w:rsidRPr="006E6673"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0FD68DAA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</w:tr>
      <w:tr w:rsidR="00F209FF" w14:paraId="773459E8" w14:textId="77777777" w:rsidTr="00531CFF">
        <w:tc>
          <w:tcPr>
            <w:tcW w:w="2188" w:type="dxa"/>
            <w:vMerge/>
            <w:vAlign w:val="center"/>
          </w:tcPr>
          <w:p w14:paraId="2E604FBF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FE00F3B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1B510CB" w14:textId="77777777" w:rsidR="00F209FF" w:rsidRDefault="004D3C3B" w:rsidP="004D3C3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Porucha funkcie pečene </w:t>
            </w:r>
          </w:p>
        </w:tc>
        <w:tc>
          <w:tcPr>
            <w:tcW w:w="1127" w:type="dxa"/>
          </w:tcPr>
          <w:p w14:paraId="6A5204B9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6E6673">
              <w:rPr>
                <w:sz w:val="22"/>
                <w:szCs w:val="22"/>
              </w:rPr>
              <w:t xml:space="preserve"> (3%)</w:t>
            </w:r>
          </w:p>
        </w:tc>
        <w:tc>
          <w:tcPr>
            <w:tcW w:w="1127" w:type="dxa"/>
          </w:tcPr>
          <w:p w14:paraId="678C2A43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6E6673">
              <w:rPr>
                <w:sz w:val="22"/>
                <w:szCs w:val="22"/>
              </w:rPr>
              <w:t xml:space="preserve"> (1%)</w:t>
            </w:r>
          </w:p>
        </w:tc>
        <w:tc>
          <w:tcPr>
            <w:tcW w:w="1127" w:type="dxa"/>
          </w:tcPr>
          <w:p w14:paraId="073E2C40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</w:tr>
      <w:tr w:rsidR="00F209FF" w14:paraId="0A86D2CB" w14:textId="77777777" w:rsidTr="00531CFF">
        <w:tc>
          <w:tcPr>
            <w:tcW w:w="2188" w:type="dxa"/>
            <w:vMerge/>
            <w:vAlign w:val="center"/>
          </w:tcPr>
          <w:p w14:paraId="2E69FE23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3474B13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117E0E2" w14:textId="77777777" w:rsidR="00F209FF" w:rsidRDefault="004D3C3B" w:rsidP="004D3C3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Hepatotoxicita </w:t>
            </w:r>
          </w:p>
        </w:tc>
        <w:tc>
          <w:tcPr>
            <w:tcW w:w="1127" w:type="dxa"/>
          </w:tcPr>
          <w:p w14:paraId="1C1B14CC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E667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2</w:t>
            </w:r>
            <w:r w:rsidRPr="006E6673">
              <w:rPr>
                <w:sz w:val="22"/>
                <w:szCs w:val="22"/>
              </w:rPr>
              <w:t>%)</w:t>
            </w:r>
          </w:p>
        </w:tc>
        <w:tc>
          <w:tcPr>
            <w:tcW w:w="1127" w:type="dxa"/>
          </w:tcPr>
          <w:p w14:paraId="55F98FA7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E6673">
              <w:rPr>
                <w:sz w:val="22"/>
                <w:szCs w:val="22"/>
              </w:rPr>
              <w:t>(&lt;1%)</w:t>
            </w:r>
          </w:p>
        </w:tc>
        <w:tc>
          <w:tcPr>
            <w:tcW w:w="1127" w:type="dxa"/>
          </w:tcPr>
          <w:p w14:paraId="6208E6B0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</w:tr>
      <w:tr w:rsidR="00F209FF" w14:paraId="4FE544DB" w14:textId="77777777" w:rsidTr="00531CFF">
        <w:tc>
          <w:tcPr>
            <w:tcW w:w="2188" w:type="dxa"/>
            <w:vMerge/>
            <w:vAlign w:val="center"/>
          </w:tcPr>
          <w:p w14:paraId="71517BF4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5E0D210C" w14:textId="77777777" w:rsidR="004D3C3B" w:rsidRDefault="004D3C3B" w:rsidP="004D3C3B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38B9A84B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57A2468" w14:textId="77777777" w:rsidR="00F209FF" w:rsidRDefault="004D3C3B" w:rsidP="00DB3EE0">
            <w:pPr>
              <w:ind w:right="-108"/>
              <w:rPr>
                <w:sz w:val="22"/>
                <w:szCs w:val="22"/>
              </w:rPr>
            </w:pPr>
            <w:r w:rsidRPr="004D3C3B">
              <w:rPr>
                <w:sz w:val="22"/>
                <w:szCs w:val="22"/>
              </w:rPr>
              <w:t>Žltačka</w:t>
            </w:r>
          </w:p>
        </w:tc>
        <w:tc>
          <w:tcPr>
            <w:tcW w:w="1127" w:type="dxa"/>
          </w:tcPr>
          <w:p w14:paraId="79D3777B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409B9162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2B25456E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1E8A3143" w14:textId="77777777" w:rsidTr="00531CFF">
        <w:tc>
          <w:tcPr>
            <w:tcW w:w="2188" w:type="dxa"/>
            <w:vMerge/>
            <w:vAlign w:val="center"/>
          </w:tcPr>
          <w:p w14:paraId="298F72BB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7F313C5B" w14:textId="77777777" w:rsidR="00F209FF" w:rsidRPr="00187E77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EE579C1" w14:textId="77777777" w:rsidR="00F209FF" w:rsidRDefault="004D3C3B" w:rsidP="00DB3EE0">
            <w:pPr>
              <w:ind w:right="-108"/>
              <w:rPr>
                <w:sz w:val="22"/>
                <w:szCs w:val="22"/>
              </w:rPr>
            </w:pPr>
            <w:r w:rsidRPr="004D3C3B">
              <w:rPr>
                <w:sz w:val="22"/>
                <w:szCs w:val="22"/>
              </w:rPr>
              <w:t>Poškodenie pečene vyvolané liekom</w:t>
            </w:r>
          </w:p>
        </w:tc>
        <w:tc>
          <w:tcPr>
            <w:tcW w:w="1127" w:type="dxa"/>
          </w:tcPr>
          <w:p w14:paraId="647C9CFB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1B9F280C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43D00630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25E68276" w14:textId="77777777" w:rsidTr="00531CFF">
        <w:tc>
          <w:tcPr>
            <w:tcW w:w="2188" w:type="dxa"/>
            <w:vMerge/>
            <w:vAlign w:val="center"/>
          </w:tcPr>
          <w:p w14:paraId="3690984E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42FAE51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43F4C4B" w14:textId="77777777" w:rsidR="00F209FF" w:rsidRDefault="004D3C3B" w:rsidP="00DB3EE0">
            <w:pPr>
              <w:ind w:right="-108"/>
              <w:rPr>
                <w:sz w:val="22"/>
                <w:szCs w:val="22"/>
              </w:rPr>
            </w:pPr>
            <w:r w:rsidRPr="004D3C3B">
              <w:rPr>
                <w:sz w:val="22"/>
                <w:szCs w:val="22"/>
              </w:rPr>
              <w:t>Zlyhanie pečene</w:t>
            </w:r>
          </w:p>
        </w:tc>
        <w:tc>
          <w:tcPr>
            <w:tcW w:w="1127" w:type="dxa"/>
          </w:tcPr>
          <w:p w14:paraId="5B5E9E2E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57E728BF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5A12FFA7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</w:tr>
      <w:tr w:rsidR="00F209FF" w14:paraId="6762E837" w14:textId="77777777" w:rsidTr="00531CFF">
        <w:tc>
          <w:tcPr>
            <w:tcW w:w="2188" w:type="dxa"/>
            <w:vMerge w:val="restart"/>
            <w:vAlign w:val="center"/>
          </w:tcPr>
          <w:p w14:paraId="1727A5B6" w14:textId="77777777" w:rsidR="004D3C3B" w:rsidRDefault="004D3C3B" w:rsidP="004D3C3B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kože a podkožného tkaniva </w:t>
            </w:r>
          </w:p>
          <w:p w14:paraId="670CFD79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7864FA4C" w14:textId="77777777" w:rsidR="00F209FF" w:rsidRDefault="004D3C3B" w:rsidP="00DB3EE0">
            <w:pPr>
              <w:ind w:right="-108"/>
              <w:rPr>
                <w:sz w:val="22"/>
                <w:szCs w:val="22"/>
              </w:rPr>
            </w:pPr>
            <w:r w:rsidRPr="004D3C3B">
              <w:rPr>
                <w:sz w:val="22"/>
                <w:szCs w:val="22"/>
              </w:rPr>
              <w:t>Veľmi časté</w:t>
            </w:r>
          </w:p>
        </w:tc>
        <w:tc>
          <w:tcPr>
            <w:tcW w:w="2567" w:type="dxa"/>
          </w:tcPr>
          <w:p w14:paraId="54E332AA" w14:textId="77777777" w:rsidR="00F209FF" w:rsidRDefault="004D3C3B" w:rsidP="004D3C3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Zmena farby vlasov </w:t>
            </w:r>
          </w:p>
        </w:tc>
        <w:tc>
          <w:tcPr>
            <w:tcW w:w="1127" w:type="dxa"/>
          </w:tcPr>
          <w:p w14:paraId="2B1B83BE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 (35%)</w:t>
            </w:r>
          </w:p>
        </w:tc>
        <w:tc>
          <w:tcPr>
            <w:tcW w:w="1127" w:type="dxa"/>
          </w:tcPr>
          <w:p w14:paraId="5999DDA6" w14:textId="77777777" w:rsidR="00F209FF" w:rsidRDefault="00F209FF" w:rsidP="00DB3EE0">
            <w:pPr>
              <w:rPr>
                <w:sz w:val="22"/>
                <w:szCs w:val="22"/>
              </w:rPr>
            </w:pPr>
            <w:r w:rsidRPr="00CE3E41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7ED90A09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19960C68" w14:textId="77777777" w:rsidTr="00531CFF">
        <w:tc>
          <w:tcPr>
            <w:tcW w:w="2188" w:type="dxa"/>
            <w:vMerge/>
            <w:vAlign w:val="center"/>
          </w:tcPr>
          <w:p w14:paraId="58736404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5DD0C5B8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D3DFCA3" w14:textId="77777777" w:rsidR="00F209FF" w:rsidRDefault="004D3C3B" w:rsidP="00DB3EE0">
            <w:pPr>
              <w:ind w:right="-108"/>
              <w:rPr>
                <w:sz w:val="22"/>
                <w:szCs w:val="22"/>
              </w:rPr>
            </w:pPr>
            <w:r w:rsidRPr="004D3C3B">
              <w:rPr>
                <w:sz w:val="22"/>
                <w:szCs w:val="22"/>
              </w:rPr>
              <w:t>Syndróm palmárno-plantárnej erytrodyzestézie</w:t>
            </w:r>
          </w:p>
        </w:tc>
        <w:tc>
          <w:tcPr>
            <w:tcW w:w="1127" w:type="dxa"/>
          </w:tcPr>
          <w:p w14:paraId="3E11B60F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(18%)</w:t>
            </w:r>
          </w:p>
        </w:tc>
        <w:tc>
          <w:tcPr>
            <w:tcW w:w="1127" w:type="dxa"/>
          </w:tcPr>
          <w:p w14:paraId="488223CF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(3</w:t>
            </w:r>
            <w:r w:rsidRPr="00CE3E41">
              <w:rPr>
                <w:sz w:val="22"/>
                <w:szCs w:val="22"/>
              </w:rPr>
              <w:t>%)</w:t>
            </w:r>
          </w:p>
        </w:tc>
        <w:tc>
          <w:tcPr>
            <w:tcW w:w="1127" w:type="dxa"/>
          </w:tcPr>
          <w:p w14:paraId="43A4852E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41D8A280" w14:textId="77777777" w:rsidTr="00531CFF">
        <w:tc>
          <w:tcPr>
            <w:tcW w:w="2188" w:type="dxa"/>
            <w:vMerge/>
            <w:vAlign w:val="center"/>
          </w:tcPr>
          <w:p w14:paraId="2C66AB54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79C77C2B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4F388D6" w14:textId="77777777" w:rsidR="00F209FF" w:rsidRDefault="004D3C3B" w:rsidP="00DB3EE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Alopé</w:t>
            </w:r>
            <w:r w:rsidR="00F209FF" w:rsidRPr="001A561A">
              <w:rPr>
                <w:sz w:val="22"/>
                <w:szCs w:val="22"/>
              </w:rPr>
              <w:t>cia</w:t>
            </w:r>
          </w:p>
        </w:tc>
        <w:tc>
          <w:tcPr>
            <w:tcW w:w="1127" w:type="dxa"/>
          </w:tcPr>
          <w:p w14:paraId="3DD56677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(11%)</w:t>
            </w:r>
          </w:p>
        </w:tc>
        <w:tc>
          <w:tcPr>
            <w:tcW w:w="1127" w:type="dxa"/>
          </w:tcPr>
          <w:p w14:paraId="3EC8AC49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33864A2E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15586BFA" w14:textId="77777777" w:rsidTr="00531CFF">
        <w:tc>
          <w:tcPr>
            <w:tcW w:w="2188" w:type="dxa"/>
            <w:vMerge/>
            <w:vAlign w:val="center"/>
          </w:tcPr>
          <w:p w14:paraId="2EDECF89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4CC75BD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2CDABA1" w14:textId="77777777" w:rsidR="00F209FF" w:rsidRDefault="004D3C3B" w:rsidP="00DB3EE0">
            <w:pPr>
              <w:ind w:right="-108"/>
              <w:rPr>
                <w:sz w:val="22"/>
                <w:szCs w:val="22"/>
              </w:rPr>
            </w:pPr>
            <w:r w:rsidRPr="004D3C3B">
              <w:rPr>
                <w:sz w:val="22"/>
                <w:szCs w:val="22"/>
              </w:rPr>
              <w:t>Vyrážka</w:t>
            </w:r>
          </w:p>
        </w:tc>
        <w:tc>
          <w:tcPr>
            <w:tcW w:w="1127" w:type="dxa"/>
          </w:tcPr>
          <w:p w14:paraId="473DFC68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(11%)</w:t>
            </w:r>
          </w:p>
        </w:tc>
        <w:tc>
          <w:tcPr>
            <w:tcW w:w="1127" w:type="dxa"/>
          </w:tcPr>
          <w:p w14:paraId="3008EF1C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E3E41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61C9CA07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019A35EC" w14:textId="77777777" w:rsidTr="00531CFF">
        <w:tc>
          <w:tcPr>
            <w:tcW w:w="2188" w:type="dxa"/>
            <w:vMerge/>
            <w:vAlign w:val="center"/>
          </w:tcPr>
          <w:p w14:paraId="7C330BD7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4D5A35E2" w14:textId="77777777" w:rsidR="00F209FF" w:rsidRDefault="004D3C3B" w:rsidP="00DB3EE0">
            <w:pPr>
              <w:ind w:right="-108"/>
              <w:rPr>
                <w:sz w:val="22"/>
                <w:szCs w:val="22"/>
              </w:rPr>
            </w:pPr>
            <w:r w:rsidRPr="004D3C3B">
              <w:rPr>
                <w:sz w:val="22"/>
                <w:szCs w:val="22"/>
              </w:rPr>
              <w:t>Časté</w:t>
            </w:r>
          </w:p>
        </w:tc>
        <w:tc>
          <w:tcPr>
            <w:tcW w:w="2567" w:type="dxa"/>
          </w:tcPr>
          <w:p w14:paraId="18D205D5" w14:textId="77777777" w:rsidR="00F209FF" w:rsidRDefault="00F534D6" w:rsidP="00F534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Hypopigmentácia kože </w:t>
            </w:r>
          </w:p>
        </w:tc>
        <w:tc>
          <w:tcPr>
            <w:tcW w:w="1127" w:type="dxa"/>
          </w:tcPr>
          <w:p w14:paraId="4C3670FA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(5%)</w:t>
            </w:r>
          </w:p>
        </w:tc>
        <w:tc>
          <w:tcPr>
            <w:tcW w:w="1127" w:type="dxa"/>
          </w:tcPr>
          <w:p w14:paraId="5F99144A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0EAC4330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45F93ECB" w14:textId="77777777" w:rsidTr="00531CFF">
        <w:tc>
          <w:tcPr>
            <w:tcW w:w="2188" w:type="dxa"/>
            <w:vMerge/>
            <w:vAlign w:val="center"/>
          </w:tcPr>
          <w:p w14:paraId="14135C07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5BE4259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F043274" w14:textId="77777777" w:rsidR="00F209FF" w:rsidRDefault="00F534D6" w:rsidP="00F534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Suchosť kože </w:t>
            </w:r>
          </w:p>
        </w:tc>
        <w:tc>
          <w:tcPr>
            <w:tcW w:w="1127" w:type="dxa"/>
          </w:tcPr>
          <w:p w14:paraId="4F104D54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(4%)</w:t>
            </w:r>
          </w:p>
        </w:tc>
        <w:tc>
          <w:tcPr>
            <w:tcW w:w="1127" w:type="dxa"/>
          </w:tcPr>
          <w:p w14:paraId="3F736A67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49C5D7EB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7434FCC3" w14:textId="77777777" w:rsidTr="00531CFF">
        <w:tc>
          <w:tcPr>
            <w:tcW w:w="2188" w:type="dxa"/>
            <w:vMerge/>
            <w:vAlign w:val="center"/>
          </w:tcPr>
          <w:p w14:paraId="05EAC538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A9CB629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904FAF2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  <w:r w:rsidRPr="00CE3E41">
              <w:rPr>
                <w:sz w:val="22"/>
                <w:szCs w:val="22"/>
              </w:rPr>
              <w:t>Pruritus</w:t>
            </w:r>
          </w:p>
        </w:tc>
        <w:tc>
          <w:tcPr>
            <w:tcW w:w="1127" w:type="dxa"/>
          </w:tcPr>
          <w:p w14:paraId="1F1BC44C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(3%)</w:t>
            </w:r>
          </w:p>
        </w:tc>
        <w:tc>
          <w:tcPr>
            <w:tcW w:w="1127" w:type="dxa"/>
          </w:tcPr>
          <w:p w14:paraId="07465BCC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313C5FD3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6D556F57" w14:textId="77777777" w:rsidTr="00531CFF">
        <w:tc>
          <w:tcPr>
            <w:tcW w:w="2188" w:type="dxa"/>
            <w:vMerge/>
            <w:vAlign w:val="center"/>
          </w:tcPr>
          <w:p w14:paraId="2FD1C040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CC91106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89EC860" w14:textId="77777777" w:rsidR="00F209FF" w:rsidRDefault="00F534D6" w:rsidP="00F534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Erytém </w:t>
            </w:r>
          </w:p>
        </w:tc>
        <w:tc>
          <w:tcPr>
            <w:tcW w:w="1127" w:type="dxa"/>
          </w:tcPr>
          <w:p w14:paraId="2E7A09BB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(2%)</w:t>
            </w:r>
          </w:p>
        </w:tc>
        <w:tc>
          <w:tcPr>
            <w:tcW w:w="1127" w:type="dxa"/>
          </w:tcPr>
          <w:p w14:paraId="1AD41245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54CD918B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1D451EE8" w14:textId="77777777" w:rsidTr="00531CFF">
        <w:tc>
          <w:tcPr>
            <w:tcW w:w="2188" w:type="dxa"/>
            <w:vMerge/>
            <w:vAlign w:val="center"/>
          </w:tcPr>
          <w:p w14:paraId="019D4163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08E23248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8AFBA4A" w14:textId="77777777" w:rsidR="00F209FF" w:rsidRDefault="00F534D6" w:rsidP="00F534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Depigmentácia kože </w:t>
            </w:r>
          </w:p>
        </w:tc>
        <w:tc>
          <w:tcPr>
            <w:tcW w:w="1127" w:type="dxa"/>
          </w:tcPr>
          <w:p w14:paraId="388A8ED3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(2%)</w:t>
            </w:r>
          </w:p>
        </w:tc>
        <w:tc>
          <w:tcPr>
            <w:tcW w:w="1127" w:type="dxa"/>
          </w:tcPr>
          <w:p w14:paraId="36960008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338C0268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209FF" w14:paraId="01C10F64" w14:textId="77777777" w:rsidTr="00531CFF">
        <w:tc>
          <w:tcPr>
            <w:tcW w:w="2188" w:type="dxa"/>
            <w:vMerge/>
            <w:vAlign w:val="center"/>
          </w:tcPr>
          <w:p w14:paraId="7FBF7CEC" w14:textId="77777777" w:rsidR="00F209FF" w:rsidRPr="00650FC6" w:rsidRDefault="00F209FF" w:rsidP="00DB3EE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70287759" w14:textId="77777777" w:rsidR="00F209FF" w:rsidRDefault="00F209FF" w:rsidP="00DB3E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B7776DC" w14:textId="77777777" w:rsidR="00F209FF" w:rsidRDefault="00F534D6" w:rsidP="00F534D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Hyperhidróza </w:t>
            </w:r>
          </w:p>
        </w:tc>
        <w:tc>
          <w:tcPr>
            <w:tcW w:w="1127" w:type="dxa"/>
          </w:tcPr>
          <w:p w14:paraId="1117B48F" w14:textId="77777777" w:rsidR="00F209FF" w:rsidRDefault="00F209FF" w:rsidP="00DB3EE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(1%)</w:t>
            </w:r>
          </w:p>
        </w:tc>
        <w:tc>
          <w:tcPr>
            <w:tcW w:w="1127" w:type="dxa"/>
          </w:tcPr>
          <w:p w14:paraId="5576953C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4147FCFB" w14:textId="77777777" w:rsidR="00F209FF" w:rsidRDefault="00F209FF" w:rsidP="00DB3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5BB6C13B" w14:textId="77777777" w:rsidTr="00531CFF">
        <w:tc>
          <w:tcPr>
            <w:tcW w:w="2188" w:type="dxa"/>
            <w:vMerge/>
            <w:vAlign w:val="center"/>
          </w:tcPr>
          <w:p w14:paraId="66781983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  <w:vAlign w:val="center"/>
          </w:tcPr>
          <w:p w14:paraId="28779A8C" w14:textId="51B59D9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  <w:r w:rsidRPr="004D3C3B">
              <w:rPr>
                <w:sz w:val="22"/>
                <w:szCs w:val="22"/>
              </w:rPr>
              <w:t>Menej časté</w:t>
            </w:r>
          </w:p>
        </w:tc>
        <w:tc>
          <w:tcPr>
            <w:tcW w:w="2567" w:type="dxa"/>
          </w:tcPr>
          <w:p w14:paraId="0F70C32E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Porucha nechtov </w:t>
            </w:r>
          </w:p>
        </w:tc>
        <w:tc>
          <w:tcPr>
            <w:tcW w:w="1127" w:type="dxa"/>
          </w:tcPr>
          <w:p w14:paraId="73FC78C6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(&lt;1%)</w:t>
            </w:r>
          </w:p>
        </w:tc>
        <w:tc>
          <w:tcPr>
            <w:tcW w:w="1127" w:type="dxa"/>
          </w:tcPr>
          <w:p w14:paraId="37B2458E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4D233BB7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2B9DC1E8" w14:textId="77777777" w:rsidTr="00531CFF">
        <w:tc>
          <w:tcPr>
            <w:tcW w:w="2188" w:type="dxa"/>
            <w:vMerge/>
            <w:vAlign w:val="center"/>
          </w:tcPr>
          <w:p w14:paraId="0D1FE7E7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C1038E0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562A671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Odlupovanie kože </w:t>
            </w:r>
          </w:p>
        </w:tc>
        <w:tc>
          <w:tcPr>
            <w:tcW w:w="1127" w:type="dxa"/>
          </w:tcPr>
          <w:p w14:paraId="24981851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(&lt;1%)</w:t>
            </w:r>
          </w:p>
        </w:tc>
        <w:tc>
          <w:tcPr>
            <w:tcW w:w="1127" w:type="dxa"/>
          </w:tcPr>
          <w:p w14:paraId="79E9980A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117AB5D1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38EEB578" w14:textId="77777777" w:rsidTr="00531CFF">
        <w:tc>
          <w:tcPr>
            <w:tcW w:w="2188" w:type="dxa"/>
            <w:vMerge/>
            <w:vAlign w:val="center"/>
          </w:tcPr>
          <w:p w14:paraId="5E24B6D9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1878D4E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844C773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Reakcia z fotosenzitivity </w:t>
            </w:r>
          </w:p>
        </w:tc>
        <w:tc>
          <w:tcPr>
            <w:tcW w:w="1127" w:type="dxa"/>
          </w:tcPr>
          <w:p w14:paraId="51A43FA6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(&lt;1%)</w:t>
            </w:r>
          </w:p>
        </w:tc>
        <w:tc>
          <w:tcPr>
            <w:tcW w:w="1127" w:type="dxa"/>
          </w:tcPr>
          <w:p w14:paraId="252A97FA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E150F09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0EC4E760" w14:textId="77777777" w:rsidTr="00531CFF">
        <w:tc>
          <w:tcPr>
            <w:tcW w:w="2188" w:type="dxa"/>
            <w:vMerge/>
            <w:vAlign w:val="center"/>
          </w:tcPr>
          <w:p w14:paraId="38B49755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031E7073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41CC93B7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Erytematózna vyrážka</w:t>
            </w:r>
          </w:p>
        </w:tc>
        <w:tc>
          <w:tcPr>
            <w:tcW w:w="1127" w:type="dxa"/>
          </w:tcPr>
          <w:p w14:paraId="604BA634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(&lt;1%)</w:t>
            </w:r>
          </w:p>
        </w:tc>
        <w:tc>
          <w:tcPr>
            <w:tcW w:w="1127" w:type="dxa"/>
          </w:tcPr>
          <w:p w14:paraId="5133F7C0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51B458F1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2C6A65D7" w14:textId="77777777" w:rsidTr="00531CFF">
        <w:tc>
          <w:tcPr>
            <w:tcW w:w="2188" w:type="dxa"/>
            <w:vMerge/>
            <w:vAlign w:val="center"/>
          </w:tcPr>
          <w:p w14:paraId="32ED0ED7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B5F1417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99282DC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Porucha kože </w:t>
            </w:r>
          </w:p>
        </w:tc>
        <w:tc>
          <w:tcPr>
            <w:tcW w:w="1127" w:type="dxa"/>
          </w:tcPr>
          <w:p w14:paraId="24B2F6DC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(&lt;1%)</w:t>
            </w:r>
          </w:p>
        </w:tc>
        <w:tc>
          <w:tcPr>
            <w:tcW w:w="1127" w:type="dxa"/>
          </w:tcPr>
          <w:p w14:paraId="00B50D99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3CD7587C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0708C7D5" w14:textId="77777777" w:rsidTr="00531CFF">
        <w:tc>
          <w:tcPr>
            <w:tcW w:w="2188" w:type="dxa"/>
            <w:vMerge/>
            <w:vAlign w:val="center"/>
          </w:tcPr>
          <w:p w14:paraId="08D1B16A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F8FEDD8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FA47C77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Makulárna vyrážka </w:t>
            </w:r>
          </w:p>
        </w:tc>
        <w:tc>
          <w:tcPr>
            <w:tcW w:w="1127" w:type="dxa"/>
          </w:tcPr>
          <w:p w14:paraId="6447CAF4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(&lt;1%)</w:t>
            </w:r>
          </w:p>
        </w:tc>
        <w:tc>
          <w:tcPr>
            <w:tcW w:w="1127" w:type="dxa"/>
          </w:tcPr>
          <w:p w14:paraId="3141D7DF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460348B3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02E04827" w14:textId="77777777" w:rsidTr="00531CFF">
        <w:tc>
          <w:tcPr>
            <w:tcW w:w="2188" w:type="dxa"/>
            <w:vMerge/>
            <w:vAlign w:val="center"/>
          </w:tcPr>
          <w:p w14:paraId="76E6F0D2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4B19C35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CC250BA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Pruritická vyrážka </w:t>
            </w:r>
          </w:p>
        </w:tc>
        <w:tc>
          <w:tcPr>
            <w:tcW w:w="1127" w:type="dxa"/>
          </w:tcPr>
          <w:p w14:paraId="459FE79B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2284FEDA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331A6FE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2D228EC3" w14:textId="77777777" w:rsidTr="00531CFF">
        <w:tc>
          <w:tcPr>
            <w:tcW w:w="2188" w:type="dxa"/>
            <w:vMerge/>
            <w:vAlign w:val="center"/>
          </w:tcPr>
          <w:p w14:paraId="713CA687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ECD893F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E171E8F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Vezikulárna vyrážka </w:t>
            </w:r>
          </w:p>
        </w:tc>
        <w:tc>
          <w:tcPr>
            <w:tcW w:w="1127" w:type="dxa"/>
          </w:tcPr>
          <w:p w14:paraId="07FC4AA4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74C81E43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3C3DE262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22D11CE7" w14:textId="77777777" w:rsidTr="00531CFF">
        <w:tc>
          <w:tcPr>
            <w:tcW w:w="2188" w:type="dxa"/>
            <w:vMerge/>
            <w:vAlign w:val="center"/>
          </w:tcPr>
          <w:p w14:paraId="21CB9B6B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B1623C7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B673CD8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Generalizovaný pruritus </w:t>
            </w:r>
          </w:p>
        </w:tc>
        <w:tc>
          <w:tcPr>
            <w:tcW w:w="1127" w:type="dxa"/>
          </w:tcPr>
          <w:p w14:paraId="0296031D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50021E71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7C56A3A6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65D87B8E" w14:textId="77777777" w:rsidTr="00531CFF">
        <w:tc>
          <w:tcPr>
            <w:tcW w:w="2188" w:type="dxa"/>
            <w:vMerge/>
            <w:vAlign w:val="center"/>
          </w:tcPr>
          <w:p w14:paraId="4B4E9EA9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2229A3F2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28339A1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Generalizovaná vyrážka </w:t>
            </w:r>
          </w:p>
        </w:tc>
        <w:tc>
          <w:tcPr>
            <w:tcW w:w="1127" w:type="dxa"/>
          </w:tcPr>
          <w:p w14:paraId="6F46B099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05F1D8FE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2A1E420B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71B3BF30" w14:textId="77777777" w:rsidTr="00531CFF">
        <w:tc>
          <w:tcPr>
            <w:tcW w:w="2188" w:type="dxa"/>
            <w:vMerge/>
            <w:vAlign w:val="center"/>
          </w:tcPr>
          <w:p w14:paraId="3D08F571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BBCB763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1D40172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Papulózna vyrážka </w:t>
            </w:r>
          </w:p>
        </w:tc>
        <w:tc>
          <w:tcPr>
            <w:tcW w:w="1127" w:type="dxa"/>
          </w:tcPr>
          <w:p w14:paraId="2D4839E6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46E1EAF8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40011B2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36408B41" w14:textId="77777777" w:rsidTr="00531CFF">
        <w:tc>
          <w:tcPr>
            <w:tcW w:w="2188" w:type="dxa"/>
            <w:vMerge/>
            <w:vAlign w:val="center"/>
          </w:tcPr>
          <w:p w14:paraId="18211109" w14:textId="77777777" w:rsidR="00882F5C" w:rsidRPr="00650FC6" w:rsidRDefault="00882F5C" w:rsidP="00882F5C">
            <w:pPr>
              <w:ind w:right="-108"/>
              <w:rPr>
                <w:b/>
              </w:rPr>
            </w:pPr>
          </w:p>
        </w:tc>
        <w:tc>
          <w:tcPr>
            <w:tcW w:w="926" w:type="dxa"/>
            <w:vMerge/>
          </w:tcPr>
          <w:p w14:paraId="47974CA1" w14:textId="77777777" w:rsidR="00882F5C" w:rsidRPr="007012EF" w:rsidRDefault="00882F5C" w:rsidP="00882F5C">
            <w:pPr>
              <w:ind w:right="-108"/>
            </w:pPr>
          </w:p>
        </w:tc>
        <w:tc>
          <w:tcPr>
            <w:tcW w:w="2567" w:type="dxa"/>
          </w:tcPr>
          <w:p w14:paraId="12638579" w14:textId="7865E370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Plantárny erytém </w:t>
            </w:r>
          </w:p>
        </w:tc>
        <w:tc>
          <w:tcPr>
            <w:tcW w:w="1127" w:type="dxa"/>
          </w:tcPr>
          <w:p w14:paraId="0F04234A" w14:textId="77D34821" w:rsidR="00882F5C" w:rsidRDefault="00882F5C" w:rsidP="00882F5C">
            <w:pPr>
              <w:ind w:right="-72"/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2CCA876E" w14:textId="7F831158" w:rsidR="00882F5C" w:rsidRDefault="00882F5C" w:rsidP="00882F5C"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70BA4D9E" w14:textId="623D6ACE" w:rsidR="00882F5C" w:rsidRDefault="00882F5C" w:rsidP="00882F5C">
            <w:r>
              <w:rPr>
                <w:sz w:val="22"/>
                <w:szCs w:val="22"/>
              </w:rPr>
              <w:t>0</w:t>
            </w:r>
          </w:p>
        </w:tc>
      </w:tr>
      <w:tr w:rsidR="00882F5C" w14:paraId="4ECE85F9" w14:textId="77777777" w:rsidTr="00531CFF">
        <w:trPr>
          <w:trHeight w:val="70"/>
        </w:trPr>
        <w:tc>
          <w:tcPr>
            <w:tcW w:w="2188" w:type="dxa"/>
            <w:vMerge/>
            <w:vAlign w:val="center"/>
          </w:tcPr>
          <w:p w14:paraId="17BA995D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C9A4140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4C6247D" w14:textId="67B74DFC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>Kožný vred</w:t>
            </w:r>
            <w:r w:rsidRPr="00444B44">
              <w:rPr>
                <w:sz w:val="22"/>
                <w:szCs w:val="22"/>
              </w:rPr>
              <w:t>†</w:t>
            </w:r>
          </w:p>
        </w:tc>
        <w:tc>
          <w:tcPr>
            <w:tcW w:w="1127" w:type="dxa"/>
          </w:tcPr>
          <w:p w14:paraId="7072D382" w14:textId="7E37A4EB" w:rsidR="00882F5C" w:rsidRPr="00E9169F" w:rsidRDefault="00882F5C" w:rsidP="00882F5C">
            <w:pPr>
              <w:ind w:right="-72"/>
              <w:rPr>
                <w:sz w:val="22"/>
                <w:szCs w:val="22"/>
              </w:rPr>
            </w:pPr>
            <w:r w:rsidRPr="00E9169F">
              <w:rPr>
                <w:sz w:val="22"/>
                <w:szCs w:val="22"/>
              </w:rPr>
              <w:t>neznáme</w:t>
            </w:r>
          </w:p>
        </w:tc>
        <w:tc>
          <w:tcPr>
            <w:tcW w:w="1127" w:type="dxa"/>
          </w:tcPr>
          <w:p w14:paraId="00290510" w14:textId="37BECC8C" w:rsidR="00882F5C" w:rsidRPr="00E9169F" w:rsidRDefault="00882F5C" w:rsidP="00882F5C">
            <w:pPr>
              <w:rPr>
                <w:sz w:val="22"/>
                <w:szCs w:val="22"/>
              </w:rPr>
            </w:pPr>
            <w:r w:rsidRPr="00E9169F">
              <w:rPr>
                <w:sz w:val="22"/>
                <w:szCs w:val="22"/>
              </w:rPr>
              <w:t>neznáme</w:t>
            </w:r>
          </w:p>
        </w:tc>
        <w:tc>
          <w:tcPr>
            <w:tcW w:w="1127" w:type="dxa"/>
          </w:tcPr>
          <w:p w14:paraId="40B3DA67" w14:textId="2DB9F665" w:rsidR="00882F5C" w:rsidRPr="00E9169F" w:rsidRDefault="00882F5C" w:rsidP="00882F5C">
            <w:pPr>
              <w:rPr>
                <w:sz w:val="22"/>
                <w:szCs w:val="22"/>
              </w:rPr>
            </w:pPr>
            <w:r w:rsidRPr="00E9169F">
              <w:rPr>
                <w:sz w:val="22"/>
                <w:szCs w:val="22"/>
              </w:rPr>
              <w:t>neznáme</w:t>
            </w:r>
          </w:p>
        </w:tc>
      </w:tr>
      <w:tr w:rsidR="00882F5C" w14:paraId="7168385D" w14:textId="77777777" w:rsidTr="00531CFF">
        <w:tc>
          <w:tcPr>
            <w:tcW w:w="2188" w:type="dxa"/>
            <w:vMerge w:val="restart"/>
            <w:vAlign w:val="center"/>
          </w:tcPr>
          <w:p w14:paraId="25F5A3AD" w14:textId="77777777" w:rsidR="00882F5C" w:rsidRPr="00650FC6" w:rsidRDefault="00882F5C" w:rsidP="00882F5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Poruchy kostrovej a svalovej sústavy a spojivového tkaniva </w:t>
            </w:r>
          </w:p>
        </w:tc>
        <w:tc>
          <w:tcPr>
            <w:tcW w:w="926" w:type="dxa"/>
            <w:vMerge w:val="restart"/>
          </w:tcPr>
          <w:p w14:paraId="5B94EF99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  <w:r w:rsidRPr="00F534D6">
              <w:rPr>
                <w:sz w:val="22"/>
                <w:szCs w:val="22"/>
              </w:rPr>
              <w:t>Časté</w:t>
            </w:r>
          </w:p>
        </w:tc>
        <w:tc>
          <w:tcPr>
            <w:tcW w:w="2567" w:type="dxa"/>
          </w:tcPr>
          <w:p w14:paraId="7BB8B2EB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  <w:r w:rsidRPr="00F534D6">
              <w:rPr>
                <w:sz w:val="22"/>
                <w:szCs w:val="22"/>
              </w:rPr>
              <w:t>Artralgia</w:t>
            </w:r>
          </w:p>
        </w:tc>
        <w:tc>
          <w:tcPr>
            <w:tcW w:w="1127" w:type="dxa"/>
          </w:tcPr>
          <w:p w14:paraId="77B4E89D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(4%)</w:t>
            </w:r>
          </w:p>
        </w:tc>
        <w:tc>
          <w:tcPr>
            <w:tcW w:w="1127" w:type="dxa"/>
          </w:tcPr>
          <w:p w14:paraId="724CC9FD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(&lt;1%)</w:t>
            </w:r>
          </w:p>
        </w:tc>
        <w:tc>
          <w:tcPr>
            <w:tcW w:w="1127" w:type="dxa"/>
          </w:tcPr>
          <w:p w14:paraId="06EDF1F7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185D66E8" w14:textId="77777777" w:rsidTr="00531CFF">
        <w:tc>
          <w:tcPr>
            <w:tcW w:w="2188" w:type="dxa"/>
            <w:vMerge/>
            <w:vAlign w:val="center"/>
          </w:tcPr>
          <w:p w14:paraId="46474B5C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822E0C3" w14:textId="77777777" w:rsidR="00882F5C" w:rsidRPr="007012EF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D15789A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  <w:r w:rsidRPr="00FE1E78">
              <w:rPr>
                <w:sz w:val="22"/>
                <w:szCs w:val="22"/>
              </w:rPr>
              <w:t>Myalgia</w:t>
            </w:r>
          </w:p>
        </w:tc>
        <w:tc>
          <w:tcPr>
            <w:tcW w:w="1127" w:type="dxa"/>
          </w:tcPr>
          <w:p w14:paraId="2BC064AB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(3%)</w:t>
            </w:r>
          </w:p>
        </w:tc>
        <w:tc>
          <w:tcPr>
            <w:tcW w:w="1127" w:type="dxa"/>
          </w:tcPr>
          <w:p w14:paraId="0EE2BADB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2B272905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7D48488F" w14:textId="77777777" w:rsidTr="00531CFF">
        <w:tc>
          <w:tcPr>
            <w:tcW w:w="2188" w:type="dxa"/>
            <w:vMerge/>
            <w:vAlign w:val="center"/>
          </w:tcPr>
          <w:p w14:paraId="52418DB3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7E5E771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9ECA49C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Svalové spazmy </w:t>
            </w:r>
          </w:p>
        </w:tc>
        <w:tc>
          <w:tcPr>
            <w:tcW w:w="1127" w:type="dxa"/>
          </w:tcPr>
          <w:p w14:paraId="56739DE2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(2%)</w:t>
            </w:r>
          </w:p>
        </w:tc>
        <w:tc>
          <w:tcPr>
            <w:tcW w:w="1127" w:type="dxa"/>
          </w:tcPr>
          <w:p w14:paraId="2C7CBD32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4872F5B0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31913878" w14:textId="77777777" w:rsidTr="00531CFF">
        <w:tc>
          <w:tcPr>
            <w:tcW w:w="2188" w:type="dxa"/>
            <w:vMerge/>
            <w:vAlign w:val="center"/>
          </w:tcPr>
          <w:p w14:paraId="59149E2B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</w:tcPr>
          <w:p w14:paraId="0704BA28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  <w:r w:rsidRPr="00F534D6">
              <w:rPr>
                <w:sz w:val="22"/>
                <w:szCs w:val="22"/>
              </w:rPr>
              <w:t>Menej časté</w:t>
            </w:r>
          </w:p>
        </w:tc>
        <w:tc>
          <w:tcPr>
            <w:tcW w:w="2567" w:type="dxa"/>
          </w:tcPr>
          <w:p w14:paraId="5B663E89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Bolesť kostrovej a svalovej sústavy </w:t>
            </w:r>
          </w:p>
        </w:tc>
        <w:tc>
          <w:tcPr>
            <w:tcW w:w="1127" w:type="dxa"/>
          </w:tcPr>
          <w:p w14:paraId="7C79FBD6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(&lt;1%)</w:t>
            </w:r>
          </w:p>
        </w:tc>
        <w:tc>
          <w:tcPr>
            <w:tcW w:w="1127" w:type="dxa"/>
          </w:tcPr>
          <w:p w14:paraId="6EBF3A6C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393140D7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4D53EA7A" w14:textId="77777777" w:rsidTr="00531CFF">
        <w:tc>
          <w:tcPr>
            <w:tcW w:w="2188" w:type="dxa"/>
            <w:vMerge w:val="restart"/>
            <w:vAlign w:val="center"/>
          </w:tcPr>
          <w:p w14:paraId="2B302E8F" w14:textId="77777777" w:rsidR="00882F5C" w:rsidRPr="00650FC6" w:rsidRDefault="00882F5C" w:rsidP="00882F5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Poruchy obličiek a močových ciest </w:t>
            </w:r>
          </w:p>
        </w:tc>
        <w:tc>
          <w:tcPr>
            <w:tcW w:w="926" w:type="dxa"/>
          </w:tcPr>
          <w:p w14:paraId="7276EB0E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2567" w:type="dxa"/>
          </w:tcPr>
          <w:p w14:paraId="57246063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Proteinúria </w:t>
            </w:r>
          </w:p>
        </w:tc>
        <w:tc>
          <w:tcPr>
            <w:tcW w:w="1127" w:type="dxa"/>
          </w:tcPr>
          <w:p w14:paraId="299289D0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(12%)</w:t>
            </w:r>
          </w:p>
        </w:tc>
        <w:tc>
          <w:tcPr>
            <w:tcW w:w="1127" w:type="dxa"/>
          </w:tcPr>
          <w:p w14:paraId="75BDADDA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(3%)</w:t>
            </w:r>
          </w:p>
        </w:tc>
        <w:tc>
          <w:tcPr>
            <w:tcW w:w="1127" w:type="dxa"/>
          </w:tcPr>
          <w:p w14:paraId="08C3745E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5DB4828A" w14:textId="77777777" w:rsidTr="00531CFF">
        <w:tc>
          <w:tcPr>
            <w:tcW w:w="2188" w:type="dxa"/>
            <w:vMerge/>
            <w:vAlign w:val="center"/>
          </w:tcPr>
          <w:p w14:paraId="27572A3B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</w:tcPr>
          <w:p w14:paraId="55FBE017" w14:textId="77777777" w:rsidR="00882F5C" w:rsidRDefault="00882F5C" w:rsidP="00882F5C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3AD0B736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41158D2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Krvácanie v močových cestách </w:t>
            </w:r>
          </w:p>
        </w:tc>
        <w:tc>
          <w:tcPr>
            <w:tcW w:w="1127" w:type="dxa"/>
          </w:tcPr>
          <w:p w14:paraId="5889780F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2CCFB663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3794ACC3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3F162796" w14:textId="77777777" w:rsidTr="00531CFF">
        <w:tc>
          <w:tcPr>
            <w:tcW w:w="2188" w:type="dxa"/>
            <w:vMerge w:val="restart"/>
            <w:vAlign w:val="center"/>
          </w:tcPr>
          <w:p w14:paraId="7100CFD5" w14:textId="54FB201B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  <w:r w:rsidRPr="00882F5C">
              <w:rPr>
                <w:b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926" w:type="dxa"/>
            <w:vMerge w:val="restart"/>
          </w:tcPr>
          <w:p w14:paraId="47320734" w14:textId="77777777" w:rsidR="00882F5C" w:rsidRDefault="00882F5C" w:rsidP="00882F5C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654B3439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11F62D9" w14:textId="77777777" w:rsidR="00882F5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Menorágia </w:t>
            </w:r>
          </w:p>
        </w:tc>
        <w:tc>
          <w:tcPr>
            <w:tcW w:w="1127" w:type="dxa"/>
          </w:tcPr>
          <w:p w14:paraId="7C1FE722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6EF30E6A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7D7CFD81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2A209F07" w14:textId="77777777" w:rsidTr="00531CFF">
        <w:tc>
          <w:tcPr>
            <w:tcW w:w="2188" w:type="dxa"/>
            <w:vMerge/>
            <w:vAlign w:val="center"/>
          </w:tcPr>
          <w:p w14:paraId="4FF98AB8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34B9DE5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6F526FD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  <w:r w:rsidRPr="008416DC">
              <w:rPr>
                <w:sz w:val="22"/>
                <w:szCs w:val="22"/>
              </w:rPr>
              <w:t>Vaginálne krvácanie</w:t>
            </w:r>
          </w:p>
        </w:tc>
        <w:tc>
          <w:tcPr>
            <w:tcW w:w="1127" w:type="dxa"/>
          </w:tcPr>
          <w:p w14:paraId="35E5BF15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49E0562E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3E56FC7A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4F7EAB4D" w14:textId="77777777" w:rsidTr="00531CFF">
        <w:tc>
          <w:tcPr>
            <w:tcW w:w="2188" w:type="dxa"/>
            <w:vMerge/>
            <w:vAlign w:val="center"/>
          </w:tcPr>
          <w:p w14:paraId="408186B1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4190227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E746172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  <w:r w:rsidRPr="008416DC">
              <w:rPr>
                <w:sz w:val="22"/>
                <w:szCs w:val="22"/>
              </w:rPr>
              <w:t>Metrorágia</w:t>
            </w:r>
          </w:p>
        </w:tc>
        <w:tc>
          <w:tcPr>
            <w:tcW w:w="1127" w:type="dxa"/>
          </w:tcPr>
          <w:p w14:paraId="21CB0CA3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05B081DD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5F72BB0C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:rsidRPr="00376461" w14:paraId="5FEA1043" w14:textId="77777777" w:rsidTr="00531CFF">
        <w:tc>
          <w:tcPr>
            <w:tcW w:w="2188" w:type="dxa"/>
            <w:vMerge w:val="restart"/>
            <w:vAlign w:val="center"/>
          </w:tcPr>
          <w:p w14:paraId="497E910C" w14:textId="77777777" w:rsidR="00882F5C" w:rsidRDefault="00882F5C" w:rsidP="00882F5C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Celkové poruchy a reakcie v mieste podania </w:t>
            </w:r>
          </w:p>
          <w:p w14:paraId="178F5EAA" w14:textId="77777777" w:rsidR="00882F5C" w:rsidRPr="006E1FEC" w:rsidRDefault="00882F5C" w:rsidP="00882F5C">
            <w:pPr>
              <w:ind w:right="-108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26" w:type="dxa"/>
          </w:tcPr>
          <w:p w14:paraId="722F6969" w14:textId="77777777" w:rsidR="00882F5C" w:rsidRPr="006E1FEC" w:rsidRDefault="00882F5C" w:rsidP="00882F5C">
            <w:pPr>
              <w:ind w:right="-108"/>
              <w:rPr>
                <w:sz w:val="22"/>
                <w:szCs w:val="22"/>
              </w:rPr>
            </w:pPr>
            <w:r w:rsidRPr="008416DC">
              <w:rPr>
                <w:sz w:val="22"/>
                <w:szCs w:val="22"/>
              </w:rPr>
              <w:t>Veľmi časté</w:t>
            </w:r>
          </w:p>
        </w:tc>
        <w:tc>
          <w:tcPr>
            <w:tcW w:w="2567" w:type="dxa"/>
          </w:tcPr>
          <w:p w14:paraId="1FEBD031" w14:textId="77777777" w:rsidR="00882F5C" w:rsidRPr="006E1FE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Únava </w:t>
            </w:r>
          </w:p>
        </w:tc>
        <w:tc>
          <w:tcPr>
            <w:tcW w:w="1127" w:type="dxa"/>
          </w:tcPr>
          <w:p w14:paraId="349EA2C5" w14:textId="77777777" w:rsidR="00882F5C" w:rsidRPr="006E1FEC" w:rsidRDefault="00882F5C" w:rsidP="00882F5C">
            <w:pPr>
              <w:ind w:right="-72"/>
              <w:rPr>
                <w:sz w:val="22"/>
                <w:szCs w:val="22"/>
              </w:rPr>
            </w:pPr>
            <w:r w:rsidRPr="006E1FEC">
              <w:rPr>
                <w:sz w:val="22"/>
                <w:szCs w:val="22"/>
              </w:rPr>
              <w:t>415 (36%)</w:t>
            </w:r>
          </w:p>
        </w:tc>
        <w:tc>
          <w:tcPr>
            <w:tcW w:w="1127" w:type="dxa"/>
          </w:tcPr>
          <w:p w14:paraId="44D73788" w14:textId="77777777" w:rsidR="00882F5C" w:rsidRPr="006E1FEC" w:rsidRDefault="00882F5C" w:rsidP="00882F5C">
            <w:pPr>
              <w:rPr>
                <w:sz w:val="22"/>
                <w:szCs w:val="22"/>
              </w:rPr>
            </w:pPr>
            <w:r w:rsidRPr="006E1FEC">
              <w:rPr>
                <w:sz w:val="22"/>
                <w:szCs w:val="22"/>
              </w:rPr>
              <w:t>65 (6%)</w:t>
            </w:r>
          </w:p>
        </w:tc>
        <w:tc>
          <w:tcPr>
            <w:tcW w:w="1127" w:type="dxa"/>
          </w:tcPr>
          <w:p w14:paraId="0F7A3FB1" w14:textId="77777777" w:rsidR="00882F5C" w:rsidRPr="006E1FEC" w:rsidRDefault="00882F5C" w:rsidP="00882F5C">
            <w:pPr>
              <w:rPr>
                <w:sz w:val="22"/>
                <w:szCs w:val="22"/>
              </w:rPr>
            </w:pPr>
            <w:r w:rsidRPr="006E1FEC">
              <w:rPr>
                <w:sz w:val="22"/>
                <w:szCs w:val="22"/>
              </w:rPr>
              <w:t>1 (&lt;1%)</w:t>
            </w:r>
          </w:p>
        </w:tc>
      </w:tr>
      <w:tr w:rsidR="00882F5C" w:rsidRPr="00376461" w14:paraId="4409B09A" w14:textId="77777777" w:rsidTr="00531CFF">
        <w:tc>
          <w:tcPr>
            <w:tcW w:w="2188" w:type="dxa"/>
            <w:vMerge/>
            <w:vAlign w:val="center"/>
          </w:tcPr>
          <w:p w14:paraId="317EC590" w14:textId="77777777" w:rsidR="00882F5C" w:rsidRPr="006E1FEC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676DFC61" w14:textId="77777777" w:rsidR="00882F5C" w:rsidRPr="006E1FEC" w:rsidRDefault="00882F5C" w:rsidP="00882F5C">
            <w:pPr>
              <w:ind w:right="-108"/>
              <w:rPr>
                <w:sz w:val="22"/>
                <w:szCs w:val="22"/>
              </w:rPr>
            </w:pPr>
            <w:r w:rsidRPr="008416DC">
              <w:rPr>
                <w:sz w:val="22"/>
                <w:szCs w:val="22"/>
              </w:rPr>
              <w:t>Časté</w:t>
            </w:r>
          </w:p>
        </w:tc>
        <w:tc>
          <w:tcPr>
            <w:tcW w:w="2567" w:type="dxa"/>
          </w:tcPr>
          <w:p w14:paraId="0177F1A1" w14:textId="77777777" w:rsidR="00882F5C" w:rsidRPr="006E1FE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Zápal slizníc </w:t>
            </w:r>
          </w:p>
        </w:tc>
        <w:tc>
          <w:tcPr>
            <w:tcW w:w="1127" w:type="dxa"/>
          </w:tcPr>
          <w:p w14:paraId="717D5F8A" w14:textId="77777777" w:rsidR="00882F5C" w:rsidRPr="006E1FEC" w:rsidRDefault="00882F5C" w:rsidP="00882F5C">
            <w:pPr>
              <w:ind w:right="-72"/>
              <w:rPr>
                <w:sz w:val="22"/>
                <w:szCs w:val="22"/>
              </w:rPr>
            </w:pPr>
            <w:r w:rsidRPr="006E1FEC">
              <w:rPr>
                <w:sz w:val="22"/>
                <w:szCs w:val="22"/>
              </w:rPr>
              <w:t>86 (7%)</w:t>
            </w:r>
          </w:p>
        </w:tc>
        <w:tc>
          <w:tcPr>
            <w:tcW w:w="1127" w:type="dxa"/>
          </w:tcPr>
          <w:p w14:paraId="71C717DC" w14:textId="77777777" w:rsidR="00882F5C" w:rsidRPr="006E1FEC" w:rsidRDefault="00882F5C" w:rsidP="00882F5C">
            <w:pPr>
              <w:rPr>
                <w:sz w:val="22"/>
                <w:szCs w:val="22"/>
              </w:rPr>
            </w:pPr>
            <w:r w:rsidRPr="006E1FEC">
              <w:rPr>
                <w:sz w:val="22"/>
                <w:szCs w:val="22"/>
              </w:rPr>
              <w:t>5 (&lt;1%)</w:t>
            </w:r>
          </w:p>
        </w:tc>
        <w:tc>
          <w:tcPr>
            <w:tcW w:w="1127" w:type="dxa"/>
          </w:tcPr>
          <w:p w14:paraId="7DEB397F" w14:textId="77777777" w:rsidR="00882F5C" w:rsidRPr="006E1FEC" w:rsidRDefault="00882F5C" w:rsidP="00882F5C">
            <w:pPr>
              <w:rPr>
                <w:sz w:val="22"/>
                <w:szCs w:val="22"/>
              </w:rPr>
            </w:pPr>
            <w:r w:rsidRPr="006E1FEC">
              <w:rPr>
                <w:sz w:val="22"/>
                <w:szCs w:val="22"/>
              </w:rPr>
              <w:t>0</w:t>
            </w:r>
          </w:p>
        </w:tc>
      </w:tr>
      <w:tr w:rsidR="00882F5C" w14:paraId="2D5679C5" w14:textId="77777777" w:rsidTr="00531CFF">
        <w:tc>
          <w:tcPr>
            <w:tcW w:w="2188" w:type="dxa"/>
            <w:vMerge/>
            <w:vAlign w:val="center"/>
          </w:tcPr>
          <w:p w14:paraId="42C8DA56" w14:textId="77777777" w:rsidR="00882F5C" w:rsidRPr="006E1FEC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2E6CFFA4" w14:textId="77777777" w:rsidR="00882F5C" w:rsidRPr="006E1FEC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6980DB9" w14:textId="77777777" w:rsidR="00882F5C" w:rsidRPr="006E1FE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Asténia </w:t>
            </w:r>
          </w:p>
        </w:tc>
        <w:tc>
          <w:tcPr>
            <w:tcW w:w="1127" w:type="dxa"/>
          </w:tcPr>
          <w:p w14:paraId="32532F33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 w:rsidRPr="006E1F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6E1FEC">
              <w:rPr>
                <w:sz w:val="22"/>
                <w:szCs w:val="22"/>
              </w:rPr>
              <w:t xml:space="preserve"> (7%)</w:t>
            </w:r>
          </w:p>
        </w:tc>
        <w:tc>
          <w:tcPr>
            <w:tcW w:w="1127" w:type="dxa"/>
          </w:tcPr>
          <w:p w14:paraId="3C468BD2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E1FE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2</w:t>
            </w:r>
            <w:r w:rsidRPr="006E1FEC">
              <w:rPr>
                <w:sz w:val="22"/>
                <w:szCs w:val="22"/>
              </w:rPr>
              <w:t>%)</w:t>
            </w:r>
          </w:p>
        </w:tc>
        <w:tc>
          <w:tcPr>
            <w:tcW w:w="1127" w:type="dxa"/>
          </w:tcPr>
          <w:p w14:paraId="796EDE63" w14:textId="77777777" w:rsidR="00882F5C" w:rsidRDefault="00882F5C" w:rsidP="00882F5C">
            <w:pPr>
              <w:rPr>
                <w:sz w:val="22"/>
                <w:szCs w:val="22"/>
              </w:rPr>
            </w:pPr>
            <w:r w:rsidRPr="006E1FEC">
              <w:rPr>
                <w:sz w:val="22"/>
                <w:szCs w:val="22"/>
              </w:rPr>
              <w:t>1 (&lt;1%)</w:t>
            </w:r>
          </w:p>
        </w:tc>
      </w:tr>
      <w:tr w:rsidR="00882F5C" w14:paraId="574514C0" w14:textId="77777777" w:rsidTr="00531CFF">
        <w:tc>
          <w:tcPr>
            <w:tcW w:w="2188" w:type="dxa"/>
            <w:vMerge/>
            <w:vAlign w:val="center"/>
          </w:tcPr>
          <w:p w14:paraId="698A5381" w14:textId="77777777" w:rsidR="00882F5C" w:rsidRPr="006E1FEC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7AB26D00" w14:textId="77777777" w:rsidR="00882F5C" w:rsidRPr="006E1FEC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A0CA3D8" w14:textId="77777777" w:rsidR="00882F5C" w:rsidRPr="006E1FE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Edém</w:t>
            </w:r>
            <w:r w:rsidRPr="008416DC">
              <w:rPr>
                <w:sz w:val="22"/>
                <w:szCs w:val="22"/>
                <w:vertAlign w:val="superscript"/>
              </w:rPr>
              <w:t>b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</w:tcPr>
          <w:p w14:paraId="41F65F46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6E1FE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6</w:t>
            </w:r>
            <w:r w:rsidRPr="006E1FEC">
              <w:rPr>
                <w:sz w:val="22"/>
                <w:szCs w:val="22"/>
              </w:rPr>
              <w:t>%)</w:t>
            </w:r>
          </w:p>
        </w:tc>
        <w:tc>
          <w:tcPr>
            <w:tcW w:w="1127" w:type="dxa"/>
          </w:tcPr>
          <w:p w14:paraId="23B1D70D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E1FEC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7893C04C" w14:textId="77777777" w:rsidR="00882F5C" w:rsidRDefault="00882F5C" w:rsidP="00882F5C">
            <w:pPr>
              <w:rPr>
                <w:sz w:val="22"/>
                <w:szCs w:val="22"/>
              </w:rPr>
            </w:pPr>
            <w:r w:rsidRPr="006E1FEC">
              <w:rPr>
                <w:sz w:val="22"/>
                <w:szCs w:val="22"/>
              </w:rPr>
              <w:t>0</w:t>
            </w:r>
          </w:p>
        </w:tc>
      </w:tr>
      <w:tr w:rsidR="00882F5C" w14:paraId="1784083C" w14:textId="77777777" w:rsidTr="00531CFF">
        <w:tc>
          <w:tcPr>
            <w:tcW w:w="2188" w:type="dxa"/>
            <w:vMerge/>
            <w:vAlign w:val="center"/>
          </w:tcPr>
          <w:p w14:paraId="1039EE62" w14:textId="77777777" w:rsidR="00882F5C" w:rsidRPr="006E1FEC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97AD6E8" w14:textId="77777777" w:rsidR="00882F5C" w:rsidRPr="006E1FEC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89349B1" w14:textId="77777777" w:rsidR="00882F5C" w:rsidRPr="006E1FEC" w:rsidRDefault="00882F5C" w:rsidP="00882F5C">
            <w:pPr>
              <w:ind w:right="-108"/>
              <w:rPr>
                <w:sz w:val="22"/>
                <w:szCs w:val="22"/>
              </w:rPr>
            </w:pPr>
            <w:r w:rsidRPr="008416DC">
              <w:rPr>
                <w:sz w:val="22"/>
                <w:szCs w:val="22"/>
              </w:rPr>
              <w:t>Bolesť na hrudníku</w:t>
            </w:r>
          </w:p>
        </w:tc>
        <w:tc>
          <w:tcPr>
            <w:tcW w:w="1127" w:type="dxa"/>
          </w:tcPr>
          <w:p w14:paraId="657EC2BF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E1FE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2</w:t>
            </w:r>
            <w:r w:rsidRPr="006E1FEC">
              <w:rPr>
                <w:sz w:val="22"/>
                <w:szCs w:val="22"/>
              </w:rPr>
              <w:t>%)</w:t>
            </w:r>
          </w:p>
        </w:tc>
        <w:tc>
          <w:tcPr>
            <w:tcW w:w="1127" w:type="dxa"/>
          </w:tcPr>
          <w:p w14:paraId="4B02031C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E1FEC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273E2E54" w14:textId="77777777" w:rsidR="00882F5C" w:rsidRDefault="00882F5C" w:rsidP="00882F5C">
            <w:pPr>
              <w:rPr>
                <w:sz w:val="22"/>
                <w:szCs w:val="22"/>
              </w:rPr>
            </w:pPr>
            <w:r w:rsidRPr="006E1FEC">
              <w:rPr>
                <w:sz w:val="22"/>
                <w:szCs w:val="22"/>
              </w:rPr>
              <w:t>0</w:t>
            </w:r>
          </w:p>
        </w:tc>
      </w:tr>
      <w:tr w:rsidR="00882F5C" w14:paraId="5145D0EE" w14:textId="77777777" w:rsidTr="00531CFF">
        <w:tc>
          <w:tcPr>
            <w:tcW w:w="2188" w:type="dxa"/>
            <w:vMerge/>
            <w:vAlign w:val="center"/>
          </w:tcPr>
          <w:p w14:paraId="3F3CB6B8" w14:textId="77777777" w:rsidR="00882F5C" w:rsidRPr="006E1FEC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173A9147" w14:textId="77777777" w:rsidR="00882F5C" w:rsidRDefault="00882F5C" w:rsidP="00882F5C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3CE421DE" w14:textId="77777777" w:rsidR="00882F5C" w:rsidRPr="006E1FEC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6F409A8" w14:textId="77777777" w:rsidR="00882F5C" w:rsidRPr="006E1FE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Triaška </w:t>
            </w:r>
          </w:p>
        </w:tc>
        <w:tc>
          <w:tcPr>
            <w:tcW w:w="1127" w:type="dxa"/>
          </w:tcPr>
          <w:p w14:paraId="2B233ADD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E1FEC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0195F90B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717FDCC8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14:paraId="54D43096" w14:textId="77777777" w:rsidTr="00531CFF">
        <w:tc>
          <w:tcPr>
            <w:tcW w:w="2188" w:type="dxa"/>
            <w:vMerge/>
            <w:vAlign w:val="center"/>
          </w:tcPr>
          <w:p w14:paraId="7E6D0B9B" w14:textId="77777777" w:rsidR="00882F5C" w:rsidRPr="006E1FEC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8632EA6" w14:textId="77777777" w:rsidR="00882F5C" w:rsidRPr="006E1FEC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0015B2A" w14:textId="77777777" w:rsidR="00882F5C" w:rsidRPr="006E1FEC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Porucha slizníc </w:t>
            </w:r>
          </w:p>
        </w:tc>
        <w:tc>
          <w:tcPr>
            <w:tcW w:w="1127" w:type="dxa"/>
          </w:tcPr>
          <w:p w14:paraId="5F133153" w14:textId="77777777" w:rsidR="00882F5C" w:rsidRDefault="00882F5C" w:rsidP="00882F5C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E1FEC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27" w:type="dxa"/>
          </w:tcPr>
          <w:p w14:paraId="7E581989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14D89B8D" w14:textId="77777777" w:rsidR="00882F5C" w:rsidRDefault="00882F5C" w:rsidP="00882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82F5C" w:rsidRPr="008D4F48" w14:paraId="40045E62" w14:textId="77777777" w:rsidTr="00531CFF">
        <w:tc>
          <w:tcPr>
            <w:tcW w:w="2188" w:type="dxa"/>
            <w:vMerge w:val="restart"/>
            <w:vAlign w:val="center"/>
          </w:tcPr>
          <w:p w14:paraId="6B58C574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  <w:r w:rsidRPr="008416DC">
              <w:rPr>
                <w:b/>
                <w:sz w:val="22"/>
                <w:szCs w:val="22"/>
              </w:rPr>
              <w:t>Laboratórne a funkčné vyšetrenia</w:t>
            </w:r>
          </w:p>
        </w:tc>
        <w:tc>
          <w:tcPr>
            <w:tcW w:w="926" w:type="dxa"/>
            <w:vMerge w:val="restart"/>
          </w:tcPr>
          <w:p w14:paraId="479BE09C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  <w:r w:rsidRPr="008416DC">
              <w:rPr>
                <w:sz w:val="22"/>
                <w:szCs w:val="22"/>
              </w:rPr>
              <w:t>Veľmi časté</w:t>
            </w:r>
          </w:p>
        </w:tc>
        <w:tc>
          <w:tcPr>
            <w:tcW w:w="2567" w:type="dxa"/>
          </w:tcPr>
          <w:p w14:paraId="4204A90C" w14:textId="77777777" w:rsidR="00882F5C" w:rsidRPr="008D4F48" w:rsidRDefault="00882F5C" w:rsidP="00882F5C">
            <w:pPr>
              <w:ind w:right="-108"/>
              <w:rPr>
                <w:sz w:val="22"/>
                <w:szCs w:val="22"/>
              </w:rPr>
            </w:pPr>
            <w:r w:rsidRPr="008416DC">
              <w:rPr>
                <w:sz w:val="22"/>
                <w:szCs w:val="22"/>
              </w:rPr>
              <w:t>Zvýšená hladina alanínaminotransferázy</w:t>
            </w:r>
          </w:p>
        </w:tc>
        <w:tc>
          <w:tcPr>
            <w:tcW w:w="1127" w:type="dxa"/>
          </w:tcPr>
          <w:p w14:paraId="47D60C2C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246 (21%)</w:t>
            </w:r>
          </w:p>
        </w:tc>
        <w:tc>
          <w:tcPr>
            <w:tcW w:w="1127" w:type="dxa"/>
          </w:tcPr>
          <w:p w14:paraId="799DD384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84 (7%)</w:t>
            </w:r>
          </w:p>
        </w:tc>
        <w:tc>
          <w:tcPr>
            <w:tcW w:w="1127" w:type="dxa"/>
          </w:tcPr>
          <w:p w14:paraId="36C85F7F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14 (1%)</w:t>
            </w:r>
          </w:p>
        </w:tc>
      </w:tr>
      <w:tr w:rsidR="00882F5C" w:rsidRPr="008D4F48" w14:paraId="239938CD" w14:textId="77777777" w:rsidTr="00531CFF">
        <w:tc>
          <w:tcPr>
            <w:tcW w:w="2188" w:type="dxa"/>
            <w:vMerge/>
            <w:vAlign w:val="center"/>
          </w:tcPr>
          <w:p w14:paraId="02A5A7E0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282600C9" w14:textId="77777777" w:rsidR="00882F5C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4F8F2A4" w14:textId="77777777" w:rsidR="00882F5C" w:rsidRPr="008D4F48" w:rsidRDefault="00882F5C" w:rsidP="00882F5C">
            <w:pPr>
              <w:ind w:right="-108"/>
              <w:rPr>
                <w:sz w:val="22"/>
                <w:szCs w:val="22"/>
              </w:rPr>
            </w:pPr>
            <w:r w:rsidRPr="008416DC">
              <w:rPr>
                <w:sz w:val="22"/>
                <w:szCs w:val="22"/>
              </w:rPr>
              <w:t>Zvýšená hladina aspartátaminotransferázy</w:t>
            </w:r>
          </w:p>
        </w:tc>
        <w:tc>
          <w:tcPr>
            <w:tcW w:w="1127" w:type="dxa"/>
          </w:tcPr>
          <w:p w14:paraId="6D816354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211 (18%)</w:t>
            </w:r>
          </w:p>
        </w:tc>
        <w:tc>
          <w:tcPr>
            <w:tcW w:w="1127" w:type="dxa"/>
          </w:tcPr>
          <w:p w14:paraId="17CC80FC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51 (4%)</w:t>
            </w:r>
          </w:p>
        </w:tc>
        <w:tc>
          <w:tcPr>
            <w:tcW w:w="1127" w:type="dxa"/>
          </w:tcPr>
          <w:p w14:paraId="1B7CF394" w14:textId="77777777" w:rsidR="00882F5C" w:rsidRPr="008D4F48" w:rsidRDefault="00882F5C" w:rsidP="00882F5C">
            <w:pPr>
              <w:ind w:right="-14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10 (&lt;1%)</w:t>
            </w:r>
          </w:p>
        </w:tc>
      </w:tr>
      <w:tr w:rsidR="00882F5C" w:rsidRPr="008D4F48" w14:paraId="6276C45E" w14:textId="77777777" w:rsidTr="00531CFF">
        <w:tc>
          <w:tcPr>
            <w:tcW w:w="2188" w:type="dxa"/>
            <w:vMerge/>
            <w:vAlign w:val="center"/>
          </w:tcPr>
          <w:p w14:paraId="4824E79D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4AD65564" w14:textId="77777777" w:rsidR="00882F5C" w:rsidRPr="00974A24" w:rsidRDefault="00882F5C" w:rsidP="00882F5C">
            <w:pPr>
              <w:ind w:right="-108"/>
              <w:rPr>
                <w:sz w:val="22"/>
                <w:szCs w:val="22"/>
              </w:rPr>
            </w:pPr>
            <w:r w:rsidRPr="008416DC">
              <w:rPr>
                <w:sz w:val="22"/>
                <w:szCs w:val="22"/>
              </w:rPr>
              <w:t>Časté</w:t>
            </w:r>
          </w:p>
        </w:tc>
        <w:tc>
          <w:tcPr>
            <w:tcW w:w="2567" w:type="dxa"/>
          </w:tcPr>
          <w:p w14:paraId="1B96B1A0" w14:textId="77777777" w:rsidR="00882F5C" w:rsidRPr="008D4F48" w:rsidRDefault="00882F5C" w:rsidP="00882F5C">
            <w:pPr>
              <w:ind w:right="-108"/>
              <w:rPr>
                <w:sz w:val="22"/>
                <w:szCs w:val="22"/>
              </w:rPr>
            </w:pPr>
            <w:r w:rsidRPr="008416DC">
              <w:rPr>
                <w:sz w:val="22"/>
                <w:szCs w:val="22"/>
              </w:rPr>
              <w:t>Zníženie telesnej hmotnosti</w:t>
            </w:r>
          </w:p>
        </w:tc>
        <w:tc>
          <w:tcPr>
            <w:tcW w:w="1127" w:type="dxa"/>
          </w:tcPr>
          <w:p w14:paraId="7F2907DC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96 (8%)</w:t>
            </w:r>
          </w:p>
        </w:tc>
        <w:tc>
          <w:tcPr>
            <w:tcW w:w="1127" w:type="dxa"/>
          </w:tcPr>
          <w:p w14:paraId="641F80B9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7 (&lt;1%)</w:t>
            </w:r>
          </w:p>
        </w:tc>
        <w:tc>
          <w:tcPr>
            <w:tcW w:w="1127" w:type="dxa"/>
          </w:tcPr>
          <w:p w14:paraId="279A3883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0</w:t>
            </w:r>
          </w:p>
        </w:tc>
      </w:tr>
      <w:tr w:rsidR="00882F5C" w14:paraId="7004FDF4" w14:textId="77777777" w:rsidTr="00531CFF">
        <w:tc>
          <w:tcPr>
            <w:tcW w:w="2188" w:type="dxa"/>
            <w:vMerge/>
            <w:vAlign w:val="center"/>
          </w:tcPr>
          <w:p w14:paraId="01582EA2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2F01A038" w14:textId="77777777" w:rsidR="00882F5C" w:rsidRPr="00974A24" w:rsidRDefault="00882F5C" w:rsidP="00882F5C">
            <w:pPr>
              <w:pStyle w:val="Odsekzoznamu"/>
              <w:numPr>
                <w:ilvl w:val="0"/>
                <w:numId w:val="34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C6C53FE" w14:textId="77777777" w:rsidR="00882F5C" w:rsidRPr="008D4F48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Zvýšená hladina bilirubínu v krvi</w:t>
            </w:r>
          </w:p>
        </w:tc>
        <w:tc>
          <w:tcPr>
            <w:tcW w:w="1127" w:type="dxa"/>
          </w:tcPr>
          <w:p w14:paraId="12DF1FD7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61 (5%)</w:t>
            </w:r>
          </w:p>
        </w:tc>
        <w:tc>
          <w:tcPr>
            <w:tcW w:w="1127" w:type="dxa"/>
          </w:tcPr>
          <w:p w14:paraId="14D52DD6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6 (&lt;1%)</w:t>
            </w:r>
          </w:p>
        </w:tc>
        <w:tc>
          <w:tcPr>
            <w:tcW w:w="1127" w:type="dxa"/>
          </w:tcPr>
          <w:p w14:paraId="514C1D18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1 (&lt;1%)</w:t>
            </w:r>
          </w:p>
        </w:tc>
      </w:tr>
      <w:tr w:rsidR="00882F5C" w14:paraId="353C147D" w14:textId="77777777" w:rsidTr="00531CFF">
        <w:tc>
          <w:tcPr>
            <w:tcW w:w="2188" w:type="dxa"/>
            <w:vMerge/>
            <w:vAlign w:val="center"/>
          </w:tcPr>
          <w:p w14:paraId="0A8F6A7C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AF4DFCE" w14:textId="77777777" w:rsidR="00882F5C" w:rsidRPr="00974A24" w:rsidRDefault="00882F5C" w:rsidP="00882F5C">
            <w:pPr>
              <w:pStyle w:val="Odsekzoznamu"/>
              <w:numPr>
                <w:ilvl w:val="0"/>
                <w:numId w:val="34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F3AA39F" w14:textId="77777777" w:rsidR="00882F5C" w:rsidRPr="008D4F48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Zvýšená hladina kreatinínu v krvi</w:t>
            </w:r>
          </w:p>
        </w:tc>
        <w:tc>
          <w:tcPr>
            <w:tcW w:w="1127" w:type="dxa"/>
          </w:tcPr>
          <w:p w14:paraId="67A3F708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55 (5%)</w:t>
            </w:r>
          </w:p>
        </w:tc>
        <w:tc>
          <w:tcPr>
            <w:tcW w:w="1127" w:type="dxa"/>
          </w:tcPr>
          <w:p w14:paraId="1848D9CE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3DD87CE4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0</w:t>
            </w:r>
          </w:p>
        </w:tc>
      </w:tr>
      <w:tr w:rsidR="00882F5C" w:rsidRPr="008D4F48" w14:paraId="6DA1C382" w14:textId="77777777" w:rsidTr="00531CFF">
        <w:tc>
          <w:tcPr>
            <w:tcW w:w="2188" w:type="dxa"/>
            <w:vMerge/>
            <w:vAlign w:val="center"/>
          </w:tcPr>
          <w:p w14:paraId="5CEADB32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8E7FA8F" w14:textId="77777777" w:rsidR="00882F5C" w:rsidRPr="00974A24" w:rsidRDefault="00882F5C" w:rsidP="00882F5C">
            <w:pPr>
              <w:pStyle w:val="Odsekzoznamu"/>
              <w:numPr>
                <w:ilvl w:val="0"/>
                <w:numId w:val="34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6842148" w14:textId="77777777" w:rsidR="00882F5C" w:rsidRPr="008D4F48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Zvýšená hladina lipázy</w:t>
            </w:r>
          </w:p>
        </w:tc>
        <w:tc>
          <w:tcPr>
            <w:tcW w:w="1127" w:type="dxa"/>
          </w:tcPr>
          <w:p w14:paraId="05FD9F20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51 (4%)</w:t>
            </w:r>
          </w:p>
        </w:tc>
        <w:tc>
          <w:tcPr>
            <w:tcW w:w="1127" w:type="dxa"/>
          </w:tcPr>
          <w:p w14:paraId="6DCE4B8A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21 (2%)</w:t>
            </w:r>
          </w:p>
        </w:tc>
        <w:tc>
          <w:tcPr>
            <w:tcW w:w="1127" w:type="dxa"/>
          </w:tcPr>
          <w:p w14:paraId="1E34E0D3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7 (&lt;1%)</w:t>
            </w:r>
          </w:p>
        </w:tc>
      </w:tr>
      <w:tr w:rsidR="00882F5C" w14:paraId="3550EC54" w14:textId="77777777" w:rsidTr="00531CFF">
        <w:tc>
          <w:tcPr>
            <w:tcW w:w="2188" w:type="dxa"/>
            <w:vMerge/>
            <w:vAlign w:val="center"/>
          </w:tcPr>
          <w:p w14:paraId="71D64FA7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5BABC91" w14:textId="77777777" w:rsidR="00882F5C" w:rsidRPr="00974A24" w:rsidRDefault="00882F5C" w:rsidP="00882F5C">
            <w:pPr>
              <w:pStyle w:val="Odsekzoznamu"/>
              <w:numPr>
                <w:ilvl w:val="0"/>
                <w:numId w:val="34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27E0ED1B" w14:textId="77777777" w:rsidR="00882F5C" w:rsidRPr="008D4F48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Znížený počet bielych krviniek</w:t>
            </w:r>
            <w:r w:rsidRPr="00DB3EE0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127" w:type="dxa"/>
          </w:tcPr>
          <w:p w14:paraId="7AF4E3E5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51 (4%)</w:t>
            </w:r>
          </w:p>
        </w:tc>
        <w:tc>
          <w:tcPr>
            <w:tcW w:w="1127" w:type="dxa"/>
          </w:tcPr>
          <w:p w14:paraId="1FD7C626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33D96052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0</w:t>
            </w:r>
          </w:p>
        </w:tc>
      </w:tr>
      <w:tr w:rsidR="00882F5C" w14:paraId="306AC444" w14:textId="77777777" w:rsidTr="00531CFF">
        <w:tc>
          <w:tcPr>
            <w:tcW w:w="2188" w:type="dxa"/>
            <w:vMerge/>
            <w:vAlign w:val="center"/>
          </w:tcPr>
          <w:p w14:paraId="7C871161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4B29F49" w14:textId="77777777" w:rsidR="00882F5C" w:rsidRPr="00974A24" w:rsidRDefault="00882F5C" w:rsidP="00882F5C">
            <w:pPr>
              <w:pStyle w:val="Odsekzoznamu"/>
              <w:numPr>
                <w:ilvl w:val="0"/>
                <w:numId w:val="34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395A6D6" w14:textId="77777777" w:rsidR="00882F5C" w:rsidRPr="008D4F48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Zvýšená hladina hormónu stimulujúceho štítnu žľazu v krvi </w:t>
            </w:r>
          </w:p>
        </w:tc>
        <w:tc>
          <w:tcPr>
            <w:tcW w:w="1127" w:type="dxa"/>
          </w:tcPr>
          <w:p w14:paraId="0F2E2820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36 (3%)</w:t>
            </w:r>
          </w:p>
        </w:tc>
        <w:tc>
          <w:tcPr>
            <w:tcW w:w="1127" w:type="dxa"/>
          </w:tcPr>
          <w:p w14:paraId="78C618EE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2B76356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0</w:t>
            </w:r>
          </w:p>
        </w:tc>
      </w:tr>
      <w:tr w:rsidR="00882F5C" w14:paraId="7CFD5584" w14:textId="77777777" w:rsidTr="00531CFF">
        <w:tc>
          <w:tcPr>
            <w:tcW w:w="2188" w:type="dxa"/>
            <w:vMerge/>
            <w:vAlign w:val="center"/>
          </w:tcPr>
          <w:p w14:paraId="0AF83F5F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70A3CABE" w14:textId="77777777" w:rsidR="00882F5C" w:rsidRPr="00974A24" w:rsidRDefault="00882F5C" w:rsidP="00882F5C">
            <w:pPr>
              <w:pStyle w:val="Odsekzoznamu"/>
              <w:numPr>
                <w:ilvl w:val="0"/>
                <w:numId w:val="34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6A5D3CF" w14:textId="77777777" w:rsidR="00882F5C" w:rsidRPr="008D4F48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Zvýšená hladina amylázy</w:t>
            </w:r>
          </w:p>
        </w:tc>
        <w:tc>
          <w:tcPr>
            <w:tcW w:w="1127" w:type="dxa"/>
          </w:tcPr>
          <w:p w14:paraId="32BB7E8C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35 (3%)</w:t>
            </w:r>
          </w:p>
        </w:tc>
        <w:tc>
          <w:tcPr>
            <w:tcW w:w="1127" w:type="dxa"/>
          </w:tcPr>
          <w:p w14:paraId="5DF28C3C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7 (&lt;1%)</w:t>
            </w:r>
          </w:p>
        </w:tc>
        <w:tc>
          <w:tcPr>
            <w:tcW w:w="1127" w:type="dxa"/>
          </w:tcPr>
          <w:p w14:paraId="3CFACFA9" w14:textId="77777777" w:rsidR="00882F5C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0</w:t>
            </w:r>
          </w:p>
        </w:tc>
      </w:tr>
      <w:tr w:rsidR="00882F5C" w:rsidRPr="008D4F48" w14:paraId="6010413B" w14:textId="77777777" w:rsidTr="00531CFF">
        <w:tc>
          <w:tcPr>
            <w:tcW w:w="2188" w:type="dxa"/>
            <w:vMerge/>
            <w:vAlign w:val="center"/>
          </w:tcPr>
          <w:p w14:paraId="1DC6A1F7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684041B1" w14:textId="77777777" w:rsidR="00882F5C" w:rsidRPr="00974A24" w:rsidRDefault="00882F5C" w:rsidP="00882F5C">
            <w:pPr>
              <w:pStyle w:val="Odsekzoznamu"/>
              <w:numPr>
                <w:ilvl w:val="0"/>
                <w:numId w:val="34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04250FA7" w14:textId="77777777" w:rsidR="00882F5C" w:rsidRPr="008D4F48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Zvýšená hladina gamaglutamyltransferázy</w:t>
            </w:r>
          </w:p>
        </w:tc>
        <w:tc>
          <w:tcPr>
            <w:tcW w:w="1127" w:type="dxa"/>
          </w:tcPr>
          <w:p w14:paraId="1CD61FCF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31 (3%)</w:t>
            </w:r>
          </w:p>
        </w:tc>
        <w:tc>
          <w:tcPr>
            <w:tcW w:w="1127" w:type="dxa"/>
          </w:tcPr>
          <w:p w14:paraId="5D8F0D22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9 (&lt;1%)</w:t>
            </w:r>
          </w:p>
        </w:tc>
        <w:tc>
          <w:tcPr>
            <w:tcW w:w="1127" w:type="dxa"/>
          </w:tcPr>
          <w:p w14:paraId="53F7AF63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4 (&lt;1%)</w:t>
            </w:r>
          </w:p>
        </w:tc>
      </w:tr>
      <w:tr w:rsidR="00882F5C" w:rsidRPr="008D4F48" w14:paraId="7C9A0AEB" w14:textId="77777777" w:rsidTr="00531CFF">
        <w:tc>
          <w:tcPr>
            <w:tcW w:w="2188" w:type="dxa"/>
            <w:vMerge/>
            <w:vAlign w:val="center"/>
          </w:tcPr>
          <w:p w14:paraId="6AA34D39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15D666EA" w14:textId="77777777" w:rsidR="00882F5C" w:rsidRPr="00974A24" w:rsidRDefault="00882F5C" w:rsidP="00882F5C">
            <w:pPr>
              <w:pStyle w:val="Odsekzoznamu"/>
              <w:numPr>
                <w:ilvl w:val="0"/>
                <w:numId w:val="34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5D36E55D" w14:textId="77777777" w:rsidR="00882F5C" w:rsidRPr="008D4F48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Zvýšený krvný tlak</w:t>
            </w:r>
          </w:p>
        </w:tc>
        <w:tc>
          <w:tcPr>
            <w:tcW w:w="1127" w:type="dxa"/>
          </w:tcPr>
          <w:p w14:paraId="1E0A1022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15 (1%)</w:t>
            </w:r>
          </w:p>
        </w:tc>
        <w:tc>
          <w:tcPr>
            <w:tcW w:w="1127" w:type="dxa"/>
          </w:tcPr>
          <w:p w14:paraId="031998AF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08032B1F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0</w:t>
            </w:r>
          </w:p>
        </w:tc>
      </w:tr>
      <w:tr w:rsidR="00882F5C" w:rsidRPr="008D4F48" w14:paraId="60F18070" w14:textId="77777777" w:rsidTr="00531CFF">
        <w:tc>
          <w:tcPr>
            <w:tcW w:w="2188" w:type="dxa"/>
            <w:vMerge/>
            <w:vAlign w:val="center"/>
          </w:tcPr>
          <w:p w14:paraId="3CA1D538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277D99A4" w14:textId="77777777" w:rsidR="00882F5C" w:rsidRPr="00974A24" w:rsidRDefault="00882F5C" w:rsidP="00882F5C">
            <w:pPr>
              <w:pStyle w:val="Odsekzoznamu"/>
              <w:numPr>
                <w:ilvl w:val="0"/>
                <w:numId w:val="34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87BE952" w14:textId="77777777" w:rsidR="00882F5C" w:rsidRPr="008D4F48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Zvýšená hladina močoviny v krvi </w:t>
            </w:r>
          </w:p>
        </w:tc>
        <w:tc>
          <w:tcPr>
            <w:tcW w:w="1127" w:type="dxa"/>
          </w:tcPr>
          <w:p w14:paraId="64B29FDD" w14:textId="77777777" w:rsidR="00882F5C" w:rsidRPr="008D4F48" w:rsidRDefault="00882F5C" w:rsidP="00882F5C">
            <w:pPr>
              <w:ind w:right="-72"/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12 (1%)</w:t>
            </w:r>
          </w:p>
        </w:tc>
        <w:tc>
          <w:tcPr>
            <w:tcW w:w="1127" w:type="dxa"/>
          </w:tcPr>
          <w:p w14:paraId="33ABE084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63D0EBC3" w14:textId="77777777" w:rsidR="00882F5C" w:rsidRPr="008D4F48" w:rsidRDefault="00882F5C" w:rsidP="00882F5C">
            <w:pPr>
              <w:rPr>
                <w:sz w:val="22"/>
                <w:szCs w:val="22"/>
              </w:rPr>
            </w:pPr>
            <w:r w:rsidRPr="008D4F48">
              <w:rPr>
                <w:sz w:val="22"/>
                <w:szCs w:val="22"/>
              </w:rPr>
              <w:t>0</w:t>
            </w:r>
          </w:p>
        </w:tc>
      </w:tr>
      <w:tr w:rsidR="00882F5C" w:rsidRPr="00FA7E69" w14:paraId="47E34488" w14:textId="77777777" w:rsidTr="00531CFF">
        <w:tc>
          <w:tcPr>
            <w:tcW w:w="2188" w:type="dxa"/>
            <w:vMerge/>
            <w:vAlign w:val="center"/>
          </w:tcPr>
          <w:p w14:paraId="2BD93868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755C0F4" w14:textId="77777777" w:rsidR="00882F5C" w:rsidRPr="00974A24" w:rsidRDefault="00882F5C" w:rsidP="00882F5C">
            <w:pPr>
              <w:pStyle w:val="Odsekzoznamu"/>
              <w:numPr>
                <w:ilvl w:val="0"/>
                <w:numId w:val="34"/>
              </w:num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FD81BF2" w14:textId="77777777" w:rsidR="00882F5C" w:rsidRPr="00FA7E69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Abnormálne hodnoty funkčných vyšetrení pečene</w:t>
            </w:r>
          </w:p>
        </w:tc>
        <w:tc>
          <w:tcPr>
            <w:tcW w:w="1127" w:type="dxa"/>
          </w:tcPr>
          <w:p w14:paraId="60B4DB71" w14:textId="77777777" w:rsidR="00882F5C" w:rsidRPr="00FA7E69" w:rsidRDefault="00882F5C" w:rsidP="00882F5C">
            <w:pPr>
              <w:ind w:right="-72"/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12 (1%)</w:t>
            </w:r>
          </w:p>
        </w:tc>
        <w:tc>
          <w:tcPr>
            <w:tcW w:w="1127" w:type="dxa"/>
          </w:tcPr>
          <w:p w14:paraId="155377AA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6 (&lt;1%)</w:t>
            </w:r>
          </w:p>
        </w:tc>
        <w:tc>
          <w:tcPr>
            <w:tcW w:w="1127" w:type="dxa"/>
          </w:tcPr>
          <w:p w14:paraId="3E2260AB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1 (&lt;1%)</w:t>
            </w:r>
          </w:p>
        </w:tc>
      </w:tr>
      <w:tr w:rsidR="00882F5C" w:rsidRPr="00FA7E69" w14:paraId="74771FF2" w14:textId="77777777" w:rsidTr="00531CFF">
        <w:tc>
          <w:tcPr>
            <w:tcW w:w="2188" w:type="dxa"/>
            <w:vMerge/>
            <w:vAlign w:val="center"/>
          </w:tcPr>
          <w:p w14:paraId="74C8E906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5AA0804B" w14:textId="77777777" w:rsidR="00882F5C" w:rsidRPr="00974A24" w:rsidRDefault="00882F5C" w:rsidP="00882F5C">
            <w:pPr>
              <w:ind w:right="-108"/>
              <w:rPr>
                <w:sz w:val="22"/>
                <w:szCs w:val="22"/>
              </w:rPr>
            </w:pPr>
            <w:r w:rsidRPr="008416DC">
              <w:rPr>
                <w:sz w:val="22"/>
                <w:szCs w:val="22"/>
              </w:rPr>
              <w:t>Menej časté</w:t>
            </w:r>
          </w:p>
        </w:tc>
        <w:tc>
          <w:tcPr>
            <w:tcW w:w="2567" w:type="dxa"/>
          </w:tcPr>
          <w:p w14:paraId="5A66937D" w14:textId="77777777" w:rsidR="00882F5C" w:rsidRPr="00FA7E69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Zvýšená hladina pečeňových enzýmov </w:t>
            </w:r>
          </w:p>
        </w:tc>
        <w:tc>
          <w:tcPr>
            <w:tcW w:w="1127" w:type="dxa"/>
          </w:tcPr>
          <w:p w14:paraId="2C34FEE0" w14:textId="77777777" w:rsidR="00882F5C" w:rsidRPr="00FA7E69" w:rsidRDefault="00882F5C" w:rsidP="00882F5C">
            <w:pPr>
              <w:ind w:right="-72"/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11 (&lt;1%)</w:t>
            </w:r>
          </w:p>
        </w:tc>
        <w:tc>
          <w:tcPr>
            <w:tcW w:w="1127" w:type="dxa"/>
          </w:tcPr>
          <w:p w14:paraId="08229066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4 (&lt;1%)</w:t>
            </w:r>
          </w:p>
        </w:tc>
        <w:tc>
          <w:tcPr>
            <w:tcW w:w="1127" w:type="dxa"/>
          </w:tcPr>
          <w:p w14:paraId="310A554C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3 (&lt;1%)</w:t>
            </w:r>
          </w:p>
        </w:tc>
      </w:tr>
      <w:tr w:rsidR="00882F5C" w:rsidRPr="00FA7E69" w14:paraId="2AE79C02" w14:textId="77777777" w:rsidTr="00531CFF">
        <w:tc>
          <w:tcPr>
            <w:tcW w:w="2188" w:type="dxa"/>
            <w:vMerge/>
            <w:vAlign w:val="center"/>
          </w:tcPr>
          <w:p w14:paraId="191170DE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D23A221" w14:textId="77777777" w:rsidR="00882F5C" w:rsidRPr="00974A24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B0FAFA4" w14:textId="77777777" w:rsidR="00882F5C" w:rsidRPr="00FA7E69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Znížená hladina glukózy v krvi </w:t>
            </w:r>
          </w:p>
        </w:tc>
        <w:tc>
          <w:tcPr>
            <w:tcW w:w="1127" w:type="dxa"/>
          </w:tcPr>
          <w:p w14:paraId="53D216BF" w14:textId="77777777" w:rsidR="00882F5C" w:rsidRPr="00FA7E69" w:rsidRDefault="00882F5C" w:rsidP="00882F5C">
            <w:pPr>
              <w:ind w:right="-72"/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7 (&lt;1%)</w:t>
            </w:r>
          </w:p>
        </w:tc>
        <w:tc>
          <w:tcPr>
            <w:tcW w:w="1127" w:type="dxa"/>
          </w:tcPr>
          <w:p w14:paraId="3DBF7414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74D5032C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1 (&lt;1%)</w:t>
            </w:r>
          </w:p>
        </w:tc>
      </w:tr>
      <w:tr w:rsidR="00882F5C" w:rsidRPr="00FA7E69" w14:paraId="02FBEA48" w14:textId="77777777" w:rsidTr="00531CFF">
        <w:tc>
          <w:tcPr>
            <w:tcW w:w="2188" w:type="dxa"/>
            <w:vMerge/>
            <w:vAlign w:val="center"/>
          </w:tcPr>
          <w:p w14:paraId="1258B74B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707C856B" w14:textId="77777777" w:rsidR="00882F5C" w:rsidRPr="00974A24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4175D84" w14:textId="77777777" w:rsidR="00882F5C" w:rsidRPr="00FA7E69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Predĺženie QT intervalu na elektrokardiograme</w:t>
            </w:r>
          </w:p>
        </w:tc>
        <w:tc>
          <w:tcPr>
            <w:tcW w:w="1127" w:type="dxa"/>
          </w:tcPr>
          <w:p w14:paraId="3F6B96B3" w14:textId="77777777" w:rsidR="00882F5C" w:rsidRPr="00FA7E69" w:rsidRDefault="00882F5C" w:rsidP="00882F5C">
            <w:pPr>
              <w:ind w:right="-72"/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7 (&lt;1%)</w:t>
            </w:r>
          </w:p>
        </w:tc>
        <w:tc>
          <w:tcPr>
            <w:tcW w:w="1127" w:type="dxa"/>
          </w:tcPr>
          <w:p w14:paraId="1D8133B6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00A98910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0</w:t>
            </w:r>
          </w:p>
        </w:tc>
      </w:tr>
      <w:tr w:rsidR="00882F5C" w:rsidRPr="00FA7E69" w14:paraId="4FA026E9" w14:textId="77777777" w:rsidTr="00531CFF">
        <w:tc>
          <w:tcPr>
            <w:tcW w:w="2188" w:type="dxa"/>
            <w:vMerge/>
            <w:vAlign w:val="center"/>
          </w:tcPr>
          <w:p w14:paraId="155779DE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57EAF0FB" w14:textId="77777777" w:rsidR="00882F5C" w:rsidRPr="00974A24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6B2BA8A2" w14:textId="77777777" w:rsidR="00882F5C" w:rsidRPr="00FA7E69" w:rsidRDefault="00882F5C" w:rsidP="00882F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Zvýšená hladina transamináz </w:t>
            </w:r>
          </w:p>
        </w:tc>
        <w:tc>
          <w:tcPr>
            <w:tcW w:w="1127" w:type="dxa"/>
          </w:tcPr>
          <w:p w14:paraId="04F1301D" w14:textId="77777777" w:rsidR="00882F5C" w:rsidRPr="00FA7E69" w:rsidRDefault="00882F5C" w:rsidP="00882F5C">
            <w:pPr>
              <w:ind w:right="-72"/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7 (&lt;1%)</w:t>
            </w:r>
          </w:p>
        </w:tc>
        <w:tc>
          <w:tcPr>
            <w:tcW w:w="1127" w:type="dxa"/>
          </w:tcPr>
          <w:p w14:paraId="33CF7352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3887DFC4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0</w:t>
            </w:r>
          </w:p>
        </w:tc>
      </w:tr>
      <w:tr w:rsidR="00882F5C" w:rsidRPr="00FA7E69" w14:paraId="5C1E6CE2" w14:textId="77777777" w:rsidTr="00531CFF">
        <w:tc>
          <w:tcPr>
            <w:tcW w:w="2188" w:type="dxa"/>
            <w:vMerge/>
            <w:vAlign w:val="center"/>
          </w:tcPr>
          <w:p w14:paraId="4E01A823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09C2B58" w14:textId="77777777" w:rsidR="00882F5C" w:rsidRPr="00974A24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7237A6A2" w14:textId="77777777" w:rsidR="00882F5C" w:rsidRPr="00FA7E69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Abnormálne hodnoty funkčných vyšetrení štítnej žľazy</w:t>
            </w:r>
          </w:p>
        </w:tc>
        <w:tc>
          <w:tcPr>
            <w:tcW w:w="1127" w:type="dxa"/>
          </w:tcPr>
          <w:p w14:paraId="5C00829F" w14:textId="77777777" w:rsidR="00882F5C" w:rsidRPr="00FA7E69" w:rsidRDefault="00882F5C" w:rsidP="00882F5C">
            <w:pPr>
              <w:ind w:right="-72"/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3 (&lt;1%)</w:t>
            </w:r>
          </w:p>
        </w:tc>
        <w:tc>
          <w:tcPr>
            <w:tcW w:w="1127" w:type="dxa"/>
          </w:tcPr>
          <w:p w14:paraId="1A9FEBA6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042009A3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0</w:t>
            </w:r>
          </w:p>
        </w:tc>
      </w:tr>
      <w:tr w:rsidR="00882F5C" w:rsidRPr="00FA7E69" w14:paraId="2130FC8C" w14:textId="77777777" w:rsidTr="00531CFF">
        <w:tc>
          <w:tcPr>
            <w:tcW w:w="2188" w:type="dxa"/>
            <w:vMerge/>
            <w:vAlign w:val="center"/>
          </w:tcPr>
          <w:p w14:paraId="1643FC8F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493CC75A" w14:textId="77777777" w:rsidR="00882F5C" w:rsidRPr="00974A24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3BB89386" w14:textId="77777777" w:rsidR="00882F5C" w:rsidRPr="00FA7E69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Zvýšený diastolický krvný tlak</w:t>
            </w:r>
          </w:p>
        </w:tc>
        <w:tc>
          <w:tcPr>
            <w:tcW w:w="1127" w:type="dxa"/>
          </w:tcPr>
          <w:p w14:paraId="33004EA0" w14:textId="77777777" w:rsidR="00882F5C" w:rsidRPr="00FA7E69" w:rsidRDefault="00882F5C" w:rsidP="00882F5C">
            <w:pPr>
              <w:ind w:right="-72"/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2 (&lt;1%)</w:t>
            </w:r>
          </w:p>
        </w:tc>
        <w:tc>
          <w:tcPr>
            <w:tcW w:w="1127" w:type="dxa"/>
          </w:tcPr>
          <w:p w14:paraId="2DD52CE3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6627D55B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0</w:t>
            </w:r>
          </w:p>
        </w:tc>
      </w:tr>
      <w:tr w:rsidR="00882F5C" w:rsidRPr="00FA7E69" w14:paraId="69B94F8F" w14:textId="77777777" w:rsidTr="00531CFF">
        <w:tc>
          <w:tcPr>
            <w:tcW w:w="2188" w:type="dxa"/>
            <w:vMerge/>
            <w:vAlign w:val="center"/>
          </w:tcPr>
          <w:p w14:paraId="6F553D54" w14:textId="77777777" w:rsidR="00882F5C" w:rsidRPr="00650FC6" w:rsidRDefault="00882F5C" w:rsidP="00882F5C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14:paraId="341EC1BE" w14:textId="77777777" w:rsidR="00882F5C" w:rsidRPr="00974A24" w:rsidRDefault="00882F5C" w:rsidP="00882F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67" w:type="dxa"/>
          </w:tcPr>
          <w:p w14:paraId="1AFB642D" w14:textId="77777777" w:rsidR="00882F5C" w:rsidRPr="00FA7E69" w:rsidRDefault="00882F5C" w:rsidP="00882F5C">
            <w:pPr>
              <w:ind w:right="-108"/>
              <w:rPr>
                <w:sz w:val="22"/>
                <w:szCs w:val="22"/>
              </w:rPr>
            </w:pPr>
            <w:r w:rsidRPr="00DB3EE0">
              <w:rPr>
                <w:sz w:val="22"/>
                <w:szCs w:val="22"/>
              </w:rPr>
              <w:t>Zvýšený systolický krvný tlak</w:t>
            </w:r>
          </w:p>
        </w:tc>
        <w:tc>
          <w:tcPr>
            <w:tcW w:w="1127" w:type="dxa"/>
          </w:tcPr>
          <w:p w14:paraId="393ED722" w14:textId="77777777" w:rsidR="00882F5C" w:rsidRPr="00FA7E69" w:rsidRDefault="00882F5C" w:rsidP="00882F5C">
            <w:pPr>
              <w:ind w:right="-72"/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1 (&lt;1%)</w:t>
            </w:r>
          </w:p>
        </w:tc>
        <w:tc>
          <w:tcPr>
            <w:tcW w:w="1127" w:type="dxa"/>
          </w:tcPr>
          <w:p w14:paraId="3AD00373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0</w:t>
            </w:r>
          </w:p>
        </w:tc>
        <w:tc>
          <w:tcPr>
            <w:tcW w:w="1127" w:type="dxa"/>
          </w:tcPr>
          <w:p w14:paraId="59213349" w14:textId="77777777" w:rsidR="00882F5C" w:rsidRPr="00FA7E69" w:rsidRDefault="00882F5C" w:rsidP="00882F5C">
            <w:pPr>
              <w:rPr>
                <w:sz w:val="22"/>
                <w:szCs w:val="22"/>
              </w:rPr>
            </w:pPr>
            <w:r w:rsidRPr="00FA7E69">
              <w:rPr>
                <w:sz w:val="22"/>
                <w:szCs w:val="22"/>
              </w:rPr>
              <w:t>0</w:t>
            </w:r>
          </w:p>
        </w:tc>
      </w:tr>
      <w:tr w:rsidR="00882F5C" w:rsidRPr="00FA7E69" w14:paraId="786FC9D9" w14:textId="77777777" w:rsidTr="00253F14">
        <w:tc>
          <w:tcPr>
            <w:tcW w:w="9062" w:type="dxa"/>
            <w:gridSpan w:val="6"/>
            <w:vAlign w:val="center"/>
          </w:tcPr>
          <w:p w14:paraId="052E0B34" w14:textId="77777777" w:rsidR="00882F5C" w:rsidRPr="0058386A" w:rsidRDefault="00882F5C" w:rsidP="00882F5C">
            <w:pPr>
              <w:ind w:left="102"/>
              <w:rPr>
                <w:spacing w:val="1"/>
              </w:rPr>
            </w:pPr>
            <w:r w:rsidRPr="0058386A">
              <w:rPr>
                <w:spacing w:val="1"/>
              </w:rPr>
              <w:t>† Nežiaduce reakcie súvisiace s liečbou hlásené počas obdobia po uvedení lieku na trh (spontánne hlásenia prípadov a závažné nežiaduce reakcie zo všetkých klinických skúšaní s pazopanibom).</w:t>
            </w:r>
          </w:p>
          <w:p w14:paraId="52706CBB" w14:textId="77777777" w:rsidR="00882F5C" w:rsidRPr="0058386A" w:rsidRDefault="00882F5C" w:rsidP="00882F5C">
            <w:pPr>
              <w:ind w:left="102"/>
              <w:rPr>
                <w:spacing w:val="1"/>
              </w:rPr>
            </w:pPr>
            <w:r w:rsidRPr="0058386A">
              <w:rPr>
                <w:spacing w:val="1"/>
              </w:rPr>
              <w:t>* Nežiaduce reakcie súvisiace s liečbou hlásené iba počas obdobia po uvedení lieku na trh. Frekvenciu nemožno odhadnúť z dostupných údajov.</w:t>
            </w:r>
          </w:p>
          <w:p w14:paraId="3E082D88" w14:textId="77777777" w:rsidR="00882F5C" w:rsidRPr="0058386A" w:rsidRDefault="00882F5C" w:rsidP="00882F5C">
            <w:pPr>
              <w:ind w:left="102"/>
              <w:rPr>
                <w:spacing w:val="1"/>
              </w:rPr>
            </w:pPr>
            <w:r w:rsidRPr="0058386A">
              <w:rPr>
                <w:spacing w:val="1"/>
              </w:rPr>
              <w:t>Boli skombinované nasledujúce termíny:</w:t>
            </w:r>
          </w:p>
          <w:p w14:paraId="5AC78DF3" w14:textId="77777777" w:rsidR="00882F5C" w:rsidRPr="0058386A" w:rsidRDefault="00882F5C" w:rsidP="00882F5C">
            <w:pPr>
              <w:ind w:left="102"/>
              <w:rPr>
                <w:spacing w:val="1"/>
              </w:rPr>
            </w:pPr>
            <w:r w:rsidRPr="0058386A">
              <w:rPr>
                <w:spacing w:val="1"/>
                <w:vertAlign w:val="superscript"/>
              </w:rPr>
              <w:t>a</w:t>
            </w:r>
            <w:r w:rsidRPr="0058386A">
              <w:rPr>
                <w:spacing w:val="1"/>
              </w:rPr>
              <w:t xml:space="preserve"> Bolesť brucha, bolesť v hornej časti brucha a bolesť v dolnej časti brucha</w:t>
            </w:r>
          </w:p>
          <w:p w14:paraId="349D916C" w14:textId="77777777" w:rsidR="00882F5C" w:rsidRPr="0058386A" w:rsidRDefault="00882F5C" w:rsidP="00882F5C">
            <w:pPr>
              <w:ind w:left="102"/>
              <w:rPr>
                <w:spacing w:val="1"/>
              </w:rPr>
            </w:pPr>
            <w:r w:rsidRPr="0058386A">
              <w:rPr>
                <w:spacing w:val="1"/>
                <w:vertAlign w:val="superscript"/>
              </w:rPr>
              <w:t>b</w:t>
            </w:r>
            <w:r w:rsidRPr="0058386A">
              <w:rPr>
                <w:spacing w:val="1"/>
              </w:rPr>
              <w:t xml:space="preserve"> Edém, periférny edém, edém oka, lokalizovaný edém a edém tváre</w:t>
            </w:r>
          </w:p>
          <w:p w14:paraId="1BE0B687" w14:textId="77777777" w:rsidR="00882F5C" w:rsidRPr="0058386A" w:rsidRDefault="00882F5C" w:rsidP="00882F5C">
            <w:pPr>
              <w:ind w:left="102"/>
              <w:rPr>
                <w:spacing w:val="1"/>
              </w:rPr>
            </w:pPr>
            <w:r w:rsidRPr="0058386A">
              <w:rPr>
                <w:spacing w:val="1"/>
                <w:vertAlign w:val="superscript"/>
              </w:rPr>
              <w:t>c</w:t>
            </w:r>
            <w:r w:rsidRPr="0058386A">
              <w:rPr>
                <w:spacing w:val="1"/>
              </w:rPr>
              <w:t xml:space="preserve"> Dysgeúzia, ageúzia a hypogeúzia</w:t>
            </w:r>
          </w:p>
          <w:p w14:paraId="16C707CD" w14:textId="77777777" w:rsidR="00882F5C" w:rsidRPr="0058386A" w:rsidRDefault="00882F5C" w:rsidP="00882F5C">
            <w:pPr>
              <w:ind w:left="102"/>
              <w:rPr>
                <w:spacing w:val="1"/>
              </w:rPr>
            </w:pPr>
            <w:r w:rsidRPr="0058386A">
              <w:rPr>
                <w:spacing w:val="1"/>
                <w:vertAlign w:val="superscript"/>
              </w:rPr>
              <w:t>d</w:t>
            </w:r>
            <w:r w:rsidRPr="0058386A">
              <w:rPr>
                <w:spacing w:val="1"/>
              </w:rPr>
              <w:t xml:space="preserve"> Znížený počet bielych krviniek, znížený počet neutrofilov a znížený počet leukocytov</w:t>
            </w:r>
          </w:p>
          <w:p w14:paraId="6C830422" w14:textId="77777777" w:rsidR="00882F5C" w:rsidRPr="0058386A" w:rsidRDefault="00882F5C" w:rsidP="00882F5C">
            <w:pPr>
              <w:ind w:left="102"/>
              <w:rPr>
                <w:spacing w:val="1"/>
              </w:rPr>
            </w:pPr>
            <w:r w:rsidRPr="0058386A">
              <w:rPr>
                <w:spacing w:val="1"/>
                <w:vertAlign w:val="superscript"/>
              </w:rPr>
              <w:t>e</w:t>
            </w:r>
            <w:r w:rsidRPr="0058386A">
              <w:rPr>
                <w:spacing w:val="1"/>
              </w:rPr>
              <w:t xml:space="preserve"> Znížená chuť do jedla a anorexia</w:t>
            </w:r>
          </w:p>
          <w:p w14:paraId="7942832F" w14:textId="77777777" w:rsidR="00882F5C" w:rsidRPr="0058386A" w:rsidRDefault="00882F5C" w:rsidP="00882F5C">
            <w:pPr>
              <w:ind w:left="102"/>
              <w:rPr>
                <w:spacing w:val="1"/>
              </w:rPr>
            </w:pPr>
            <w:r w:rsidRPr="0058386A">
              <w:rPr>
                <w:spacing w:val="1"/>
                <w:vertAlign w:val="superscript"/>
              </w:rPr>
              <w:t>f</w:t>
            </w:r>
            <w:r w:rsidRPr="0058386A">
              <w:rPr>
                <w:spacing w:val="1"/>
              </w:rPr>
              <w:t xml:space="preserve"> Srdcová dysfunkcia, dysfunkcia ľavej komory, srdcové zlyhanie a reštriktívna kardiomyopatia</w:t>
            </w:r>
          </w:p>
          <w:p w14:paraId="07AFA594" w14:textId="77777777" w:rsidR="00882F5C" w:rsidRPr="00FA7E69" w:rsidRDefault="00882F5C" w:rsidP="00882F5C">
            <w:pPr>
              <w:ind w:left="102"/>
              <w:rPr>
                <w:sz w:val="22"/>
                <w:szCs w:val="22"/>
              </w:rPr>
            </w:pPr>
            <w:r w:rsidRPr="0058386A">
              <w:rPr>
                <w:spacing w:val="1"/>
                <w:vertAlign w:val="superscript"/>
              </w:rPr>
              <w:t>g</w:t>
            </w:r>
            <w:r w:rsidRPr="0058386A">
              <w:rPr>
                <w:spacing w:val="1"/>
              </w:rPr>
              <w:t xml:space="preserve"> Venózna tromboembolická príhoda, hlboká žilová trombóza, pľúcna embólia a trombóza</w:t>
            </w:r>
            <w:r w:rsidRPr="0058386A">
              <w:rPr>
                <w:spacing w:val="1"/>
                <w:sz w:val="22"/>
                <w:szCs w:val="22"/>
              </w:rPr>
              <w:t xml:space="preserve"> </w:t>
            </w:r>
          </w:p>
        </w:tc>
      </w:tr>
    </w:tbl>
    <w:p w14:paraId="739F74AD" w14:textId="77777777" w:rsidR="00F209FF" w:rsidRDefault="00F209FF" w:rsidP="000F2DF1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14:paraId="474C11F3" w14:textId="77777777" w:rsidR="0058386A" w:rsidRDefault="0058386A" w:rsidP="000F2DF1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proofErr w:type="spellStart"/>
      <w:r w:rsidRPr="0058386A">
        <w:rPr>
          <w:rFonts w:ascii="Times New Roman" w:hAnsi="Times New Roman" w:cs="Times New Roman"/>
        </w:rPr>
        <w:t>Neutropénia</w:t>
      </w:r>
      <w:proofErr w:type="spellEnd"/>
      <w:r w:rsidRPr="0058386A">
        <w:rPr>
          <w:rFonts w:ascii="Times New Roman" w:hAnsi="Times New Roman" w:cs="Times New Roman"/>
        </w:rPr>
        <w:t xml:space="preserve">, trombocytopénia a syndróm </w:t>
      </w:r>
      <w:proofErr w:type="spellStart"/>
      <w:r w:rsidRPr="0058386A">
        <w:rPr>
          <w:rFonts w:ascii="Times New Roman" w:hAnsi="Times New Roman" w:cs="Times New Roman"/>
        </w:rPr>
        <w:t>palmárno-plantárnej</w:t>
      </w:r>
      <w:proofErr w:type="spellEnd"/>
      <w:r w:rsidRPr="0058386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erytrodyzestézie</w:t>
      </w:r>
      <w:proofErr w:type="spellEnd"/>
      <w:r>
        <w:rPr>
          <w:rFonts w:ascii="Times New Roman" w:hAnsi="Times New Roman" w:cs="Times New Roman"/>
        </w:rPr>
        <w:t xml:space="preserve"> boli častejšie </w:t>
      </w:r>
    </w:p>
    <w:p w14:paraId="4C596FEB" w14:textId="77777777" w:rsidR="00F209FF" w:rsidRDefault="0058386A" w:rsidP="000F2DF1">
      <w:pPr>
        <w:spacing w:after="0" w:line="240" w:lineRule="auto"/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Pr="0058386A">
        <w:rPr>
          <w:rFonts w:ascii="Times New Roman" w:hAnsi="Times New Roman" w:cs="Times New Roman"/>
        </w:rPr>
        <w:t>zorované u pacientov východoázijského pôvodu.</w:t>
      </w:r>
    </w:p>
    <w:p w14:paraId="1E275FA4" w14:textId="77777777" w:rsidR="00D46040" w:rsidRDefault="00D46040" w:rsidP="000F2DF1">
      <w:pPr>
        <w:spacing w:after="0" w:line="240" w:lineRule="auto"/>
        <w:ind w:left="1410" w:hanging="1410"/>
        <w:rPr>
          <w:rFonts w:ascii="Times New Roman" w:hAnsi="Times New Roman" w:cs="Times New Roman"/>
        </w:rPr>
      </w:pPr>
    </w:p>
    <w:p w14:paraId="678CE52D" w14:textId="77777777" w:rsidR="00D46040" w:rsidRPr="00D46040" w:rsidRDefault="00D46040" w:rsidP="00D46040">
      <w:pPr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D46040">
        <w:rPr>
          <w:rFonts w:ascii="Times New Roman" w:hAnsi="Times New Roman" w:cs="Times New Roman"/>
          <w:b/>
          <w:bCs/>
        </w:rPr>
        <w:t xml:space="preserve">Tabuľka 3 </w:t>
      </w:r>
      <w:r w:rsidRPr="00D46040">
        <w:rPr>
          <w:rFonts w:ascii="Times New Roman" w:hAnsi="Times New Roman" w:cs="Times New Roman"/>
          <w:b/>
          <w:bCs/>
        </w:rPr>
        <w:tab/>
        <w:t>Nežiaduce reakcie súvisiace s liečbou hlásené v skúšaniach STS (n = 382) alebo počas obdobia po uvedení lieku na trh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40"/>
        <w:gridCol w:w="1267"/>
        <w:gridCol w:w="2271"/>
        <w:gridCol w:w="1194"/>
        <w:gridCol w:w="1194"/>
        <w:gridCol w:w="1194"/>
      </w:tblGrid>
      <w:tr w:rsidR="00E70233" w14:paraId="1285C5CB" w14:textId="77777777" w:rsidTr="007E2214">
        <w:tc>
          <w:tcPr>
            <w:tcW w:w="1940" w:type="dxa"/>
          </w:tcPr>
          <w:p w14:paraId="2340DDF2" w14:textId="77777777" w:rsidR="00D46040" w:rsidRDefault="00D46040" w:rsidP="00D4604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Trieda orgánových systémov </w:t>
            </w:r>
          </w:p>
          <w:p w14:paraId="0A8F444A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353B8747" w14:textId="77777777" w:rsidR="00D46040" w:rsidRDefault="00D46040" w:rsidP="00D4604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Frekvencia (všetky stupne závažnosti) </w:t>
            </w:r>
          </w:p>
          <w:p w14:paraId="47C171B4" w14:textId="77777777" w:rsidR="00D46040" w:rsidRPr="00974A24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6333E818" w14:textId="77777777" w:rsidR="00D46040" w:rsidRDefault="00D46040" w:rsidP="00D4604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Nežiaduce reakcie </w:t>
            </w:r>
          </w:p>
          <w:p w14:paraId="595BDB86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340198B8" w14:textId="77777777" w:rsidR="00D46040" w:rsidRDefault="00D46040" w:rsidP="00D4604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Všetky stupne závažnosti n (%) </w:t>
            </w:r>
          </w:p>
          <w:p w14:paraId="3C4C9A0B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61BE719C" w14:textId="77777777" w:rsidR="00D46040" w:rsidRDefault="00D46040" w:rsidP="00D4604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3. stupeň závažnosti n (%) </w:t>
            </w:r>
          </w:p>
          <w:p w14:paraId="621950CD" w14:textId="77777777" w:rsidR="00D46040" w:rsidRPr="00D46040" w:rsidRDefault="00D46040" w:rsidP="00D46040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194" w:type="dxa"/>
          </w:tcPr>
          <w:p w14:paraId="003DAE3B" w14:textId="77777777" w:rsidR="00D46040" w:rsidRDefault="00D46040" w:rsidP="00D4604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stupeň </w:t>
            </w:r>
          </w:p>
          <w:p w14:paraId="5951B42C" w14:textId="77777777" w:rsidR="00D46040" w:rsidRDefault="00D46040" w:rsidP="00D4604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závažnosti </w:t>
            </w:r>
          </w:p>
          <w:p w14:paraId="2E79D24E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 (%) </w:t>
            </w:r>
          </w:p>
        </w:tc>
      </w:tr>
      <w:tr w:rsidR="00E70233" w14:paraId="15E5AB85" w14:textId="77777777" w:rsidTr="007E2214">
        <w:tc>
          <w:tcPr>
            <w:tcW w:w="1940" w:type="dxa"/>
            <w:vAlign w:val="center"/>
          </w:tcPr>
          <w:p w14:paraId="3101ACDA" w14:textId="77777777" w:rsidR="00D46040" w:rsidRPr="00650FC6" w:rsidRDefault="00D46040" w:rsidP="00D4604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Infekcie a nákazy </w:t>
            </w:r>
          </w:p>
        </w:tc>
        <w:tc>
          <w:tcPr>
            <w:tcW w:w="1267" w:type="dxa"/>
          </w:tcPr>
          <w:p w14:paraId="2850F233" w14:textId="77777777" w:rsidR="00D46040" w:rsidRDefault="00D46040" w:rsidP="00D46040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4468618C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3731B96" w14:textId="77777777" w:rsidR="00D46040" w:rsidRDefault="00D46040" w:rsidP="00D46040">
            <w:pPr>
              <w:pStyle w:val="Default"/>
            </w:pPr>
            <w:r>
              <w:rPr>
                <w:sz w:val="22"/>
                <w:szCs w:val="22"/>
              </w:rPr>
              <w:t xml:space="preserve">Infekcia ďasien </w:t>
            </w:r>
          </w:p>
          <w:p w14:paraId="21F640A1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7F1A3321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 w:rsidRPr="00CE0A29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2B28869B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4CC0A779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3D25383D" w14:textId="77777777" w:rsidTr="007E2214">
        <w:tc>
          <w:tcPr>
            <w:tcW w:w="1940" w:type="dxa"/>
            <w:vAlign w:val="center"/>
          </w:tcPr>
          <w:p w14:paraId="26F1C9A3" w14:textId="77777777" w:rsidR="00D46040" w:rsidRPr="00CE0A29" w:rsidRDefault="00D46040" w:rsidP="00D46040">
            <w:pPr>
              <w:pStyle w:val="Defaul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Benígne a malígne nádory, vrátane nešpecifikovaných novotvarov (cysty a polypy) </w:t>
            </w:r>
          </w:p>
        </w:tc>
        <w:tc>
          <w:tcPr>
            <w:tcW w:w="1267" w:type="dxa"/>
          </w:tcPr>
          <w:p w14:paraId="24D12E29" w14:textId="77777777" w:rsidR="00D46040" w:rsidRDefault="00D46040" w:rsidP="00D46040">
            <w:pPr>
              <w:pStyle w:val="Default"/>
            </w:pPr>
            <w:r>
              <w:rPr>
                <w:sz w:val="22"/>
                <w:szCs w:val="22"/>
              </w:rPr>
              <w:t xml:space="preserve">Veľmi časté </w:t>
            </w:r>
          </w:p>
          <w:p w14:paraId="07E49A5D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68028F7D" w14:textId="77777777" w:rsidR="00D46040" w:rsidRDefault="00D46040" w:rsidP="00D46040">
            <w:pPr>
              <w:pStyle w:val="Default"/>
            </w:pPr>
            <w:r>
              <w:rPr>
                <w:sz w:val="22"/>
                <w:szCs w:val="22"/>
              </w:rPr>
              <w:t xml:space="preserve">Bolesť v mieste nádoru </w:t>
            </w:r>
          </w:p>
          <w:p w14:paraId="4547A6F8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68DD5BE5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 w:rsidRPr="00CE0A29">
              <w:rPr>
                <w:sz w:val="22"/>
                <w:szCs w:val="22"/>
              </w:rPr>
              <w:t>121 (32%)</w:t>
            </w:r>
          </w:p>
        </w:tc>
        <w:tc>
          <w:tcPr>
            <w:tcW w:w="1194" w:type="dxa"/>
          </w:tcPr>
          <w:p w14:paraId="0F1B5E4D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8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27FD57FC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33F9F207" w14:textId="77777777" w:rsidTr="007E2214">
        <w:tc>
          <w:tcPr>
            <w:tcW w:w="1940" w:type="dxa"/>
            <w:vMerge w:val="restart"/>
            <w:vAlign w:val="center"/>
          </w:tcPr>
          <w:p w14:paraId="57EB3FE5" w14:textId="77777777" w:rsidR="00D46040" w:rsidRDefault="00D46040" w:rsidP="00D46040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22"/>
                <w:szCs w:val="22"/>
              </w:rPr>
              <w:t>Poruchy krvi a lymfatického systému</w:t>
            </w:r>
            <w:r w:rsidRPr="00D46040">
              <w:rPr>
                <w:sz w:val="14"/>
                <w:szCs w:val="14"/>
                <w:vertAlign w:val="superscript"/>
              </w:rPr>
              <w:t xml:space="preserve">f </w:t>
            </w:r>
          </w:p>
          <w:p w14:paraId="76FF15D2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32F50D21" w14:textId="77777777" w:rsidR="00D46040" w:rsidRDefault="00D46040" w:rsidP="00D46040">
            <w:pPr>
              <w:pStyle w:val="Default"/>
            </w:pPr>
            <w:r>
              <w:rPr>
                <w:sz w:val="22"/>
                <w:szCs w:val="22"/>
              </w:rPr>
              <w:t xml:space="preserve">Veľmi časté </w:t>
            </w:r>
          </w:p>
          <w:p w14:paraId="7E057DEE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33BD1696" w14:textId="77777777" w:rsidR="00D46040" w:rsidRDefault="00D46040" w:rsidP="00D460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Leukopénia </w:t>
            </w:r>
          </w:p>
        </w:tc>
        <w:tc>
          <w:tcPr>
            <w:tcW w:w="1194" w:type="dxa"/>
          </w:tcPr>
          <w:p w14:paraId="78184D88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44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576360D4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1A8679C3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1AAC1DB0" w14:textId="77777777" w:rsidTr="007E2214">
        <w:tc>
          <w:tcPr>
            <w:tcW w:w="1940" w:type="dxa"/>
            <w:vMerge/>
            <w:vAlign w:val="center"/>
          </w:tcPr>
          <w:p w14:paraId="16C6B543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0248016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352C765" w14:textId="77777777" w:rsidR="00D46040" w:rsidRDefault="00D46040" w:rsidP="00D460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Trombocytopénia </w:t>
            </w:r>
          </w:p>
        </w:tc>
        <w:tc>
          <w:tcPr>
            <w:tcW w:w="1194" w:type="dxa"/>
          </w:tcPr>
          <w:p w14:paraId="49B8741D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36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444B5147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3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1879FB58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A7E69">
              <w:rPr>
                <w:sz w:val="22"/>
                <w:szCs w:val="22"/>
              </w:rPr>
              <w:t xml:space="preserve"> (&lt;1%)</w:t>
            </w:r>
          </w:p>
        </w:tc>
      </w:tr>
      <w:tr w:rsidR="00E70233" w14:paraId="2086D1A1" w14:textId="77777777" w:rsidTr="007E2214">
        <w:tc>
          <w:tcPr>
            <w:tcW w:w="1940" w:type="dxa"/>
            <w:vMerge/>
            <w:vAlign w:val="center"/>
          </w:tcPr>
          <w:p w14:paraId="57FB9DB0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ADD3DFB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49FA63E" w14:textId="77777777" w:rsidR="00D46040" w:rsidRDefault="00D46040" w:rsidP="00D460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Neutropénia </w:t>
            </w:r>
          </w:p>
        </w:tc>
        <w:tc>
          <w:tcPr>
            <w:tcW w:w="1194" w:type="dxa"/>
          </w:tcPr>
          <w:p w14:paraId="3BB96D45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33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53A1B440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4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7D8CE053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0B4D31D6" w14:textId="77777777" w:rsidTr="007E2214">
        <w:tc>
          <w:tcPr>
            <w:tcW w:w="1940" w:type="dxa"/>
            <w:vMerge/>
            <w:vAlign w:val="center"/>
          </w:tcPr>
          <w:p w14:paraId="6F24E288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75135B76" w14:textId="77777777" w:rsidR="00D46040" w:rsidRDefault="00D46040" w:rsidP="00D46040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02A8B8FA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1DCD1315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  <w:r w:rsidRPr="00D46040">
              <w:rPr>
                <w:sz w:val="22"/>
                <w:szCs w:val="22"/>
              </w:rPr>
              <w:t>Trombotická mikroangiopatia (vrátane trombotickej trombocytopenickej purpury a hemolyticko-uremického syndrómu)</w:t>
            </w:r>
          </w:p>
        </w:tc>
        <w:tc>
          <w:tcPr>
            <w:tcW w:w="1194" w:type="dxa"/>
          </w:tcPr>
          <w:p w14:paraId="5F61D250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A7E69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</w:tcPr>
          <w:p w14:paraId="46CE350F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A7E69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</w:tcPr>
          <w:p w14:paraId="6FD64CCC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5A2C93C7" w14:textId="77777777" w:rsidTr="007E2214">
        <w:tc>
          <w:tcPr>
            <w:tcW w:w="1940" w:type="dxa"/>
            <w:vAlign w:val="center"/>
          </w:tcPr>
          <w:p w14:paraId="2B7D9ECF" w14:textId="77777777" w:rsidR="00D46040" w:rsidRDefault="00D46040" w:rsidP="00D4604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endokrinného systému </w:t>
            </w:r>
          </w:p>
          <w:p w14:paraId="0D422A4B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3E5D3079" w14:textId="77777777" w:rsidR="00D46040" w:rsidRDefault="00D46040" w:rsidP="00D46040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181978C3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243A8C69" w14:textId="77777777" w:rsidR="00D46040" w:rsidRDefault="00D46040" w:rsidP="00D46040">
            <w:pPr>
              <w:pStyle w:val="Default"/>
            </w:pPr>
            <w:r>
              <w:rPr>
                <w:sz w:val="22"/>
                <w:szCs w:val="22"/>
              </w:rPr>
              <w:t xml:space="preserve">Hypotyreóza </w:t>
            </w:r>
          </w:p>
          <w:p w14:paraId="75295B21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4E99E9AA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5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01A5EF29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55D4A78C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4F64DDDD" w14:textId="77777777" w:rsidTr="007E2214">
        <w:tc>
          <w:tcPr>
            <w:tcW w:w="1940" w:type="dxa"/>
            <w:vMerge w:val="restart"/>
            <w:vAlign w:val="center"/>
          </w:tcPr>
          <w:p w14:paraId="7B2E3080" w14:textId="77777777" w:rsidR="002B7B11" w:rsidRDefault="002B7B11" w:rsidP="002B7B11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metabolizmu a výživy </w:t>
            </w:r>
          </w:p>
          <w:p w14:paraId="36079E54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5D51D1DC" w14:textId="77777777" w:rsidR="002B7B11" w:rsidRDefault="002B7B11" w:rsidP="002B7B11">
            <w:pPr>
              <w:pStyle w:val="Default"/>
            </w:pPr>
            <w:r>
              <w:rPr>
                <w:sz w:val="22"/>
                <w:szCs w:val="22"/>
              </w:rPr>
              <w:t xml:space="preserve">Veľmi časté </w:t>
            </w:r>
          </w:p>
          <w:p w14:paraId="26ECBA7E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62BB37E2" w14:textId="77777777" w:rsidR="00D46040" w:rsidRDefault="002B7B11" w:rsidP="002B7B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Znížená chuť do jedla </w:t>
            </w:r>
          </w:p>
        </w:tc>
        <w:tc>
          <w:tcPr>
            <w:tcW w:w="1194" w:type="dxa"/>
          </w:tcPr>
          <w:p w14:paraId="435BB736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28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309071DA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3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306C8CDE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04146649" w14:textId="77777777" w:rsidTr="007E2214">
        <w:tc>
          <w:tcPr>
            <w:tcW w:w="1940" w:type="dxa"/>
            <w:vMerge/>
            <w:vAlign w:val="center"/>
          </w:tcPr>
          <w:p w14:paraId="6BA0507B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003C7FCA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2BFF1AA9" w14:textId="77777777" w:rsidR="00D46040" w:rsidRPr="001E2D36" w:rsidRDefault="002B7B11" w:rsidP="00D46040">
            <w:pPr>
              <w:ind w:right="-108"/>
              <w:rPr>
                <w:sz w:val="22"/>
                <w:szCs w:val="22"/>
              </w:rPr>
            </w:pPr>
            <w:r w:rsidRPr="002B7B11">
              <w:rPr>
                <w:sz w:val="22"/>
                <w:szCs w:val="22"/>
              </w:rPr>
              <w:t>Hypoalbuminémia</w:t>
            </w:r>
            <w:r w:rsidRPr="002B7B11">
              <w:rPr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1194" w:type="dxa"/>
          </w:tcPr>
          <w:p w14:paraId="74AE9AA9" w14:textId="77777777" w:rsidR="00D46040" w:rsidRPr="001E2D36" w:rsidRDefault="00D46040" w:rsidP="00D46040">
            <w:pPr>
              <w:ind w:right="-72"/>
              <w:rPr>
                <w:sz w:val="22"/>
                <w:szCs w:val="22"/>
              </w:rPr>
            </w:pPr>
            <w:r w:rsidRPr="001E2D36">
              <w:rPr>
                <w:sz w:val="22"/>
                <w:szCs w:val="22"/>
              </w:rPr>
              <w:t>81 (34%)</w:t>
            </w:r>
          </w:p>
        </w:tc>
        <w:tc>
          <w:tcPr>
            <w:tcW w:w="1194" w:type="dxa"/>
          </w:tcPr>
          <w:p w14:paraId="697048BE" w14:textId="77777777" w:rsidR="00D46040" w:rsidRPr="001E2D36" w:rsidRDefault="00D46040" w:rsidP="00D46040">
            <w:pPr>
              <w:rPr>
                <w:sz w:val="22"/>
                <w:szCs w:val="22"/>
              </w:rPr>
            </w:pPr>
            <w:r w:rsidRPr="001E2D36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13A38AE6" w14:textId="77777777" w:rsidR="00D46040" w:rsidRPr="001E2D36" w:rsidRDefault="00D46040" w:rsidP="00D46040">
            <w:pPr>
              <w:rPr>
                <w:sz w:val="22"/>
                <w:szCs w:val="22"/>
              </w:rPr>
            </w:pPr>
            <w:r w:rsidRPr="001E2D36">
              <w:rPr>
                <w:sz w:val="22"/>
                <w:szCs w:val="22"/>
              </w:rPr>
              <w:t>0</w:t>
            </w:r>
          </w:p>
        </w:tc>
      </w:tr>
      <w:tr w:rsidR="00E70233" w14:paraId="0F029A27" w14:textId="77777777" w:rsidTr="007E2214">
        <w:tc>
          <w:tcPr>
            <w:tcW w:w="1940" w:type="dxa"/>
            <w:vMerge/>
            <w:vAlign w:val="center"/>
          </w:tcPr>
          <w:p w14:paraId="1DA4B1FF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524D554F" w14:textId="77777777" w:rsidR="00D46040" w:rsidRDefault="002B7B11" w:rsidP="002B7B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2273" w:type="dxa"/>
          </w:tcPr>
          <w:p w14:paraId="7BCE9116" w14:textId="77777777" w:rsidR="00D46040" w:rsidRPr="002B7B11" w:rsidRDefault="00D46040" w:rsidP="002B7B11">
            <w:pPr>
              <w:ind w:right="-108"/>
              <w:rPr>
                <w:sz w:val="22"/>
                <w:szCs w:val="22"/>
                <w:lang w:val="sk-SK"/>
              </w:rPr>
            </w:pPr>
            <w:r w:rsidRPr="001E2D36">
              <w:rPr>
                <w:sz w:val="22"/>
                <w:szCs w:val="22"/>
              </w:rPr>
              <w:t>Dehydrat</w:t>
            </w:r>
            <w:proofErr w:type="spellStart"/>
            <w:r w:rsidR="002B7B11">
              <w:rPr>
                <w:sz w:val="22"/>
                <w:szCs w:val="22"/>
                <w:lang w:val="sk-SK"/>
              </w:rPr>
              <w:t>ácia</w:t>
            </w:r>
            <w:proofErr w:type="spellEnd"/>
          </w:p>
        </w:tc>
        <w:tc>
          <w:tcPr>
            <w:tcW w:w="1194" w:type="dxa"/>
          </w:tcPr>
          <w:p w14:paraId="3EA0ED95" w14:textId="77777777" w:rsidR="00D46040" w:rsidRPr="001E2D36" w:rsidRDefault="00D46040" w:rsidP="00D46040">
            <w:pPr>
              <w:ind w:right="-72"/>
              <w:rPr>
                <w:sz w:val="22"/>
                <w:szCs w:val="22"/>
              </w:rPr>
            </w:pPr>
            <w:r w:rsidRPr="001E2D36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3EC738E2" w14:textId="77777777" w:rsidR="00D46040" w:rsidRPr="001E2D36" w:rsidRDefault="00D46040" w:rsidP="00D46040">
            <w:pPr>
              <w:rPr>
                <w:sz w:val="22"/>
                <w:szCs w:val="22"/>
              </w:rPr>
            </w:pPr>
            <w:r w:rsidRPr="001E2D36">
              <w:rPr>
                <w:sz w:val="22"/>
                <w:szCs w:val="22"/>
              </w:rPr>
              <w:t>2 (1%)</w:t>
            </w:r>
          </w:p>
        </w:tc>
        <w:tc>
          <w:tcPr>
            <w:tcW w:w="1194" w:type="dxa"/>
          </w:tcPr>
          <w:p w14:paraId="7BDE0213" w14:textId="77777777" w:rsidR="00D46040" w:rsidRPr="001E2D36" w:rsidRDefault="00D46040" w:rsidP="00D46040">
            <w:pPr>
              <w:rPr>
                <w:sz w:val="22"/>
                <w:szCs w:val="22"/>
              </w:rPr>
            </w:pPr>
            <w:r w:rsidRPr="001E2D36">
              <w:rPr>
                <w:sz w:val="22"/>
                <w:szCs w:val="22"/>
              </w:rPr>
              <w:t>0</w:t>
            </w:r>
          </w:p>
        </w:tc>
      </w:tr>
      <w:tr w:rsidR="00E70233" w14:paraId="4BE1D28C" w14:textId="77777777" w:rsidTr="007E2214">
        <w:tc>
          <w:tcPr>
            <w:tcW w:w="1940" w:type="dxa"/>
            <w:vMerge/>
            <w:vAlign w:val="center"/>
          </w:tcPr>
          <w:p w14:paraId="71E07865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4B77BDAA" w14:textId="77777777" w:rsidR="00D46040" w:rsidRDefault="002B7B11" w:rsidP="002B7B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273" w:type="dxa"/>
          </w:tcPr>
          <w:p w14:paraId="4BB41014" w14:textId="77777777" w:rsidR="00D46040" w:rsidRPr="001E2D36" w:rsidRDefault="002B7B11" w:rsidP="00D46040">
            <w:pPr>
              <w:ind w:right="-108"/>
              <w:rPr>
                <w:sz w:val="22"/>
                <w:szCs w:val="22"/>
              </w:rPr>
            </w:pPr>
            <w:r w:rsidRPr="002B7B11">
              <w:rPr>
                <w:sz w:val="22"/>
                <w:szCs w:val="22"/>
              </w:rPr>
              <w:t>Hypomagneziémia</w:t>
            </w:r>
          </w:p>
        </w:tc>
        <w:tc>
          <w:tcPr>
            <w:tcW w:w="1194" w:type="dxa"/>
          </w:tcPr>
          <w:p w14:paraId="55D9A9A1" w14:textId="77777777" w:rsidR="00D46040" w:rsidRPr="001E2D36" w:rsidRDefault="00D46040" w:rsidP="00D46040">
            <w:pPr>
              <w:ind w:right="-72"/>
              <w:rPr>
                <w:sz w:val="22"/>
                <w:szCs w:val="22"/>
              </w:rPr>
            </w:pPr>
            <w:r w:rsidRPr="001E2D36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1A4D6194" w14:textId="77777777" w:rsidR="00D46040" w:rsidRPr="001E2D36" w:rsidRDefault="00D46040" w:rsidP="00D46040">
            <w:pPr>
              <w:rPr>
                <w:sz w:val="22"/>
                <w:szCs w:val="22"/>
              </w:rPr>
            </w:pPr>
            <w:r w:rsidRPr="001E2D36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25A5274F" w14:textId="77777777" w:rsidR="00D46040" w:rsidRPr="001E2D36" w:rsidRDefault="00D46040" w:rsidP="00D46040">
            <w:pPr>
              <w:rPr>
                <w:sz w:val="22"/>
                <w:szCs w:val="22"/>
              </w:rPr>
            </w:pPr>
            <w:r w:rsidRPr="001E2D36">
              <w:rPr>
                <w:sz w:val="22"/>
                <w:szCs w:val="22"/>
              </w:rPr>
              <w:t>0</w:t>
            </w:r>
          </w:p>
        </w:tc>
      </w:tr>
      <w:tr w:rsidR="00E70233" w14:paraId="3C759E55" w14:textId="77777777" w:rsidTr="007E2214">
        <w:tc>
          <w:tcPr>
            <w:tcW w:w="1940" w:type="dxa"/>
            <w:vMerge/>
            <w:vAlign w:val="center"/>
          </w:tcPr>
          <w:p w14:paraId="31571E53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76332B58" w14:textId="77777777" w:rsidR="002B7B11" w:rsidRDefault="002B7B11" w:rsidP="002B7B11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2412BCF7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DE81C14" w14:textId="77777777" w:rsidR="00D46040" w:rsidRDefault="002B7B11" w:rsidP="002B7B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Syndróm z rozpadu nádoru* </w:t>
            </w:r>
          </w:p>
        </w:tc>
        <w:tc>
          <w:tcPr>
            <w:tcW w:w="1194" w:type="dxa"/>
          </w:tcPr>
          <w:p w14:paraId="4C8A2EFD" w14:textId="77777777" w:rsidR="002B7B11" w:rsidRDefault="002B7B11" w:rsidP="002B7B11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6C398656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75E376B1" w14:textId="77777777" w:rsidR="002B7B11" w:rsidRDefault="002B7B11" w:rsidP="002B7B11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324D6268" w14:textId="77777777" w:rsidR="00D46040" w:rsidRDefault="00D46040" w:rsidP="00D46040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5DC4FE3B" w14:textId="77777777" w:rsidR="002B7B11" w:rsidRDefault="002B7B11" w:rsidP="002B7B11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6959FE17" w14:textId="77777777" w:rsidR="00D46040" w:rsidRDefault="00D46040" w:rsidP="00D46040">
            <w:pPr>
              <w:rPr>
                <w:sz w:val="22"/>
                <w:szCs w:val="22"/>
              </w:rPr>
            </w:pPr>
          </w:p>
        </w:tc>
      </w:tr>
      <w:tr w:rsidR="00E70233" w14:paraId="53DE51EB" w14:textId="77777777" w:rsidTr="007E2214">
        <w:tc>
          <w:tcPr>
            <w:tcW w:w="1940" w:type="dxa"/>
            <w:vAlign w:val="center"/>
          </w:tcPr>
          <w:p w14:paraId="074804E4" w14:textId="77777777" w:rsidR="00D46040" w:rsidRPr="00650FC6" w:rsidRDefault="002B7B11" w:rsidP="002B7B11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Psychické poruchy </w:t>
            </w:r>
          </w:p>
        </w:tc>
        <w:tc>
          <w:tcPr>
            <w:tcW w:w="1267" w:type="dxa"/>
          </w:tcPr>
          <w:p w14:paraId="70F0426B" w14:textId="77777777" w:rsidR="002B7B11" w:rsidRDefault="002B7B11" w:rsidP="002B7B11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4C30E76D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B2B1173" w14:textId="77777777" w:rsidR="002B7B11" w:rsidRDefault="002B7B11" w:rsidP="002B7B11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Insomnia </w:t>
            </w:r>
          </w:p>
          <w:p w14:paraId="0E491BE2" w14:textId="77777777" w:rsidR="00D46040" w:rsidRDefault="00D46040" w:rsidP="00D46040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25BF5BEF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3936A775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A7E69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</w:tcPr>
          <w:p w14:paraId="00C2FFDC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72D21022" w14:textId="77777777" w:rsidTr="007E2214">
        <w:tc>
          <w:tcPr>
            <w:tcW w:w="1940" w:type="dxa"/>
            <w:vMerge w:val="restart"/>
            <w:vAlign w:val="center"/>
          </w:tcPr>
          <w:p w14:paraId="12F98AA7" w14:textId="77777777" w:rsidR="00CB3EA0" w:rsidRDefault="00CB3EA0" w:rsidP="00CB3EA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nervového systému </w:t>
            </w:r>
          </w:p>
          <w:p w14:paraId="0A48E54A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2990F956" w14:textId="77777777" w:rsidR="00CB3EA0" w:rsidRDefault="00CB3EA0" w:rsidP="00CB3EA0">
            <w:pPr>
              <w:pStyle w:val="Default"/>
            </w:pPr>
            <w:r>
              <w:rPr>
                <w:sz w:val="22"/>
                <w:szCs w:val="22"/>
              </w:rPr>
              <w:t xml:space="preserve">Veľmi časté </w:t>
            </w:r>
          </w:p>
          <w:p w14:paraId="39BA2D96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3673A910" w14:textId="77777777" w:rsidR="00D46040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Dysgeúzia</w:t>
            </w:r>
            <w:r w:rsidRPr="00CB3EA0">
              <w:rPr>
                <w:sz w:val="22"/>
                <w:szCs w:val="22"/>
                <w:vertAlign w:val="superscript"/>
              </w:rPr>
              <w:t xml:space="preserve">c </w:t>
            </w:r>
          </w:p>
        </w:tc>
        <w:tc>
          <w:tcPr>
            <w:tcW w:w="1194" w:type="dxa"/>
          </w:tcPr>
          <w:p w14:paraId="0E298EED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21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6B5CD1D8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62EB2AB3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517C8EA8" w14:textId="77777777" w:rsidTr="007E2214">
        <w:tc>
          <w:tcPr>
            <w:tcW w:w="1940" w:type="dxa"/>
            <w:vMerge/>
            <w:vAlign w:val="center"/>
          </w:tcPr>
          <w:p w14:paraId="7FC1D2E5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49C4A6C8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183F2FC9" w14:textId="77777777" w:rsidR="00D46040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Bolesť hlavy </w:t>
            </w:r>
          </w:p>
        </w:tc>
        <w:tc>
          <w:tcPr>
            <w:tcW w:w="1194" w:type="dxa"/>
          </w:tcPr>
          <w:p w14:paraId="4B18DF6D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14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14403549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A7E69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</w:tcPr>
          <w:p w14:paraId="7E48FF71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40A8054D" w14:textId="77777777" w:rsidTr="007E2214">
        <w:tc>
          <w:tcPr>
            <w:tcW w:w="1940" w:type="dxa"/>
            <w:vMerge/>
            <w:vAlign w:val="center"/>
          </w:tcPr>
          <w:p w14:paraId="32799F92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7EEB6406" w14:textId="77777777" w:rsidR="00CB3EA0" w:rsidRDefault="00CB3EA0" w:rsidP="00CB3EA0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27693F08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BA3CB55" w14:textId="77777777" w:rsidR="00D46040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Periférna senzorická neuropatia </w:t>
            </w:r>
          </w:p>
        </w:tc>
        <w:tc>
          <w:tcPr>
            <w:tcW w:w="1194" w:type="dxa"/>
          </w:tcPr>
          <w:p w14:paraId="25BC42EA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8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425FC5FA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A7E69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</w:tcPr>
          <w:p w14:paraId="6F3ADFC9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153C96EC" w14:textId="77777777" w:rsidTr="007E2214">
        <w:tc>
          <w:tcPr>
            <w:tcW w:w="1940" w:type="dxa"/>
            <w:vMerge/>
            <w:vAlign w:val="center"/>
          </w:tcPr>
          <w:p w14:paraId="08E02861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1A79B6B4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A62EA56" w14:textId="77777777" w:rsidR="00D46040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Závraty </w:t>
            </w:r>
          </w:p>
        </w:tc>
        <w:tc>
          <w:tcPr>
            <w:tcW w:w="1194" w:type="dxa"/>
          </w:tcPr>
          <w:p w14:paraId="4FC4C201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E0A2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4</w:t>
            </w:r>
            <w:r w:rsidRPr="00CE0A29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4A537542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EC63718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5D8F0B36" w14:textId="77777777" w:rsidTr="007E2214">
        <w:tc>
          <w:tcPr>
            <w:tcW w:w="1940" w:type="dxa"/>
            <w:vMerge/>
            <w:vAlign w:val="center"/>
          </w:tcPr>
          <w:p w14:paraId="5076914F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6FB158AA" w14:textId="77777777" w:rsidR="00CB3EA0" w:rsidRDefault="00CB3EA0" w:rsidP="00CB3EA0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01A37137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63AFD67" w14:textId="77777777" w:rsidR="00D46040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Somnolencia </w:t>
            </w:r>
          </w:p>
        </w:tc>
        <w:tc>
          <w:tcPr>
            <w:tcW w:w="1194" w:type="dxa"/>
          </w:tcPr>
          <w:p w14:paraId="501861FD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A7E69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</w:tcPr>
          <w:p w14:paraId="5273F8CE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461CE521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5072081B" w14:textId="77777777" w:rsidTr="007E2214">
        <w:tc>
          <w:tcPr>
            <w:tcW w:w="1940" w:type="dxa"/>
            <w:vMerge/>
            <w:vAlign w:val="center"/>
          </w:tcPr>
          <w:p w14:paraId="53AE09DB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56BCFE55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2B75F2AC" w14:textId="77777777" w:rsidR="00D46040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Parestézia </w:t>
            </w:r>
          </w:p>
        </w:tc>
        <w:tc>
          <w:tcPr>
            <w:tcW w:w="1194" w:type="dxa"/>
          </w:tcPr>
          <w:p w14:paraId="66EB8A9F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A7E69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</w:tcPr>
          <w:p w14:paraId="7531E34E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5EA169B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05B0E0D5" w14:textId="77777777" w:rsidTr="007E2214">
        <w:tc>
          <w:tcPr>
            <w:tcW w:w="1940" w:type="dxa"/>
            <w:vMerge/>
            <w:vAlign w:val="center"/>
          </w:tcPr>
          <w:p w14:paraId="41ADDECE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46496D5C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9F54B2D" w14:textId="77777777" w:rsidR="00D46040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Mozgový infarkt </w:t>
            </w:r>
          </w:p>
        </w:tc>
        <w:tc>
          <w:tcPr>
            <w:tcW w:w="1194" w:type="dxa"/>
          </w:tcPr>
          <w:p w14:paraId="2251AE47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A7E69">
              <w:rPr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</w:tcPr>
          <w:p w14:paraId="3297A4B9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E971941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A7E69">
              <w:rPr>
                <w:sz w:val="22"/>
                <w:szCs w:val="22"/>
              </w:rPr>
              <w:t xml:space="preserve"> (&lt;1%)</w:t>
            </w:r>
          </w:p>
        </w:tc>
      </w:tr>
      <w:tr w:rsidR="00E70233" w14:paraId="786B4AFF" w14:textId="77777777" w:rsidTr="007E2214">
        <w:tc>
          <w:tcPr>
            <w:tcW w:w="1940" w:type="dxa"/>
            <w:vAlign w:val="center"/>
          </w:tcPr>
          <w:p w14:paraId="6DADF590" w14:textId="77777777" w:rsidR="00D46040" w:rsidRPr="00650FC6" w:rsidRDefault="00CB3EA0" w:rsidP="00CB3EA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Poruchy oka </w:t>
            </w:r>
          </w:p>
        </w:tc>
        <w:tc>
          <w:tcPr>
            <w:tcW w:w="1267" w:type="dxa"/>
          </w:tcPr>
          <w:p w14:paraId="45B27944" w14:textId="77777777" w:rsidR="00D46040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2273" w:type="dxa"/>
          </w:tcPr>
          <w:p w14:paraId="6AE30B87" w14:textId="77777777" w:rsidR="00D46040" w:rsidRPr="00CB3EA0" w:rsidRDefault="00CB3EA0" w:rsidP="00CB3EA0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 xml:space="preserve">Rozmazané videnie </w:t>
            </w:r>
          </w:p>
        </w:tc>
        <w:tc>
          <w:tcPr>
            <w:tcW w:w="1194" w:type="dxa"/>
          </w:tcPr>
          <w:p w14:paraId="233E347A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 w:rsidRPr="00B87048">
              <w:rPr>
                <w:sz w:val="22"/>
                <w:szCs w:val="22"/>
              </w:rPr>
              <w:t>15 (4%)</w:t>
            </w:r>
          </w:p>
        </w:tc>
        <w:tc>
          <w:tcPr>
            <w:tcW w:w="1194" w:type="dxa"/>
          </w:tcPr>
          <w:p w14:paraId="246FFEAB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789B17F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55B8A1AD" w14:textId="77777777" w:rsidTr="007E2214">
        <w:tc>
          <w:tcPr>
            <w:tcW w:w="1940" w:type="dxa"/>
            <w:vMerge w:val="restart"/>
            <w:vAlign w:val="center"/>
          </w:tcPr>
          <w:p w14:paraId="47290E33" w14:textId="77777777" w:rsidR="00CB3EA0" w:rsidRDefault="00CB3EA0" w:rsidP="00CB3EA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srdca a srdcovej činnosti </w:t>
            </w:r>
          </w:p>
          <w:p w14:paraId="0D129438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1CCCEC15" w14:textId="77777777" w:rsidR="00CB3EA0" w:rsidRDefault="00CB3EA0" w:rsidP="00CB3EA0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7C899CE5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654F108" w14:textId="77777777" w:rsidR="00D46040" w:rsidRDefault="00CB3EA0" w:rsidP="00D46040">
            <w:pPr>
              <w:ind w:right="-108"/>
              <w:rPr>
                <w:sz w:val="22"/>
                <w:szCs w:val="22"/>
              </w:rPr>
            </w:pPr>
            <w:r w:rsidRPr="00CB3EA0">
              <w:rPr>
                <w:sz w:val="22"/>
                <w:szCs w:val="22"/>
              </w:rPr>
              <w:t>Srdcová dysfuncia</w:t>
            </w:r>
            <w:r w:rsidRPr="00CB3EA0">
              <w:rPr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194" w:type="dxa"/>
          </w:tcPr>
          <w:p w14:paraId="43AF92DA" w14:textId="77777777" w:rsidR="00D46040" w:rsidRPr="00C42394" w:rsidRDefault="00D46040" w:rsidP="00D46040">
            <w:pPr>
              <w:ind w:right="-72"/>
              <w:rPr>
                <w:sz w:val="22"/>
                <w:szCs w:val="22"/>
              </w:rPr>
            </w:pPr>
            <w:r w:rsidRPr="00C42394">
              <w:rPr>
                <w:sz w:val="22"/>
                <w:szCs w:val="22"/>
              </w:rPr>
              <w:t>21 (5%)</w:t>
            </w:r>
          </w:p>
        </w:tc>
        <w:tc>
          <w:tcPr>
            <w:tcW w:w="1194" w:type="dxa"/>
          </w:tcPr>
          <w:p w14:paraId="41A191F5" w14:textId="77777777" w:rsidR="00D46040" w:rsidRPr="00C42394" w:rsidRDefault="00D46040" w:rsidP="00D46040">
            <w:pPr>
              <w:rPr>
                <w:sz w:val="22"/>
                <w:szCs w:val="22"/>
              </w:rPr>
            </w:pPr>
            <w:r w:rsidRPr="00C42394">
              <w:rPr>
                <w:sz w:val="22"/>
                <w:szCs w:val="22"/>
              </w:rPr>
              <w:t>3 (&lt;1%)</w:t>
            </w:r>
          </w:p>
        </w:tc>
        <w:tc>
          <w:tcPr>
            <w:tcW w:w="1194" w:type="dxa"/>
          </w:tcPr>
          <w:p w14:paraId="6E6938E5" w14:textId="77777777" w:rsidR="00D46040" w:rsidRPr="00C42394" w:rsidRDefault="00D46040" w:rsidP="00D46040">
            <w:pPr>
              <w:rPr>
                <w:sz w:val="22"/>
                <w:szCs w:val="22"/>
              </w:rPr>
            </w:pPr>
            <w:r w:rsidRPr="00C42394">
              <w:rPr>
                <w:sz w:val="22"/>
                <w:szCs w:val="22"/>
              </w:rPr>
              <w:t>1 (&lt;1%)</w:t>
            </w:r>
          </w:p>
        </w:tc>
      </w:tr>
      <w:tr w:rsidR="00E70233" w14:paraId="0DD9FAE4" w14:textId="77777777" w:rsidTr="007E2214">
        <w:tc>
          <w:tcPr>
            <w:tcW w:w="1940" w:type="dxa"/>
            <w:vMerge/>
            <w:vAlign w:val="center"/>
          </w:tcPr>
          <w:p w14:paraId="271F46B0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75E7836F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DAA2DB0" w14:textId="77777777" w:rsidR="00D46040" w:rsidRPr="00C42394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Dysfunkcia ľavej komory </w:t>
            </w:r>
          </w:p>
        </w:tc>
        <w:tc>
          <w:tcPr>
            <w:tcW w:w="1194" w:type="dxa"/>
          </w:tcPr>
          <w:p w14:paraId="14A7963A" w14:textId="77777777" w:rsidR="00D46040" w:rsidRPr="00C42394" w:rsidRDefault="00D46040" w:rsidP="00D46040">
            <w:pPr>
              <w:ind w:right="-72"/>
              <w:rPr>
                <w:sz w:val="22"/>
                <w:szCs w:val="22"/>
              </w:rPr>
            </w:pPr>
            <w:r w:rsidRPr="00C42394">
              <w:rPr>
                <w:sz w:val="22"/>
                <w:szCs w:val="22"/>
              </w:rPr>
              <w:t>13 (3%)</w:t>
            </w:r>
          </w:p>
        </w:tc>
        <w:tc>
          <w:tcPr>
            <w:tcW w:w="1194" w:type="dxa"/>
          </w:tcPr>
          <w:p w14:paraId="7C3AE803" w14:textId="77777777" w:rsidR="00D46040" w:rsidRPr="00C42394" w:rsidRDefault="00D46040" w:rsidP="00D46040">
            <w:pPr>
              <w:rPr>
                <w:sz w:val="22"/>
                <w:szCs w:val="22"/>
              </w:rPr>
            </w:pPr>
            <w:r w:rsidRPr="00C42394">
              <w:rPr>
                <w:sz w:val="22"/>
                <w:szCs w:val="22"/>
              </w:rPr>
              <w:t>3 (&lt;1%)</w:t>
            </w:r>
          </w:p>
        </w:tc>
        <w:tc>
          <w:tcPr>
            <w:tcW w:w="1194" w:type="dxa"/>
          </w:tcPr>
          <w:p w14:paraId="7AE3BD16" w14:textId="77777777" w:rsidR="00D46040" w:rsidRPr="00C42394" w:rsidRDefault="00D46040" w:rsidP="00D46040">
            <w:pPr>
              <w:rPr>
                <w:sz w:val="22"/>
                <w:szCs w:val="22"/>
              </w:rPr>
            </w:pPr>
            <w:r w:rsidRPr="00C42394">
              <w:rPr>
                <w:sz w:val="22"/>
                <w:szCs w:val="22"/>
              </w:rPr>
              <w:t>0</w:t>
            </w:r>
          </w:p>
        </w:tc>
      </w:tr>
      <w:tr w:rsidR="00E70233" w14:paraId="2B797D8F" w14:textId="77777777" w:rsidTr="007E2214">
        <w:tc>
          <w:tcPr>
            <w:tcW w:w="1940" w:type="dxa"/>
            <w:vMerge/>
            <w:vAlign w:val="center"/>
          </w:tcPr>
          <w:p w14:paraId="7E7AC714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47344AB1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3C224F07" w14:textId="77777777" w:rsidR="00D46040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Bradykardia </w:t>
            </w:r>
          </w:p>
        </w:tc>
        <w:tc>
          <w:tcPr>
            <w:tcW w:w="1194" w:type="dxa"/>
          </w:tcPr>
          <w:p w14:paraId="0B3E9A82" w14:textId="77777777" w:rsidR="00D46040" w:rsidRDefault="00D46040" w:rsidP="00D4604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8704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</w:t>
            </w:r>
            <w:r w:rsidRPr="00B87048">
              <w:rPr>
                <w:sz w:val="22"/>
                <w:szCs w:val="22"/>
              </w:rPr>
              <w:t>%)</w:t>
            </w:r>
          </w:p>
        </w:tc>
        <w:tc>
          <w:tcPr>
            <w:tcW w:w="1194" w:type="dxa"/>
          </w:tcPr>
          <w:p w14:paraId="7BBA3455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3176892E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57BB487E" w14:textId="77777777" w:rsidTr="007E2214">
        <w:tc>
          <w:tcPr>
            <w:tcW w:w="1940" w:type="dxa"/>
            <w:vMerge/>
            <w:vAlign w:val="center"/>
          </w:tcPr>
          <w:p w14:paraId="6ED2943D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1F8DD855" w14:textId="77777777" w:rsidR="00D46040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2273" w:type="dxa"/>
          </w:tcPr>
          <w:p w14:paraId="1FB0E536" w14:textId="0B7ED78A" w:rsidR="00D46040" w:rsidRPr="00FA724A" w:rsidRDefault="00F950F8" w:rsidP="00D46040">
            <w:pPr>
              <w:ind w:right="-108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Infarkt myokardu</w:t>
            </w:r>
          </w:p>
        </w:tc>
        <w:tc>
          <w:tcPr>
            <w:tcW w:w="1194" w:type="dxa"/>
          </w:tcPr>
          <w:p w14:paraId="60560229" w14:textId="77777777" w:rsidR="00D46040" w:rsidRPr="00C068CC" w:rsidRDefault="00D46040" w:rsidP="00D46040">
            <w:pPr>
              <w:ind w:right="-72"/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5E9DCBEA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66A4B4DC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0</w:t>
            </w:r>
          </w:p>
        </w:tc>
      </w:tr>
      <w:tr w:rsidR="00E70233" w14:paraId="1A3A3F9D" w14:textId="77777777" w:rsidTr="007E2214">
        <w:tc>
          <w:tcPr>
            <w:tcW w:w="1940" w:type="dxa"/>
            <w:vMerge w:val="restart"/>
            <w:vAlign w:val="center"/>
          </w:tcPr>
          <w:p w14:paraId="46D8EB2E" w14:textId="77777777" w:rsidR="00CB3EA0" w:rsidRDefault="00CB3EA0" w:rsidP="00CB3EA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ciev </w:t>
            </w:r>
          </w:p>
          <w:p w14:paraId="0AC322A6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7B14F319" w14:textId="77777777" w:rsidR="00D46040" w:rsidRPr="00C068CC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2273" w:type="dxa"/>
          </w:tcPr>
          <w:p w14:paraId="6DBEFA25" w14:textId="77777777" w:rsidR="00D46040" w:rsidRPr="00C068CC" w:rsidRDefault="00CB3EA0" w:rsidP="00983C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Hypertenzia </w:t>
            </w:r>
          </w:p>
        </w:tc>
        <w:tc>
          <w:tcPr>
            <w:tcW w:w="1194" w:type="dxa"/>
          </w:tcPr>
          <w:p w14:paraId="528F4537" w14:textId="77777777" w:rsidR="00D46040" w:rsidRPr="00C068CC" w:rsidRDefault="00D46040" w:rsidP="00D46040">
            <w:pPr>
              <w:ind w:right="-72"/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152 (40%)</w:t>
            </w:r>
          </w:p>
        </w:tc>
        <w:tc>
          <w:tcPr>
            <w:tcW w:w="1194" w:type="dxa"/>
          </w:tcPr>
          <w:p w14:paraId="5D5F3ED9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26 (7%)</w:t>
            </w:r>
          </w:p>
        </w:tc>
        <w:tc>
          <w:tcPr>
            <w:tcW w:w="1194" w:type="dxa"/>
          </w:tcPr>
          <w:p w14:paraId="29FAEBF1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0</w:t>
            </w:r>
          </w:p>
        </w:tc>
      </w:tr>
      <w:tr w:rsidR="00E70233" w14:paraId="5F850F12" w14:textId="77777777" w:rsidTr="007E2214">
        <w:tc>
          <w:tcPr>
            <w:tcW w:w="1940" w:type="dxa"/>
            <w:vMerge/>
            <w:vAlign w:val="center"/>
          </w:tcPr>
          <w:p w14:paraId="47A73351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746876A0" w14:textId="77777777" w:rsidR="00CB3EA0" w:rsidRDefault="00CB3EA0" w:rsidP="00CB3EA0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669BCDE9" w14:textId="77777777" w:rsidR="00D46040" w:rsidRPr="00C068CC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237522B" w14:textId="77777777" w:rsidR="00D46040" w:rsidRPr="00C068CC" w:rsidRDefault="00CB3EA0" w:rsidP="00D46040">
            <w:pPr>
              <w:ind w:right="-108"/>
              <w:rPr>
                <w:sz w:val="22"/>
                <w:szCs w:val="22"/>
              </w:rPr>
            </w:pPr>
            <w:r w:rsidRPr="00CB3EA0">
              <w:rPr>
                <w:sz w:val="22"/>
                <w:szCs w:val="22"/>
              </w:rPr>
              <w:t>Venózna tromboembolická príhoda</w:t>
            </w:r>
            <w:r w:rsidRPr="00CB3EA0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194" w:type="dxa"/>
          </w:tcPr>
          <w:p w14:paraId="1F57EC07" w14:textId="77777777" w:rsidR="00D46040" w:rsidRPr="00C068CC" w:rsidRDefault="00D46040" w:rsidP="00D46040">
            <w:pPr>
              <w:ind w:right="-72"/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13 (3%)</w:t>
            </w:r>
          </w:p>
        </w:tc>
        <w:tc>
          <w:tcPr>
            <w:tcW w:w="1194" w:type="dxa"/>
          </w:tcPr>
          <w:p w14:paraId="0B068910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14C4DDFE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5 (1%)</w:t>
            </w:r>
          </w:p>
        </w:tc>
      </w:tr>
      <w:tr w:rsidR="00E70233" w14:paraId="75AF69C5" w14:textId="77777777" w:rsidTr="007E2214">
        <w:tc>
          <w:tcPr>
            <w:tcW w:w="1940" w:type="dxa"/>
            <w:vMerge/>
            <w:vAlign w:val="center"/>
          </w:tcPr>
          <w:p w14:paraId="0EA00F6B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2D7C223C" w14:textId="77777777" w:rsidR="00D46040" w:rsidRPr="00C068CC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E3A31A4" w14:textId="77777777" w:rsidR="00D46040" w:rsidRPr="00C068CC" w:rsidRDefault="00CB3EA0" w:rsidP="00983C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Návaly tepla </w:t>
            </w:r>
          </w:p>
        </w:tc>
        <w:tc>
          <w:tcPr>
            <w:tcW w:w="1194" w:type="dxa"/>
          </w:tcPr>
          <w:p w14:paraId="698F0BE2" w14:textId="77777777" w:rsidR="00D46040" w:rsidRPr="00C068CC" w:rsidRDefault="00D46040" w:rsidP="00D46040">
            <w:pPr>
              <w:ind w:right="-72"/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12 (3%)</w:t>
            </w:r>
          </w:p>
        </w:tc>
        <w:tc>
          <w:tcPr>
            <w:tcW w:w="1194" w:type="dxa"/>
          </w:tcPr>
          <w:p w14:paraId="2FC7DCDB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21708BC9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0</w:t>
            </w:r>
          </w:p>
        </w:tc>
      </w:tr>
      <w:tr w:rsidR="00E70233" w14:paraId="429B6EB9" w14:textId="77777777" w:rsidTr="007E2214">
        <w:tc>
          <w:tcPr>
            <w:tcW w:w="1940" w:type="dxa"/>
            <w:vMerge/>
            <w:vAlign w:val="center"/>
          </w:tcPr>
          <w:p w14:paraId="65799CE8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05855151" w14:textId="77777777" w:rsidR="00D46040" w:rsidRPr="00C068CC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668D4C84" w14:textId="77777777" w:rsidR="00D46040" w:rsidRPr="00C068CC" w:rsidRDefault="00CB3EA0" w:rsidP="00983C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Sčervenanie </w:t>
            </w:r>
          </w:p>
        </w:tc>
        <w:tc>
          <w:tcPr>
            <w:tcW w:w="1194" w:type="dxa"/>
          </w:tcPr>
          <w:p w14:paraId="55BD57B7" w14:textId="77777777" w:rsidR="00D46040" w:rsidRPr="00C068CC" w:rsidRDefault="00D46040" w:rsidP="00D46040">
            <w:pPr>
              <w:ind w:right="-72"/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5BDAF9AB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AA90E6D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0</w:t>
            </w:r>
          </w:p>
        </w:tc>
      </w:tr>
      <w:tr w:rsidR="00E70233" w14:paraId="68012088" w14:textId="77777777" w:rsidTr="007E2214">
        <w:tc>
          <w:tcPr>
            <w:tcW w:w="1940" w:type="dxa"/>
            <w:vMerge/>
            <w:vAlign w:val="center"/>
          </w:tcPr>
          <w:p w14:paraId="5FF38440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1C256B50" w14:textId="77777777" w:rsidR="00D46040" w:rsidRPr="00C068CC" w:rsidRDefault="00CB3EA0" w:rsidP="00CB3E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Menej časté</w:t>
            </w:r>
          </w:p>
        </w:tc>
        <w:tc>
          <w:tcPr>
            <w:tcW w:w="2273" w:type="dxa"/>
          </w:tcPr>
          <w:p w14:paraId="62928A4B" w14:textId="77777777" w:rsidR="00D46040" w:rsidRPr="00C068CC" w:rsidRDefault="00CB3EA0" w:rsidP="00983C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Krvácanie </w:t>
            </w:r>
          </w:p>
        </w:tc>
        <w:tc>
          <w:tcPr>
            <w:tcW w:w="1194" w:type="dxa"/>
          </w:tcPr>
          <w:p w14:paraId="2AD03BDC" w14:textId="77777777" w:rsidR="00D46040" w:rsidRPr="00C068CC" w:rsidRDefault="00D46040" w:rsidP="00D46040">
            <w:pPr>
              <w:ind w:right="-72"/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11952DE2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230DEB1B" w14:textId="77777777" w:rsidR="00D46040" w:rsidRPr="00C068CC" w:rsidRDefault="00D46040" w:rsidP="00D46040">
            <w:pPr>
              <w:rPr>
                <w:sz w:val="22"/>
                <w:szCs w:val="22"/>
              </w:rPr>
            </w:pPr>
            <w:r w:rsidRPr="00C068CC">
              <w:rPr>
                <w:sz w:val="22"/>
                <w:szCs w:val="22"/>
              </w:rPr>
              <w:t>0</w:t>
            </w:r>
          </w:p>
        </w:tc>
      </w:tr>
      <w:tr w:rsidR="00E70233" w14:paraId="5344DA33" w14:textId="77777777" w:rsidTr="007E2214">
        <w:tc>
          <w:tcPr>
            <w:tcW w:w="1940" w:type="dxa"/>
            <w:vMerge/>
            <w:vAlign w:val="center"/>
          </w:tcPr>
          <w:p w14:paraId="0E49E451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43C8A1E9" w14:textId="77777777" w:rsidR="00CB3EA0" w:rsidRPr="00253F14" w:rsidRDefault="00253F14" w:rsidP="00CB3EA0">
            <w:pPr>
              <w:pStyle w:val="Default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  <w:p w14:paraId="02F8411D" w14:textId="77777777" w:rsidR="00D46040" w:rsidRPr="00C068CC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8E6A45E" w14:textId="77777777" w:rsidR="00D46040" w:rsidRPr="00C068CC" w:rsidRDefault="00CB3EA0" w:rsidP="00983C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Aneuryzmy a arteriálne disekcie </w:t>
            </w:r>
          </w:p>
        </w:tc>
        <w:tc>
          <w:tcPr>
            <w:tcW w:w="1194" w:type="dxa"/>
          </w:tcPr>
          <w:p w14:paraId="133C71C9" w14:textId="77777777" w:rsidR="00CB3EA0" w:rsidRDefault="00CB3EA0" w:rsidP="00CB3EA0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10E5E901" w14:textId="77777777" w:rsidR="00D46040" w:rsidRPr="00C068CC" w:rsidRDefault="00D46040" w:rsidP="00D46040">
            <w:pPr>
              <w:ind w:right="-72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5F289068" w14:textId="77777777" w:rsidR="00CB3EA0" w:rsidRDefault="00CB3EA0" w:rsidP="00CB3EA0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3238E174" w14:textId="77777777" w:rsidR="00D46040" w:rsidRPr="00C068CC" w:rsidRDefault="00D46040" w:rsidP="00D46040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4B2DDE14" w14:textId="77777777" w:rsidR="00CB3EA0" w:rsidRDefault="00CB3EA0" w:rsidP="00CB3EA0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39AD9549" w14:textId="77777777" w:rsidR="00D46040" w:rsidRPr="00C068CC" w:rsidRDefault="00D46040" w:rsidP="00D46040">
            <w:pPr>
              <w:rPr>
                <w:sz w:val="22"/>
                <w:szCs w:val="22"/>
              </w:rPr>
            </w:pPr>
          </w:p>
        </w:tc>
      </w:tr>
      <w:tr w:rsidR="00E70233" w:rsidRPr="001A2B21" w14:paraId="4CD9F7BA" w14:textId="77777777" w:rsidTr="007E2214">
        <w:tc>
          <w:tcPr>
            <w:tcW w:w="1940" w:type="dxa"/>
            <w:vMerge w:val="restart"/>
            <w:vAlign w:val="center"/>
          </w:tcPr>
          <w:p w14:paraId="1373B7B6" w14:textId="77777777" w:rsidR="00844DF8" w:rsidRDefault="00844DF8" w:rsidP="00844DF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dýchacej sústavy, hrudníka a mediastína </w:t>
            </w:r>
          </w:p>
          <w:p w14:paraId="595B8B25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27F5F5F7" w14:textId="77777777" w:rsidR="00844DF8" w:rsidRDefault="00844DF8" w:rsidP="00844DF8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21E9D14F" w14:textId="77777777" w:rsidR="00D46040" w:rsidRPr="001A2B21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220F8F9B" w14:textId="77777777" w:rsidR="00D46040" w:rsidRPr="001A2B21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Epistaxa </w:t>
            </w:r>
          </w:p>
        </w:tc>
        <w:tc>
          <w:tcPr>
            <w:tcW w:w="1194" w:type="dxa"/>
          </w:tcPr>
          <w:p w14:paraId="4A04E0DC" w14:textId="77777777" w:rsidR="00D46040" w:rsidRPr="001A2B21" w:rsidRDefault="00D46040" w:rsidP="00D46040">
            <w:pPr>
              <w:ind w:right="-72"/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22 (6%)</w:t>
            </w:r>
          </w:p>
        </w:tc>
        <w:tc>
          <w:tcPr>
            <w:tcW w:w="1194" w:type="dxa"/>
          </w:tcPr>
          <w:p w14:paraId="38333090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EDAD995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0</w:t>
            </w:r>
          </w:p>
        </w:tc>
      </w:tr>
      <w:tr w:rsidR="00E70233" w:rsidRPr="001A2B21" w14:paraId="278DA149" w14:textId="77777777" w:rsidTr="007E2214">
        <w:tc>
          <w:tcPr>
            <w:tcW w:w="1940" w:type="dxa"/>
            <w:vMerge/>
            <w:vAlign w:val="center"/>
          </w:tcPr>
          <w:p w14:paraId="6101892A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12F7EDFF" w14:textId="77777777" w:rsidR="00D46040" w:rsidRPr="001A2B21" w:rsidRDefault="00D46040" w:rsidP="00D4604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3" w:type="dxa"/>
          </w:tcPr>
          <w:p w14:paraId="4C720C07" w14:textId="77777777" w:rsidR="00D46040" w:rsidRPr="001A2B21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Dysfónia </w:t>
            </w:r>
          </w:p>
        </w:tc>
        <w:tc>
          <w:tcPr>
            <w:tcW w:w="1194" w:type="dxa"/>
          </w:tcPr>
          <w:p w14:paraId="4E4451D1" w14:textId="77777777" w:rsidR="00D46040" w:rsidRPr="001A2B21" w:rsidRDefault="00D46040" w:rsidP="00D46040">
            <w:pPr>
              <w:ind w:right="-72"/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20 (5%)</w:t>
            </w:r>
          </w:p>
        </w:tc>
        <w:tc>
          <w:tcPr>
            <w:tcW w:w="1194" w:type="dxa"/>
          </w:tcPr>
          <w:p w14:paraId="2E03A0A2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5C363B4B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0</w:t>
            </w:r>
          </w:p>
        </w:tc>
      </w:tr>
      <w:tr w:rsidR="00E70233" w:rsidRPr="001A2B21" w14:paraId="45272A4C" w14:textId="77777777" w:rsidTr="007E2214">
        <w:tc>
          <w:tcPr>
            <w:tcW w:w="1940" w:type="dxa"/>
            <w:vMerge/>
            <w:vAlign w:val="center"/>
          </w:tcPr>
          <w:p w14:paraId="7F713CB7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36333875" w14:textId="77777777" w:rsidR="00D46040" w:rsidRPr="001A2B21" w:rsidRDefault="00D46040" w:rsidP="00D4604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3" w:type="dxa"/>
          </w:tcPr>
          <w:p w14:paraId="6609C3A2" w14:textId="77777777" w:rsidR="00D46040" w:rsidRPr="001A2B21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Dyspnoe </w:t>
            </w:r>
          </w:p>
        </w:tc>
        <w:tc>
          <w:tcPr>
            <w:tcW w:w="1194" w:type="dxa"/>
          </w:tcPr>
          <w:p w14:paraId="1FA3039B" w14:textId="77777777" w:rsidR="00D46040" w:rsidRPr="001A2B21" w:rsidRDefault="00D46040" w:rsidP="00D46040">
            <w:pPr>
              <w:ind w:right="-72"/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14 (4%)</w:t>
            </w:r>
          </w:p>
        </w:tc>
        <w:tc>
          <w:tcPr>
            <w:tcW w:w="1194" w:type="dxa"/>
          </w:tcPr>
          <w:p w14:paraId="4BCE1E69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3 (&lt;1%)</w:t>
            </w:r>
          </w:p>
        </w:tc>
        <w:tc>
          <w:tcPr>
            <w:tcW w:w="1194" w:type="dxa"/>
          </w:tcPr>
          <w:p w14:paraId="3D717876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0</w:t>
            </w:r>
          </w:p>
        </w:tc>
      </w:tr>
      <w:tr w:rsidR="00E70233" w:rsidRPr="001A2B21" w14:paraId="78942D69" w14:textId="77777777" w:rsidTr="007E2214">
        <w:tc>
          <w:tcPr>
            <w:tcW w:w="1940" w:type="dxa"/>
            <w:vMerge/>
            <w:vAlign w:val="center"/>
          </w:tcPr>
          <w:p w14:paraId="0A8E80E0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17F2CDFF" w14:textId="77777777" w:rsidR="00D46040" w:rsidRPr="001A2B21" w:rsidRDefault="00D46040" w:rsidP="00D4604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3" w:type="dxa"/>
          </w:tcPr>
          <w:p w14:paraId="58D56117" w14:textId="77777777" w:rsidR="00D46040" w:rsidRPr="001A2B21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Kašeľ </w:t>
            </w:r>
          </w:p>
        </w:tc>
        <w:tc>
          <w:tcPr>
            <w:tcW w:w="1194" w:type="dxa"/>
          </w:tcPr>
          <w:p w14:paraId="0CFA84B4" w14:textId="77777777" w:rsidR="00D46040" w:rsidRPr="001A2B21" w:rsidRDefault="00D46040" w:rsidP="00D46040">
            <w:pPr>
              <w:ind w:right="-72"/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12 (3%)</w:t>
            </w:r>
          </w:p>
        </w:tc>
        <w:tc>
          <w:tcPr>
            <w:tcW w:w="1194" w:type="dxa"/>
          </w:tcPr>
          <w:p w14:paraId="01C19C99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BA15DB0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0</w:t>
            </w:r>
          </w:p>
        </w:tc>
      </w:tr>
      <w:tr w:rsidR="00E70233" w:rsidRPr="001A2B21" w14:paraId="4EEB0659" w14:textId="77777777" w:rsidTr="007E2214">
        <w:tc>
          <w:tcPr>
            <w:tcW w:w="1940" w:type="dxa"/>
            <w:vMerge/>
            <w:vAlign w:val="center"/>
          </w:tcPr>
          <w:p w14:paraId="679F0B74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5B875A26" w14:textId="77777777" w:rsidR="00D46040" w:rsidRPr="001A2B21" w:rsidRDefault="00D46040" w:rsidP="00D4604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3" w:type="dxa"/>
          </w:tcPr>
          <w:p w14:paraId="729A4B0E" w14:textId="77777777" w:rsidR="00D46040" w:rsidRPr="001A2B21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Pneumotorax </w:t>
            </w:r>
          </w:p>
        </w:tc>
        <w:tc>
          <w:tcPr>
            <w:tcW w:w="1194" w:type="dxa"/>
          </w:tcPr>
          <w:p w14:paraId="243E3D77" w14:textId="77777777" w:rsidR="00D46040" w:rsidRPr="001A2B21" w:rsidRDefault="00D46040" w:rsidP="00D46040">
            <w:pPr>
              <w:ind w:right="-72"/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7 (2%)</w:t>
            </w:r>
          </w:p>
        </w:tc>
        <w:tc>
          <w:tcPr>
            <w:tcW w:w="1194" w:type="dxa"/>
          </w:tcPr>
          <w:p w14:paraId="02C8CEEF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6CB74BFC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1 (&lt;1%)</w:t>
            </w:r>
          </w:p>
        </w:tc>
      </w:tr>
      <w:tr w:rsidR="00E70233" w:rsidRPr="001A2B21" w14:paraId="25E382E3" w14:textId="77777777" w:rsidTr="007E2214">
        <w:tc>
          <w:tcPr>
            <w:tcW w:w="1940" w:type="dxa"/>
            <w:vMerge/>
            <w:vAlign w:val="center"/>
          </w:tcPr>
          <w:p w14:paraId="295F6238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4B47C8AC" w14:textId="77777777" w:rsidR="00D46040" w:rsidRPr="001A2B21" w:rsidRDefault="00D46040" w:rsidP="00D4604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3" w:type="dxa"/>
          </w:tcPr>
          <w:p w14:paraId="1BEA4F85" w14:textId="77777777" w:rsidR="00D46040" w:rsidRPr="001A2B21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Štikútka </w:t>
            </w:r>
          </w:p>
        </w:tc>
        <w:tc>
          <w:tcPr>
            <w:tcW w:w="1194" w:type="dxa"/>
          </w:tcPr>
          <w:p w14:paraId="06F95D6A" w14:textId="77777777" w:rsidR="00D46040" w:rsidRPr="001A2B21" w:rsidRDefault="00D46040" w:rsidP="00D46040">
            <w:pPr>
              <w:ind w:right="-72"/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2781528C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274890B0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0</w:t>
            </w:r>
          </w:p>
        </w:tc>
      </w:tr>
      <w:tr w:rsidR="00E70233" w:rsidRPr="001A2B21" w14:paraId="76027E8B" w14:textId="77777777" w:rsidTr="007E2214">
        <w:tc>
          <w:tcPr>
            <w:tcW w:w="1940" w:type="dxa"/>
            <w:vMerge/>
            <w:vAlign w:val="center"/>
          </w:tcPr>
          <w:p w14:paraId="2420F4DD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1F5E972E" w14:textId="77777777" w:rsidR="00D46040" w:rsidRPr="001A2B21" w:rsidRDefault="00D46040" w:rsidP="00D4604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3" w:type="dxa"/>
          </w:tcPr>
          <w:p w14:paraId="0ADA91D6" w14:textId="77777777" w:rsidR="00D46040" w:rsidRPr="001A2B21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Pľúcne krvácanie </w:t>
            </w:r>
          </w:p>
        </w:tc>
        <w:tc>
          <w:tcPr>
            <w:tcW w:w="1194" w:type="dxa"/>
          </w:tcPr>
          <w:p w14:paraId="7E197536" w14:textId="77777777" w:rsidR="00D46040" w:rsidRPr="001A2B21" w:rsidRDefault="00D46040" w:rsidP="00D46040">
            <w:pPr>
              <w:ind w:right="-72"/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31B29AD8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2BEB1E9F" w14:textId="77777777" w:rsidR="00D46040" w:rsidRPr="001A2B21" w:rsidRDefault="00D46040" w:rsidP="00D46040">
            <w:pPr>
              <w:rPr>
                <w:sz w:val="22"/>
                <w:szCs w:val="22"/>
              </w:rPr>
            </w:pPr>
            <w:r w:rsidRPr="001A2B21">
              <w:rPr>
                <w:sz w:val="22"/>
                <w:szCs w:val="22"/>
              </w:rPr>
              <w:t>0</w:t>
            </w:r>
          </w:p>
        </w:tc>
      </w:tr>
      <w:tr w:rsidR="00E70233" w:rsidRPr="001A2B21" w14:paraId="05DCEB1D" w14:textId="77777777" w:rsidTr="007E2214">
        <w:tc>
          <w:tcPr>
            <w:tcW w:w="1940" w:type="dxa"/>
            <w:vMerge/>
            <w:vAlign w:val="center"/>
          </w:tcPr>
          <w:p w14:paraId="58BD90F5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7B6EE795" w14:textId="77777777" w:rsidR="00844DF8" w:rsidRDefault="00844DF8" w:rsidP="00844DF8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68B74480" w14:textId="77777777" w:rsidR="00D46040" w:rsidRPr="00E72BB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9CBC8A0" w14:textId="77777777" w:rsidR="00D46040" w:rsidRPr="00E72BB8" w:rsidRDefault="00844DF8" w:rsidP="00D46040">
            <w:pPr>
              <w:ind w:right="-108"/>
              <w:rPr>
                <w:sz w:val="22"/>
                <w:szCs w:val="22"/>
              </w:rPr>
            </w:pPr>
            <w:r w:rsidRPr="00844DF8">
              <w:rPr>
                <w:sz w:val="22"/>
                <w:szCs w:val="22"/>
              </w:rPr>
              <w:t>Orofaryngálna bolesť</w:t>
            </w:r>
          </w:p>
        </w:tc>
        <w:tc>
          <w:tcPr>
            <w:tcW w:w="1194" w:type="dxa"/>
          </w:tcPr>
          <w:p w14:paraId="79DC9211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3 (&lt;1%)</w:t>
            </w:r>
          </w:p>
        </w:tc>
        <w:tc>
          <w:tcPr>
            <w:tcW w:w="1194" w:type="dxa"/>
          </w:tcPr>
          <w:p w14:paraId="1DDC7E41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2EE442A1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:rsidRPr="001A2B21" w14:paraId="11EE0EC2" w14:textId="77777777" w:rsidTr="007E2214">
        <w:tc>
          <w:tcPr>
            <w:tcW w:w="1940" w:type="dxa"/>
            <w:vMerge/>
            <w:vAlign w:val="center"/>
          </w:tcPr>
          <w:p w14:paraId="07347C19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03898648" w14:textId="77777777" w:rsidR="00D46040" w:rsidRPr="00E72BB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DF1184D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Krvácanie z priedušiek </w:t>
            </w:r>
          </w:p>
        </w:tc>
        <w:tc>
          <w:tcPr>
            <w:tcW w:w="1194" w:type="dxa"/>
          </w:tcPr>
          <w:p w14:paraId="353E18E4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2A4DB148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0196D174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:rsidRPr="001A2B21" w14:paraId="58BF454E" w14:textId="77777777" w:rsidTr="007E2214">
        <w:tc>
          <w:tcPr>
            <w:tcW w:w="1940" w:type="dxa"/>
            <w:vMerge/>
            <w:vAlign w:val="center"/>
          </w:tcPr>
          <w:p w14:paraId="74B8E41E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74144EB7" w14:textId="77777777" w:rsidR="00D46040" w:rsidRPr="00E72BB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A1CB5CB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Rinorea </w:t>
            </w:r>
          </w:p>
        </w:tc>
        <w:tc>
          <w:tcPr>
            <w:tcW w:w="1194" w:type="dxa"/>
          </w:tcPr>
          <w:p w14:paraId="4A771B91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566955F4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22134809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:rsidRPr="001A2B21" w14:paraId="693B0A48" w14:textId="77777777" w:rsidTr="007E2214">
        <w:tc>
          <w:tcPr>
            <w:tcW w:w="1940" w:type="dxa"/>
            <w:vMerge/>
            <w:vAlign w:val="center"/>
          </w:tcPr>
          <w:p w14:paraId="3CD2987A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763063AC" w14:textId="77777777" w:rsidR="00D46040" w:rsidRPr="00E72BB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396CB825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Hemoptýza </w:t>
            </w:r>
          </w:p>
        </w:tc>
        <w:tc>
          <w:tcPr>
            <w:tcW w:w="1194" w:type="dxa"/>
          </w:tcPr>
          <w:p w14:paraId="1AE12442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4A38B006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BC5AAEC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:rsidRPr="001A2B21" w14:paraId="36D83690" w14:textId="77777777" w:rsidTr="007E2214">
        <w:tc>
          <w:tcPr>
            <w:tcW w:w="1940" w:type="dxa"/>
            <w:vMerge/>
            <w:vAlign w:val="center"/>
          </w:tcPr>
          <w:p w14:paraId="19065163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226D05A7" w14:textId="77777777" w:rsidR="00844DF8" w:rsidRDefault="00844DF8" w:rsidP="00844DF8">
            <w:pPr>
              <w:pStyle w:val="Default"/>
            </w:pPr>
            <w:r>
              <w:rPr>
                <w:sz w:val="22"/>
                <w:szCs w:val="22"/>
              </w:rPr>
              <w:t xml:space="preserve">Zriedkavé </w:t>
            </w:r>
          </w:p>
          <w:p w14:paraId="4B7EA478" w14:textId="77777777" w:rsidR="00D46040" w:rsidRPr="00E72BB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4787066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Intersticiálna choroba pľúc/pneumonitída</w:t>
            </w:r>
            <w:r w:rsidRPr="00844DF8">
              <w:rPr>
                <w:sz w:val="22"/>
                <w:szCs w:val="22"/>
                <w:vertAlign w:val="superscript"/>
              </w:rPr>
              <w:t xml:space="preserve">† </w:t>
            </w:r>
          </w:p>
        </w:tc>
        <w:tc>
          <w:tcPr>
            <w:tcW w:w="1194" w:type="dxa"/>
          </w:tcPr>
          <w:p w14:paraId="2B7CECF8" w14:textId="77777777" w:rsidR="00844DF8" w:rsidRDefault="00844DF8" w:rsidP="00844DF8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729BBFDB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5C1C25A0" w14:textId="77777777" w:rsidR="00844DF8" w:rsidRDefault="00844DF8" w:rsidP="00844DF8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3EDC48B6" w14:textId="77777777" w:rsidR="00D46040" w:rsidRPr="00E72BB8" w:rsidRDefault="00D46040" w:rsidP="00D46040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23DE42F0" w14:textId="77777777" w:rsidR="00844DF8" w:rsidRDefault="00844DF8" w:rsidP="00844DF8">
            <w:pPr>
              <w:pStyle w:val="Default"/>
            </w:pPr>
            <w:r>
              <w:rPr>
                <w:sz w:val="22"/>
                <w:szCs w:val="22"/>
              </w:rPr>
              <w:t xml:space="preserve">neznáme </w:t>
            </w:r>
          </w:p>
          <w:p w14:paraId="20BABC58" w14:textId="77777777" w:rsidR="00D46040" w:rsidRPr="00E72BB8" w:rsidRDefault="00D46040" w:rsidP="00D46040">
            <w:pPr>
              <w:rPr>
                <w:sz w:val="22"/>
                <w:szCs w:val="22"/>
              </w:rPr>
            </w:pPr>
          </w:p>
        </w:tc>
      </w:tr>
      <w:tr w:rsidR="00E70233" w:rsidRPr="008B64CA" w14:paraId="0B9E9307" w14:textId="77777777" w:rsidTr="007E2214">
        <w:tc>
          <w:tcPr>
            <w:tcW w:w="1940" w:type="dxa"/>
            <w:vMerge w:val="restart"/>
            <w:vAlign w:val="center"/>
          </w:tcPr>
          <w:p w14:paraId="1FB20DCD" w14:textId="77777777" w:rsidR="00844DF8" w:rsidRDefault="00844DF8" w:rsidP="00844DF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gastrointestinál-neho traktu </w:t>
            </w:r>
          </w:p>
          <w:p w14:paraId="0CC84300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79BEFC16" w14:textId="77777777" w:rsidR="00844DF8" w:rsidRDefault="00844DF8" w:rsidP="00844DF8">
            <w:pPr>
              <w:pStyle w:val="Default"/>
            </w:pPr>
            <w:r>
              <w:rPr>
                <w:sz w:val="22"/>
                <w:szCs w:val="22"/>
              </w:rPr>
              <w:t xml:space="preserve">Veľmi časté </w:t>
            </w:r>
          </w:p>
          <w:p w14:paraId="2ED9D4D3" w14:textId="77777777" w:rsidR="00D46040" w:rsidRPr="00E72BB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5C66DCD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Hnačka </w:t>
            </w:r>
          </w:p>
        </w:tc>
        <w:tc>
          <w:tcPr>
            <w:tcW w:w="1194" w:type="dxa"/>
          </w:tcPr>
          <w:p w14:paraId="586F58CB" w14:textId="77777777" w:rsidR="00D46040" w:rsidRPr="00E72BB8" w:rsidRDefault="00D46040" w:rsidP="00D46040">
            <w:pPr>
              <w:ind w:left="-32" w:right="-119"/>
              <w:jc w:val="center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174 (46%)</w:t>
            </w:r>
          </w:p>
        </w:tc>
        <w:tc>
          <w:tcPr>
            <w:tcW w:w="1194" w:type="dxa"/>
          </w:tcPr>
          <w:p w14:paraId="42AE3F62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17 (4%)</w:t>
            </w:r>
          </w:p>
        </w:tc>
        <w:tc>
          <w:tcPr>
            <w:tcW w:w="1194" w:type="dxa"/>
          </w:tcPr>
          <w:p w14:paraId="31C27210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14:paraId="4A50A267" w14:textId="77777777" w:rsidTr="007E2214">
        <w:tc>
          <w:tcPr>
            <w:tcW w:w="1940" w:type="dxa"/>
            <w:vMerge/>
            <w:vAlign w:val="center"/>
          </w:tcPr>
          <w:p w14:paraId="5D7B2465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58302103" w14:textId="77777777" w:rsidR="00D46040" w:rsidRPr="00E72BB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96F66A0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Nauzea </w:t>
            </w:r>
          </w:p>
        </w:tc>
        <w:tc>
          <w:tcPr>
            <w:tcW w:w="1194" w:type="dxa"/>
          </w:tcPr>
          <w:p w14:paraId="51C0EF9A" w14:textId="77777777" w:rsidR="00D46040" w:rsidRPr="00E72BB8" w:rsidRDefault="00D46040" w:rsidP="00D46040">
            <w:pPr>
              <w:ind w:left="-32" w:right="-72"/>
              <w:jc w:val="center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167 (44%)</w:t>
            </w:r>
          </w:p>
        </w:tc>
        <w:tc>
          <w:tcPr>
            <w:tcW w:w="1194" w:type="dxa"/>
          </w:tcPr>
          <w:p w14:paraId="71B4BADD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8 (2%)</w:t>
            </w:r>
          </w:p>
        </w:tc>
        <w:tc>
          <w:tcPr>
            <w:tcW w:w="1194" w:type="dxa"/>
          </w:tcPr>
          <w:p w14:paraId="3D719AE9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14:paraId="60767930" w14:textId="77777777" w:rsidTr="007E2214">
        <w:tc>
          <w:tcPr>
            <w:tcW w:w="1940" w:type="dxa"/>
            <w:vMerge/>
            <w:vAlign w:val="center"/>
          </w:tcPr>
          <w:p w14:paraId="12732762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6BA8589" w14:textId="77777777" w:rsidR="00D46040" w:rsidRPr="00E72BB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1CA1B5AF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Vracanie </w:t>
            </w:r>
          </w:p>
        </w:tc>
        <w:tc>
          <w:tcPr>
            <w:tcW w:w="1194" w:type="dxa"/>
          </w:tcPr>
          <w:p w14:paraId="02C3B70C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96 (25%)</w:t>
            </w:r>
          </w:p>
        </w:tc>
        <w:tc>
          <w:tcPr>
            <w:tcW w:w="1194" w:type="dxa"/>
          </w:tcPr>
          <w:p w14:paraId="2951EAE1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7 (2%)</w:t>
            </w:r>
          </w:p>
        </w:tc>
        <w:tc>
          <w:tcPr>
            <w:tcW w:w="1194" w:type="dxa"/>
          </w:tcPr>
          <w:p w14:paraId="46AC70F6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14:paraId="231AD43D" w14:textId="77777777" w:rsidTr="007E2214">
        <w:tc>
          <w:tcPr>
            <w:tcW w:w="1940" w:type="dxa"/>
            <w:vMerge/>
            <w:vAlign w:val="center"/>
          </w:tcPr>
          <w:p w14:paraId="3C140EE3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88BFC3E" w14:textId="77777777" w:rsidR="00D46040" w:rsidRPr="00E72BB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D58D84C" w14:textId="77777777" w:rsidR="00844DF8" w:rsidRDefault="00844DF8" w:rsidP="00844DF8">
            <w:pPr>
              <w:pStyle w:val="Default"/>
            </w:pPr>
            <w:r>
              <w:rPr>
                <w:sz w:val="22"/>
                <w:szCs w:val="22"/>
              </w:rPr>
              <w:t>Bolesť brucha</w:t>
            </w:r>
            <w:r w:rsidRPr="00844DF8">
              <w:rPr>
                <w:sz w:val="22"/>
                <w:szCs w:val="22"/>
                <w:vertAlign w:val="superscript"/>
              </w:rPr>
              <w:t xml:space="preserve">a </w:t>
            </w:r>
          </w:p>
          <w:p w14:paraId="346ECC87" w14:textId="77777777" w:rsidR="00D46040" w:rsidRPr="00E72BB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19A9269F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55 (14%)</w:t>
            </w:r>
          </w:p>
        </w:tc>
        <w:tc>
          <w:tcPr>
            <w:tcW w:w="1194" w:type="dxa"/>
          </w:tcPr>
          <w:p w14:paraId="093B517F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43B21D4C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14:paraId="16243BB1" w14:textId="77777777" w:rsidTr="007E2214">
        <w:tc>
          <w:tcPr>
            <w:tcW w:w="1940" w:type="dxa"/>
            <w:vMerge/>
            <w:vAlign w:val="center"/>
          </w:tcPr>
          <w:p w14:paraId="574CE3A7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3BC6600D" w14:textId="77777777" w:rsidR="00D46040" w:rsidRPr="00E72BB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45F9928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Stomatitída </w:t>
            </w:r>
          </w:p>
        </w:tc>
        <w:tc>
          <w:tcPr>
            <w:tcW w:w="1194" w:type="dxa"/>
          </w:tcPr>
          <w:p w14:paraId="2283637B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41 (11%)</w:t>
            </w:r>
          </w:p>
        </w:tc>
        <w:tc>
          <w:tcPr>
            <w:tcW w:w="1194" w:type="dxa"/>
          </w:tcPr>
          <w:p w14:paraId="258C3842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0F56F5E6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14:paraId="11348872" w14:textId="77777777" w:rsidTr="007E2214">
        <w:tc>
          <w:tcPr>
            <w:tcW w:w="1940" w:type="dxa"/>
            <w:vMerge/>
            <w:vAlign w:val="center"/>
          </w:tcPr>
          <w:p w14:paraId="0712C58E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76317A4D" w14:textId="77777777" w:rsidR="00844DF8" w:rsidRDefault="00844DF8" w:rsidP="00844DF8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632DD222" w14:textId="77777777" w:rsidR="00D46040" w:rsidRPr="00904F6D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6FE34D6C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Abdominálna distenzia </w:t>
            </w:r>
          </w:p>
        </w:tc>
        <w:tc>
          <w:tcPr>
            <w:tcW w:w="1194" w:type="dxa"/>
          </w:tcPr>
          <w:p w14:paraId="7E1E17B9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16 (4%)</w:t>
            </w:r>
          </w:p>
        </w:tc>
        <w:tc>
          <w:tcPr>
            <w:tcW w:w="1194" w:type="dxa"/>
          </w:tcPr>
          <w:p w14:paraId="63811F32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2 (1%)</w:t>
            </w:r>
          </w:p>
        </w:tc>
        <w:tc>
          <w:tcPr>
            <w:tcW w:w="1194" w:type="dxa"/>
          </w:tcPr>
          <w:p w14:paraId="6B96BF44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14:paraId="32B00E83" w14:textId="77777777" w:rsidTr="007E2214">
        <w:tc>
          <w:tcPr>
            <w:tcW w:w="1940" w:type="dxa"/>
            <w:vMerge/>
            <w:vAlign w:val="center"/>
          </w:tcPr>
          <w:p w14:paraId="276330E4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23576C81" w14:textId="77777777" w:rsidR="00D46040" w:rsidRPr="00904F6D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6BEA43E3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Suchosť v ústach </w:t>
            </w:r>
          </w:p>
        </w:tc>
        <w:tc>
          <w:tcPr>
            <w:tcW w:w="1194" w:type="dxa"/>
          </w:tcPr>
          <w:p w14:paraId="153B500E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14 (4%)</w:t>
            </w:r>
          </w:p>
        </w:tc>
        <w:tc>
          <w:tcPr>
            <w:tcW w:w="1194" w:type="dxa"/>
          </w:tcPr>
          <w:p w14:paraId="1F7AF4D7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4B0FA815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14:paraId="5F08F16D" w14:textId="77777777" w:rsidTr="007E2214">
        <w:tc>
          <w:tcPr>
            <w:tcW w:w="1940" w:type="dxa"/>
            <w:vMerge/>
            <w:vAlign w:val="center"/>
          </w:tcPr>
          <w:p w14:paraId="27298C1C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7FF0E3D0" w14:textId="77777777" w:rsidR="00D46040" w:rsidRPr="00904F6D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7609401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Dyspepsia </w:t>
            </w:r>
          </w:p>
        </w:tc>
        <w:tc>
          <w:tcPr>
            <w:tcW w:w="1194" w:type="dxa"/>
          </w:tcPr>
          <w:p w14:paraId="2F1AC481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12 (3%)</w:t>
            </w:r>
          </w:p>
        </w:tc>
        <w:tc>
          <w:tcPr>
            <w:tcW w:w="1194" w:type="dxa"/>
          </w:tcPr>
          <w:p w14:paraId="30F1500C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3498A544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14:paraId="6BCA32ED" w14:textId="77777777" w:rsidTr="007E2214">
        <w:tc>
          <w:tcPr>
            <w:tcW w:w="1940" w:type="dxa"/>
            <w:vMerge/>
            <w:vAlign w:val="center"/>
          </w:tcPr>
          <w:p w14:paraId="7522C6A0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522AD4C5" w14:textId="77777777" w:rsidR="00D46040" w:rsidRPr="00904F6D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0317217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Krvácanie v ústnej dutine </w:t>
            </w:r>
          </w:p>
        </w:tc>
        <w:tc>
          <w:tcPr>
            <w:tcW w:w="1194" w:type="dxa"/>
          </w:tcPr>
          <w:p w14:paraId="13F2C51C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5 (1%)</w:t>
            </w:r>
          </w:p>
        </w:tc>
        <w:tc>
          <w:tcPr>
            <w:tcW w:w="1194" w:type="dxa"/>
          </w:tcPr>
          <w:p w14:paraId="63807419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51F2D45F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14:paraId="51CE9B45" w14:textId="77777777" w:rsidTr="007E2214">
        <w:tc>
          <w:tcPr>
            <w:tcW w:w="1940" w:type="dxa"/>
            <w:vMerge/>
            <w:vAlign w:val="center"/>
          </w:tcPr>
          <w:p w14:paraId="471095F3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2555BD3" w14:textId="77777777" w:rsidR="00D46040" w:rsidRPr="00904F6D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FB0919A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Flatulencia </w:t>
            </w:r>
          </w:p>
        </w:tc>
        <w:tc>
          <w:tcPr>
            <w:tcW w:w="1194" w:type="dxa"/>
          </w:tcPr>
          <w:p w14:paraId="33CECCFD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5 (1%)</w:t>
            </w:r>
          </w:p>
        </w:tc>
        <w:tc>
          <w:tcPr>
            <w:tcW w:w="1194" w:type="dxa"/>
          </w:tcPr>
          <w:p w14:paraId="1F9ACC1F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0957C4F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14:paraId="12852864" w14:textId="77777777" w:rsidTr="007E2214">
        <w:tc>
          <w:tcPr>
            <w:tcW w:w="1940" w:type="dxa"/>
            <w:vMerge/>
            <w:vAlign w:val="center"/>
          </w:tcPr>
          <w:p w14:paraId="7E278539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4D2ECFC5" w14:textId="77777777" w:rsidR="00D46040" w:rsidRPr="00904F6D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17E5A058" w14:textId="77777777" w:rsidR="00D46040" w:rsidRPr="00E72BB8" w:rsidRDefault="00844DF8" w:rsidP="00844D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Krvácanie z anusu </w:t>
            </w:r>
          </w:p>
        </w:tc>
        <w:tc>
          <w:tcPr>
            <w:tcW w:w="1194" w:type="dxa"/>
          </w:tcPr>
          <w:p w14:paraId="5F451966" w14:textId="77777777" w:rsidR="00D46040" w:rsidRPr="00E72BB8" w:rsidRDefault="00D46040" w:rsidP="00D46040">
            <w:pPr>
              <w:ind w:right="-72"/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78EC3831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9349D59" w14:textId="77777777" w:rsidR="00D46040" w:rsidRPr="00E72BB8" w:rsidRDefault="00D46040" w:rsidP="00D46040">
            <w:pPr>
              <w:rPr>
                <w:sz w:val="22"/>
                <w:szCs w:val="22"/>
              </w:rPr>
            </w:pPr>
            <w:r w:rsidRPr="00E72BB8">
              <w:rPr>
                <w:sz w:val="22"/>
                <w:szCs w:val="22"/>
              </w:rPr>
              <w:t>0</w:t>
            </w:r>
          </w:p>
        </w:tc>
      </w:tr>
      <w:tr w:rsidR="00E70233" w14:paraId="5F13C662" w14:textId="77777777" w:rsidTr="007E2214">
        <w:tc>
          <w:tcPr>
            <w:tcW w:w="1940" w:type="dxa"/>
            <w:vMerge/>
            <w:vAlign w:val="center"/>
          </w:tcPr>
          <w:p w14:paraId="196B3BA1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41DB44EA" w14:textId="77777777" w:rsidR="00573E24" w:rsidRDefault="00573E24" w:rsidP="00573E24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13EF8C0B" w14:textId="77777777" w:rsidR="00D46040" w:rsidRPr="00904F6D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67DC3CF6" w14:textId="77777777" w:rsidR="00D46040" w:rsidRPr="00876098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Gastrointestinálne krvácanie </w:t>
            </w:r>
          </w:p>
        </w:tc>
        <w:tc>
          <w:tcPr>
            <w:tcW w:w="1194" w:type="dxa"/>
          </w:tcPr>
          <w:p w14:paraId="071BA7B3" w14:textId="77777777" w:rsidR="00D46040" w:rsidRPr="00876098" w:rsidRDefault="00D46040" w:rsidP="00D46040">
            <w:pPr>
              <w:ind w:right="-72"/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4AFD3AF2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6FCB233D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</w:tr>
      <w:tr w:rsidR="00E70233" w14:paraId="3CB27CB9" w14:textId="77777777" w:rsidTr="007E2214">
        <w:tc>
          <w:tcPr>
            <w:tcW w:w="1940" w:type="dxa"/>
            <w:vMerge/>
            <w:vAlign w:val="center"/>
          </w:tcPr>
          <w:p w14:paraId="14AE74BF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03C18062" w14:textId="77777777" w:rsidR="00D46040" w:rsidRPr="009D587A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3166DD89" w14:textId="77777777" w:rsidR="00D46040" w:rsidRPr="00876098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Rektálne krvácanie </w:t>
            </w:r>
          </w:p>
        </w:tc>
        <w:tc>
          <w:tcPr>
            <w:tcW w:w="1194" w:type="dxa"/>
          </w:tcPr>
          <w:p w14:paraId="524D9182" w14:textId="77777777" w:rsidR="00D46040" w:rsidRPr="00876098" w:rsidRDefault="00D46040" w:rsidP="00D46040">
            <w:pPr>
              <w:ind w:right="-72"/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04D3FFAC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54041BFC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</w:tr>
      <w:tr w:rsidR="00E70233" w14:paraId="6277802B" w14:textId="77777777" w:rsidTr="007E2214">
        <w:tc>
          <w:tcPr>
            <w:tcW w:w="1940" w:type="dxa"/>
            <w:vMerge/>
            <w:vAlign w:val="center"/>
          </w:tcPr>
          <w:p w14:paraId="26678772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CC3E9C4" w14:textId="77777777" w:rsidR="00D46040" w:rsidRPr="009D587A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32EBFDBD" w14:textId="77777777" w:rsidR="00D46040" w:rsidRPr="00876098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Enterokutánna fistula </w:t>
            </w:r>
          </w:p>
        </w:tc>
        <w:tc>
          <w:tcPr>
            <w:tcW w:w="1194" w:type="dxa"/>
          </w:tcPr>
          <w:p w14:paraId="2272071D" w14:textId="77777777" w:rsidR="00D46040" w:rsidRPr="00876098" w:rsidRDefault="00D46040" w:rsidP="00D46040">
            <w:pPr>
              <w:ind w:right="-72"/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0B87BA02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70F7835D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</w:tr>
      <w:tr w:rsidR="00E70233" w14:paraId="2553DB29" w14:textId="77777777" w:rsidTr="007E2214">
        <w:tc>
          <w:tcPr>
            <w:tcW w:w="1940" w:type="dxa"/>
            <w:vMerge/>
            <w:vAlign w:val="center"/>
          </w:tcPr>
          <w:p w14:paraId="1D7CD55A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5911AE78" w14:textId="77777777" w:rsidR="00D46040" w:rsidRPr="009D587A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165F0418" w14:textId="77777777" w:rsidR="00D46040" w:rsidRPr="00876098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Krvácanie do žalúdka </w:t>
            </w:r>
          </w:p>
        </w:tc>
        <w:tc>
          <w:tcPr>
            <w:tcW w:w="1194" w:type="dxa"/>
          </w:tcPr>
          <w:p w14:paraId="562CBFAB" w14:textId="77777777" w:rsidR="00D46040" w:rsidRPr="00876098" w:rsidRDefault="00D46040" w:rsidP="00D46040">
            <w:pPr>
              <w:ind w:right="-72"/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0DC1F0BF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643D78E5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</w:tr>
      <w:tr w:rsidR="00E70233" w14:paraId="78B6264C" w14:textId="77777777" w:rsidTr="007E2214">
        <w:tc>
          <w:tcPr>
            <w:tcW w:w="1940" w:type="dxa"/>
            <w:vMerge/>
            <w:vAlign w:val="center"/>
          </w:tcPr>
          <w:p w14:paraId="1D0B71F0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5B1EC6F3" w14:textId="77777777" w:rsidR="00D46040" w:rsidRPr="009D587A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6C32C0C" w14:textId="77777777" w:rsidR="00D46040" w:rsidRPr="00876098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Meléna </w:t>
            </w:r>
          </w:p>
        </w:tc>
        <w:tc>
          <w:tcPr>
            <w:tcW w:w="1194" w:type="dxa"/>
          </w:tcPr>
          <w:p w14:paraId="487DA50C" w14:textId="77777777" w:rsidR="00D46040" w:rsidRPr="00876098" w:rsidRDefault="00D46040" w:rsidP="00D46040">
            <w:pPr>
              <w:ind w:right="-72"/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17318B4A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62B945C3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</w:tr>
      <w:tr w:rsidR="00E70233" w:rsidRPr="00876098" w14:paraId="3EC7577A" w14:textId="77777777" w:rsidTr="007E2214">
        <w:tc>
          <w:tcPr>
            <w:tcW w:w="1940" w:type="dxa"/>
            <w:vMerge/>
            <w:vAlign w:val="center"/>
          </w:tcPr>
          <w:p w14:paraId="7EE8375A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2DA080BE" w14:textId="77777777" w:rsidR="00D46040" w:rsidRPr="009D587A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177B50C" w14:textId="77777777" w:rsidR="00D46040" w:rsidRPr="00876098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Ezofágové krvácanie </w:t>
            </w:r>
          </w:p>
        </w:tc>
        <w:tc>
          <w:tcPr>
            <w:tcW w:w="1194" w:type="dxa"/>
          </w:tcPr>
          <w:p w14:paraId="68692D6D" w14:textId="77777777" w:rsidR="00D46040" w:rsidRPr="00876098" w:rsidRDefault="00D46040" w:rsidP="00D46040">
            <w:pPr>
              <w:ind w:right="-72"/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2600A4EA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01C35CAF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</w:tr>
      <w:tr w:rsidR="00E70233" w:rsidRPr="00876098" w14:paraId="4686CA97" w14:textId="77777777" w:rsidTr="007E2214">
        <w:tc>
          <w:tcPr>
            <w:tcW w:w="1940" w:type="dxa"/>
            <w:vMerge/>
            <w:vAlign w:val="center"/>
          </w:tcPr>
          <w:p w14:paraId="0073BC1E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73047861" w14:textId="77777777" w:rsidR="00D46040" w:rsidRPr="009D587A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D8B04E6" w14:textId="77777777" w:rsidR="00D46040" w:rsidRPr="00876098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Peritonitída </w:t>
            </w:r>
          </w:p>
        </w:tc>
        <w:tc>
          <w:tcPr>
            <w:tcW w:w="1194" w:type="dxa"/>
          </w:tcPr>
          <w:p w14:paraId="29479A89" w14:textId="77777777" w:rsidR="00D46040" w:rsidRPr="00876098" w:rsidRDefault="00D46040" w:rsidP="00D46040">
            <w:pPr>
              <w:ind w:right="-72"/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3B004F57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5F080B8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</w:tr>
      <w:tr w:rsidR="00E70233" w:rsidRPr="00876098" w14:paraId="3BAF40C0" w14:textId="77777777" w:rsidTr="007E2214">
        <w:tc>
          <w:tcPr>
            <w:tcW w:w="1940" w:type="dxa"/>
            <w:vMerge/>
            <w:vAlign w:val="center"/>
          </w:tcPr>
          <w:p w14:paraId="3C16E217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54EC6106" w14:textId="77777777" w:rsidR="00D46040" w:rsidRPr="009D587A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B5306C3" w14:textId="77777777" w:rsidR="00D46040" w:rsidRPr="00876098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Retroperitoneálne krvácanie </w:t>
            </w:r>
          </w:p>
        </w:tc>
        <w:tc>
          <w:tcPr>
            <w:tcW w:w="1194" w:type="dxa"/>
          </w:tcPr>
          <w:p w14:paraId="0B3729AE" w14:textId="77777777" w:rsidR="00D46040" w:rsidRPr="00876098" w:rsidRDefault="00D46040" w:rsidP="00D46040">
            <w:pPr>
              <w:ind w:right="-72"/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5E46AC96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5857CF0E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</w:tr>
      <w:tr w:rsidR="00E70233" w:rsidRPr="00876098" w14:paraId="2F6E3F65" w14:textId="77777777" w:rsidTr="007E2214">
        <w:tc>
          <w:tcPr>
            <w:tcW w:w="1940" w:type="dxa"/>
            <w:vMerge/>
            <w:vAlign w:val="center"/>
          </w:tcPr>
          <w:p w14:paraId="4D53D878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24A461D1" w14:textId="77777777" w:rsidR="00D46040" w:rsidRPr="009D587A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14949D2" w14:textId="77777777" w:rsidR="00D46040" w:rsidRPr="00876098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Krvácanie v hornej časti gastrointestinálneho traktu </w:t>
            </w:r>
          </w:p>
        </w:tc>
        <w:tc>
          <w:tcPr>
            <w:tcW w:w="1194" w:type="dxa"/>
          </w:tcPr>
          <w:p w14:paraId="03A1CE4A" w14:textId="77777777" w:rsidR="00D46040" w:rsidRPr="00876098" w:rsidRDefault="00D46040" w:rsidP="00D46040">
            <w:pPr>
              <w:ind w:right="-72"/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7173ADEB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7DE403AF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</w:tr>
      <w:tr w:rsidR="00E70233" w:rsidRPr="00876098" w14:paraId="004A40BB" w14:textId="77777777" w:rsidTr="007E2214">
        <w:tc>
          <w:tcPr>
            <w:tcW w:w="1940" w:type="dxa"/>
            <w:vMerge/>
            <w:vAlign w:val="center"/>
          </w:tcPr>
          <w:p w14:paraId="3382D20B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3CC0CD5B" w14:textId="77777777" w:rsidR="00D46040" w:rsidRPr="009D587A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B930256" w14:textId="77777777" w:rsidR="00D46040" w:rsidRPr="00876098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Perforácia ilea </w:t>
            </w:r>
          </w:p>
        </w:tc>
        <w:tc>
          <w:tcPr>
            <w:tcW w:w="1194" w:type="dxa"/>
          </w:tcPr>
          <w:p w14:paraId="61CD74C2" w14:textId="77777777" w:rsidR="00D46040" w:rsidRPr="00876098" w:rsidRDefault="00D46040" w:rsidP="00D46040">
            <w:pPr>
              <w:ind w:right="-72"/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22051650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3835BAC1" w14:textId="77777777" w:rsidR="00D46040" w:rsidRPr="00876098" w:rsidRDefault="00D46040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</w:tr>
      <w:tr w:rsidR="000E2B83" w:rsidRPr="00876098" w14:paraId="430CBD75" w14:textId="77777777" w:rsidTr="007E2214">
        <w:tc>
          <w:tcPr>
            <w:tcW w:w="1940" w:type="dxa"/>
            <w:vMerge w:val="restart"/>
            <w:vAlign w:val="center"/>
          </w:tcPr>
          <w:p w14:paraId="3BA1E567" w14:textId="77777777" w:rsidR="000E2B83" w:rsidRPr="00650FC6" w:rsidRDefault="000E2B83" w:rsidP="00573E2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Poruchy pečene a žlčových ciest</w:t>
            </w:r>
          </w:p>
        </w:tc>
        <w:tc>
          <w:tcPr>
            <w:tcW w:w="1267" w:type="dxa"/>
          </w:tcPr>
          <w:p w14:paraId="4CEA8559" w14:textId="77777777" w:rsidR="000E2B83" w:rsidRDefault="000E2B83" w:rsidP="00573E24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5C0A82E5" w14:textId="77777777" w:rsidR="000E2B83" w:rsidRPr="00876098" w:rsidRDefault="000E2B83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1A4C63AF" w14:textId="77777777" w:rsidR="000E2B83" w:rsidRPr="00876098" w:rsidRDefault="000E2B83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Porucha funkcie pečene </w:t>
            </w:r>
          </w:p>
        </w:tc>
        <w:tc>
          <w:tcPr>
            <w:tcW w:w="1194" w:type="dxa"/>
          </w:tcPr>
          <w:p w14:paraId="7F98F7E7" w14:textId="77777777" w:rsidR="000E2B83" w:rsidRPr="00876098" w:rsidRDefault="000E2B83" w:rsidP="00D46040">
            <w:pPr>
              <w:ind w:right="-72"/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2A6B5620" w14:textId="77777777" w:rsidR="000E2B83" w:rsidRPr="00876098" w:rsidRDefault="000E2B83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2D3D12E" w14:textId="77777777" w:rsidR="000E2B83" w:rsidRPr="00876098" w:rsidRDefault="000E2B83" w:rsidP="00D46040">
            <w:pPr>
              <w:rPr>
                <w:sz w:val="22"/>
                <w:szCs w:val="22"/>
              </w:rPr>
            </w:pPr>
            <w:r w:rsidRPr="00876098">
              <w:rPr>
                <w:sz w:val="22"/>
                <w:szCs w:val="22"/>
              </w:rPr>
              <w:t>1 (&lt;1%)</w:t>
            </w:r>
          </w:p>
        </w:tc>
      </w:tr>
      <w:tr w:rsidR="000E2B83" w:rsidRPr="00876098" w14:paraId="06A01BF3" w14:textId="77777777" w:rsidTr="007E2214">
        <w:tc>
          <w:tcPr>
            <w:tcW w:w="1940" w:type="dxa"/>
            <w:vMerge/>
            <w:vAlign w:val="center"/>
          </w:tcPr>
          <w:p w14:paraId="1F9F3504" w14:textId="77777777" w:rsidR="000E2B83" w:rsidRDefault="000E2B83" w:rsidP="00573E2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</w:tcPr>
          <w:p w14:paraId="39C19E44" w14:textId="66D16F94" w:rsidR="000E2B83" w:rsidRPr="00531CFF" w:rsidRDefault="000E2B83" w:rsidP="00573E24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73" w:type="dxa"/>
          </w:tcPr>
          <w:p w14:paraId="53E158F0" w14:textId="796351CF" w:rsidR="000E2B83" w:rsidRDefault="000E2B83" w:rsidP="00573E24">
            <w:pPr>
              <w:pStyle w:val="Default"/>
              <w:rPr>
                <w:sz w:val="22"/>
                <w:szCs w:val="22"/>
              </w:rPr>
            </w:pPr>
            <w:r w:rsidRPr="000E2B83">
              <w:rPr>
                <w:sz w:val="22"/>
                <w:szCs w:val="22"/>
              </w:rPr>
              <w:t>Zlyhanie pečene*</w:t>
            </w:r>
          </w:p>
        </w:tc>
        <w:tc>
          <w:tcPr>
            <w:tcW w:w="1194" w:type="dxa"/>
          </w:tcPr>
          <w:p w14:paraId="071DDEE9" w14:textId="10BB97FC" w:rsidR="000E2B83" w:rsidRPr="00E9169F" w:rsidRDefault="000E2B83" w:rsidP="00D46040">
            <w:pPr>
              <w:ind w:right="-72"/>
              <w:rPr>
                <w:sz w:val="22"/>
                <w:szCs w:val="22"/>
                <w:lang w:val="sk-SK"/>
              </w:rPr>
            </w:pPr>
            <w:r w:rsidRPr="00E9169F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1194" w:type="dxa"/>
          </w:tcPr>
          <w:p w14:paraId="1FFD3D74" w14:textId="5D0C5311" w:rsidR="000E2B83" w:rsidRPr="00E9169F" w:rsidRDefault="000E2B83" w:rsidP="00D46040">
            <w:pPr>
              <w:rPr>
                <w:sz w:val="22"/>
                <w:szCs w:val="22"/>
                <w:lang w:val="sk-SK"/>
              </w:rPr>
            </w:pPr>
            <w:r w:rsidRPr="00E9169F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1194" w:type="dxa"/>
          </w:tcPr>
          <w:p w14:paraId="512B5671" w14:textId="38B3EB62" w:rsidR="000E2B83" w:rsidRPr="00E9169F" w:rsidRDefault="000E2B83" w:rsidP="00D46040">
            <w:pPr>
              <w:rPr>
                <w:sz w:val="22"/>
                <w:szCs w:val="22"/>
                <w:lang w:val="sk-SK"/>
              </w:rPr>
            </w:pPr>
            <w:r w:rsidRPr="00E9169F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E70233" w14:paraId="09E9619E" w14:textId="77777777" w:rsidTr="007E2214">
        <w:tc>
          <w:tcPr>
            <w:tcW w:w="1940" w:type="dxa"/>
            <w:vMerge w:val="restart"/>
            <w:vAlign w:val="center"/>
          </w:tcPr>
          <w:p w14:paraId="5ACD1322" w14:textId="77777777" w:rsidR="00573E24" w:rsidRDefault="00573E24" w:rsidP="00573E24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kože a podkožného tkaniva </w:t>
            </w:r>
          </w:p>
          <w:p w14:paraId="0863F332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7D757198" w14:textId="77777777" w:rsidR="00573E24" w:rsidRDefault="00573E24" w:rsidP="00573E24">
            <w:pPr>
              <w:pStyle w:val="Default"/>
            </w:pPr>
            <w:r>
              <w:rPr>
                <w:sz w:val="22"/>
                <w:szCs w:val="22"/>
              </w:rPr>
              <w:t xml:space="preserve">Veľmi časté </w:t>
            </w:r>
          </w:p>
          <w:p w14:paraId="1D93C969" w14:textId="77777777" w:rsidR="00D46040" w:rsidRPr="0087609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9A277EB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Zmena farby vlasov </w:t>
            </w:r>
          </w:p>
        </w:tc>
        <w:tc>
          <w:tcPr>
            <w:tcW w:w="1194" w:type="dxa"/>
          </w:tcPr>
          <w:p w14:paraId="78DF43BD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93 (24%)</w:t>
            </w:r>
          </w:p>
        </w:tc>
        <w:tc>
          <w:tcPr>
            <w:tcW w:w="1194" w:type="dxa"/>
          </w:tcPr>
          <w:p w14:paraId="2836B3E8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55A083B4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0A536B18" w14:textId="77777777" w:rsidTr="007E2214">
        <w:tc>
          <w:tcPr>
            <w:tcW w:w="1940" w:type="dxa"/>
            <w:vMerge/>
            <w:vAlign w:val="center"/>
          </w:tcPr>
          <w:p w14:paraId="595299FA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50E9F2C5" w14:textId="77777777" w:rsidR="00D46040" w:rsidRPr="0087609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3A135F6F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Hypopigmentácia kože </w:t>
            </w:r>
          </w:p>
        </w:tc>
        <w:tc>
          <w:tcPr>
            <w:tcW w:w="1194" w:type="dxa"/>
          </w:tcPr>
          <w:p w14:paraId="1441066F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80 (21%)</w:t>
            </w:r>
          </w:p>
        </w:tc>
        <w:tc>
          <w:tcPr>
            <w:tcW w:w="1194" w:type="dxa"/>
          </w:tcPr>
          <w:p w14:paraId="1DA09363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3443063F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3EE58AA9" w14:textId="77777777" w:rsidTr="007E2214">
        <w:tc>
          <w:tcPr>
            <w:tcW w:w="1940" w:type="dxa"/>
            <w:vMerge/>
            <w:vAlign w:val="center"/>
          </w:tcPr>
          <w:p w14:paraId="3D4020C8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03660D0" w14:textId="77777777" w:rsidR="00D46040" w:rsidRPr="0087609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212CE255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Exfoliatívna vyrážka </w:t>
            </w:r>
          </w:p>
        </w:tc>
        <w:tc>
          <w:tcPr>
            <w:tcW w:w="1194" w:type="dxa"/>
          </w:tcPr>
          <w:p w14:paraId="51F39764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52 (14%)</w:t>
            </w:r>
          </w:p>
        </w:tc>
        <w:tc>
          <w:tcPr>
            <w:tcW w:w="1194" w:type="dxa"/>
          </w:tcPr>
          <w:p w14:paraId="0903C03B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6FF2564C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66382A20" w14:textId="77777777" w:rsidTr="007E2214">
        <w:tc>
          <w:tcPr>
            <w:tcW w:w="1940" w:type="dxa"/>
            <w:vMerge/>
            <w:vAlign w:val="center"/>
          </w:tcPr>
          <w:p w14:paraId="0705425A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6FCF18B6" w14:textId="77777777" w:rsidR="00573E24" w:rsidRDefault="00573E24" w:rsidP="00573E24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76F3E9C9" w14:textId="77777777" w:rsidR="00D46040" w:rsidRPr="0087609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65CC4FA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Alopécia </w:t>
            </w:r>
          </w:p>
        </w:tc>
        <w:tc>
          <w:tcPr>
            <w:tcW w:w="1194" w:type="dxa"/>
          </w:tcPr>
          <w:p w14:paraId="2FFD4F29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30 (8%)</w:t>
            </w:r>
          </w:p>
        </w:tc>
        <w:tc>
          <w:tcPr>
            <w:tcW w:w="1194" w:type="dxa"/>
          </w:tcPr>
          <w:p w14:paraId="23D2B568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658624A1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6EACE0C4" w14:textId="77777777" w:rsidTr="007E2214">
        <w:tc>
          <w:tcPr>
            <w:tcW w:w="1940" w:type="dxa"/>
            <w:vMerge/>
            <w:vAlign w:val="center"/>
          </w:tcPr>
          <w:p w14:paraId="13B4EE36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1F234644" w14:textId="77777777" w:rsidR="00D46040" w:rsidRPr="0087609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274B5E78" w14:textId="77777777" w:rsidR="00D46040" w:rsidRPr="0082566E" w:rsidRDefault="00573E24" w:rsidP="00D46040">
            <w:pPr>
              <w:ind w:right="-108"/>
              <w:rPr>
                <w:sz w:val="22"/>
                <w:szCs w:val="22"/>
              </w:rPr>
            </w:pPr>
            <w:r w:rsidRPr="00573E24">
              <w:rPr>
                <w:sz w:val="22"/>
                <w:szCs w:val="22"/>
              </w:rPr>
              <w:t>Porucha kože</w:t>
            </w:r>
            <w:r w:rsidRPr="00573E24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94" w:type="dxa"/>
          </w:tcPr>
          <w:p w14:paraId="1173EB2D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26 (7%)</w:t>
            </w:r>
          </w:p>
        </w:tc>
        <w:tc>
          <w:tcPr>
            <w:tcW w:w="1194" w:type="dxa"/>
          </w:tcPr>
          <w:p w14:paraId="2711DF10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73A727C0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4F5D3076" w14:textId="77777777" w:rsidTr="007E2214">
        <w:tc>
          <w:tcPr>
            <w:tcW w:w="1940" w:type="dxa"/>
            <w:vMerge/>
            <w:vAlign w:val="center"/>
          </w:tcPr>
          <w:p w14:paraId="7937AE52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8276803" w14:textId="77777777" w:rsidR="00D46040" w:rsidRPr="0087609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ACE2E67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Suchosť kože </w:t>
            </w:r>
          </w:p>
        </w:tc>
        <w:tc>
          <w:tcPr>
            <w:tcW w:w="1194" w:type="dxa"/>
          </w:tcPr>
          <w:p w14:paraId="62D71429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21 (5%)</w:t>
            </w:r>
          </w:p>
        </w:tc>
        <w:tc>
          <w:tcPr>
            <w:tcW w:w="1194" w:type="dxa"/>
          </w:tcPr>
          <w:p w14:paraId="702D5490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6121931" w14:textId="77777777" w:rsidR="00D46040" w:rsidRDefault="00D46040" w:rsidP="00D46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0233" w14:paraId="7143A39E" w14:textId="77777777" w:rsidTr="007E2214">
        <w:tc>
          <w:tcPr>
            <w:tcW w:w="1940" w:type="dxa"/>
            <w:vMerge/>
            <w:vAlign w:val="center"/>
          </w:tcPr>
          <w:p w14:paraId="4518F988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A29A800" w14:textId="77777777" w:rsidR="00D46040" w:rsidRPr="0087609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B1F00C8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Hyperhidróza </w:t>
            </w:r>
          </w:p>
        </w:tc>
        <w:tc>
          <w:tcPr>
            <w:tcW w:w="1194" w:type="dxa"/>
          </w:tcPr>
          <w:p w14:paraId="4F6DF15D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18 (5%)</w:t>
            </w:r>
          </w:p>
        </w:tc>
        <w:tc>
          <w:tcPr>
            <w:tcW w:w="1194" w:type="dxa"/>
          </w:tcPr>
          <w:p w14:paraId="47D16E87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488A008B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52EEAF5D" w14:textId="77777777" w:rsidTr="007E2214">
        <w:tc>
          <w:tcPr>
            <w:tcW w:w="1940" w:type="dxa"/>
            <w:vMerge/>
            <w:vAlign w:val="center"/>
          </w:tcPr>
          <w:p w14:paraId="4AE8DD68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282C61B" w14:textId="77777777" w:rsidR="00D46040" w:rsidRPr="0087609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DF6E628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Porucha nechtov </w:t>
            </w:r>
          </w:p>
        </w:tc>
        <w:tc>
          <w:tcPr>
            <w:tcW w:w="1194" w:type="dxa"/>
          </w:tcPr>
          <w:p w14:paraId="13E85909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13 (3%)</w:t>
            </w:r>
          </w:p>
        </w:tc>
        <w:tc>
          <w:tcPr>
            <w:tcW w:w="1194" w:type="dxa"/>
          </w:tcPr>
          <w:p w14:paraId="53AC7334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9CC6FEE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0FD591B6" w14:textId="77777777" w:rsidTr="007E2214">
        <w:tc>
          <w:tcPr>
            <w:tcW w:w="1940" w:type="dxa"/>
            <w:vMerge/>
            <w:vAlign w:val="center"/>
          </w:tcPr>
          <w:p w14:paraId="29CA5B94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5327F99B" w14:textId="77777777" w:rsidR="00D46040" w:rsidRPr="0087609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3F9F9C08" w14:textId="77777777" w:rsidR="00D46040" w:rsidRPr="0082566E" w:rsidRDefault="00D46040" w:rsidP="00D46040">
            <w:pPr>
              <w:ind w:right="-108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Pruritus</w:t>
            </w:r>
          </w:p>
        </w:tc>
        <w:tc>
          <w:tcPr>
            <w:tcW w:w="1194" w:type="dxa"/>
          </w:tcPr>
          <w:p w14:paraId="6931A7E2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11 (3%)</w:t>
            </w:r>
          </w:p>
        </w:tc>
        <w:tc>
          <w:tcPr>
            <w:tcW w:w="1194" w:type="dxa"/>
          </w:tcPr>
          <w:p w14:paraId="31028628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48E18C70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7AAC23DE" w14:textId="77777777" w:rsidTr="007E2214">
        <w:tc>
          <w:tcPr>
            <w:tcW w:w="1940" w:type="dxa"/>
            <w:vMerge/>
            <w:vAlign w:val="center"/>
          </w:tcPr>
          <w:p w14:paraId="0F43B19C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330173E1" w14:textId="77777777" w:rsidR="00D46040" w:rsidRPr="0087609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9C76025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Erytém </w:t>
            </w:r>
          </w:p>
        </w:tc>
        <w:tc>
          <w:tcPr>
            <w:tcW w:w="1194" w:type="dxa"/>
          </w:tcPr>
          <w:p w14:paraId="50C04A60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7BF22408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35D3AF9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:rsidRPr="0082566E" w14:paraId="0B5C3999" w14:textId="77777777" w:rsidTr="007E2214">
        <w:tc>
          <w:tcPr>
            <w:tcW w:w="1940" w:type="dxa"/>
            <w:vMerge/>
            <w:vAlign w:val="center"/>
          </w:tcPr>
          <w:p w14:paraId="38E8EB71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5A9D2830" w14:textId="77777777" w:rsidR="00573E24" w:rsidRDefault="00573E24" w:rsidP="00573E24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5A1BA6FB" w14:textId="77777777" w:rsidR="00D46040" w:rsidRPr="00876098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1E1DA73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Vriedky na koži </w:t>
            </w:r>
            <w:r w:rsidR="00D46040" w:rsidRPr="008256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4" w:type="dxa"/>
          </w:tcPr>
          <w:p w14:paraId="008663DE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3 (&lt;1%)</w:t>
            </w:r>
          </w:p>
        </w:tc>
        <w:tc>
          <w:tcPr>
            <w:tcW w:w="1194" w:type="dxa"/>
          </w:tcPr>
          <w:p w14:paraId="3EB1F951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4CB65EB6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:rsidRPr="0082566E" w14:paraId="1880F111" w14:textId="77777777" w:rsidTr="007E2214">
        <w:tc>
          <w:tcPr>
            <w:tcW w:w="1940" w:type="dxa"/>
            <w:vMerge/>
            <w:vAlign w:val="center"/>
          </w:tcPr>
          <w:p w14:paraId="6C1A4F03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48561B47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2A614FEE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Vyrážka </w:t>
            </w:r>
          </w:p>
        </w:tc>
        <w:tc>
          <w:tcPr>
            <w:tcW w:w="1194" w:type="dxa"/>
          </w:tcPr>
          <w:p w14:paraId="72442ED5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3CC58542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009613C4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:rsidRPr="0082566E" w14:paraId="54CA42F7" w14:textId="77777777" w:rsidTr="007E2214">
        <w:tc>
          <w:tcPr>
            <w:tcW w:w="1940" w:type="dxa"/>
            <w:vMerge/>
            <w:vAlign w:val="center"/>
          </w:tcPr>
          <w:p w14:paraId="25ACC8C2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709E8690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C9D40D5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Papulózna vyrážka </w:t>
            </w:r>
          </w:p>
        </w:tc>
        <w:tc>
          <w:tcPr>
            <w:tcW w:w="1194" w:type="dxa"/>
          </w:tcPr>
          <w:p w14:paraId="07CCE6A7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5AB93BC7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0F373A75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:rsidRPr="0082566E" w14:paraId="605A6B09" w14:textId="77777777" w:rsidTr="007E2214">
        <w:tc>
          <w:tcPr>
            <w:tcW w:w="1940" w:type="dxa"/>
            <w:vMerge/>
            <w:vAlign w:val="center"/>
          </w:tcPr>
          <w:p w14:paraId="6E77DADD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07144806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301BCBD9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Reakcia z fotosenzitivity </w:t>
            </w:r>
          </w:p>
        </w:tc>
        <w:tc>
          <w:tcPr>
            <w:tcW w:w="1194" w:type="dxa"/>
          </w:tcPr>
          <w:p w14:paraId="35680A1E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7358E2E8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3405DF75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218E65AC" w14:textId="77777777" w:rsidTr="007E2214">
        <w:tc>
          <w:tcPr>
            <w:tcW w:w="1940" w:type="dxa"/>
            <w:vMerge/>
            <w:vAlign w:val="center"/>
          </w:tcPr>
          <w:p w14:paraId="07C928D1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4B2F86A8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94DC5BA" w14:textId="77777777" w:rsidR="00D46040" w:rsidRPr="0082566E" w:rsidRDefault="00573E24" w:rsidP="00573E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Syndróm palmárno-plantárnej erytrodyzestézie </w:t>
            </w:r>
          </w:p>
        </w:tc>
        <w:tc>
          <w:tcPr>
            <w:tcW w:w="1194" w:type="dxa"/>
          </w:tcPr>
          <w:p w14:paraId="37A76396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2BA44470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57E25973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15AA3C9B" w14:textId="77777777" w:rsidTr="007E2214">
        <w:tc>
          <w:tcPr>
            <w:tcW w:w="1940" w:type="dxa"/>
            <w:vMerge w:val="restart"/>
            <w:vAlign w:val="center"/>
          </w:tcPr>
          <w:p w14:paraId="6EDF499A" w14:textId="77777777" w:rsidR="00483D85" w:rsidRDefault="00483D85" w:rsidP="00483D8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Poruchy kostrovej a svalovej sústavy a spojivového tkaniva </w:t>
            </w:r>
          </w:p>
          <w:p w14:paraId="07179C26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2FCE1361" w14:textId="77777777" w:rsidR="00483D85" w:rsidRDefault="00483D85" w:rsidP="00483D85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0FCA4536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5DCDDB58" w14:textId="77777777" w:rsidR="00D46040" w:rsidRPr="0082566E" w:rsidRDefault="00483D85" w:rsidP="00483D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Bolesť kostrovej a svalovej sústavy </w:t>
            </w:r>
          </w:p>
        </w:tc>
        <w:tc>
          <w:tcPr>
            <w:tcW w:w="1194" w:type="dxa"/>
          </w:tcPr>
          <w:p w14:paraId="3D6497AF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35 (9%)</w:t>
            </w:r>
          </w:p>
        </w:tc>
        <w:tc>
          <w:tcPr>
            <w:tcW w:w="1194" w:type="dxa"/>
          </w:tcPr>
          <w:p w14:paraId="571BF0CF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65F2260A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6FD83DA5" w14:textId="77777777" w:rsidTr="007E2214">
        <w:tc>
          <w:tcPr>
            <w:tcW w:w="1940" w:type="dxa"/>
            <w:vMerge/>
            <w:vAlign w:val="center"/>
          </w:tcPr>
          <w:p w14:paraId="3EE3BA29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4169850C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821E226" w14:textId="77777777" w:rsidR="00D46040" w:rsidRPr="0082566E" w:rsidRDefault="00D46040" w:rsidP="00D46040">
            <w:pPr>
              <w:ind w:right="-108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Myalgia</w:t>
            </w:r>
          </w:p>
        </w:tc>
        <w:tc>
          <w:tcPr>
            <w:tcW w:w="1194" w:type="dxa"/>
          </w:tcPr>
          <w:p w14:paraId="16ED758B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28 (7%)</w:t>
            </w:r>
          </w:p>
        </w:tc>
        <w:tc>
          <w:tcPr>
            <w:tcW w:w="1194" w:type="dxa"/>
          </w:tcPr>
          <w:p w14:paraId="2EC30FA4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0C3BDE9F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1E5F7DF7" w14:textId="77777777" w:rsidTr="007E2214">
        <w:tc>
          <w:tcPr>
            <w:tcW w:w="1940" w:type="dxa"/>
            <w:vMerge/>
            <w:vAlign w:val="center"/>
          </w:tcPr>
          <w:p w14:paraId="55C1D282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07B5B0E7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60504211" w14:textId="77777777" w:rsidR="00483D85" w:rsidRDefault="00483D85" w:rsidP="00483D85">
            <w:pPr>
              <w:pStyle w:val="Default"/>
            </w:pPr>
            <w:r>
              <w:rPr>
                <w:sz w:val="22"/>
                <w:szCs w:val="22"/>
              </w:rPr>
              <w:t xml:space="preserve">Svalové kŕče </w:t>
            </w:r>
          </w:p>
          <w:p w14:paraId="02037034" w14:textId="77777777" w:rsidR="00D46040" w:rsidRPr="0082566E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58F42F30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8 (2%)</w:t>
            </w:r>
          </w:p>
        </w:tc>
        <w:tc>
          <w:tcPr>
            <w:tcW w:w="1194" w:type="dxa"/>
          </w:tcPr>
          <w:p w14:paraId="2AC33C67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1EF0FE7B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73F01150" w14:textId="77777777" w:rsidTr="007E2214">
        <w:tc>
          <w:tcPr>
            <w:tcW w:w="1940" w:type="dxa"/>
            <w:vMerge/>
            <w:vAlign w:val="center"/>
          </w:tcPr>
          <w:p w14:paraId="507038EF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7C44F83F" w14:textId="77777777" w:rsidR="00483D85" w:rsidRDefault="00483D85" w:rsidP="00483D85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7CF47767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995A79F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 xml:space="preserve">Artralgia </w:t>
            </w:r>
          </w:p>
          <w:p w14:paraId="0D4C6CAF" w14:textId="77777777" w:rsidR="00D46040" w:rsidRPr="0082566E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47F23AF5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32CCAA7D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0B53CF2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717C3505" w14:textId="77777777" w:rsidTr="007E2214">
        <w:tc>
          <w:tcPr>
            <w:tcW w:w="1940" w:type="dxa"/>
            <w:vAlign w:val="center"/>
          </w:tcPr>
          <w:p w14:paraId="5BD51E93" w14:textId="77777777" w:rsidR="00D46040" w:rsidRPr="00650FC6" w:rsidRDefault="00E70233" w:rsidP="00E7023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Poruchy obličiek a močových ciest </w:t>
            </w:r>
          </w:p>
        </w:tc>
        <w:tc>
          <w:tcPr>
            <w:tcW w:w="1267" w:type="dxa"/>
          </w:tcPr>
          <w:p w14:paraId="1A02D8A1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7A3D4930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1C2DB931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 xml:space="preserve">Proteinúria </w:t>
            </w:r>
          </w:p>
          <w:p w14:paraId="21263EEE" w14:textId="77777777" w:rsidR="00D46040" w:rsidRPr="0082566E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5348F7CB" w14:textId="77777777" w:rsidR="00D46040" w:rsidRPr="0082566E" w:rsidRDefault="00D46040" w:rsidP="00D46040">
            <w:pPr>
              <w:ind w:right="-72"/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3156FD97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14B5156" w14:textId="77777777" w:rsidR="00D46040" w:rsidRPr="0082566E" w:rsidRDefault="00D46040" w:rsidP="00D46040">
            <w:pPr>
              <w:rPr>
                <w:sz w:val="22"/>
                <w:szCs w:val="22"/>
              </w:rPr>
            </w:pPr>
            <w:r w:rsidRPr="0082566E">
              <w:rPr>
                <w:sz w:val="22"/>
                <w:szCs w:val="22"/>
              </w:rPr>
              <w:t>0</w:t>
            </w:r>
          </w:p>
        </w:tc>
      </w:tr>
      <w:tr w:rsidR="00E70233" w14:paraId="680F6F31" w14:textId="77777777" w:rsidTr="007E2214">
        <w:trPr>
          <w:trHeight w:val="353"/>
        </w:trPr>
        <w:tc>
          <w:tcPr>
            <w:tcW w:w="1940" w:type="dxa"/>
            <w:vMerge w:val="restart"/>
            <w:vAlign w:val="center"/>
          </w:tcPr>
          <w:p w14:paraId="450AE67E" w14:textId="77777777" w:rsidR="00D46040" w:rsidRPr="00650FC6" w:rsidRDefault="00E70233" w:rsidP="00E70233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Poruchy reprodukčného systému a prsníkov </w:t>
            </w:r>
          </w:p>
        </w:tc>
        <w:tc>
          <w:tcPr>
            <w:tcW w:w="1267" w:type="dxa"/>
            <w:vMerge w:val="restart"/>
          </w:tcPr>
          <w:p w14:paraId="4E395C58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09987D61" w14:textId="77777777" w:rsidR="00D46040" w:rsidRPr="00AB0537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3A0EAACF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Vaginálne krvácanie </w:t>
            </w:r>
          </w:p>
        </w:tc>
        <w:tc>
          <w:tcPr>
            <w:tcW w:w="1194" w:type="dxa"/>
          </w:tcPr>
          <w:p w14:paraId="5FBBA65B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3 (&lt;1%)</w:t>
            </w:r>
          </w:p>
        </w:tc>
        <w:tc>
          <w:tcPr>
            <w:tcW w:w="1194" w:type="dxa"/>
          </w:tcPr>
          <w:p w14:paraId="3CE9E51F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407BDF6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E70233" w14:paraId="58B745AD" w14:textId="77777777" w:rsidTr="007E2214">
        <w:tc>
          <w:tcPr>
            <w:tcW w:w="1940" w:type="dxa"/>
            <w:vMerge/>
            <w:vAlign w:val="center"/>
          </w:tcPr>
          <w:p w14:paraId="33298923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5B7ED17D" w14:textId="77777777" w:rsidR="00D46040" w:rsidRPr="00AB0537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2B379715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Menorágia </w:t>
            </w:r>
          </w:p>
        </w:tc>
        <w:tc>
          <w:tcPr>
            <w:tcW w:w="1194" w:type="dxa"/>
          </w:tcPr>
          <w:p w14:paraId="0EABBEF9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6DCA0EBA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BA3DF37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E70233" w:rsidRPr="00AB0537" w14:paraId="5A1A2453" w14:textId="77777777" w:rsidTr="007E2214">
        <w:tc>
          <w:tcPr>
            <w:tcW w:w="1940" w:type="dxa"/>
            <w:vMerge w:val="restart"/>
            <w:vAlign w:val="center"/>
          </w:tcPr>
          <w:p w14:paraId="09F8F211" w14:textId="77777777" w:rsidR="00E70233" w:rsidRDefault="00E70233" w:rsidP="00E7023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Celkové poruchy a reakcie v mieste podania </w:t>
            </w:r>
          </w:p>
          <w:p w14:paraId="2E6B1F17" w14:textId="77777777" w:rsidR="00D46040" w:rsidRPr="00876098" w:rsidRDefault="00D46040" w:rsidP="00D46040">
            <w:pPr>
              <w:ind w:right="-108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67" w:type="dxa"/>
          </w:tcPr>
          <w:p w14:paraId="5E946F93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 xml:space="preserve">Veľmi časté </w:t>
            </w:r>
          </w:p>
          <w:p w14:paraId="7F893968" w14:textId="77777777" w:rsidR="00D46040" w:rsidRPr="00AB0537" w:rsidRDefault="00D46040" w:rsidP="00D46040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</w:tcPr>
          <w:p w14:paraId="4E6C5745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 xml:space="preserve">Únava </w:t>
            </w:r>
          </w:p>
          <w:p w14:paraId="2D5CE216" w14:textId="77777777" w:rsidR="00D46040" w:rsidRPr="00AB0537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5F5A2EAC" w14:textId="77777777" w:rsidR="00D46040" w:rsidRPr="00AB0537" w:rsidRDefault="00D46040" w:rsidP="00D46040">
            <w:pPr>
              <w:ind w:left="-32"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178 (47%)</w:t>
            </w:r>
          </w:p>
        </w:tc>
        <w:tc>
          <w:tcPr>
            <w:tcW w:w="1194" w:type="dxa"/>
          </w:tcPr>
          <w:p w14:paraId="21BD5DAB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34 (9%)</w:t>
            </w:r>
          </w:p>
        </w:tc>
        <w:tc>
          <w:tcPr>
            <w:tcW w:w="1194" w:type="dxa"/>
          </w:tcPr>
          <w:p w14:paraId="78BF3326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 (&lt;1%)</w:t>
            </w:r>
          </w:p>
        </w:tc>
      </w:tr>
      <w:tr w:rsidR="00E70233" w:rsidRPr="00AB0537" w14:paraId="3D82A54C" w14:textId="77777777" w:rsidTr="007E2214">
        <w:tc>
          <w:tcPr>
            <w:tcW w:w="1940" w:type="dxa"/>
            <w:vMerge/>
            <w:vAlign w:val="center"/>
          </w:tcPr>
          <w:p w14:paraId="37F0772B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1F187F7E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09DFDA92" w14:textId="77777777" w:rsidR="00D46040" w:rsidRPr="00AB0537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6BD0C5B0" w14:textId="77777777" w:rsidR="00D46040" w:rsidRPr="00AB0537" w:rsidRDefault="00E70233" w:rsidP="00D46040">
            <w:pPr>
              <w:ind w:right="-108"/>
              <w:rPr>
                <w:sz w:val="22"/>
                <w:szCs w:val="22"/>
              </w:rPr>
            </w:pPr>
            <w:r w:rsidRPr="00E70233">
              <w:rPr>
                <w:sz w:val="22"/>
                <w:szCs w:val="22"/>
              </w:rPr>
              <w:t>Edém</w:t>
            </w:r>
            <w:r w:rsidRPr="00E70233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194" w:type="dxa"/>
          </w:tcPr>
          <w:p w14:paraId="433CE90C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18 (5%)</w:t>
            </w:r>
          </w:p>
        </w:tc>
        <w:tc>
          <w:tcPr>
            <w:tcW w:w="1194" w:type="dxa"/>
          </w:tcPr>
          <w:p w14:paraId="12C551CC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36DFA9D2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E70233" w:rsidRPr="00AB0537" w14:paraId="4D199E6A" w14:textId="77777777" w:rsidTr="007E2214">
        <w:tc>
          <w:tcPr>
            <w:tcW w:w="1940" w:type="dxa"/>
            <w:vMerge/>
            <w:vAlign w:val="center"/>
          </w:tcPr>
          <w:p w14:paraId="580C1D70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3D240CE" w14:textId="77777777" w:rsidR="00D46040" w:rsidRPr="00AB0537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140D06FD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Bolesť na hrudníku</w:t>
            </w:r>
          </w:p>
        </w:tc>
        <w:tc>
          <w:tcPr>
            <w:tcW w:w="1194" w:type="dxa"/>
          </w:tcPr>
          <w:p w14:paraId="52D1DDD1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12 (3%)</w:t>
            </w:r>
          </w:p>
        </w:tc>
        <w:tc>
          <w:tcPr>
            <w:tcW w:w="1194" w:type="dxa"/>
          </w:tcPr>
          <w:p w14:paraId="583786D2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653C15B5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E70233" w14:paraId="2BDE36F4" w14:textId="77777777" w:rsidTr="007E2214">
        <w:tc>
          <w:tcPr>
            <w:tcW w:w="1940" w:type="dxa"/>
            <w:vMerge/>
            <w:vAlign w:val="center"/>
          </w:tcPr>
          <w:p w14:paraId="6ADF244B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0D803EA5" w14:textId="77777777" w:rsidR="00D46040" w:rsidRPr="00AB0537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BEFFAEA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Triaška</w:t>
            </w:r>
          </w:p>
        </w:tc>
        <w:tc>
          <w:tcPr>
            <w:tcW w:w="1194" w:type="dxa"/>
          </w:tcPr>
          <w:p w14:paraId="1079949D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10 (3%)</w:t>
            </w:r>
          </w:p>
        </w:tc>
        <w:tc>
          <w:tcPr>
            <w:tcW w:w="1194" w:type="dxa"/>
          </w:tcPr>
          <w:p w14:paraId="234707F4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7708E8F7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E70233" w14:paraId="14E7FB90" w14:textId="77777777" w:rsidTr="007E2214">
        <w:tc>
          <w:tcPr>
            <w:tcW w:w="1940" w:type="dxa"/>
            <w:vMerge/>
            <w:vAlign w:val="center"/>
          </w:tcPr>
          <w:p w14:paraId="06EF05C9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1ABDAD04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79A32062" w14:textId="77777777" w:rsidR="00D46040" w:rsidRPr="00AB0537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21E36B5" w14:textId="77777777" w:rsidR="00D46040" w:rsidRPr="00AB0537" w:rsidRDefault="00E70233" w:rsidP="00D46040">
            <w:pPr>
              <w:ind w:right="-108"/>
              <w:rPr>
                <w:sz w:val="22"/>
                <w:szCs w:val="22"/>
              </w:rPr>
            </w:pPr>
            <w:r w:rsidRPr="00E70233">
              <w:rPr>
                <w:sz w:val="22"/>
                <w:szCs w:val="22"/>
              </w:rPr>
              <w:t>Zápal slizníc</w:t>
            </w:r>
            <w:r w:rsidRPr="00E70233">
              <w:rPr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1194" w:type="dxa"/>
          </w:tcPr>
          <w:p w14:paraId="5C256ED5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2319BA40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2D0ADDB4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E70233" w14:paraId="59C77A88" w14:textId="77777777" w:rsidTr="007E2214">
        <w:tc>
          <w:tcPr>
            <w:tcW w:w="1940" w:type="dxa"/>
            <w:vMerge/>
            <w:vAlign w:val="center"/>
          </w:tcPr>
          <w:p w14:paraId="22AA8D7E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0402EDDF" w14:textId="77777777" w:rsidR="00D46040" w:rsidRPr="00AB0537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F6C4858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Asténia </w:t>
            </w:r>
          </w:p>
        </w:tc>
        <w:tc>
          <w:tcPr>
            <w:tcW w:w="1194" w:type="dxa"/>
          </w:tcPr>
          <w:p w14:paraId="78204AFB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09E9787F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5CC0569C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E70233" w14:paraId="6CA799F2" w14:textId="77777777" w:rsidTr="007E2214">
        <w:tc>
          <w:tcPr>
            <w:tcW w:w="1940" w:type="dxa"/>
            <w:vMerge w:val="restart"/>
            <w:vAlign w:val="center"/>
          </w:tcPr>
          <w:p w14:paraId="54B4A7C5" w14:textId="77777777" w:rsidR="00D46040" w:rsidRPr="00650FC6" w:rsidRDefault="00E70233" w:rsidP="00D46040">
            <w:pPr>
              <w:ind w:right="-108"/>
              <w:rPr>
                <w:b/>
                <w:sz w:val="22"/>
                <w:szCs w:val="22"/>
              </w:rPr>
            </w:pPr>
            <w:r w:rsidRPr="00E70233">
              <w:rPr>
                <w:b/>
                <w:sz w:val="22"/>
                <w:szCs w:val="22"/>
              </w:rPr>
              <w:t>Laboratórne a funkčné vyšetrenia</w:t>
            </w:r>
            <w:r w:rsidRPr="00E70233">
              <w:rPr>
                <w:b/>
                <w:sz w:val="22"/>
                <w:szCs w:val="22"/>
                <w:vertAlign w:val="superscript"/>
              </w:rPr>
              <w:t>h</w:t>
            </w:r>
          </w:p>
        </w:tc>
        <w:tc>
          <w:tcPr>
            <w:tcW w:w="1267" w:type="dxa"/>
          </w:tcPr>
          <w:p w14:paraId="31950DC7" w14:textId="77777777" w:rsidR="00D46040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2273" w:type="dxa"/>
          </w:tcPr>
          <w:p w14:paraId="3E3E63A2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Zníženie telesnej hmotnosti </w:t>
            </w:r>
          </w:p>
        </w:tc>
        <w:tc>
          <w:tcPr>
            <w:tcW w:w="1194" w:type="dxa"/>
          </w:tcPr>
          <w:p w14:paraId="7A811D9B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86 (23%)</w:t>
            </w:r>
          </w:p>
        </w:tc>
        <w:tc>
          <w:tcPr>
            <w:tcW w:w="1194" w:type="dxa"/>
          </w:tcPr>
          <w:p w14:paraId="4659C8C1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5 (1%)</w:t>
            </w:r>
          </w:p>
        </w:tc>
        <w:tc>
          <w:tcPr>
            <w:tcW w:w="1194" w:type="dxa"/>
          </w:tcPr>
          <w:p w14:paraId="7D778148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E70233" w14:paraId="4CD3E8E8" w14:textId="77777777" w:rsidTr="007E2214">
        <w:tc>
          <w:tcPr>
            <w:tcW w:w="1940" w:type="dxa"/>
            <w:vMerge/>
            <w:vAlign w:val="center"/>
          </w:tcPr>
          <w:p w14:paraId="74C9BD3D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7A6DD5C0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 xml:space="preserve">Časté </w:t>
            </w:r>
          </w:p>
          <w:p w14:paraId="62AE2C0C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EDCA798" w14:textId="77777777" w:rsidR="00D46040" w:rsidRPr="00AB0537" w:rsidRDefault="00E70233" w:rsidP="00D46040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E70233">
              <w:rPr>
                <w:sz w:val="22"/>
                <w:szCs w:val="22"/>
                <w:lang w:val="en-US"/>
              </w:rPr>
              <w:t>Abnormálne</w:t>
            </w:r>
            <w:proofErr w:type="spellEnd"/>
            <w:r w:rsidRPr="00E70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70233">
              <w:rPr>
                <w:sz w:val="22"/>
                <w:szCs w:val="22"/>
                <w:lang w:val="en-US"/>
              </w:rPr>
              <w:t>výsledky</w:t>
            </w:r>
            <w:proofErr w:type="spellEnd"/>
            <w:r w:rsidRPr="00E70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70233">
              <w:rPr>
                <w:sz w:val="22"/>
                <w:szCs w:val="22"/>
                <w:lang w:val="en-US"/>
              </w:rPr>
              <w:t>vyšetrenia</w:t>
            </w:r>
            <w:proofErr w:type="spellEnd"/>
            <w:r w:rsidRPr="00E7023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70233">
              <w:rPr>
                <w:sz w:val="22"/>
                <w:szCs w:val="22"/>
                <w:lang w:val="en-US"/>
              </w:rPr>
              <w:t>ucha</w:t>
            </w:r>
            <w:proofErr w:type="spellEnd"/>
            <w:r w:rsidRPr="00E7023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70233">
              <w:rPr>
                <w:sz w:val="22"/>
                <w:szCs w:val="22"/>
                <w:lang w:val="en-US"/>
              </w:rPr>
              <w:t>nosa</w:t>
            </w:r>
            <w:proofErr w:type="spellEnd"/>
            <w:r w:rsidRPr="00E70233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70233">
              <w:rPr>
                <w:sz w:val="22"/>
                <w:szCs w:val="22"/>
                <w:lang w:val="en-US"/>
              </w:rPr>
              <w:t>hrdla</w:t>
            </w:r>
            <w:r w:rsidRPr="00E70233">
              <w:rPr>
                <w:sz w:val="22"/>
                <w:szCs w:val="22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1194" w:type="dxa"/>
          </w:tcPr>
          <w:p w14:paraId="021646E4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29 (8%)</w:t>
            </w:r>
          </w:p>
        </w:tc>
        <w:tc>
          <w:tcPr>
            <w:tcW w:w="1194" w:type="dxa"/>
          </w:tcPr>
          <w:p w14:paraId="2BAA560C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40B3CD33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E70233" w14:paraId="1BB56790" w14:textId="77777777" w:rsidTr="007E2214">
        <w:tc>
          <w:tcPr>
            <w:tcW w:w="1940" w:type="dxa"/>
            <w:vMerge/>
            <w:vAlign w:val="center"/>
          </w:tcPr>
          <w:p w14:paraId="789ADBC7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7EE56C7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3D84094D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>Zvýšená hladina alanínamino</w:t>
            </w:r>
            <w:r>
              <w:rPr>
                <w:sz w:val="22"/>
                <w:szCs w:val="22"/>
                <w:lang w:val="sk-SK"/>
              </w:rPr>
              <w:t>-</w:t>
            </w:r>
            <w:r>
              <w:rPr>
                <w:sz w:val="22"/>
                <w:szCs w:val="22"/>
              </w:rPr>
              <w:t xml:space="preserve">transferázy </w:t>
            </w:r>
          </w:p>
          <w:p w14:paraId="0D65B63A" w14:textId="77777777" w:rsidR="00D46040" w:rsidRPr="00AB0537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120C8E17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8 (2%)</w:t>
            </w:r>
          </w:p>
        </w:tc>
        <w:tc>
          <w:tcPr>
            <w:tcW w:w="1194" w:type="dxa"/>
          </w:tcPr>
          <w:p w14:paraId="06B3B29E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36D81BF5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2 (&lt;1%)</w:t>
            </w:r>
          </w:p>
        </w:tc>
      </w:tr>
      <w:tr w:rsidR="00E70233" w14:paraId="4FB34534" w14:textId="77777777" w:rsidTr="007E2214">
        <w:tc>
          <w:tcPr>
            <w:tcW w:w="1940" w:type="dxa"/>
            <w:vMerge/>
            <w:vAlign w:val="center"/>
          </w:tcPr>
          <w:p w14:paraId="1952C5D3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177BE035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6551FB5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Abnormálna hladina cholesterolu v krvi </w:t>
            </w:r>
          </w:p>
        </w:tc>
        <w:tc>
          <w:tcPr>
            <w:tcW w:w="1194" w:type="dxa"/>
          </w:tcPr>
          <w:p w14:paraId="0AAE1D0D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6 (2%)</w:t>
            </w:r>
          </w:p>
        </w:tc>
        <w:tc>
          <w:tcPr>
            <w:tcW w:w="1194" w:type="dxa"/>
          </w:tcPr>
          <w:p w14:paraId="549D3B56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2EFA3440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E70233" w14:paraId="3AB3777C" w14:textId="77777777" w:rsidTr="007E2214">
        <w:tc>
          <w:tcPr>
            <w:tcW w:w="1940" w:type="dxa"/>
            <w:vMerge/>
            <w:vAlign w:val="center"/>
          </w:tcPr>
          <w:p w14:paraId="2B72C072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6C4DA61C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79EA720F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Zvýšená hladina aspartátamino</w:t>
            </w:r>
            <w:r>
              <w:rPr>
                <w:sz w:val="22"/>
                <w:szCs w:val="22"/>
                <w:lang w:val="sk-SK"/>
              </w:rPr>
              <w:t>-</w:t>
            </w:r>
            <w:r>
              <w:rPr>
                <w:sz w:val="22"/>
                <w:szCs w:val="22"/>
              </w:rPr>
              <w:t xml:space="preserve">transferázy </w:t>
            </w:r>
          </w:p>
        </w:tc>
        <w:tc>
          <w:tcPr>
            <w:tcW w:w="1194" w:type="dxa"/>
          </w:tcPr>
          <w:p w14:paraId="3226AD40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5 (1%)</w:t>
            </w:r>
          </w:p>
        </w:tc>
        <w:tc>
          <w:tcPr>
            <w:tcW w:w="1194" w:type="dxa"/>
          </w:tcPr>
          <w:p w14:paraId="10D13736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453FC69E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2 (&lt;1%)</w:t>
            </w:r>
          </w:p>
        </w:tc>
      </w:tr>
      <w:tr w:rsidR="00E70233" w14:paraId="3CFE46B6" w14:textId="77777777" w:rsidTr="007E2214">
        <w:tc>
          <w:tcPr>
            <w:tcW w:w="1940" w:type="dxa"/>
            <w:vMerge/>
            <w:vAlign w:val="center"/>
          </w:tcPr>
          <w:p w14:paraId="11FBB2F5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000D0B7E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F7E93E1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>Zvýšená hladina gamaglutamyl</w:t>
            </w:r>
            <w:r>
              <w:rPr>
                <w:sz w:val="22"/>
                <w:szCs w:val="22"/>
                <w:lang w:val="sk-SK"/>
              </w:rPr>
              <w:t>-</w:t>
            </w:r>
            <w:r>
              <w:rPr>
                <w:sz w:val="22"/>
                <w:szCs w:val="22"/>
              </w:rPr>
              <w:t xml:space="preserve">transferázy </w:t>
            </w:r>
          </w:p>
          <w:p w14:paraId="05FBCD93" w14:textId="77777777" w:rsidR="00D46040" w:rsidRPr="00AB0537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280A2F54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4 (1%)</w:t>
            </w:r>
          </w:p>
        </w:tc>
        <w:tc>
          <w:tcPr>
            <w:tcW w:w="1194" w:type="dxa"/>
          </w:tcPr>
          <w:p w14:paraId="29C67045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3CCDC4A8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3 (&lt;1%)</w:t>
            </w:r>
          </w:p>
        </w:tc>
      </w:tr>
      <w:tr w:rsidR="00E70233" w14:paraId="4280F42E" w14:textId="77777777" w:rsidTr="007E2214">
        <w:tc>
          <w:tcPr>
            <w:tcW w:w="1940" w:type="dxa"/>
            <w:vMerge/>
            <w:vAlign w:val="center"/>
          </w:tcPr>
          <w:p w14:paraId="01EB7A41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</w:tcPr>
          <w:p w14:paraId="41BDC3B0" w14:textId="77777777" w:rsidR="00E70233" w:rsidRDefault="00E70233" w:rsidP="00E70233">
            <w:pPr>
              <w:pStyle w:val="Default"/>
            </w:pPr>
            <w:r>
              <w:rPr>
                <w:sz w:val="22"/>
                <w:szCs w:val="22"/>
              </w:rPr>
              <w:t xml:space="preserve">Menej časté </w:t>
            </w:r>
          </w:p>
          <w:p w14:paraId="280919FF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0371B11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Zvýšená hladina bilirubínu v krvi </w:t>
            </w:r>
          </w:p>
        </w:tc>
        <w:tc>
          <w:tcPr>
            <w:tcW w:w="1194" w:type="dxa"/>
          </w:tcPr>
          <w:p w14:paraId="5D15FCF8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2F968CDD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3DA6C92F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E70233" w14:paraId="3118FDF0" w14:textId="77777777" w:rsidTr="007E2214">
        <w:tc>
          <w:tcPr>
            <w:tcW w:w="1940" w:type="dxa"/>
            <w:vMerge/>
            <w:vAlign w:val="center"/>
          </w:tcPr>
          <w:p w14:paraId="682455F6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5502A29F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612588F3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Zvýšená hladina aspartátamino</w:t>
            </w:r>
            <w:r>
              <w:rPr>
                <w:sz w:val="22"/>
                <w:szCs w:val="22"/>
                <w:lang w:val="sk-SK"/>
              </w:rPr>
              <w:t>-</w:t>
            </w:r>
            <w:r>
              <w:rPr>
                <w:sz w:val="22"/>
                <w:szCs w:val="22"/>
              </w:rPr>
              <w:t xml:space="preserve">transferázy </w:t>
            </w:r>
          </w:p>
        </w:tc>
        <w:tc>
          <w:tcPr>
            <w:tcW w:w="1194" w:type="dxa"/>
          </w:tcPr>
          <w:p w14:paraId="7803AE49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404228D2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4524D555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2 (&lt;1%)</w:t>
            </w:r>
          </w:p>
        </w:tc>
      </w:tr>
      <w:tr w:rsidR="00E70233" w:rsidRPr="00AB0537" w14:paraId="1005FB84" w14:textId="77777777" w:rsidTr="007E2214">
        <w:tc>
          <w:tcPr>
            <w:tcW w:w="1940" w:type="dxa"/>
            <w:vMerge/>
            <w:vAlign w:val="center"/>
          </w:tcPr>
          <w:p w14:paraId="26D2B4C9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7C6E3944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2B97D306" w14:textId="77777777" w:rsidR="00E70233" w:rsidRDefault="00E70233" w:rsidP="00E70233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Zvýšená hladina alanínamino</w:t>
            </w:r>
            <w:r>
              <w:rPr>
                <w:sz w:val="22"/>
                <w:szCs w:val="22"/>
                <w:lang w:val="sk-SK"/>
              </w:rPr>
              <w:t>-</w:t>
            </w:r>
          </w:p>
          <w:p w14:paraId="7A87679D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transferázy </w:t>
            </w:r>
          </w:p>
        </w:tc>
        <w:tc>
          <w:tcPr>
            <w:tcW w:w="1194" w:type="dxa"/>
          </w:tcPr>
          <w:p w14:paraId="379EFB74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69217013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42D56810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 (&lt;1%)</w:t>
            </w:r>
          </w:p>
        </w:tc>
      </w:tr>
      <w:tr w:rsidR="00E70233" w:rsidRPr="00AB0537" w14:paraId="195FE991" w14:textId="77777777" w:rsidTr="007E2214">
        <w:tc>
          <w:tcPr>
            <w:tcW w:w="1940" w:type="dxa"/>
            <w:vMerge/>
            <w:vAlign w:val="center"/>
          </w:tcPr>
          <w:p w14:paraId="508EB84A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0E40D7B6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68A01903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Znížený počet krvných doštičiek </w:t>
            </w:r>
          </w:p>
        </w:tc>
        <w:tc>
          <w:tcPr>
            <w:tcW w:w="1194" w:type="dxa"/>
          </w:tcPr>
          <w:p w14:paraId="60EC7542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6A5B57C4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14:paraId="4D42DE88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 (&lt;1%)</w:t>
            </w:r>
          </w:p>
        </w:tc>
      </w:tr>
      <w:tr w:rsidR="00E70233" w:rsidRPr="00AB0537" w14:paraId="479EF2E9" w14:textId="77777777" w:rsidTr="007E2214">
        <w:tc>
          <w:tcPr>
            <w:tcW w:w="1940" w:type="dxa"/>
            <w:vMerge/>
            <w:vAlign w:val="center"/>
          </w:tcPr>
          <w:p w14:paraId="0F901135" w14:textId="77777777" w:rsidR="00D46040" w:rsidRPr="00650FC6" w:rsidRDefault="00D46040" w:rsidP="00D46040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24F0D434" w14:textId="77777777" w:rsidR="00D46040" w:rsidRDefault="00D46040" w:rsidP="00D4604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4609A056" w14:textId="77777777" w:rsidR="00D46040" w:rsidRPr="00AB0537" w:rsidRDefault="00E70233" w:rsidP="00E702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Predĺženie QT intervalu na elektrokardiograme </w:t>
            </w:r>
          </w:p>
        </w:tc>
        <w:tc>
          <w:tcPr>
            <w:tcW w:w="1194" w:type="dxa"/>
          </w:tcPr>
          <w:p w14:paraId="7A58EE16" w14:textId="77777777" w:rsidR="00D46040" w:rsidRPr="00AB0537" w:rsidRDefault="00D46040" w:rsidP="00D46040">
            <w:pPr>
              <w:ind w:right="-72"/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2 (&lt;1%)</w:t>
            </w:r>
          </w:p>
        </w:tc>
        <w:tc>
          <w:tcPr>
            <w:tcW w:w="1194" w:type="dxa"/>
          </w:tcPr>
          <w:p w14:paraId="40B2C2F2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1 (&lt;1%)</w:t>
            </w:r>
          </w:p>
        </w:tc>
        <w:tc>
          <w:tcPr>
            <w:tcW w:w="1194" w:type="dxa"/>
          </w:tcPr>
          <w:p w14:paraId="24ED889F" w14:textId="77777777" w:rsidR="00D46040" w:rsidRPr="00AB0537" w:rsidRDefault="00D46040" w:rsidP="00D46040">
            <w:pPr>
              <w:rPr>
                <w:sz w:val="22"/>
                <w:szCs w:val="22"/>
              </w:rPr>
            </w:pPr>
            <w:r w:rsidRPr="00AB0537">
              <w:rPr>
                <w:sz w:val="22"/>
                <w:szCs w:val="22"/>
              </w:rPr>
              <w:t>0</w:t>
            </w:r>
          </w:p>
        </w:tc>
      </w:tr>
      <w:tr w:rsidR="00D46040" w:rsidRPr="00AB0537" w14:paraId="37E8730D" w14:textId="77777777" w:rsidTr="00E70233">
        <w:tc>
          <w:tcPr>
            <w:tcW w:w="9062" w:type="dxa"/>
            <w:gridSpan w:val="6"/>
            <w:vAlign w:val="center"/>
          </w:tcPr>
          <w:p w14:paraId="37D9A27F" w14:textId="77777777" w:rsidR="00E70233" w:rsidRDefault="00E70233" w:rsidP="00E702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† Nežiaduce reakcie súvisiace s liečbou hlásené počas obdobia po uvedení lieku na trh (spontánne hlásenia </w:t>
            </w:r>
          </w:p>
          <w:p w14:paraId="333BB169" w14:textId="77777777" w:rsidR="00E70233" w:rsidRDefault="00E70233" w:rsidP="00E70233">
            <w:pPr>
              <w:ind w:left="102"/>
            </w:pPr>
            <w:r>
              <w:t xml:space="preserve">prípadov a závažné nežiaduce reakcie zo všetkých klinických skúšaní s pazopanibom). </w:t>
            </w:r>
          </w:p>
          <w:p w14:paraId="0E406395" w14:textId="77777777" w:rsidR="00695499" w:rsidRDefault="00695499" w:rsidP="00531CFF">
            <w:pPr>
              <w:rPr>
                <w:spacing w:val="3"/>
                <w:lang w:val="sk-SK"/>
              </w:rPr>
            </w:pPr>
            <w:r w:rsidRPr="00695499">
              <w:rPr>
                <w:spacing w:val="3"/>
              </w:rPr>
              <w:t xml:space="preserve">* Nežiaduce reakcie súvisiace s liečbou hlásené iba počas obdobia po uvedení lieku na trh. Frekvenciu </w:t>
            </w:r>
            <w:r>
              <w:rPr>
                <w:spacing w:val="3"/>
                <w:lang w:val="sk-SK"/>
              </w:rPr>
              <w:t xml:space="preserve"> </w:t>
            </w:r>
          </w:p>
          <w:p w14:paraId="57390AE4" w14:textId="410B9682" w:rsidR="00695499" w:rsidRPr="00695499" w:rsidRDefault="00695499" w:rsidP="00695499">
            <w:pPr>
              <w:rPr>
                <w:spacing w:val="3"/>
              </w:rPr>
            </w:pPr>
            <w:r>
              <w:rPr>
                <w:spacing w:val="3"/>
                <w:lang w:val="sk-SK"/>
              </w:rPr>
              <w:t xml:space="preserve">    </w:t>
            </w:r>
            <w:r w:rsidRPr="00695499">
              <w:rPr>
                <w:spacing w:val="3"/>
              </w:rPr>
              <w:t>nemožno odhadnúť z dostupných údajov.</w:t>
            </w:r>
          </w:p>
          <w:p w14:paraId="4263BCC5" w14:textId="77777777" w:rsidR="00695499" w:rsidRPr="00695499" w:rsidRDefault="00695499" w:rsidP="00695499">
            <w:pPr>
              <w:ind w:left="102"/>
              <w:rPr>
                <w:spacing w:val="3"/>
              </w:rPr>
            </w:pPr>
            <w:r w:rsidRPr="00695499">
              <w:rPr>
                <w:spacing w:val="3"/>
              </w:rPr>
              <w:t>Boli skombinované nasledujúce termíny:</w:t>
            </w:r>
          </w:p>
          <w:p w14:paraId="074DB9A5" w14:textId="77777777" w:rsidR="00695499" w:rsidRPr="00695499" w:rsidRDefault="00695499" w:rsidP="00695499">
            <w:pPr>
              <w:ind w:left="102"/>
              <w:rPr>
                <w:spacing w:val="3"/>
              </w:rPr>
            </w:pPr>
            <w:r w:rsidRPr="00695499">
              <w:rPr>
                <w:spacing w:val="3"/>
                <w:vertAlign w:val="superscript"/>
              </w:rPr>
              <w:t>a</w:t>
            </w:r>
            <w:r w:rsidRPr="00695499">
              <w:rPr>
                <w:spacing w:val="3"/>
              </w:rPr>
              <w:t xml:space="preserve"> Bolesť brucha, bolesť v hornej časti brucha a gastrointestinálna bolesť</w:t>
            </w:r>
          </w:p>
          <w:p w14:paraId="4BD7ADE1" w14:textId="77777777" w:rsidR="00695499" w:rsidRPr="00695499" w:rsidRDefault="00695499" w:rsidP="00695499">
            <w:pPr>
              <w:ind w:left="102"/>
              <w:rPr>
                <w:spacing w:val="3"/>
              </w:rPr>
            </w:pPr>
            <w:r w:rsidRPr="00695499">
              <w:rPr>
                <w:spacing w:val="3"/>
                <w:vertAlign w:val="superscript"/>
              </w:rPr>
              <w:t>b</w:t>
            </w:r>
            <w:r w:rsidRPr="00695499">
              <w:rPr>
                <w:spacing w:val="3"/>
              </w:rPr>
              <w:t xml:space="preserve"> Edém, periférny edém a edém očných viečok</w:t>
            </w:r>
          </w:p>
          <w:p w14:paraId="2C3680C2" w14:textId="77777777" w:rsidR="00695499" w:rsidRPr="00695499" w:rsidRDefault="00695499" w:rsidP="00695499">
            <w:pPr>
              <w:ind w:left="102"/>
              <w:rPr>
                <w:spacing w:val="3"/>
              </w:rPr>
            </w:pPr>
            <w:r w:rsidRPr="00695499">
              <w:rPr>
                <w:spacing w:val="3"/>
                <w:vertAlign w:val="superscript"/>
              </w:rPr>
              <w:t>c</w:t>
            </w:r>
            <w:r w:rsidRPr="00695499">
              <w:rPr>
                <w:spacing w:val="3"/>
              </w:rPr>
              <w:t xml:space="preserve"> Vo väčšine týchto prípadov išlo o syndróm palmárno-plantárnej erytrodyzestézie</w:t>
            </w:r>
          </w:p>
          <w:p w14:paraId="41F65B28" w14:textId="77777777" w:rsidR="00695499" w:rsidRPr="00695499" w:rsidRDefault="00695499" w:rsidP="00695499">
            <w:pPr>
              <w:ind w:left="102"/>
              <w:rPr>
                <w:spacing w:val="3"/>
              </w:rPr>
            </w:pPr>
            <w:r w:rsidRPr="00695499">
              <w:rPr>
                <w:spacing w:val="3"/>
                <w:vertAlign w:val="superscript"/>
              </w:rPr>
              <w:t>d</w:t>
            </w:r>
            <w:r w:rsidRPr="00695499">
              <w:rPr>
                <w:spacing w:val="3"/>
              </w:rPr>
              <w:t xml:space="preserve"> Venózne tromboembolické príhody - zahŕňajú hlbokú žilovú trombózu, pľúcnu embóliu a trombózu</w:t>
            </w:r>
          </w:p>
          <w:p w14:paraId="2313EEB7" w14:textId="77777777" w:rsidR="00695499" w:rsidRPr="00695499" w:rsidRDefault="00695499" w:rsidP="00695499">
            <w:pPr>
              <w:ind w:left="102"/>
              <w:rPr>
                <w:spacing w:val="3"/>
              </w:rPr>
            </w:pPr>
            <w:r w:rsidRPr="00695499">
              <w:rPr>
                <w:spacing w:val="3"/>
                <w:vertAlign w:val="superscript"/>
              </w:rPr>
              <w:t>e</w:t>
            </w:r>
            <w:r w:rsidRPr="00695499">
              <w:rPr>
                <w:spacing w:val="3"/>
              </w:rPr>
              <w:t xml:space="preserve"> Väčšina týchto prípadov popisuje mukozitídu</w:t>
            </w:r>
          </w:p>
          <w:p w14:paraId="4EB9AC82" w14:textId="77777777" w:rsidR="00695499" w:rsidRDefault="00695499" w:rsidP="00695499">
            <w:pPr>
              <w:ind w:left="102"/>
              <w:rPr>
                <w:spacing w:val="3"/>
                <w:lang w:val="sk-SK"/>
              </w:rPr>
            </w:pPr>
            <w:r w:rsidRPr="00695499">
              <w:rPr>
                <w:spacing w:val="3"/>
                <w:vertAlign w:val="superscript"/>
              </w:rPr>
              <w:t>f</w:t>
            </w:r>
            <w:r w:rsidRPr="00695499">
              <w:rPr>
                <w:spacing w:val="3"/>
              </w:rPr>
              <w:t xml:space="preserve"> Frekvencia výskytu je založená na tabuľkách s laboratórnymi hodnotami zo skúšania VEG110727 (N = </w:t>
            </w:r>
            <w:r>
              <w:rPr>
                <w:spacing w:val="3"/>
                <w:lang w:val="sk-SK"/>
              </w:rPr>
              <w:t xml:space="preserve"> </w:t>
            </w:r>
          </w:p>
          <w:p w14:paraId="441BE2C0" w14:textId="77777777" w:rsidR="00695499" w:rsidRPr="00695499" w:rsidRDefault="00695499" w:rsidP="00695499">
            <w:pPr>
              <w:rPr>
                <w:spacing w:val="3"/>
              </w:rPr>
            </w:pPr>
            <w:r>
              <w:rPr>
                <w:spacing w:val="3"/>
                <w:lang w:val="sk-SK"/>
              </w:rPr>
              <w:t xml:space="preserve">    </w:t>
            </w:r>
            <w:r w:rsidRPr="00695499">
              <w:rPr>
                <w:spacing w:val="3"/>
              </w:rPr>
              <w:t>240).</w:t>
            </w:r>
          </w:p>
          <w:p w14:paraId="7CD6AC53" w14:textId="77777777" w:rsidR="00695499" w:rsidRDefault="00695499" w:rsidP="00695499">
            <w:pPr>
              <w:rPr>
                <w:spacing w:val="3"/>
              </w:rPr>
            </w:pPr>
            <w:r>
              <w:rPr>
                <w:spacing w:val="3"/>
              </w:rPr>
              <w:t xml:space="preserve">    </w:t>
            </w:r>
            <w:r w:rsidRPr="00695499">
              <w:rPr>
                <w:spacing w:val="3"/>
              </w:rPr>
              <w:t xml:space="preserve">Tieto boli skúšajúcimi lekármi hlásené ako nežiaduce udalosti menej často ako sa udáva v tabuľkách s </w:t>
            </w:r>
          </w:p>
          <w:p w14:paraId="529DDE6B" w14:textId="77777777" w:rsidR="00695499" w:rsidRPr="00695499" w:rsidRDefault="00695499" w:rsidP="00695499">
            <w:pPr>
              <w:rPr>
                <w:spacing w:val="3"/>
              </w:rPr>
            </w:pPr>
            <w:r>
              <w:rPr>
                <w:spacing w:val="3"/>
              </w:rPr>
              <w:t xml:space="preserve">    </w:t>
            </w:r>
            <w:r w:rsidRPr="00695499">
              <w:rPr>
                <w:spacing w:val="3"/>
              </w:rPr>
              <w:t>laboratórnymi hodnotami.</w:t>
            </w:r>
          </w:p>
          <w:p w14:paraId="0D6A88DD" w14:textId="77777777" w:rsidR="00695499" w:rsidRDefault="00695499" w:rsidP="00695499">
            <w:pPr>
              <w:ind w:left="102"/>
              <w:rPr>
                <w:spacing w:val="3"/>
              </w:rPr>
            </w:pPr>
            <w:r w:rsidRPr="00695499">
              <w:rPr>
                <w:spacing w:val="3"/>
                <w:vertAlign w:val="superscript"/>
              </w:rPr>
              <w:t>g</w:t>
            </w:r>
            <w:r w:rsidRPr="00695499">
              <w:rPr>
                <w:spacing w:val="3"/>
              </w:rPr>
              <w:t xml:space="preserve"> Prípady srdcovej dysfunkcie - zahŕňajú dysfunkciu ľavej komory, srdcové zlyhanie a reštriktívnu </w:t>
            </w:r>
          </w:p>
          <w:p w14:paraId="4B113F88" w14:textId="77777777" w:rsidR="00695499" w:rsidRPr="00695499" w:rsidRDefault="00695499" w:rsidP="00695499">
            <w:pPr>
              <w:rPr>
                <w:spacing w:val="3"/>
              </w:rPr>
            </w:pPr>
            <w:r>
              <w:rPr>
                <w:spacing w:val="3"/>
              </w:rPr>
              <w:t xml:space="preserve">    </w:t>
            </w:r>
            <w:r w:rsidRPr="00695499">
              <w:rPr>
                <w:spacing w:val="3"/>
              </w:rPr>
              <w:t>kardiomyopatiu</w:t>
            </w:r>
          </w:p>
          <w:p w14:paraId="6FBF158D" w14:textId="77777777" w:rsidR="00695499" w:rsidRDefault="00695499" w:rsidP="00695499">
            <w:pPr>
              <w:ind w:left="102"/>
              <w:rPr>
                <w:spacing w:val="3"/>
              </w:rPr>
            </w:pPr>
            <w:r w:rsidRPr="00695499">
              <w:rPr>
                <w:spacing w:val="3"/>
                <w:vertAlign w:val="superscript"/>
              </w:rPr>
              <w:lastRenderedPageBreak/>
              <w:t>h</w:t>
            </w:r>
            <w:r w:rsidRPr="00695499">
              <w:rPr>
                <w:spacing w:val="3"/>
              </w:rPr>
              <w:t xml:space="preserve"> Frekvencia výskytu je založená na nežiaducich udalostiach hlásených skúšajúcimi lekármi. Odchýlky </w:t>
            </w:r>
          </w:p>
          <w:p w14:paraId="10AAB790" w14:textId="77777777" w:rsidR="00695499" w:rsidRDefault="00695499" w:rsidP="00695499">
            <w:pPr>
              <w:rPr>
                <w:spacing w:val="3"/>
              </w:rPr>
            </w:pPr>
            <w:r>
              <w:rPr>
                <w:spacing w:val="3"/>
              </w:rPr>
              <w:t xml:space="preserve">    </w:t>
            </w:r>
            <w:r w:rsidRPr="00695499">
              <w:rPr>
                <w:spacing w:val="3"/>
              </w:rPr>
              <w:t xml:space="preserve">laboratórnych hodnôt boli skúšajúcimi lekármi hlásené ako nežiaduce udalosti menej často ako sa </w:t>
            </w:r>
          </w:p>
          <w:p w14:paraId="0050D42D" w14:textId="77777777" w:rsidR="00D46040" w:rsidRPr="00AB0537" w:rsidRDefault="00695499" w:rsidP="00695499">
            <w:pPr>
              <w:rPr>
                <w:sz w:val="22"/>
                <w:szCs w:val="22"/>
              </w:rPr>
            </w:pPr>
            <w:r>
              <w:rPr>
                <w:spacing w:val="3"/>
              </w:rPr>
              <w:t xml:space="preserve">    </w:t>
            </w:r>
            <w:r w:rsidRPr="00695499">
              <w:rPr>
                <w:spacing w:val="3"/>
              </w:rPr>
              <w:t>udáva v tabuľkách s laboratórnymi hodnotami.</w:t>
            </w:r>
          </w:p>
        </w:tc>
      </w:tr>
    </w:tbl>
    <w:p w14:paraId="6B92961C" w14:textId="77777777" w:rsidR="007E2214" w:rsidRDefault="007E2214" w:rsidP="00531CFF">
      <w:pPr>
        <w:spacing w:after="0" w:line="240" w:lineRule="auto"/>
        <w:rPr>
          <w:rFonts w:ascii="Times New Roman" w:hAnsi="Times New Roman" w:cs="Times New Roman"/>
        </w:rPr>
      </w:pPr>
    </w:p>
    <w:p w14:paraId="719596F9" w14:textId="77777777" w:rsidR="00E65626" w:rsidRDefault="007E2214" w:rsidP="00531CF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E2214">
        <w:rPr>
          <w:rFonts w:ascii="Times New Roman" w:hAnsi="Times New Roman" w:cs="Times New Roman"/>
        </w:rPr>
        <w:t>Neutropénia</w:t>
      </w:r>
      <w:proofErr w:type="spellEnd"/>
      <w:r w:rsidRPr="007E2214">
        <w:rPr>
          <w:rFonts w:ascii="Times New Roman" w:hAnsi="Times New Roman" w:cs="Times New Roman"/>
        </w:rPr>
        <w:t xml:space="preserve">, trombocytopénia a syndróm </w:t>
      </w:r>
      <w:proofErr w:type="spellStart"/>
      <w:r w:rsidRPr="007E2214">
        <w:rPr>
          <w:rFonts w:ascii="Times New Roman" w:hAnsi="Times New Roman" w:cs="Times New Roman"/>
        </w:rPr>
        <w:t>palmárno-plantárnej</w:t>
      </w:r>
      <w:proofErr w:type="spellEnd"/>
      <w:r w:rsidRPr="007E2214">
        <w:rPr>
          <w:rFonts w:ascii="Times New Roman" w:hAnsi="Times New Roman" w:cs="Times New Roman"/>
        </w:rPr>
        <w:t xml:space="preserve"> </w:t>
      </w:r>
      <w:proofErr w:type="spellStart"/>
      <w:r w:rsidRPr="007E2214">
        <w:rPr>
          <w:rFonts w:ascii="Times New Roman" w:hAnsi="Times New Roman" w:cs="Times New Roman"/>
        </w:rPr>
        <w:t>erytrodyzestézie</w:t>
      </w:r>
      <w:proofErr w:type="spellEnd"/>
      <w:r w:rsidRPr="007E2214">
        <w:rPr>
          <w:rFonts w:ascii="Times New Roman" w:hAnsi="Times New Roman" w:cs="Times New Roman"/>
        </w:rPr>
        <w:t xml:space="preserve"> boli častejšie pozorované u pacientov východoázijského pôvodu.</w:t>
      </w:r>
    </w:p>
    <w:p w14:paraId="6D9ABB79" w14:textId="77777777" w:rsidR="00432BFB" w:rsidRDefault="00432BFB" w:rsidP="00531CFF">
      <w:pPr>
        <w:spacing w:after="0" w:line="240" w:lineRule="auto"/>
        <w:rPr>
          <w:rFonts w:ascii="Times New Roman" w:hAnsi="Times New Roman" w:cs="Times New Roman"/>
        </w:rPr>
      </w:pPr>
    </w:p>
    <w:p w14:paraId="12CDB064" w14:textId="77777777" w:rsidR="00EE2972" w:rsidRDefault="00EE2972" w:rsidP="00531CF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31CFF">
        <w:rPr>
          <w:rFonts w:ascii="Times New Roman" w:hAnsi="Times New Roman" w:cs="Times New Roman"/>
          <w:u w:val="single"/>
        </w:rPr>
        <w:t>Pediatrická populácia</w:t>
      </w:r>
    </w:p>
    <w:p w14:paraId="2E19C93E" w14:textId="77777777" w:rsidR="00432BFB" w:rsidRPr="00531CFF" w:rsidRDefault="00432BFB" w:rsidP="00531CF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7F4AF63" w14:textId="77777777" w:rsidR="00E65626" w:rsidRDefault="00EE2972" w:rsidP="00531CFF">
      <w:pPr>
        <w:spacing w:after="0" w:line="240" w:lineRule="auto"/>
        <w:rPr>
          <w:rFonts w:ascii="Times New Roman" w:hAnsi="Times New Roman" w:cs="Times New Roman"/>
        </w:rPr>
      </w:pPr>
      <w:r w:rsidRPr="00EE2972">
        <w:rPr>
          <w:rFonts w:ascii="Times New Roman" w:hAnsi="Times New Roman" w:cs="Times New Roman"/>
        </w:rPr>
        <w:t xml:space="preserve">Bezpečnostný profil u pediatrických pacientov bol podobný profilu hlásenému pri </w:t>
      </w:r>
      <w:proofErr w:type="spellStart"/>
      <w:r w:rsidRPr="00EE2972">
        <w:rPr>
          <w:rFonts w:ascii="Times New Roman" w:hAnsi="Times New Roman" w:cs="Times New Roman"/>
        </w:rPr>
        <w:t>pazopanibe</w:t>
      </w:r>
      <w:proofErr w:type="spellEnd"/>
      <w:r w:rsidRPr="00EE2972">
        <w:rPr>
          <w:rFonts w:ascii="Times New Roman" w:hAnsi="Times New Roman" w:cs="Times New Roman"/>
        </w:rPr>
        <w:t xml:space="preserve"> u dospelých v schválených indikáciách na základe údajov od 44 pediatrických pacientov zo štúdie fázy I ADVL0815 a 57 pediatrických pacientov zo štúdie fázy II PZP034X2203 (pozri časť 5.1).</w:t>
      </w:r>
    </w:p>
    <w:p w14:paraId="5F527A6A" w14:textId="77777777" w:rsidR="00432BFB" w:rsidRPr="00E65626" w:rsidRDefault="00432BFB" w:rsidP="00531CFF">
      <w:pPr>
        <w:spacing w:after="0" w:line="240" w:lineRule="auto"/>
        <w:rPr>
          <w:rFonts w:ascii="Times New Roman" w:hAnsi="Times New Roman" w:cs="Times New Roman"/>
        </w:rPr>
      </w:pPr>
    </w:p>
    <w:p w14:paraId="7470B716" w14:textId="7762F97F" w:rsidR="008A0BB5" w:rsidRPr="00E65626" w:rsidRDefault="00E65626" w:rsidP="00E65626">
      <w:pPr>
        <w:pStyle w:val="Default"/>
        <w:rPr>
          <w:color w:val="auto"/>
          <w:sz w:val="22"/>
          <w:szCs w:val="22"/>
          <w:u w:val="single"/>
        </w:rPr>
      </w:pPr>
      <w:r w:rsidRPr="00E65626">
        <w:rPr>
          <w:color w:val="auto"/>
          <w:sz w:val="22"/>
          <w:szCs w:val="22"/>
          <w:u w:val="single"/>
        </w:rPr>
        <w:t xml:space="preserve">Hlásenie podozrení na nežiaduce reakcie </w:t>
      </w:r>
    </w:p>
    <w:p w14:paraId="78C92505" w14:textId="7499C5E0" w:rsidR="00E65626" w:rsidRPr="00E65626" w:rsidRDefault="00E65626" w:rsidP="00531CFF">
      <w:pPr>
        <w:spacing w:after="0" w:line="240" w:lineRule="auto"/>
        <w:rPr>
          <w:rFonts w:ascii="Times New Roman" w:hAnsi="Times New Roman" w:cs="Times New Roman"/>
        </w:rPr>
      </w:pPr>
      <w:r w:rsidRPr="00E65626">
        <w:rPr>
          <w:rFonts w:ascii="Times New Roman" w:hAnsi="Times New Roman" w:cs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E65626">
        <w:rPr>
          <w:rFonts w:ascii="Times New Roman" w:hAnsi="Times New Roman" w:cs="Times New Roman"/>
          <w:highlight w:val="lightGray"/>
        </w:rPr>
        <w:t>národné centrum hlásenia uvedené v</w:t>
      </w:r>
      <w:r w:rsidR="00916ECB">
        <w:rPr>
          <w:rFonts w:ascii="Times New Roman" w:hAnsi="Times New Roman" w:cs="Times New Roman"/>
          <w:highlight w:val="lightGray"/>
        </w:rPr>
        <w:t> </w:t>
      </w:r>
      <w:hyperlink r:id="rId8" w:history="1">
        <w:r w:rsidR="00916ECB" w:rsidRPr="00916ECB">
          <w:rPr>
            <w:rStyle w:val="Hypertextovprepojenie"/>
            <w:rFonts w:ascii="Times New Roman" w:hAnsi="Times New Roman" w:cs="Times New Roman"/>
            <w:highlight w:val="lightGray"/>
          </w:rPr>
          <w:t>Prílohe V</w:t>
        </w:r>
      </w:hyperlink>
      <w:r w:rsidR="000B4905">
        <w:rPr>
          <w:rFonts w:ascii="Times New Roman" w:eastAsia="Times New Roman" w:hAnsi="Times New Roman" w:cs="Times New Roman"/>
          <w:szCs w:val="24"/>
          <w:lang w:eastAsia="sk-SK"/>
        </w:rPr>
        <w:t>.</w:t>
      </w:r>
    </w:p>
    <w:p w14:paraId="579E348A" w14:textId="77777777" w:rsidR="00E65626" w:rsidRPr="00E65626" w:rsidRDefault="00E65626" w:rsidP="00531CFF">
      <w:pPr>
        <w:spacing w:after="0" w:line="240" w:lineRule="auto"/>
        <w:rPr>
          <w:rFonts w:ascii="Times New Roman" w:hAnsi="Times New Roman" w:cs="Times New Roman"/>
        </w:rPr>
      </w:pPr>
    </w:p>
    <w:p w14:paraId="6B5283F2" w14:textId="77777777" w:rsidR="00E65626" w:rsidRDefault="00EE2972" w:rsidP="00531C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2972">
        <w:rPr>
          <w:rFonts w:ascii="Times New Roman" w:hAnsi="Times New Roman" w:cs="Times New Roman"/>
          <w:b/>
          <w:bCs/>
        </w:rPr>
        <w:t xml:space="preserve">4.9 </w:t>
      </w:r>
      <w:r>
        <w:rPr>
          <w:rFonts w:ascii="Times New Roman" w:hAnsi="Times New Roman" w:cs="Times New Roman"/>
          <w:b/>
          <w:bCs/>
        </w:rPr>
        <w:tab/>
      </w:r>
      <w:r w:rsidRPr="00EE2972">
        <w:rPr>
          <w:rFonts w:ascii="Times New Roman" w:hAnsi="Times New Roman" w:cs="Times New Roman"/>
          <w:b/>
          <w:bCs/>
        </w:rPr>
        <w:t>Predávkovanie</w:t>
      </w:r>
    </w:p>
    <w:p w14:paraId="1E094CE0" w14:textId="77777777" w:rsidR="00432BFB" w:rsidRPr="00EE2972" w:rsidRDefault="00432BFB" w:rsidP="00531CFF">
      <w:pPr>
        <w:spacing w:after="0" w:line="240" w:lineRule="auto"/>
        <w:rPr>
          <w:rFonts w:ascii="Times New Roman" w:hAnsi="Times New Roman" w:cs="Times New Roman"/>
        </w:rPr>
      </w:pPr>
    </w:p>
    <w:p w14:paraId="579CD7BE" w14:textId="77777777" w:rsidR="00E65626" w:rsidRDefault="00EE2972" w:rsidP="00531CFF">
      <w:pPr>
        <w:spacing w:after="0" w:line="240" w:lineRule="auto"/>
        <w:rPr>
          <w:rFonts w:ascii="Times New Roman" w:hAnsi="Times New Roman" w:cs="Times New Roman"/>
        </w:rPr>
      </w:pPr>
      <w:r w:rsidRPr="00EE2972">
        <w:rPr>
          <w:rFonts w:ascii="Times New Roman" w:hAnsi="Times New Roman" w:cs="Times New Roman"/>
        </w:rPr>
        <w:t xml:space="preserve">V klinických štúdiách bol </w:t>
      </w:r>
      <w:proofErr w:type="spellStart"/>
      <w:r w:rsidRPr="00EE2972">
        <w:rPr>
          <w:rFonts w:ascii="Times New Roman" w:hAnsi="Times New Roman" w:cs="Times New Roman"/>
        </w:rPr>
        <w:t>pazopanib</w:t>
      </w:r>
      <w:proofErr w:type="spellEnd"/>
      <w:r w:rsidRPr="00EE2972">
        <w:rPr>
          <w:rFonts w:ascii="Times New Roman" w:hAnsi="Times New Roman" w:cs="Times New Roman"/>
        </w:rPr>
        <w:t xml:space="preserve"> hodnotený v dávkach až 2 000 mg. U 1 z 3 pacientov, ktorým bolo podávaných 2 000 mg denne, sa pozorovala únava 3. stupňa (toxicita obmedzujúca veľkosť dávky) a u 1 z 3 pacientov, ktorým bolo podávaných 1 000 mg denne, sa pozorovala hypertenzia 3. stupňa.</w:t>
      </w:r>
    </w:p>
    <w:p w14:paraId="56738A03" w14:textId="77777777" w:rsidR="00432BFB" w:rsidRPr="00E65626" w:rsidRDefault="00432BFB" w:rsidP="00531CFF">
      <w:pPr>
        <w:spacing w:after="0" w:line="240" w:lineRule="auto"/>
        <w:rPr>
          <w:rFonts w:ascii="Times New Roman" w:hAnsi="Times New Roman" w:cs="Times New Roman"/>
        </w:rPr>
      </w:pPr>
    </w:p>
    <w:p w14:paraId="370D858A" w14:textId="77777777" w:rsidR="00E65626" w:rsidRPr="00E65626" w:rsidRDefault="00EE2972" w:rsidP="00531CFF">
      <w:pPr>
        <w:spacing w:after="0" w:line="240" w:lineRule="auto"/>
        <w:rPr>
          <w:rFonts w:ascii="Times New Roman" w:hAnsi="Times New Roman" w:cs="Times New Roman"/>
        </w:rPr>
      </w:pPr>
      <w:r w:rsidRPr="00EE2972">
        <w:rPr>
          <w:rFonts w:ascii="Times New Roman" w:hAnsi="Times New Roman" w:cs="Times New Roman"/>
        </w:rPr>
        <w:t xml:space="preserve">Nie je známe žiadne špecifické </w:t>
      </w:r>
      <w:proofErr w:type="spellStart"/>
      <w:r w:rsidRPr="00EE2972">
        <w:rPr>
          <w:rFonts w:ascii="Times New Roman" w:hAnsi="Times New Roman" w:cs="Times New Roman"/>
        </w:rPr>
        <w:t>antidotum</w:t>
      </w:r>
      <w:proofErr w:type="spellEnd"/>
      <w:r w:rsidRPr="00EE2972">
        <w:rPr>
          <w:rFonts w:ascii="Times New Roman" w:hAnsi="Times New Roman" w:cs="Times New Roman"/>
        </w:rPr>
        <w:t xml:space="preserve"> pri predávkovaní </w:t>
      </w:r>
      <w:proofErr w:type="spellStart"/>
      <w:r w:rsidRPr="00EE2972">
        <w:rPr>
          <w:rFonts w:ascii="Times New Roman" w:hAnsi="Times New Roman" w:cs="Times New Roman"/>
        </w:rPr>
        <w:t>pazopanibom</w:t>
      </w:r>
      <w:proofErr w:type="spellEnd"/>
      <w:r w:rsidRPr="00EE2972">
        <w:rPr>
          <w:rFonts w:ascii="Times New Roman" w:hAnsi="Times New Roman" w:cs="Times New Roman"/>
        </w:rPr>
        <w:t xml:space="preserve"> a liečba predávkovania má pozostávať zo všeobecných podporných opatrení.</w:t>
      </w:r>
    </w:p>
    <w:p w14:paraId="1CC8E018" w14:textId="77777777" w:rsidR="00E65626" w:rsidRDefault="00E65626" w:rsidP="00531CFF">
      <w:pPr>
        <w:spacing w:after="0" w:line="240" w:lineRule="auto"/>
        <w:rPr>
          <w:rFonts w:ascii="Times New Roman" w:hAnsi="Times New Roman" w:cs="Times New Roman"/>
        </w:rPr>
      </w:pPr>
    </w:p>
    <w:p w14:paraId="3E3EC2BF" w14:textId="77777777" w:rsidR="00432BFB" w:rsidRPr="00E65626" w:rsidRDefault="00432BFB" w:rsidP="00531CFF">
      <w:pPr>
        <w:spacing w:after="0" w:line="240" w:lineRule="auto"/>
        <w:rPr>
          <w:rFonts w:ascii="Times New Roman" w:hAnsi="Times New Roman" w:cs="Times New Roman"/>
        </w:rPr>
      </w:pPr>
    </w:p>
    <w:p w14:paraId="6149ADD7" w14:textId="77777777" w:rsidR="00E65626" w:rsidRPr="00EE2972" w:rsidRDefault="00E65626" w:rsidP="00531C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2972">
        <w:rPr>
          <w:rFonts w:ascii="Times New Roman" w:hAnsi="Times New Roman" w:cs="Times New Roman"/>
          <w:b/>
          <w:bCs/>
        </w:rPr>
        <w:t>5.</w:t>
      </w:r>
      <w:r w:rsidRPr="00EE2972">
        <w:rPr>
          <w:rFonts w:ascii="Times New Roman" w:hAnsi="Times New Roman" w:cs="Times New Roman"/>
          <w:b/>
          <w:bCs/>
        </w:rPr>
        <w:tab/>
      </w:r>
      <w:r w:rsidR="00EE2972" w:rsidRPr="00EE2972">
        <w:rPr>
          <w:rFonts w:ascii="Times New Roman" w:hAnsi="Times New Roman" w:cs="Times New Roman"/>
          <w:b/>
          <w:bCs/>
        </w:rPr>
        <w:t>FARMAKOLOGICKÉ VLASTNOSTI</w:t>
      </w:r>
    </w:p>
    <w:p w14:paraId="629F08FD" w14:textId="77777777" w:rsidR="00E65626" w:rsidRPr="00EE2972" w:rsidRDefault="00E65626" w:rsidP="00531CF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28C3BB" w14:textId="77777777" w:rsidR="00E65626" w:rsidRDefault="00EE2972" w:rsidP="00531CF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2972">
        <w:rPr>
          <w:rFonts w:ascii="Times New Roman" w:hAnsi="Times New Roman" w:cs="Times New Roman"/>
          <w:b/>
          <w:bCs/>
        </w:rPr>
        <w:t xml:space="preserve">5.1 </w:t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Pr="00EE2972">
        <w:rPr>
          <w:rFonts w:ascii="Times New Roman" w:hAnsi="Times New Roman" w:cs="Times New Roman"/>
          <w:b/>
          <w:bCs/>
        </w:rPr>
        <w:t>Farmakodynamické</w:t>
      </w:r>
      <w:proofErr w:type="spellEnd"/>
      <w:r w:rsidRPr="00EE2972">
        <w:rPr>
          <w:rFonts w:ascii="Times New Roman" w:hAnsi="Times New Roman" w:cs="Times New Roman"/>
          <w:b/>
          <w:bCs/>
        </w:rPr>
        <w:t xml:space="preserve"> vlastnosti</w:t>
      </w:r>
    </w:p>
    <w:p w14:paraId="36FB6A01" w14:textId="77777777" w:rsidR="00432BFB" w:rsidRPr="00EE2972" w:rsidRDefault="00432BFB" w:rsidP="00531CF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E98D09" w14:textId="1C1F8334" w:rsidR="00EE2972" w:rsidRDefault="00EE2972" w:rsidP="00EE297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E2972">
        <w:rPr>
          <w:rFonts w:ascii="Times New Roman" w:hAnsi="Times New Roman" w:cs="Times New Roman"/>
        </w:rPr>
        <w:t>Farmakoterapeutická</w:t>
      </w:r>
      <w:proofErr w:type="spellEnd"/>
      <w:r w:rsidRPr="00EE2972">
        <w:rPr>
          <w:rFonts w:ascii="Times New Roman" w:hAnsi="Times New Roman" w:cs="Times New Roman"/>
        </w:rPr>
        <w:t xml:space="preserve"> skupina: </w:t>
      </w:r>
      <w:proofErr w:type="spellStart"/>
      <w:r w:rsidRPr="00EE2972">
        <w:rPr>
          <w:rFonts w:ascii="Times New Roman" w:hAnsi="Times New Roman" w:cs="Times New Roman"/>
        </w:rPr>
        <w:t>Cytostatiká</w:t>
      </w:r>
      <w:proofErr w:type="spellEnd"/>
      <w:r w:rsidRPr="00EE2972">
        <w:rPr>
          <w:rFonts w:ascii="Times New Roman" w:hAnsi="Times New Roman" w:cs="Times New Roman"/>
        </w:rPr>
        <w:t xml:space="preserve">, inhibítory </w:t>
      </w:r>
      <w:proofErr w:type="spellStart"/>
      <w:r w:rsidRPr="00EE2972">
        <w:rPr>
          <w:rFonts w:ascii="Times New Roman" w:hAnsi="Times New Roman" w:cs="Times New Roman"/>
        </w:rPr>
        <w:t>proteínkinázy</w:t>
      </w:r>
      <w:proofErr w:type="spellEnd"/>
      <w:r w:rsidR="00E65626" w:rsidRPr="00E65626">
        <w:rPr>
          <w:rFonts w:ascii="Times New Roman" w:hAnsi="Times New Roman" w:cs="Times New Roman"/>
        </w:rPr>
        <w:t xml:space="preserve">, </w:t>
      </w:r>
      <w:r w:rsidR="005C796B">
        <w:rPr>
          <w:rFonts w:ascii="Times New Roman" w:hAnsi="Times New Roman" w:cs="Times New Roman"/>
        </w:rPr>
        <w:t xml:space="preserve">iné </w:t>
      </w:r>
      <w:r w:rsidR="005C796B" w:rsidRPr="00EE2972">
        <w:rPr>
          <w:rFonts w:ascii="Times New Roman" w:hAnsi="Times New Roman" w:cs="Times New Roman"/>
        </w:rPr>
        <w:t xml:space="preserve">inhibítory </w:t>
      </w:r>
      <w:proofErr w:type="spellStart"/>
      <w:r w:rsidR="005C796B" w:rsidRPr="00EE2972">
        <w:rPr>
          <w:rFonts w:ascii="Times New Roman" w:hAnsi="Times New Roman" w:cs="Times New Roman"/>
        </w:rPr>
        <w:t>proteínkinázy</w:t>
      </w:r>
      <w:proofErr w:type="spellEnd"/>
      <w:r w:rsidR="005C796B">
        <w:rPr>
          <w:rFonts w:ascii="Times New Roman" w:hAnsi="Times New Roman" w:cs="Times New Roman"/>
        </w:rPr>
        <w:t>,</w:t>
      </w:r>
    </w:p>
    <w:p w14:paraId="12D483A4" w14:textId="77777777" w:rsidR="00E65626" w:rsidRPr="00E65626" w:rsidRDefault="00E65626" w:rsidP="00531CFF">
      <w:pPr>
        <w:spacing w:after="0" w:line="240" w:lineRule="auto"/>
        <w:rPr>
          <w:rFonts w:ascii="Times New Roman" w:hAnsi="Times New Roman" w:cs="Times New Roman"/>
        </w:rPr>
      </w:pPr>
      <w:r w:rsidRPr="00E65626">
        <w:rPr>
          <w:rFonts w:ascii="Times New Roman" w:hAnsi="Times New Roman" w:cs="Times New Roman"/>
        </w:rPr>
        <w:t xml:space="preserve">ATC </w:t>
      </w:r>
      <w:r w:rsidR="00EE2972">
        <w:rPr>
          <w:rFonts w:ascii="Times New Roman" w:hAnsi="Times New Roman" w:cs="Times New Roman"/>
        </w:rPr>
        <w:t>kód</w:t>
      </w:r>
      <w:r w:rsidRPr="00E65626">
        <w:rPr>
          <w:rFonts w:ascii="Times New Roman" w:hAnsi="Times New Roman" w:cs="Times New Roman"/>
        </w:rPr>
        <w:t>: L01EX03</w:t>
      </w:r>
    </w:p>
    <w:p w14:paraId="1F7797E5" w14:textId="77777777" w:rsidR="00EE2972" w:rsidRDefault="00EE2972" w:rsidP="00531CFF">
      <w:pPr>
        <w:spacing w:after="0" w:line="240" w:lineRule="auto"/>
        <w:rPr>
          <w:rFonts w:ascii="Times New Roman" w:hAnsi="Times New Roman" w:cs="Times New Roman"/>
        </w:rPr>
      </w:pPr>
    </w:p>
    <w:p w14:paraId="4A0ADF4B" w14:textId="77777777" w:rsidR="00EE2972" w:rsidRDefault="00EE2972" w:rsidP="00EE2972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EE2972">
        <w:rPr>
          <w:rFonts w:ascii="Times New Roman" w:hAnsi="Times New Roman" w:cs="Times New Roman"/>
          <w:u w:val="single"/>
        </w:rPr>
        <w:t>Mechanizmus účinku</w:t>
      </w:r>
    </w:p>
    <w:p w14:paraId="18C92558" w14:textId="77777777" w:rsidR="005C796B" w:rsidRPr="00EE2972" w:rsidRDefault="005C796B" w:rsidP="00EE2972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1E251571" w14:textId="48A53EFD" w:rsidR="00E65626" w:rsidRPr="00E65626" w:rsidRDefault="00EE2972" w:rsidP="00531CF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E2972">
        <w:rPr>
          <w:rFonts w:ascii="Times New Roman" w:hAnsi="Times New Roman" w:cs="Times New Roman"/>
        </w:rPr>
        <w:t>Pazopanib</w:t>
      </w:r>
      <w:proofErr w:type="spellEnd"/>
      <w:r w:rsidRPr="00EE2972">
        <w:rPr>
          <w:rFonts w:ascii="Times New Roman" w:hAnsi="Times New Roman" w:cs="Times New Roman"/>
        </w:rPr>
        <w:t xml:space="preserve"> je perorálne podávaný, silne účinný, </w:t>
      </w:r>
      <w:proofErr w:type="spellStart"/>
      <w:r w:rsidRPr="00EE2972">
        <w:rPr>
          <w:rFonts w:ascii="Times New Roman" w:hAnsi="Times New Roman" w:cs="Times New Roman"/>
        </w:rPr>
        <w:t>mnohocieľový</w:t>
      </w:r>
      <w:proofErr w:type="spellEnd"/>
      <w:r w:rsidRPr="00EE2972">
        <w:rPr>
          <w:rFonts w:ascii="Times New Roman" w:hAnsi="Times New Roman" w:cs="Times New Roman"/>
        </w:rPr>
        <w:t xml:space="preserve"> </w:t>
      </w:r>
      <w:proofErr w:type="spellStart"/>
      <w:r w:rsidRPr="00EE2972">
        <w:rPr>
          <w:rFonts w:ascii="Times New Roman" w:hAnsi="Times New Roman" w:cs="Times New Roman"/>
        </w:rPr>
        <w:t>tyrozínkinázový</w:t>
      </w:r>
      <w:proofErr w:type="spellEnd"/>
      <w:r w:rsidRPr="00EE2972">
        <w:rPr>
          <w:rFonts w:ascii="Times New Roman" w:hAnsi="Times New Roman" w:cs="Times New Roman"/>
        </w:rPr>
        <w:t xml:space="preserve"> inhibítor (TKI) receptorov 1, 2 a 3 pre vaskulárny endotelový rastový faktor (</w:t>
      </w:r>
      <w:proofErr w:type="spellStart"/>
      <w:r w:rsidRPr="00EE2972">
        <w:rPr>
          <w:rFonts w:ascii="Times New Roman" w:hAnsi="Times New Roman" w:cs="Times New Roman"/>
        </w:rPr>
        <w:t>vascular</w:t>
      </w:r>
      <w:proofErr w:type="spellEnd"/>
      <w:r w:rsidRPr="00EE2972">
        <w:rPr>
          <w:rFonts w:ascii="Times New Roman" w:hAnsi="Times New Roman" w:cs="Times New Roman"/>
        </w:rPr>
        <w:t xml:space="preserve"> </w:t>
      </w:r>
      <w:proofErr w:type="spellStart"/>
      <w:r w:rsidRPr="00EE2972">
        <w:rPr>
          <w:rFonts w:ascii="Times New Roman" w:hAnsi="Times New Roman" w:cs="Times New Roman"/>
        </w:rPr>
        <w:t>endothelial</w:t>
      </w:r>
      <w:proofErr w:type="spellEnd"/>
      <w:r w:rsidRPr="00EE2972">
        <w:rPr>
          <w:rFonts w:ascii="Times New Roman" w:hAnsi="Times New Roman" w:cs="Times New Roman"/>
        </w:rPr>
        <w:t xml:space="preserve"> </w:t>
      </w:r>
      <w:proofErr w:type="spellStart"/>
      <w:r w:rsidRPr="00EE2972">
        <w:rPr>
          <w:rFonts w:ascii="Times New Roman" w:hAnsi="Times New Roman" w:cs="Times New Roman"/>
        </w:rPr>
        <w:t>growth</w:t>
      </w:r>
      <w:proofErr w:type="spellEnd"/>
      <w:r w:rsidRPr="00EE2972">
        <w:rPr>
          <w:rFonts w:ascii="Times New Roman" w:hAnsi="Times New Roman" w:cs="Times New Roman"/>
        </w:rPr>
        <w:t xml:space="preserve"> </w:t>
      </w:r>
      <w:proofErr w:type="spellStart"/>
      <w:r w:rsidRPr="00EE2972">
        <w:rPr>
          <w:rFonts w:ascii="Times New Roman" w:hAnsi="Times New Roman" w:cs="Times New Roman"/>
        </w:rPr>
        <w:t>factor</w:t>
      </w:r>
      <w:proofErr w:type="spellEnd"/>
      <w:r w:rsidRPr="00EE2972">
        <w:rPr>
          <w:rFonts w:ascii="Times New Roman" w:hAnsi="Times New Roman" w:cs="Times New Roman"/>
        </w:rPr>
        <w:t xml:space="preserve"> </w:t>
      </w:r>
      <w:proofErr w:type="spellStart"/>
      <w:r w:rsidRPr="00EE2972">
        <w:rPr>
          <w:rFonts w:ascii="Times New Roman" w:hAnsi="Times New Roman" w:cs="Times New Roman"/>
        </w:rPr>
        <w:t>receptors</w:t>
      </w:r>
      <w:proofErr w:type="spellEnd"/>
      <w:r w:rsidRPr="00EE2972">
        <w:rPr>
          <w:rFonts w:ascii="Times New Roman" w:hAnsi="Times New Roman" w:cs="Times New Roman"/>
        </w:rPr>
        <w:t xml:space="preserve">, VEGFR), receptorov α a β </w:t>
      </w:r>
      <w:proofErr w:type="spellStart"/>
      <w:r w:rsidRPr="00EE2972">
        <w:rPr>
          <w:rFonts w:ascii="Times New Roman" w:hAnsi="Times New Roman" w:cs="Times New Roman"/>
        </w:rPr>
        <w:t>trombocytového</w:t>
      </w:r>
      <w:proofErr w:type="spellEnd"/>
      <w:r w:rsidRPr="00EE2972">
        <w:rPr>
          <w:rFonts w:ascii="Times New Roman" w:hAnsi="Times New Roman" w:cs="Times New Roman"/>
        </w:rPr>
        <w:t xml:space="preserve"> rastového faktora (</w:t>
      </w:r>
      <w:proofErr w:type="spellStart"/>
      <w:r w:rsidRPr="00EE2972">
        <w:rPr>
          <w:rFonts w:ascii="Times New Roman" w:hAnsi="Times New Roman" w:cs="Times New Roman"/>
        </w:rPr>
        <w:t>platelet-derived</w:t>
      </w:r>
      <w:proofErr w:type="spellEnd"/>
      <w:r w:rsidRPr="00EE2972">
        <w:rPr>
          <w:rFonts w:ascii="Times New Roman" w:hAnsi="Times New Roman" w:cs="Times New Roman"/>
        </w:rPr>
        <w:t xml:space="preserve"> </w:t>
      </w:r>
      <w:proofErr w:type="spellStart"/>
      <w:r w:rsidRPr="00EE2972">
        <w:rPr>
          <w:rFonts w:ascii="Times New Roman" w:hAnsi="Times New Roman" w:cs="Times New Roman"/>
        </w:rPr>
        <w:t>growth</w:t>
      </w:r>
      <w:proofErr w:type="spellEnd"/>
      <w:r w:rsidRPr="00EE2972">
        <w:rPr>
          <w:rFonts w:ascii="Times New Roman" w:hAnsi="Times New Roman" w:cs="Times New Roman"/>
        </w:rPr>
        <w:t xml:space="preserve"> </w:t>
      </w:r>
      <w:proofErr w:type="spellStart"/>
      <w:r w:rsidRPr="00EE2972">
        <w:rPr>
          <w:rFonts w:ascii="Times New Roman" w:hAnsi="Times New Roman" w:cs="Times New Roman"/>
        </w:rPr>
        <w:t>factor</w:t>
      </w:r>
      <w:proofErr w:type="spellEnd"/>
      <w:r w:rsidRPr="00EE2972">
        <w:rPr>
          <w:rFonts w:ascii="Times New Roman" w:hAnsi="Times New Roman" w:cs="Times New Roman"/>
        </w:rPr>
        <w:t>, PDGFR) a receptora faktora kmeňových buniek (c-KIT) s hodnotami IC</w:t>
      </w:r>
      <w:r w:rsidRPr="00EE2972">
        <w:rPr>
          <w:rFonts w:ascii="Times New Roman" w:hAnsi="Times New Roman" w:cs="Times New Roman"/>
          <w:vertAlign w:val="subscript"/>
        </w:rPr>
        <w:t>50</w:t>
      </w:r>
      <w:r w:rsidRPr="00EE2972">
        <w:rPr>
          <w:rFonts w:ascii="Times New Roman" w:hAnsi="Times New Roman" w:cs="Times New Roman"/>
        </w:rPr>
        <w:t xml:space="preserve"> 10, 30, 47, 71, 84 a 74 </w:t>
      </w:r>
      <w:proofErr w:type="spellStart"/>
      <w:r w:rsidRPr="00EE2972">
        <w:rPr>
          <w:rFonts w:ascii="Times New Roman" w:hAnsi="Times New Roman" w:cs="Times New Roman"/>
        </w:rPr>
        <w:t>nmol</w:t>
      </w:r>
      <w:proofErr w:type="spellEnd"/>
      <w:r w:rsidRPr="00EE2972">
        <w:rPr>
          <w:rFonts w:ascii="Times New Roman" w:hAnsi="Times New Roman" w:cs="Times New Roman"/>
        </w:rPr>
        <w:t xml:space="preserve">/l, v uvedenom poradí. V predklinických experimentoch </w:t>
      </w:r>
      <w:proofErr w:type="spellStart"/>
      <w:r w:rsidRPr="00EE2972">
        <w:rPr>
          <w:rFonts w:ascii="Times New Roman" w:hAnsi="Times New Roman" w:cs="Times New Roman"/>
        </w:rPr>
        <w:t>pazopanib</w:t>
      </w:r>
      <w:proofErr w:type="spellEnd"/>
      <w:r w:rsidRPr="00EE2972">
        <w:rPr>
          <w:rFonts w:ascii="Times New Roman" w:hAnsi="Times New Roman" w:cs="Times New Roman"/>
        </w:rPr>
        <w:t xml:space="preserve"> v závislosti od dávky inhiboval v bunkách ligandom indukovanú </w:t>
      </w:r>
      <w:proofErr w:type="spellStart"/>
      <w:r w:rsidRPr="00EE2972">
        <w:rPr>
          <w:rFonts w:ascii="Times New Roman" w:hAnsi="Times New Roman" w:cs="Times New Roman"/>
        </w:rPr>
        <w:t>autofosforyláciu</w:t>
      </w:r>
      <w:proofErr w:type="spellEnd"/>
      <w:r w:rsidRPr="00EE2972">
        <w:rPr>
          <w:rFonts w:ascii="Times New Roman" w:hAnsi="Times New Roman" w:cs="Times New Roman"/>
        </w:rPr>
        <w:t xml:space="preserve"> receptora 2 pre VEGFR, receptora c-</w:t>
      </w:r>
      <w:proofErr w:type="spellStart"/>
      <w:r w:rsidRPr="00EE2972">
        <w:rPr>
          <w:rFonts w:ascii="Times New Roman" w:hAnsi="Times New Roman" w:cs="Times New Roman"/>
        </w:rPr>
        <w:t>Kit</w:t>
      </w:r>
      <w:proofErr w:type="spellEnd"/>
      <w:r w:rsidRPr="00EE2972">
        <w:rPr>
          <w:rFonts w:ascii="Times New Roman" w:hAnsi="Times New Roman" w:cs="Times New Roman"/>
        </w:rPr>
        <w:t xml:space="preserve"> a </w:t>
      </w:r>
      <w:r w:rsidR="00070D98" w:rsidRPr="00EE2972">
        <w:rPr>
          <w:rFonts w:ascii="Times New Roman" w:hAnsi="Times New Roman" w:cs="Times New Roman"/>
        </w:rPr>
        <w:t xml:space="preserve">β </w:t>
      </w:r>
      <w:r w:rsidRPr="00EE2972">
        <w:rPr>
          <w:rFonts w:ascii="Times New Roman" w:hAnsi="Times New Roman" w:cs="Times New Roman"/>
        </w:rPr>
        <w:t xml:space="preserve">receptorov PDGFR. V podmienkach </w:t>
      </w:r>
      <w:r w:rsidRPr="00EE2972">
        <w:rPr>
          <w:rFonts w:ascii="Times New Roman" w:hAnsi="Times New Roman" w:cs="Times New Roman"/>
          <w:i/>
        </w:rPr>
        <w:t xml:space="preserve">in </w:t>
      </w:r>
      <w:proofErr w:type="spellStart"/>
      <w:r w:rsidRPr="00EE2972">
        <w:rPr>
          <w:rFonts w:ascii="Times New Roman" w:hAnsi="Times New Roman" w:cs="Times New Roman"/>
          <w:i/>
        </w:rPr>
        <w:t>vivo</w:t>
      </w:r>
      <w:proofErr w:type="spellEnd"/>
      <w:r w:rsidRPr="00EE2972">
        <w:rPr>
          <w:rFonts w:ascii="Times New Roman" w:hAnsi="Times New Roman" w:cs="Times New Roman"/>
        </w:rPr>
        <w:t xml:space="preserve"> </w:t>
      </w:r>
      <w:proofErr w:type="spellStart"/>
      <w:r w:rsidRPr="00EE2972">
        <w:rPr>
          <w:rFonts w:ascii="Times New Roman" w:hAnsi="Times New Roman" w:cs="Times New Roman"/>
        </w:rPr>
        <w:t>pazopanib</w:t>
      </w:r>
      <w:proofErr w:type="spellEnd"/>
      <w:r w:rsidRPr="00EE2972">
        <w:rPr>
          <w:rFonts w:ascii="Times New Roman" w:hAnsi="Times New Roman" w:cs="Times New Roman"/>
        </w:rPr>
        <w:t xml:space="preserve"> inhiboval VEGF-indukovanú fosforyláciu receptora 2 pre VEGFR v myších pľúcach, </w:t>
      </w:r>
      <w:proofErr w:type="spellStart"/>
      <w:r w:rsidRPr="00EE2972">
        <w:rPr>
          <w:rFonts w:ascii="Times New Roman" w:hAnsi="Times New Roman" w:cs="Times New Roman"/>
        </w:rPr>
        <w:t>angiogenézu</w:t>
      </w:r>
      <w:proofErr w:type="spellEnd"/>
      <w:r w:rsidRPr="00EE2972">
        <w:rPr>
          <w:rFonts w:ascii="Times New Roman" w:hAnsi="Times New Roman" w:cs="Times New Roman"/>
        </w:rPr>
        <w:t xml:space="preserve"> pri rôznych zvieracích modeloch a rast viacerých ľudských nádorov</w:t>
      </w:r>
      <w:r w:rsidR="00070D98">
        <w:rPr>
          <w:rFonts w:ascii="Times New Roman" w:hAnsi="Times New Roman" w:cs="Times New Roman"/>
        </w:rPr>
        <w:t xml:space="preserve">ých </w:t>
      </w:r>
      <w:proofErr w:type="spellStart"/>
      <w:r w:rsidR="00070D98">
        <w:rPr>
          <w:rFonts w:ascii="Times New Roman" w:hAnsi="Times New Roman" w:cs="Times New Roman"/>
        </w:rPr>
        <w:t>xenoštepov</w:t>
      </w:r>
      <w:proofErr w:type="spellEnd"/>
      <w:r w:rsidRPr="00EE2972">
        <w:rPr>
          <w:rFonts w:ascii="Times New Roman" w:hAnsi="Times New Roman" w:cs="Times New Roman"/>
        </w:rPr>
        <w:t xml:space="preserve"> u myší.</w:t>
      </w:r>
    </w:p>
    <w:p w14:paraId="0FB457AF" w14:textId="77777777" w:rsidR="00EE2972" w:rsidRDefault="00EE2972" w:rsidP="00531CFF">
      <w:pPr>
        <w:spacing w:after="0" w:line="240" w:lineRule="auto"/>
        <w:rPr>
          <w:rFonts w:ascii="Times New Roman" w:hAnsi="Times New Roman" w:cs="Times New Roman"/>
        </w:rPr>
      </w:pPr>
    </w:p>
    <w:p w14:paraId="1494A0EE" w14:textId="77777777" w:rsidR="00EE2972" w:rsidRDefault="00EE2972" w:rsidP="00EE2972">
      <w:pPr>
        <w:spacing w:after="0"/>
        <w:jc w:val="both"/>
        <w:rPr>
          <w:rFonts w:ascii="Times New Roman" w:hAnsi="Times New Roman" w:cs="Times New Roman"/>
          <w:u w:val="single"/>
        </w:rPr>
      </w:pPr>
      <w:proofErr w:type="spellStart"/>
      <w:r w:rsidRPr="00EE2972">
        <w:rPr>
          <w:rFonts w:ascii="Times New Roman" w:hAnsi="Times New Roman" w:cs="Times New Roman"/>
          <w:u w:val="single"/>
        </w:rPr>
        <w:t>Farmakogenomika</w:t>
      </w:r>
      <w:proofErr w:type="spellEnd"/>
    </w:p>
    <w:p w14:paraId="77AA5EC8" w14:textId="77777777" w:rsidR="005C796B" w:rsidRPr="00EE2972" w:rsidRDefault="005C796B" w:rsidP="00EE2972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24EE8176" w14:textId="066E3992" w:rsidR="00E65626" w:rsidRPr="00E65626" w:rsidRDefault="00EE2972" w:rsidP="00531CFF">
      <w:pPr>
        <w:spacing w:after="0" w:line="240" w:lineRule="auto"/>
        <w:rPr>
          <w:rFonts w:ascii="Times New Roman" w:hAnsi="Times New Roman" w:cs="Times New Roman"/>
        </w:rPr>
      </w:pPr>
      <w:r w:rsidRPr="00EE2972">
        <w:rPr>
          <w:rFonts w:ascii="Times New Roman" w:hAnsi="Times New Roman" w:cs="Times New Roman"/>
        </w:rPr>
        <w:t xml:space="preserve">Vo </w:t>
      </w:r>
      <w:proofErr w:type="spellStart"/>
      <w:r w:rsidRPr="00EE2972">
        <w:rPr>
          <w:rFonts w:ascii="Times New Roman" w:hAnsi="Times New Roman" w:cs="Times New Roman"/>
        </w:rPr>
        <w:t>farmakogenetickej</w:t>
      </w:r>
      <w:proofErr w:type="spellEnd"/>
      <w:r w:rsidRPr="00EE2972">
        <w:rPr>
          <w:rFonts w:ascii="Times New Roman" w:hAnsi="Times New Roman" w:cs="Times New Roman"/>
        </w:rPr>
        <w:t xml:space="preserve"> </w:t>
      </w:r>
      <w:proofErr w:type="spellStart"/>
      <w:r w:rsidRPr="00EE2972">
        <w:rPr>
          <w:rFonts w:ascii="Times New Roman" w:hAnsi="Times New Roman" w:cs="Times New Roman"/>
        </w:rPr>
        <w:t>meta</w:t>
      </w:r>
      <w:proofErr w:type="spellEnd"/>
      <w:r w:rsidRPr="00EE2972">
        <w:rPr>
          <w:rFonts w:ascii="Times New Roman" w:hAnsi="Times New Roman" w:cs="Times New Roman"/>
        </w:rPr>
        <w:t xml:space="preserve">-analýze údajov z 31 klinických skúšaní s </w:t>
      </w:r>
      <w:proofErr w:type="spellStart"/>
      <w:r w:rsidRPr="00EE2972">
        <w:rPr>
          <w:rFonts w:ascii="Times New Roman" w:hAnsi="Times New Roman" w:cs="Times New Roman"/>
        </w:rPr>
        <w:t>pazopanibom</w:t>
      </w:r>
      <w:proofErr w:type="spellEnd"/>
      <w:r w:rsidRPr="00EE2972">
        <w:rPr>
          <w:rFonts w:ascii="Times New Roman" w:hAnsi="Times New Roman" w:cs="Times New Roman"/>
        </w:rPr>
        <w:t xml:space="preserve">, podávaným buď v </w:t>
      </w:r>
      <w:proofErr w:type="spellStart"/>
      <w:r w:rsidRPr="00EE2972">
        <w:rPr>
          <w:rFonts w:ascii="Times New Roman" w:hAnsi="Times New Roman" w:cs="Times New Roman"/>
        </w:rPr>
        <w:t>monoterapii</w:t>
      </w:r>
      <w:proofErr w:type="spellEnd"/>
      <w:r w:rsidRPr="00EE2972">
        <w:rPr>
          <w:rFonts w:ascii="Times New Roman" w:hAnsi="Times New Roman" w:cs="Times New Roman"/>
        </w:rPr>
        <w:t xml:space="preserve"> alebo v kombinácii s inými liekmi, sa zvýšenie ALT &gt; 5 x ULN (NCI CTC 3. stupeň) vyskytlo u 19 % nositeľov alely HLA-B*57:01 a u 10 % pacientov bez tejto alely. V uvedenom súbore údajov bolo 133 z</w:t>
      </w:r>
      <w:r w:rsidR="00BE5FB2">
        <w:rPr>
          <w:rFonts w:ascii="Times New Roman" w:hAnsi="Times New Roman" w:cs="Times New Roman"/>
        </w:rPr>
        <w:t> </w:t>
      </w:r>
      <w:r w:rsidRPr="00EE2972">
        <w:rPr>
          <w:rFonts w:ascii="Times New Roman" w:hAnsi="Times New Roman" w:cs="Times New Roman"/>
        </w:rPr>
        <w:t>2</w:t>
      </w:r>
      <w:r w:rsidR="00BE5FB2">
        <w:rPr>
          <w:rFonts w:ascii="Times New Roman" w:hAnsi="Times New Roman" w:cs="Times New Roman"/>
        </w:rPr>
        <w:t xml:space="preserve"> </w:t>
      </w:r>
      <w:r w:rsidRPr="00EE2972">
        <w:rPr>
          <w:rFonts w:ascii="Times New Roman" w:hAnsi="Times New Roman" w:cs="Times New Roman"/>
        </w:rPr>
        <w:t>235 (6 %) pacientov nositeľmi alely HLA-B*57:01 (pozri časť 4.4).</w:t>
      </w:r>
    </w:p>
    <w:p w14:paraId="6CE94BC7" w14:textId="77777777" w:rsidR="00EE2972" w:rsidRDefault="00EE2972" w:rsidP="00531CFF">
      <w:pPr>
        <w:spacing w:after="0" w:line="240" w:lineRule="auto"/>
        <w:rPr>
          <w:rFonts w:ascii="Times New Roman" w:hAnsi="Times New Roman" w:cs="Times New Roman"/>
        </w:rPr>
      </w:pPr>
    </w:p>
    <w:p w14:paraId="4D0D0F2C" w14:textId="77777777" w:rsidR="001B39EF" w:rsidRDefault="001B39EF" w:rsidP="001B39E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1B39EF">
        <w:rPr>
          <w:rFonts w:ascii="Times New Roman" w:hAnsi="Times New Roman" w:cs="Times New Roman"/>
          <w:u w:val="single"/>
        </w:rPr>
        <w:lastRenderedPageBreak/>
        <w:t>Klinické štúdie</w:t>
      </w:r>
    </w:p>
    <w:p w14:paraId="5E03193D" w14:textId="77777777" w:rsidR="005C796B" w:rsidRPr="001B39EF" w:rsidRDefault="005C796B" w:rsidP="001B39EF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090BEAD2" w14:textId="77777777" w:rsidR="001B39EF" w:rsidRPr="00531CFF" w:rsidRDefault="001B39EF" w:rsidP="001B39EF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531CFF">
        <w:rPr>
          <w:rFonts w:ascii="Times New Roman" w:hAnsi="Times New Roman" w:cs="Times New Roman"/>
          <w:i/>
          <w:u w:val="single"/>
        </w:rPr>
        <w:t xml:space="preserve">Karcinóm z </w:t>
      </w:r>
      <w:proofErr w:type="spellStart"/>
      <w:r w:rsidRPr="00531CFF">
        <w:rPr>
          <w:rFonts w:ascii="Times New Roman" w:hAnsi="Times New Roman" w:cs="Times New Roman"/>
          <w:i/>
          <w:u w:val="single"/>
        </w:rPr>
        <w:t>obličkových</w:t>
      </w:r>
      <w:proofErr w:type="spellEnd"/>
      <w:r w:rsidRPr="00531CFF">
        <w:rPr>
          <w:rFonts w:ascii="Times New Roman" w:hAnsi="Times New Roman" w:cs="Times New Roman"/>
          <w:i/>
          <w:u w:val="single"/>
        </w:rPr>
        <w:t xml:space="preserve"> buniek (RCC)</w:t>
      </w:r>
    </w:p>
    <w:p w14:paraId="293C39FB" w14:textId="77777777" w:rsidR="00E65626" w:rsidRDefault="001B39EF" w:rsidP="00FA724A">
      <w:pPr>
        <w:spacing w:after="0"/>
        <w:rPr>
          <w:rFonts w:ascii="Times New Roman" w:hAnsi="Times New Roman" w:cs="Times New Roman"/>
        </w:rPr>
      </w:pPr>
      <w:r w:rsidRPr="001B39EF">
        <w:rPr>
          <w:rFonts w:ascii="Times New Roman" w:hAnsi="Times New Roman" w:cs="Times New Roman"/>
        </w:rPr>
        <w:t xml:space="preserve">Bezpečnosť a účinnosť </w:t>
      </w:r>
      <w:proofErr w:type="spellStart"/>
      <w:r w:rsidRPr="001B39EF">
        <w:rPr>
          <w:rFonts w:ascii="Times New Roman" w:hAnsi="Times New Roman" w:cs="Times New Roman"/>
        </w:rPr>
        <w:t>pazopanibu</w:t>
      </w:r>
      <w:proofErr w:type="spellEnd"/>
      <w:r w:rsidRPr="001B39EF">
        <w:rPr>
          <w:rFonts w:ascii="Times New Roman" w:hAnsi="Times New Roman" w:cs="Times New Roman"/>
        </w:rPr>
        <w:t xml:space="preserve"> pri RCC sa hodnotila v </w:t>
      </w:r>
      <w:proofErr w:type="spellStart"/>
      <w:r w:rsidRPr="001B39EF">
        <w:rPr>
          <w:rFonts w:ascii="Times New Roman" w:hAnsi="Times New Roman" w:cs="Times New Roman"/>
        </w:rPr>
        <w:t>randomizovanej</w:t>
      </w:r>
      <w:proofErr w:type="spellEnd"/>
      <w:r w:rsidRPr="001B39EF">
        <w:rPr>
          <w:rFonts w:ascii="Times New Roman" w:hAnsi="Times New Roman" w:cs="Times New Roman"/>
        </w:rPr>
        <w:t xml:space="preserve">, dvojito zaslepenej, placebom kontrolovanej, </w:t>
      </w:r>
      <w:proofErr w:type="spellStart"/>
      <w:r w:rsidRPr="001B39EF">
        <w:rPr>
          <w:rFonts w:ascii="Times New Roman" w:hAnsi="Times New Roman" w:cs="Times New Roman"/>
        </w:rPr>
        <w:t>multicentrickej</w:t>
      </w:r>
      <w:proofErr w:type="spellEnd"/>
      <w:r w:rsidRPr="001B39EF">
        <w:rPr>
          <w:rFonts w:ascii="Times New Roman" w:hAnsi="Times New Roman" w:cs="Times New Roman"/>
        </w:rPr>
        <w:t xml:space="preserve"> štúdii. Pacientom (N = 435) s lokálne pokročilým a/alebo metastatickým RCC bola náhodne pridelená liečba </w:t>
      </w:r>
      <w:proofErr w:type="spellStart"/>
      <w:r w:rsidRPr="001B39EF">
        <w:rPr>
          <w:rFonts w:ascii="Times New Roman" w:hAnsi="Times New Roman" w:cs="Times New Roman"/>
        </w:rPr>
        <w:t>pazopanibom</w:t>
      </w:r>
      <w:proofErr w:type="spellEnd"/>
      <w:r w:rsidRPr="001B39EF">
        <w:rPr>
          <w:rFonts w:ascii="Times New Roman" w:hAnsi="Times New Roman" w:cs="Times New Roman"/>
        </w:rPr>
        <w:t xml:space="preserve"> v dávke 800 mg jedenkrát denne alebo bolo podávané placebo. Primárny cieľ štúdie bol vyhodnotiť a porovnať dve liečebné skupiny s ohľadom na prežívanie bez progresie ochorenia (</w:t>
      </w:r>
      <w:proofErr w:type="spellStart"/>
      <w:r w:rsidRPr="001B39EF">
        <w:rPr>
          <w:rFonts w:ascii="Times New Roman" w:hAnsi="Times New Roman" w:cs="Times New Roman"/>
        </w:rPr>
        <w:t>progression-free</w:t>
      </w:r>
      <w:proofErr w:type="spellEnd"/>
      <w:r w:rsidRPr="001B39EF">
        <w:rPr>
          <w:rFonts w:ascii="Times New Roman" w:hAnsi="Times New Roman" w:cs="Times New Roman"/>
        </w:rPr>
        <w:t xml:space="preserve"> </w:t>
      </w:r>
      <w:proofErr w:type="spellStart"/>
      <w:r w:rsidRPr="001B39EF">
        <w:rPr>
          <w:rFonts w:ascii="Times New Roman" w:hAnsi="Times New Roman" w:cs="Times New Roman"/>
        </w:rPr>
        <w:t>survival</w:t>
      </w:r>
      <w:proofErr w:type="spellEnd"/>
      <w:r w:rsidRPr="001B39EF">
        <w:rPr>
          <w:rFonts w:ascii="Times New Roman" w:hAnsi="Times New Roman" w:cs="Times New Roman"/>
        </w:rPr>
        <w:t>, PFS) a hlavným sekundárnym cieľovým ukazovateľom bolo celkové prežívanie (</w:t>
      </w:r>
      <w:proofErr w:type="spellStart"/>
      <w:r w:rsidRPr="001B39EF">
        <w:rPr>
          <w:rFonts w:ascii="Times New Roman" w:hAnsi="Times New Roman" w:cs="Times New Roman"/>
        </w:rPr>
        <w:t>overall</w:t>
      </w:r>
      <w:proofErr w:type="spellEnd"/>
      <w:r w:rsidRPr="001B39EF">
        <w:rPr>
          <w:rFonts w:ascii="Times New Roman" w:hAnsi="Times New Roman" w:cs="Times New Roman"/>
        </w:rPr>
        <w:t xml:space="preserve"> </w:t>
      </w:r>
      <w:proofErr w:type="spellStart"/>
      <w:r w:rsidRPr="001B39EF">
        <w:rPr>
          <w:rFonts w:ascii="Times New Roman" w:hAnsi="Times New Roman" w:cs="Times New Roman"/>
        </w:rPr>
        <w:t>survival</w:t>
      </w:r>
      <w:proofErr w:type="spellEnd"/>
      <w:r w:rsidRPr="001B39EF">
        <w:rPr>
          <w:rFonts w:ascii="Times New Roman" w:hAnsi="Times New Roman" w:cs="Times New Roman"/>
        </w:rPr>
        <w:t>, OS). Ďalšími parametrami bolo hodnotenie výskytu celkovej odpovede na liečbu a trvanie odpovede na liečbu.</w:t>
      </w:r>
    </w:p>
    <w:p w14:paraId="068914CC" w14:textId="77777777" w:rsidR="001B39EF" w:rsidRPr="00E65626" w:rsidRDefault="001B39EF" w:rsidP="001B39EF">
      <w:pPr>
        <w:spacing w:after="0"/>
        <w:jc w:val="both"/>
        <w:rPr>
          <w:rFonts w:ascii="Times New Roman" w:hAnsi="Times New Roman" w:cs="Times New Roman"/>
        </w:rPr>
      </w:pPr>
    </w:p>
    <w:p w14:paraId="53EF9BF1" w14:textId="4EC8ED43" w:rsidR="00E65626" w:rsidRDefault="001B39EF" w:rsidP="00531CFF">
      <w:pPr>
        <w:spacing w:after="0" w:line="240" w:lineRule="auto"/>
        <w:rPr>
          <w:rFonts w:ascii="Times New Roman" w:hAnsi="Times New Roman" w:cs="Times New Roman"/>
        </w:rPr>
      </w:pPr>
      <w:r w:rsidRPr="001B39EF">
        <w:rPr>
          <w:rFonts w:ascii="Times New Roman" w:hAnsi="Times New Roman" w:cs="Times New Roman"/>
        </w:rPr>
        <w:t>Z celkového počtu 435 pacientov v tejto štúdii bolo 233 pacientov bez predchádzajúcej liečby a 202 podstupovalo druhú líniu liečby po absolvovaní jednej predchádzajúcej liečby založenej na IL-2 alebo INF</w:t>
      </w:r>
      <w:r w:rsidR="00BE5FB2">
        <w:rPr>
          <w:rFonts w:ascii="Times New Roman" w:hAnsi="Times New Roman" w:cs="Times New Roman"/>
        </w:rPr>
        <w:t>-</w:t>
      </w:r>
      <w:r w:rsidRPr="001B39EF">
        <w:rPr>
          <w:rFonts w:ascii="Times New Roman" w:hAnsi="Times New Roman" w:cs="Times New Roman"/>
        </w:rPr>
        <w:t xml:space="preserve">α. Výkonnostný stav (ECOG) bol v skupine s </w:t>
      </w:r>
      <w:proofErr w:type="spellStart"/>
      <w:r w:rsidRPr="001B39EF">
        <w:rPr>
          <w:rFonts w:ascii="Times New Roman" w:hAnsi="Times New Roman" w:cs="Times New Roman"/>
        </w:rPr>
        <w:t>pazopanibom</w:t>
      </w:r>
      <w:proofErr w:type="spellEnd"/>
      <w:r w:rsidRPr="001B39EF">
        <w:rPr>
          <w:rFonts w:ascii="Times New Roman" w:hAnsi="Times New Roman" w:cs="Times New Roman"/>
        </w:rPr>
        <w:t xml:space="preserve"> a v skupine s placebom podobný </w:t>
      </w:r>
      <w:r w:rsidR="00E65626" w:rsidRPr="00E65626">
        <w:rPr>
          <w:rFonts w:ascii="Times New Roman" w:hAnsi="Times New Roman" w:cs="Times New Roman"/>
        </w:rPr>
        <w:t xml:space="preserve"> </w:t>
      </w:r>
      <w:r w:rsidRPr="001B39EF">
        <w:rPr>
          <w:rFonts w:ascii="Times New Roman" w:hAnsi="Times New Roman" w:cs="Times New Roman"/>
        </w:rPr>
        <w:t xml:space="preserve">(ECOG 0: 42 % oproti 41 %, ECOG 1: 58 % oproti 59 %). Väčšina pacientov mala buď priaznivé (39 %) alebo </w:t>
      </w:r>
      <w:proofErr w:type="spellStart"/>
      <w:r w:rsidRPr="001B39EF">
        <w:rPr>
          <w:rFonts w:ascii="Times New Roman" w:hAnsi="Times New Roman" w:cs="Times New Roman"/>
        </w:rPr>
        <w:t>intermediárne</w:t>
      </w:r>
      <w:proofErr w:type="spellEnd"/>
      <w:r w:rsidRPr="001B39EF">
        <w:rPr>
          <w:rFonts w:ascii="Times New Roman" w:hAnsi="Times New Roman" w:cs="Times New Roman"/>
        </w:rPr>
        <w:t xml:space="preserve"> (54 %) prognostické faktory podľa MSKCC (</w:t>
      </w:r>
      <w:proofErr w:type="spellStart"/>
      <w:r w:rsidRPr="001B39EF">
        <w:rPr>
          <w:rFonts w:ascii="Times New Roman" w:hAnsi="Times New Roman" w:cs="Times New Roman"/>
        </w:rPr>
        <w:t>Memorial</w:t>
      </w:r>
      <w:proofErr w:type="spellEnd"/>
      <w:r w:rsidRPr="001B39EF">
        <w:rPr>
          <w:rFonts w:ascii="Times New Roman" w:hAnsi="Times New Roman" w:cs="Times New Roman"/>
        </w:rPr>
        <w:t xml:space="preserve"> </w:t>
      </w:r>
      <w:proofErr w:type="spellStart"/>
      <w:r w:rsidRPr="001B39EF">
        <w:rPr>
          <w:rFonts w:ascii="Times New Roman" w:hAnsi="Times New Roman" w:cs="Times New Roman"/>
        </w:rPr>
        <w:t>Sloan</w:t>
      </w:r>
      <w:proofErr w:type="spellEnd"/>
      <w:r w:rsidRPr="001B39EF">
        <w:rPr>
          <w:rFonts w:ascii="Times New Roman" w:hAnsi="Times New Roman" w:cs="Times New Roman"/>
        </w:rPr>
        <w:t xml:space="preserve"> </w:t>
      </w:r>
      <w:proofErr w:type="spellStart"/>
      <w:r w:rsidRPr="001B39EF">
        <w:rPr>
          <w:rFonts w:ascii="Times New Roman" w:hAnsi="Times New Roman" w:cs="Times New Roman"/>
        </w:rPr>
        <w:t>Kettering</w:t>
      </w:r>
      <w:proofErr w:type="spellEnd"/>
      <w:r w:rsidRPr="001B39EF">
        <w:rPr>
          <w:rFonts w:ascii="Times New Roman" w:hAnsi="Times New Roman" w:cs="Times New Roman"/>
        </w:rPr>
        <w:t xml:space="preserve"> </w:t>
      </w:r>
      <w:proofErr w:type="spellStart"/>
      <w:r w:rsidRPr="001B39EF">
        <w:rPr>
          <w:rFonts w:ascii="Times New Roman" w:hAnsi="Times New Roman" w:cs="Times New Roman"/>
        </w:rPr>
        <w:t>Cancer</w:t>
      </w:r>
      <w:proofErr w:type="spellEnd"/>
      <w:r w:rsidRPr="001B39EF">
        <w:rPr>
          <w:rFonts w:ascii="Times New Roman" w:hAnsi="Times New Roman" w:cs="Times New Roman"/>
        </w:rPr>
        <w:t xml:space="preserve"> Centre)/</w:t>
      </w:r>
      <w:proofErr w:type="spellStart"/>
      <w:r w:rsidRPr="001B39EF">
        <w:rPr>
          <w:rFonts w:ascii="Times New Roman" w:hAnsi="Times New Roman" w:cs="Times New Roman"/>
        </w:rPr>
        <w:t>Motzerových</w:t>
      </w:r>
      <w:proofErr w:type="spellEnd"/>
      <w:r w:rsidRPr="001B39EF">
        <w:rPr>
          <w:rFonts w:ascii="Times New Roman" w:hAnsi="Times New Roman" w:cs="Times New Roman"/>
        </w:rPr>
        <w:t xml:space="preserve"> kritérií. Všetci pacienti mali histologicky potvrdený </w:t>
      </w:r>
      <w:proofErr w:type="spellStart"/>
      <w:r w:rsidRPr="001B39EF">
        <w:rPr>
          <w:rFonts w:ascii="Times New Roman" w:hAnsi="Times New Roman" w:cs="Times New Roman"/>
        </w:rPr>
        <w:t>svetlobunkový</w:t>
      </w:r>
      <w:proofErr w:type="spellEnd"/>
      <w:r w:rsidRPr="001B39EF">
        <w:rPr>
          <w:rFonts w:ascii="Times New Roman" w:hAnsi="Times New Roman" w:cs="Times New Roman"/>
        </w:rPr>
        <w:t xml:space="preserve"> karcinóm alebo prevažne </w:t>
      </w:r>
      <w:proofErr w:type="spellStart"/>
      <w:r w:rsidRPr="001B39EF">
        <w:rPr>
          <w:rFonts w:ascii="Times New Roman" w:hAnsi="Times New Roman" w:cs="Times New Roman"/>
        </w:rPr>
        <w:t>svetlobunkový</w:t>
      </w:r>
      <w:proofErr w:type="spellEnd"/>
      <w:r w:rsidRPr="001B39EF">
        <w:rPr>
          <w:rFonts w:ascii="Times New Roman" w:hAnsi="Times New Roman" w:cs="Times New Roman"/>
        </w:rPr>
        <w:t xml:space="preserve"> karcinóm. Približne polovica všetkých pacientov mala ochorením postihnuté 3 alebo viacej orgánov a väčšina pacientov mala pred začatím liečby metastázy ochorenia lokalizované v pľúcach (74 %) a/alebo v lymfatických uzlinách (54 %).</w:t>
      </w:r>
    </w:p>
    <w:p w14:paraId="577FB82E" w14:textId="77777777" w:rsidR="00C12C8E" w:rsidRPr="00E65626" w:rsidRDefault="00C12C8E" w:rsidP="00531CFF">
      <w:pPr>
        <w:spacing w:after="0" w:line="240" w:lineRule="auto"/>
        <w:rPr>
          <w:rFonts w:ascii="Times New Roman" w:hAnsi="Times New Roman" w:cs="Times New Roman"/>
        </w:rPr>
      </w:pPr>
    </w:p>
    <w:p w14:paraId="2A3E517B" w14:textId="77777777" w:rsidR="00E65626" w:rsidRDefault="001B39EF" w:rsidP="00531CFF">
      <w:pPr>
        <w:spacing w:after="0" w:line="240" w:lineRule="auto"/>
        <w:rPr>
          <w:rFonts w:ascii="Times New Roman" w:hAnsi="Times New Roman" w:cs="Times New Roman"/>
        </w:rPr>
      </w:pPr>
      <w:r w:rsidRPr="001B39EF">
        <w:rPr>
          <w:rFonts w:ascii="Times New Roman" w:hAnsi="Times New Roman" w:cs="Times New Roman"/>
        </w:rPr>
        <w:t xml:space="preserve">V oboch liečebných skupinách bolo podobné percento pacientov bez predchádzajúcej liečby a pacientov po predchádzajúcej liečbe cytokínmi (53 % a 47 % v skupine s </w:t>
      </w:r>
      <w:proofErr w:type="spellStart"/>
      <w:r w:rsidRPr="001B39EF">
        <w:rPr>
          <w:rFonts w:ascii="Times New Roman" w:hAnsi="Times New Roman" w:cs="Times New Roman"/>
        </w:rPr>
        <w:t>pazopanibom</w:t>
      </w:r>
      <w:proofErr w:type="spellEnd"/>
      <w:r w:rsidRPr="001B39EF">
        <w:rPr>
          <w:rFonts w:ascii="Times New Roman" w:hAnsi="Times New Roman" w:cs="Times New Roman"/>
        </w:rPr>
        <w:t xml:space="preserve">, 54 % a 46 % v skupine s placebom). V podskupine po predchádzajúcej liečbe cytokínmi väčšina pacientov (75 %) podstúpila liečbu založenú na </w:t>
      </w:r>
      <w:proofErr w:type="spellStart"/>
      <w:r w:rsidRPr="001B39EF">
        <w:rPr>
          <w:rFonts w:ascii="Times New Roman" w:hAnsi="Times New Roman" w:cs="Times New Roman"/>
        </w:rPr>
        <w:t>interferóne</w:t>
      </w:r>
      <w:proofErr w:type="spellEnd"/>
      <w:r w:rsidRPr="001B39EF">
        <w:rPr>
          <w:rFonts w:ascii="Times New Roman" w:hAnsi="Times New Roman" w:cs="Times New Roman"/>
        </w:rPr>
        <w:t xml:space="preserve">. </w:t>
      </w:r>
      <w:r w:rsidR="00E65626" w:rsidRPr="00E65626">
        <w:rPr>
          <w:rFonts w:ascii="Times New Roman" w:hAnsi="Times New Roman" w:cs="Times New Roman"/>
        </w:rPr>
        <w:t xml:space="preserve"> </w:t>
      </w:r>
    </w:p>
    <w:p w14:paraId="008D6AE5" w14:textId="77777777" w:rsidR="00C12C8E" w:rsidRPr="00E65626" w:rsidRDefault="00C12C8E" w:rsidP="00531CFF">
      <w:pPr>
        <w:spacing w:after="0" w:line="240" w:lineRule="auto"/>
        <w:rPr>
          <w:rFonts w:ascii="Times New Roman" w:hAnsi="Times New Roman" w:cs="Times New Roman"/>
        </w:rPr>
      </w:pPr>
    </w:p>
    <w:p w14:paraId="33C8A8DC" w14:textId="77777777" w:rsidR="001B39EF" w:rsidRDefault="001B39EF" w:rsidP="00531CFF">
      <w:pPr>
        <w:spacing w:after="0" w:line="240" w:lineRule="auto"/>
        <w:rPr>
          <w:rFonts w:ascii="Times New Roman" w:hAnsi="Times New Roman" w:cs="Times New Roman"/>
        </w:rPr>
      </w:pPr>
      <w:r w:rsidRPr="001B39EF">
        <w:rPr>
          <w:rFonts w:ascii="Times New Roman" w:hAnsi="Times New Roman" w:cs="Times New Roman"/>
        </w:rPr>
        <w:t xml:space="preserve">V oboch liečebných skupinách bolo podobné percento pacientov, ktorí v predchádzajúcom období podstúpili </w:t>
      </w:r>
      <w:proofErr w:type="spellStart"/>
      <w:r w:rsidRPr="001B39EF">
        <w:rPr>
          <w:rFonts w:ascii="Times New Roman" w:hAnsi="Times New Roman" w:cs="Times New Roman"/>
        </w:rPr>
        <w:t>nefrektómiu</w:t>
      </w:r>
      <w:proofErr w:type="spellEnd"/>
      <w:r w:rsidRPr="001B39EF">
        <w:rPr>
          <w:rFonts w:ascii="Times New Roman" w:hAnsi="Times New Roman" w:cs="Times New Roman"/>
        </w:rPr>
        <w:t xml:space="preserve"> (89 % v skupine s </w:t>
      </w:r>
      <w:proofErr w:type="spellStart"/>
      <w:r w:rsidRPr="001B39EF">
        <w:rPr>
          <w:rFonts w:ascii="Times New Roman" w:hAnsi="Times New Roman" w:cs="Times New Roman"/>
        </w:rPr>
        <w:t>pazopanibom</w:t>
      </w:r>
      <w:proofErr w:type="spellEnd"/>
      <w:r w:rsidRPr="001B39EF">
        <w:rPr>
          <w:rFonts w:ascii="Times New Roman" w:hAnsi="Times New Roman" w:cs="Times New Roman"/>
        </w:rPr>
        <w:t xml:space="preserve"> a 88 % v skupine s placebom) a/alebo rádioterapiu (22 % v skupine s </w:t>
      </w:r>
      <w:proofErr w:type="spellStart"/>
      <w:r w:rsidRPr="001B39EF">
        <w:rPr>
          <w:rFonts w:ascii="Times New Roman" w:hAnsi="Times New Roman" w:cs="Times New Roman"/>
        </w:rPr>
        <w:t>pazopanibom</w:t>
      </w:r>
      <w:proofErr w:type="spellEnd"/>
      <w:r w:rsidRPr="001B39EF">
        <w:rPr>
          <w:rFonts w:ascii="Times New Roman" w:hAnsi="Times New Roman" w:cs="Times New Roman"/>
        </w:rPr>
        <w:t xml:space="preserve"> a 15 % v skupine s placebom). </w:t>
      </w:r>
    </w:p>
    <w:p w14:paraId="2A06101E" w14:textId="77777777" w:rsidR="00C12C8E" w:rsidRDefault="00C12C8E" w:rsidP="00531CFF">
      <w:pPr>
        <w:spacing w:after="0" w:line="240" w:lineRule="auto"/>
        <w:rPr>
          <w:rFonts w:ascii="Times New Roman" w:hAnsi="Times New Roman" w:cs="Times New Roman"/>
        </w:rPr>
      </w:pPr>
    </w:p>
    <w:p w14:paraId="3402DD35" w14:textId="77777777" w:rsidR="00863C92" w:rsidRDefault="00863C92" w:rsidP="00863C92">
      <w:pPr>
        <w:tabs>
          <w:tab w:val="left" w:pos="1134"/>
        </w:tabs>
        <w:spacing w:after="0"/>
        <w:ind w:left="1134" w:hanging="1134"/>
        <w:jc w:val="both"/>
        <w:rPr>
          <w:rFonts w:ascii="Times New Roman" w:hAnsi="Times New Roman" w:cs="Times New Roman"/>
        </w:rPr>
      </w:pPr>
      <w:r w:rsidRPr="00863C92">
        <w:rPr>
          <w:rFonts w:ascii="Times New Roman" w:hAnsi="Times New Roman" w:cs="Times New Roman"/>
        </w:rPr>
        <w:t xml:space="preserve">Primárna analýza primárneho cieľového ukazovateľa PFS je </w:t>
      </w:r>
      <w:r>
        <w:rPr>
          <w:rFonts w:ascii="Times New Roman" w:hAnsi="Times New Roman" w:cs="Times New Roman"/>
        </w:rPr>
        <w:t>založená na hodnotení ochorenia</w:t>
      </w:r>
    </w:p>
    <w:p w14:paraId="6CED198F" w14:textId="77777777" w:rsidR="00863C92" w:rsidRDefault="00863C92" w:rsidP="00863C92">
      <w:pPr>
        <w:tabs>
          <w:tab w:val="left" w:pos="1134"/>
        </w:tabs>
        <w:spacing w:after="0"/>
        <w:ind w:left="1134" w:hanging="1134"/>
        <w:jc w:val="both"/>
        <w:rPr>
          <w:rFonts w:ascii="Times New Roman" w:hAnsi="Times New Roman" w:cs="Times New Roman"/>
        </w:rPr>
      </w:pPr>
      <w:r w:rsidRPr="00863C92">
        <w:rPr>
          <w:rFonts w:ascii="Times New Roman" w:hAnsi="Times New Roman" w:cs="Times New Roman"/>
        </w:rPr>
        <w:t>prostredníctvom nezávislej rádiologickej analýzy v celej sle</w:t>
      </w:r>
      <w:r>
        <w:rPr>
          <w:rFonts w:ascii="Times New Roman" w:hAnsi="Times New Roman" w:cs="Times New Roman"/>
        </w:rPr>
        <w:t>dovanej populácii (pacienti bez</w:t>
      </w:r>
    </w:p>
    <w:p w14:paraId="5EFA84F3" w14:textId="77777777" w:rsidR="00863C92" w:rsidRDefault="00863C92" w:rsidP="00863C92">
      <w:pPr>
        <w:tabs>
          <w:tab w:val="left" w:pos="1134"/>
        </w:tabs>
        <w:spacing w:after="0"/>
        <w:ind w:left="1134" w:hanging="1134"/>
        <w:jc w:val="both"/>
        <w:rPr>
          <w:rFonts w:ascii="Times New Roman" w:hAnsi="Times New Roman" w:cs="Times New Roman"/>
        </w:rPr>
      </w:pPr>
      <w:r w:rsidRPr="00863C92">
        <w:rPr>
          <w:rFonts w:ascii="Times New Roman" w:hAnsi="Times New Roman" w:cs="Times New Roman"/>
        </w:rPr>
        <w:t xml:space="preserve">predchádzajúcej liečby a pacienti po predchádzajúcej liečbe cytokínmi). </w:t>
      </w:r>
    </w:p>
    <w:p w14:paraId="1B723FA6" w14:textId="77777777" w:rsidR="00D312E1" w:rsidRDefault="00D312E1" w:rsidP="00863C92">
      <w:pPr>
        <w:tabs>
          <w:tab w:val="left" w:pos="1134"/>
        </w:tabs>
        <w:spacing w:after="0"/>
        <w:ind w:left="1134" w:hanging="1134"/>
        <w:jc w:val="both"/>
        <w:rPr>
          <w:rFonts w:ascii="Times New Roman" w:hAnsi="Times New Roman" w:cs="Times New Roman"/>
        </w:rPr>
      </w:pPr>
    </w:p>
    <w:p w14:paraId="4F0F1EBE" w14:textId="77777777" w:rsidR="00E65626" w:rsidRDefault="00DB4FB7" w:rsidP="00531CFF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</w:rPr>
      </w:pPr>
      <w:r w:rsidRPr="00DB4FB7">
        <w:rPr>
          <w:rFonts w:ascii="Times New Roman" w:hAnsi="Times New Roman" w:cs="Times New Roman"/>
          <w:b/>
          <w:bCs/>
        </w:rPr>
        <w:t>Tabuľka 4</w:t>
      </w:r>
      <w:r w:rsidR="00E65626" w:rsidRPr="00DB4FB7">
        <w:rPr>
          <w:rFonts w:ascii="Times New Roman" w:hAnsi="Times New Roman" w:cs="Times New Roman"/>
          <w:b/>
        </w:rPr>
        <w:tab/>
      </w:r>
      <w:proofErr w:type="spellStart"/>
      <w:r w:rsidRPr="00DB4FB7">
        <w:rPr>
          <w:rFonts w:ascii="Times New Roman" w:hAnsi="Times New Roman" w:cs="Times New Roman"/>
          <w:b/>
          <w:bCs/>
        </w:rPr>
        <w:t>Výsledky</w:t>
      </w:r>
      <w:proofErr w:type="spellEnd"/>
      <w:r w:rsidRPr="00DB4FB7">
        <w:rPr>
          <w:rFonts w:ascii="Times New Roman" w:hAnsi="Times New Roman" w:cs="Times New Roman"/>
          <w:b/>
          <w:bCs/>
        </w:rPr>
        <w:t xml:space="preserve"> celkovej účinnosti pri RCC podľa nezávislého hodnotenia (VEG105192)</w:t>
      </w:r>
    </w:p>
    <w:p w14:paraId="121B321F" w14:textId="77777777" w:rsidR="00DB4FB7" w:rsidRPr="00DB4FB7" w:rsidRDefault="00DB4FB7" w:rsidP="00DB4FB7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87"/>
        <w:gridCol w:w="1551"/>
        <w:gridCol w:w="1406"/>
        <w:gridCol w:w="1818"/>
        <w:gridCol w:w="1610"/>
      </w:tblGrid>
      <w:tr w:rsidR="00E65626" w:rsidRPr="00E57E67" w14:paraId="2CB53F88" w14:textId="77777777" w:rsidTr="00E65626">
        <w:tc>
          <w:tcPr>
            <w:tcW w:w="2694" w:type="dxa"/>
          </w:tcPr>
          <w:p w14:paraId="385E9399" w14:textId="77777777" w:rsidR="00E65626" w:rsidRPr="00E57E67" w:rsidRDefault="00DB4FB7" w:rsidP="00DB4FB7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Cieľové ukazovatele/Sledovaná populácia </w:t>
            </w:r>
          </w:p>
        </w:tc>
        <w:tc>
          <w:tcPr>
            <w:tcW w:w="1559" w:type="dxa"/>
          </w:tcPr>
          <w:p w14:paraId="1F51213C" w14:textId="77777777" w:rsidR="00E65626" w:rsidRPr="00E57E67" w:rsidRDefault="00E65626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b/>
                <w:sz w:val="22"/>
                <w:szCs w:val="22"/>
              </w:rPr>
            </w:pPr>
            <w:r w:rsidRPr="00E57E67">
              <w:rPr>
                <w:b/>
                <w:sz w:val="22"/>
                <w:szCs w:val="22"/>
              </w:rPr>
              <w:t>Pazopanib</w:t>
            </w:r>
          </w:p>
        </w:tc>
        <w:tc>
          <w:tcPr>
            <w:tcW w:w="1417" w:type="dxa"/>
          </w:tcPr>
          <w:p w14:paraId="0674CDAC" w14:textId="77777777" w:rsidR="00E65626" w:rsidRPr="00E57E67" w:rsidRDefault="00E65626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57E67">
              <w:rPr>
                <w:b/>
                <w:sz w:val="22"/>
                <w:szCs w:val="22"/>
              </w:rPr>
              <w:t>Placebo</w:t>
            </w:r>
          </w:p>
        </w:tc>
        <w:tc>
          <w:tcPr>
            <w:tcW w:w="1843" w:type="dxa"/>
          </w:tcPr>
          <w:p w14:paraId="4A02EEEA" w14:textId="77777777" w:rsidR="00E65626" w:rsidRPr="00E57E67" w:rsidRDefault="00DB4FB7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HR (95% </w:t>
            </w:r>
            <w:r>
              <w:rPr>
                <w:b/>
                <w:sz w:val="22"/>
                <w:szCs w:val="22"/>
                <w:lang w:val="sk-SK"/>
              </w:rPr>
              <w:t>IS</w:t>
            </w:r>
            <w:r w:rsidR="00E65626" w:rsidRPr="00E57E6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6D946005" w14:textId="77777777" w:rsidR="00DB4FB7" w:rsidRDefault="00DB4FB7" w:rsidP="00DB4FB7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P-hodnota (jednostranná) </w:t>
            </w:r>
          </w:p>
          <w:p w14:paraId="703497ED" w14:textId="77777777" w:rsidR="00E65626" w:rsidRPr="00E57E67" w:rsidRDefault="00E65626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65626" w:rsidRPr="00A06B04" w14:paraId="78E4EEDB" w14:textId="77777777" w:rsidTr="00E65626">
        <w:tc>
          <w:tcPr>
            <w:tcW w:w="2694" w:type="dxa"/>
          </w:tcPr>
          <w:p w14:paraId="4053158E" w14:textId="77777777" w:rsidR="00DB4FB7" w:rsidRPr="00DB4FB7" w:rsidRDefault="00DB4FB7" w:rsidP="00DB4FB7">
            <w:pPr>
              <w:pStyle w:val="Default"/>
              <w:rPr>
                <w:b/>
                <w:sz w:val="22"/>
                <w:szCs w:val="22"/>
              </w:rPr>
            </w:pPr>
            <w:r w:rsidRPr="00DB4FB7">
              <w:rPr>
                <w:b/>
                <w:sz w:val="22"/>
                <w:szCs w:val="22"/>
              </w:rPr>
              <w:t xml:space="preserve">PFS </w:t>
            </w:r>
          </w:p>
          <w:p w14:paraId="4E6EB78F" w14:textId="77777777" w:rsidR="00DB4FB7" w:rsidRDefault="00DB4FB7" w:rsidP="00DB4FB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Celková* ITT populácia </w:t>
            </w:r>
          </w:p>
          <w:p w14:paraId="0884D407" w14:textId="77777777" w:rsidR="00E65626" w:rsidRPr="00E40D27" w:rsidRDefault="00DB4FB7" w:rsidP="00DB4FB7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Medián (mesiace) </w:t>
            </w:r>
          </w:p>
        </w:tc>
        <w:tc>
          <w:tcPr>
            <w:tcW w:w="1559" w:type="dxa"/>
          </w:tcPr>
          <w:p w14:paraId="6AC6B34F" w14:textId="77777777" w:rsidR="00E65626" w:rsidRPr="00E40D27" w:rsidRDefault="00E65626" w:rsidP="00E65626">
            <w:pPr>
              <w:ind w:left="23" w:hanging="23"/>
              <w:rPr>
                <w:sz w:val="22"/>
                <w:szCs w:val="22"/>
              </w:rPr>
            </w:pPr>
          </w:p>
          <w:p w14:paraId="63D9C253" w14:textId="77777777" w:rsidR="00E65626" w:rsidRPr="00E40D27" w:rsidRDefault="00E65626" w:rsidP="00E65626">
            <w:pPr>
              <w:ind w:left="23" w:hanging="23"/>
              <w:jc w:val="center"/>
              <w:rPr>
                <w:sz w:val="22"/>
                <w:szCs w:val="22"/>
              </w:rPr>
            </w:pPr>
            <w:r w:rsidRPr="00E40D27">
              <w:rPr>
                <w:sz w:val="22"/>
                <w:szCs w:val="22"/>
              </w:rPr>
              <w:t>N</w:t>
            </w:r>
            <w:r w:rsidRPr="00E40D27">
              <w:rPr>
                <w:spacing w:val="-1"/>
                <w:sz w:val="22"/>
                <w:szCs w:val="22"/>
              </w:rPr>
              <w:t xml:space="preserve"> </w:t>
            </w:r>
            <w:r w:rsidRPr="00E40D27">
              <w:rPr>
                <w:sz w:val="22"/>
                <w:szCs w:val="22"/>
              </w:rPr>
              <w:t>= 290</w:t>
            </w:r>
          </w:p>
          <w:p w14:paraId="3400E842" w14:textId="77777777" w:rsidR="00E65626" w:rsidRPr="00E40D27" w:rsidRDefault="00DB4FB7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9,</w:t>
            </w:r>
            <w:r w:rsidR="00E65626" w:rsidRPr="00E40D2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1DAFA5B" w14:textId="77777777" w:rsidR="00E65626" w:rsidRPr="00E40D27" w:rsidRDefault="00E65626" w:rsidP="00E65626">
            <w:pPr>
              <w:rPr>
                <w:sz w:val="22"/>
                <w:szCs w:val="22"/>
              </w:rPr>
            </w:pPr>
          </w:p>
          <w:p w14:paraId="68C32862" w14:textId="77777777" w:rsidR="00E65626" w:rsidRPr="00E40D27" w:rsidRDefault="00E65626" w:rsidP="00E65626">
            <w:pPr>
              <w:ind w:right="235"/>
              <w:jc w:val="center"/>
              <w:rPr>
                <w:sz w:val="22"/>
                <w:szCs w:val="22"/>
              </w:rPr>
            </w:pPr>
            <w:r w:rsidRPr="00E40D27">
              <w:rPr>
                <w:sz w:val="22"/>
                <w:szCs w:val="22"/>
              </w:rPr>
              <w:t>N</w:t>
            </w:r>
            <w:r w:rsidRPr="00E40D27">
              <w:rPr>
                <w:spacing w:val="-1"/>
                <w:sz w:val="22"/>
                <w:szCs w:val="22"/>
              </w:rPr>
              <w:t xml:space="preserve"> </w:t>
            </w:r>
            <w:r w:rsidRPr="00E40D27">
              <w:rPr>
                <w:sz w:val="22"/>
                <w:szCs w:val="22"/>
              </w:rPr>
              <w:t>= 145</w:t>
            </w:r>
          </w:p>
          <w:p w14:paraId="21F121B4" w14:textId="77777777" w:rsidR="00E65626" w:rsidRPr="00E40D27" w:rsidRDefault="00DB4FB7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4,</w:t>
            </w:r>
            <w:r w:rsidR="00E65626" w:rsidRPr="00E40D2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3AA6B1A9" w14:textId="77777777" w:rsidR="00E65626" w:rsidRPr="00E40D27" w:rsidRDefault="00E65626" w:rsidP="00E65626">
            <w:pPr>
              <w:rPr>
                <w:sz w:val="22"/>
                <w:szCs w:val="22"/>
              </w:rPr>
            </w:pPr>
          </w:p>
          <w:p w14:paraId="27FA6DDF" w14:textId="77777777" w:rsidR="00E65626" w:rsidRPr="00E40D27" w:rsidRDefault="00E65626" w:rsidP="00E65626">
            <w:pPr>
              <w:rPr>
                <w:sz w:val="22"/>
                <w:szCs w:val="22"/>
              </w:rPr>
            </w:pPr>
          </w:p>
          <w:p w14:paraId="4D55D6CF" w14:textId="77777777" w:rsidR="00E65626" w:rsidRPr="00E40D27" w:rsidRDefault="00DB4FB7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0,</w:t>
            </w:r>
            <w:r w:rsidR="00E65626" w:rsidRPr="00E40D27">
              <w:rPr>
                <w:sz w:val="22"/>
                <w:szCs w:val="22"/>
              </w:rPr>
              <w:t xml:space="preserve">46 </w:t>
            </w:r>
            <w:r w:rsidR="00E65626" w:rsidRPr="00E40D27">
              <w:rPr>
                <w:spacing w:val="1"/>
                <w:sz w:val="22"/>
                <w:szCs w:val="22"/>
              </w:rPr>
              <w:t>(</w:t>
            </w:r>
            <w:r w:rsidR="00E65626" w:rsidRPr="00E40D27">
              <w:rPr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34; 0,</w:t>
            </w:r>
            <w:r w:rsidR="00E65626" w:rsidRPr="00E40D27">
              <w:rPr>
                <w:sz w:val="22"/>
                <w:szCs w:val="22"/>
              </w:rPr>
              <w:t>6</w:t>
            </w:r>
            <w:r w:rsidR="00E65626" w:rsidRPr="00E40D27">
              <w:rPr>
                <w:spacing w:val="-2"/>
                <w:sz w:val="22"/>
                <w:szCs w:val="22"/>
              </w:rPr>
              <w:t>2</w:t>
            </w:r>
            <w:r w:rsidR="00E65626" w:rsidRPr="00E40D27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11E9205" w14:textId="77777777" w:rsidR="00E65626" w:rsidRPr="00E40D27" w:rsidRDefault="00E65626" w:rsidP="00E65626">
            <w:pPr>
              <w:rPr>
                <w:sz w:val="22"/>
                <w:szCs w:val="22"/>
              </w:rPr>
            </w:pPr>
          </w:p>
          <w:p w14:paraId="3CD4CD51" w14:textId="77777777" w:rsidR="00E65626" w:rsidRPr="00E40D27" w:rsidRDefault="00E65626" w:rsidP="00E65626">
            <w:pPr>
              <w:rPr>
                <w:sz w:val="22"/>
                <w:szCs w:val="22"/>
              </w:rPr>
            </w:pPr>
          </w:p>
          <w:p w14:paraId="4AD56DDF" w14:textId="77777777" w:rsidR="00E65626" w:rsidRPr="00E40D27" w:rsidRDefault="00DB4FB7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&lt;0,</w:t>
            </w:r>
            <w:r w:rsidR="00E65626" w:rsidRPr="00E40D27">
              <w:rPr>
                <w:sz w:val="22"/>
                <w:szCs w:val="22"/>
              </w:rPr>
              <w:t>0000</w:t>
            </w:r>
            <w:r w:rsidR="00E65626" w:rsidRPr="00E40D27">
              <w:rPr>
                <w:spacing w:val="-2"/>
                <w:sz w:val="22"/>
                <w:szCs w:val="22"/>
              </w:rPr>
              <w:t>0</w:t>
            </w:r>
            <w:r w:rsidR="00E65626" w:rsidRPr="00E40D27">
              <w:rPr>
                <w:sz w:val="22"/>
                <w:szCs w:val="22"/>
              </w:rPr>
              <w:t>01</w:t>
            </w:r>
          </w:p>
        </w:tc>
      </w:tr>
      <w:tr w:rsidR="00E65626" w:rsidRPr="00A06B04" w14:paraId="3B05F90E" w14:textId="77777777" w:rsidTr="00E65626">
        <w:tc>
          <w:tcPr>
            <w:tcW w:w="2694" w:type="dxa"/>
          </w:tcPr>
          <w:p w14:paraId="01AC4884" w14:textId="77777777" w:rsidR="00DB4FB7" w:rsidRPr="00DB4FB7" w:rsidRDefault="00DB4FB7" w:rsidP="00DB4FB7">
            <w:pPr>
              <w:pStyle w:val="Default"/>
              <w:rPr>
                <w:b/>
                <w:sz w:val="22"/>
                <w:szCs w:val="22"/>
              </w:rPr>
            </w:pPr>
            <w:r w:rsidRPr="00DB4FB7">
              <w:rPr>
                <w:b/>
                <w:sz w:val="22"/>
                <w:szCs w:val="22"/>
              </w:rPr>
              <w:t xml:space="preserve">Miera odpovede na liečbu </w:t>
            </w:r>
          </w:p>
          <w:p w14:paraId="4966944B" w14:textId="7FF932F6" w:rsidR="00E65626" w:rsidRPr="00E40D27" w:rsidRDefault="00DB4FB7" w:rsidP="00DB4FB7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% (95% IS, interval spoľahlivosti) </w:t>
            </w:r>
          </w:p>
        </w:tc>
        <w:tc>
          <w:tcPr>
            <w:tcW w:w="1559" w:type="dxa"/>
          </w:tcPr>
          <w:p w14:paraId="7F53DEC1" w14:textId="77777777" w:rsidR="00E65626" w:rsidRPr="00E40D27" w:rsidRDefault="00E65626" w:rsidP="00E65626">
            <w:pPr>
              <w:ind w:left="23" w:hanging="23"/>
              <w:jc w:val="center"/>
              <w:rPr>
                <w:sz w:val="22"/>
                <w:szCs w:val="22"/>
              </w:rPr>
            </w:pPr>
            <w:r w:rsidRPr="00E40D27">
              <w:rPr>
                <w:sz w:val="22"/>
                <w:szCs w:val="22"/>
              </w:rPr>
              <w:t>N</w:t>
            </w:r>
            <w:r w:rsidRPr="00E40D27">
              <w:rPr>
                <w:spacing w:val="-1"/>
                <w:sz w:val="22"/>
                <w:szCs w:val="22"/>
              </w:rPr>
              <w:t xml:space="preserve"> </w:t>
            </w:r>
            <w:r w:rsidRPr="00E40D27">
              <w:rPr>
                <w:sz w:val="22"/>
                <w:szCs w:val="22"/>
              </w:rPr>
              <w:t>= 290</w:t>
            </w:r>
          </w:p>
          <w:p w14:paraId="4F959D54" w14:textId="77777777" w:rsidR="00E65626" w:rsidRPr="00E40D27" w:rsidRDefault="00E65626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  <w:highlight w:val="yellow"/>
              </w:rPr>
            </w:pPr>
            <w:r w:rsidRPr="00E40D27">
              <w:rPr>
                <w:sz w:val="22"/>
                <w:szCs w:val="22"/>
              </w:rPr>
              <w:t xml:space="preserve">30 </w:t>
            </w:r>
            <w:r w:rsidRPr="00E40D27">
              <w:rPr>
                <w:spacing w:val="1"/>
                <w:sz w:val="22"/>
                <w:szCs w:val="22"/>
              </w:rPr>
              <w:t>(</w:t>
            </w:r>
            <w:r w:rsidR="00DB4FB7">
              <w:rPr>
                <w:sz w:val="22"/>
                <w:szCs w:val="22"/>
              </w:rPr>
              <w:t>25,</w:t>
            </w:r>
            <w:r w:rsidRPr="00E40D27">
              <w:rPr>
                <w:spacing w:val="-2"/>
                <w:sz w:val="22"/>
                <w:szCs w:val="22"/>
              </w:rPr>
              <w:t>1</w:t>
            </w:r>
            <w:r w:rsidR="00DB4FB7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="00DB4FB7">
              <w:rPr>
                <w:sz w:val="22"/>
                <w:szCs w:val="22"/>
              </w:rPr>
              <w:t>35,</w:t>
            </w:r>
            <w:r w:rsidRPr="00E40D27">
              <w:rPr>
                <w:spacing w:val="-2"/>
                <w:sz w:val="22"/>
                <w:szCs w:val="22"/>
              </w:rPr>
              <w:t>6</w:t>
            </w:r>
            <w:r w:rsidRPr="00E40D27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9C18C3D" w14:textId="77777777" w:rsidR="00E65626" w:rsidRPr="00E40D27" w:rsidRDefault="00E65626" w:rsidP="00E65626">
            <w:pPr>
              <w:ind w:right="235"/>
              <w:jc w:val="center"/>
              <w:rPr>
                <w:sz w:val="22"/>
                <w:szCs w:val="22"/>
              </w:rPr>
            </w:pPr>
            <w:r w:rsidRPr="00E40D27">
              <w:rPr>
                <w:sz w:val="22"/>
                <w:szCs w:val="22"/>
              </w:rPr>
              <w:t>N</w:t>
            </w:r>
            <w:r w:rsidRPr="00E40D27">
              <w:rPr>
                <w:spacing w:val="-1"/>
                <w:sz w:val="22"/>
                <w:szCs w:val="22"/>
              </w:rPr>
              <w:t xml:space="preserve"> </w:t>
            </w:r>
            <w:r w:rsidRPr="00E40D27">
              <w:rPr>
                <w:sz w:val="22"/>
                <w:szCs w:val="22"/>
              </w:rPr>
              <w:t>= 145</w:t>
            </w:r>
          </w:p>
          <w:p w14:paraId="512DC924" w14:textId="77777777" w:rsidR="00E65626" w:rsidRPr="00E40D27" w:rsidRDefault="00E65626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E40D27">
              <w:rPr>
                <w:sz w:val="22"/>
                <w:szCs w:val="22"/>
              </w:rPr>
              <w:t xml:space="preserve">3 </w:t>
            </w:r>
            <w:r w:rsidRPr="00E40D27">
              <w:rPr>
                <w:spacing w:val="1"/>
                <w:sz w:val="22"/>
                <w:szCs w:val="22"/>
              </w:rPr>
              <w:t>(</w:t>
            </w:r>
            <w:r w:rsidR="00DB4FB7">
              <w:rPr>
                <w:sz w:val="22"/>
                <w:szCs w:val="22"/>
              </w:rPr>
              <w:t>0,5;</w:t>
            </w:r>
            <w:r w:rsidRPr="00E40D27">
              <w:rPr>
                <w:sz w:val="22"/>
                <w:szCs w:val="22"/>
              </w:rPr>
              <w:t xml:space="preserve"> </w:t>
            </w:r>
            <w:r w:rsidRPr="00E40D27">
              <w:rPr>
                <w:spacing w:val="-2"/>
                <w:sz w:val="22"/>
                <w:szCs w:val="22"/>
              </w:rPr>
              <w:t>6</w:t>
            </w:r>
            <w:r w:rsidR="00DB4FB7">
              <w:rPr>
                <w:sz w:val="22"/>
                <w:szCs w:val="22"/>
              </w:rPr>
              <w:t>,</w:t>
            </w:r>
            <w:r w:rsidRPr="00E40D27">
              <w:rPr>
                <w:sz w:val="22"/>
                <w:szCs w:val="22"/>
              </w:rPr>
              <w:t>4)</w:t>
            </w:r>
          </w:p>
        </w:tc>
        <w:tc>
          <w:tcPr>
            <w:tcW w:w="1843" w:type="dxa"/>
          </w:tcPr>
          <w:p w14:paraId="648A40C5" w14:textId="77777777" w:rsidR="00E65626" w:rsidRPr="00E40D27" w:rsidRDefault="00E65626" w:rsidP="00E65626">
            <w:pPr>
              <w:rPr>
                <w:sz w:val="22"/>
                <w:szCs w:val="22"/>
              </w:rPr>
            </w:pPr>
          </w:p>
          <w:p w14:paraId="26E3A57A" w14:textId="77777777" w:rsidR="00E65626" w:rsidRPr="00E40D27" w:rsidRDefault="00E65626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E40D27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</w:tcPr>
          <w:p w14:paraId="064FFFFB" w14:textId="77777777" w:rsidR="00E65626" w:rsidRPr="00E40D27" w:rsidRDefault="00E65626" w:rsidP="00E65626">
            <w:pPr>
              <w:rPr>
                <w:sz w:val="22"/>
                <w:szCs w:val="22"/>
              </w:rPr>
            </w:pPr>
          </w:p>
          <w:p w14:paraId="461BFEAC" w14:textId="77777777" w:rsidR="00E65626" w:rsidRPr="00E40D27" w:rsidRDefault="00DB4FB7" w:rsidP="00E65626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&lt;0,</w:t>
            </w:r>
            <w:r w:rsidR="00E65626" w:rsidRPr="00E40D27">
              <w:rPr>
                <w:sz w:val="22"/>
                <w:szCs w:val="22"/>
              </w:rPr>
              <w:t>001</w:t>
            </w:r>
          </w:p>
        </w:tc>
      </w:tr>
      <w:tr w:rsidR="00E65626" w:rsidRPr="003A2F9E" w14:paraId="0C2AE5FE" w14:textId="77777777" w:rsidTr="00E65626">
        <w:tc>
          <w:tcPr>
            <w:tcW w:w="9072" w:type="dxa"/>
            <w:gridSpan w:val="5"/>
          </w:tcPr>
          <w:p w14:paraId="6F306F7D" w14:textId="77158F0C" w:rsidR="00DB4FB7" w:rsidRDefault="00DB4FB7" w:rsidP="00DB4FB7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</w:pPr>
            <w:r>
              <w:t>HR=pomer rizík (hazard ratio); ITT=populácia všetkých randomizovaných pacientov (intention to treat); PFS=prežívanie bez progresie ochorenia</w:t>
            </w:r>
            <w:r w:rsidR="00D312E1">
              <w:rPr>
                <w:lang w:val="sk-SK"/>
              </w:rPr>
              <w:t xml:space="preserve"> (</w:t>
            </w:r>
            <w:r w:rsidR="00D312E1">
              <w:t>progression-free survival</w:t>
            </w:r>
            <w:r w:rsidR="00D312E1">
              <w:rPr>
                <w:lang w:val="sk-SK"/>
              </w:rPr>
              <w:t>)</w:t>
            </w:r>
            <w:r>
              <w:t>.</w:t>
            </w:r>
          </w:p>
          <w:p w14:paraId="303213B5" w14:textId="77777777" w:rsidR="00E65626" w:rsidRPr="003A2F9E" w:rsidRDefault="00DB4FB7" w:rsidP="00DB4FB7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>
              <w:t>* - pacienti bez predchádzajúcej liečby a pacienti po predchádzajúcej liečbe cytokínmi.</w:t>
            </w:r>
          </w:p>
        </w:tc>
      </w:tr>
    </w:tbl>
    <w:p w14:paraId="64C5EF94" w14:textId="77777777" w:rsidR="00E65626" w:rsidRPr="00DF1788" w:rsidRDefault="00E65626" w:rsidP="00E6562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1884E459" w14:textId="09B5DC3F" w:rsidR="00E65626" w:rsidRPr="00774E48" w:rsidRDefault="00774E48" w:rsidP="00E65626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</w:rPr>
      </w:pPr>
      <w:r w:rsidRPr="00774E48">
        <w:rPr>
          <w:rFonts w:ascii="Times New Roman" w:hAnsi="Times New Roman" w:cs="Times New Roman"/>
          <w:b/>
          <w:bCs/>
        </w:rPr>
        <w:t xml:space="preserve">Graf 1 </w:t>
      </w:r>
      <w:r w:rsidRPr="00774E48">
        <w:rPr>
          <w:rFonts w:ascii="Times New Roman" w:hAnsi="Times New Roman" w:cs="Times New Roman"/>
          <w:b/>
          <w:bCs/>
        </w:rPr>
        <w:tab/>
      </w:r>
      <w:proofErr w:type="spellStart"/>
      <w:r w:rsidRPr="00774E48">
        <w:rPr>
          <w:rFonts w:ascii="Times New Roman" w:hAnsi="Times New Roman" w:cs="Times New Roman"/>
          <w:b/>
          <w:bCs/>
        </w:rPr>
        <w:t>Kaplanova-Meierova</w:t>
      </w:r>
      <w:proofErr w:type="spellEnd"/>
      <w:r w:rsidRPr="00774E48">
        <w:rPr>
          <w:rFonts w:ascii="Times New Roman" w:hAnsi="Times New Roman" w:cs="Times New Roman"/>
          <w:b/>
          <w:bCs/>
        </w:rPr>
        <w:t xml:space="preserve"> krivka prežívania bez progresie ochorenia podľa nezávislej </w:t>
      </w:r>
      <w:proofErr w:type="spellStart"/>
      <w:r w:rsidRPr="00774E48">
        <w:rPr>
          <w:rFonts w:ascii="Times New Roman" w:hAnsi="Times New Roman" w:cs="Times New Roman"/>
          <w:b/>
          <w:bCs/>
        </w:rPr>
        <w:t>analýzy</w:t>
      </w:r>
      <w:proofErr w:type="spellEnd"/>
      <w:r w:rsidRPr="00774E48">
        <w:rPr>
          <w:rFonts w:ascii="Times New Roman" w:hAnsi="Times New Roman" w:cs="Times New Roman"/>
          <w:b/>
          <w:bCs/>
        </w:rPr>
        <w:t xml:space="preserve"> celej sledovanej populácie (pacienti bez predchádzajúcej liečby a pacienti po predchádzajúcej liečbe cytokínmi) (VEG105192)</w:t>
      </w:r>
    </w:p>
    <w:p w14:paraId="3D38ED2B" w14:textId="77777777" w:rsidR="00E65626" w:rsidRPr="00DF1788" w:rsidRDefault="00E65626" w:rsidP="00E65626">
      <w:pPr>
        <w:widowControl w:val="0"/>
        <w:autoSpaceDE w:val="0"/>
        <w:autoSpaceDN w:val="0"/>
        <w:adjustRightInd w:val="0"/>
        <w:jc w:val="center"/>
      </w:pPr>
      <w:r w:rsidRPr="00DF1788">
        <w:rPr>
          <w:noProof/>
          <w:lang w:eastAsia="sk-SK"/>
        </w:rPr>
        <w:lastRenderedPageBreak/>
        <w:drawing>
          <wp:inline distT="0" distB="0" distL="0" distR="0" wp14:anchorId="136C9896" wp14:editId="4826807E">
            <wp:extent cx="4702810" cy="22409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80800" w14:textId="24D61F93" w:rsidR="00831F1F" w:rsidRDefault="00774E48" w:rsidP="00531CFF">
      <w:pPr>
        <w:tabs>
          <w:tab w:val="left" w:pos="1134"/>
        </w:tabs>
        <w:jc w:val="both"/>
        <w:rPr>
          <w:rFonts w:ascii="Times New Roman" w:hAnsi="Times New Roman" w:cs="Times New Roman"/>
          <w:b/>
        </w:rPr>
      </w:pP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os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x; </w:t>
      </w: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Mesiace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os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y; </w:t>
      </w: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Podiel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pacientov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bez </w:t>
      </w: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progresie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ochorenia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Pazopanib —―— (N = 290), </w:t>
      </w: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Medián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9,2 </w:t>
      </w: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mesiaca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; Placebo -------- (N = 145), </w:t>
      </w: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Medián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4,2 </w:t>
      </w: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mesiaca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; Pomer </w:t>
      </w:r>
      <w:proofErr w:type="spellStart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>rizík</w:t>
      </w:r>
      <w:proofErr w:type="spellEnd"/>
      <w:r w:rsidRPr="00774E4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= 0,46; 95% IS (0,34; 0,62), P &lt; 0,0000001</w:t>
      </w:r>
    </w:p>
    <w:p w14:paraId="14A7AD50" w14:textId="77777777" w:rsidR="00DB4FB7" w:rsidRPr="00774E48" w:rsidRDefault="00774E48" w:rsidP="00DB4FB7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</w:rPr>
      </w:pPr>
      <w:r w:rsidRPr="00774E48">
        <w:rPr>
          <w:rFonts w:ascii="Times New Roman" w:hAnsi="Times New Roman" w:cs="Times New Roman"/>
          <w:b/>
        </w:rPr>
        <w:t xml:space="preserve">Graf 2 </w:t>
      </w:r>
      <w:r w:rsidRPr="00774E48">
        <w:rPr>
          <w:rFonts w:ascii="Times New Roman" w:hAnsi="Times New Roman" w:cs="Times New Roman"/>
          <w:b/>
        </w:rPr>
        <w:tab/>
      </w:r>
      <w:proofErr w:type="spellStart"/>
      <w:r w:rsidRPr="00774E48">
        <w:rPr>
          <w:rFonts w:ascii="Times New Roman" w:hAnsi="Times New Roman" w:cs="Times New Roman"/>
          <w:b/>
        </w:rPr>
        <w:t>Kaplanova-Meierova</w:t>
      </w:r>
      <w:proofErr w:type="spellEnd"/>
      <w:r w:rsidRPr="00774E48">
        <w:rPr>
          <w:rFonts w:ascii="Times New Roman" w:hAnsi="Times New Roman" w:cs="Times New Roman"/>
          <w:b/>
        </w:rPr>
        <w:t xml:space="preserve"> krivka prežívania bez progresie ochorenia podľa </w:t>
      </w:r>
      <w:r w:rsidRPr="00774E48">
        <w:rPr>
          <w:rFonts w:ascii="Times New Roman" w:hAnsi="Times New Roman" w:cs="Times New Roman"/>
          <w:b/>
          <w:bCs/>
        </w:rPr>
        <w:t xml:space="preserve">nezávislej </w:t>
      </w:r>
      <w:proofErr w:type="spellStart"/>
      <w:r w:rsidRPr="00774E48">
        <w:rPr>
          <w:rFonts w:ascii="Times New Roman" w:hAnsi="Times New Roman" w:cs="Times New Roman"/>
          <w:b/>
          <w:bCs/>
        </w:rPr>
        <w:t>analýzy</w:t>
      </w:r>
      <w:proofErr w:type="spellEnd"/>
      <w:r w:rsidRPr="00774E48">
        <w:rPr>
          <w:rFonts w:ascii="Times New Roman" w:hAnsi="Times New Roman" w:cs="Times New Roman"/>
          <w:b/>
          <w:bCs/>
        </w:rPr>
        <w:t xml:space="preserve"> pacientov bez predchádzajúcej liečby (VEG105192)</w:t>
      </w:r>
    </w:p>
    <w:p w14:paraId="7FB08A36" w14:textId="77777777" w:rsidR="00DB4FB7" w:rsidRPr="00A411DE" w:rsidRDefault="00DB4FB7" w:rsidP="00DB4FB7">
      <w:pPr>
        <w:tabs>
          <w:tab w:val="left" w:pos="1134"/>
        </w:tabs>
        <w:ind w:left="1134" w:hanging="1134"/>
        <w:jc w:val="center"/>
        <w:rPr>
          <w:b/>
        </w:rPr>
      </w:pPr>
      <w:r>
        <w:rPr>
          <w:noProof/>
          <w:lang w:eastAsia="sk-SK"/>
        </w:rPr>
        <w:drawing>
          <wp:inline distT="0" distB="0" distL="0" distR="0" wp14:anchorId="081C3EFD" wp14:editId="3EA921E3">
            <wp:extent cx="468630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323A4" w14:textId="77777777" w:rsidR="00DB4FB7" w:rsidRPr="00831F1F" w:rsidRDefault="00831F1F" w:rsidP="00DB4FB7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US"/>
        </w:rPr>
      </w:pPr>
      <w:r w:rsidRPr="00831F1F">
        <w:rPr>
          <w:rFonts w:ascii="Times New Roman" w:hAnsi="Times New Roman" w:cs="Times New Roman"/>
          <w:bCs/>
          <w:sz w:val="20"/>
          <w:szCs w:val="20"/>
        </w:rPr>
        <w:t xml:space="preserve">os x; Mesiace, os y; Podiel pacientov bez progresie ochorenia,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</w:rPr>
        <w:t>Pazopanib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</w:rPr>
        <w:t xml:space="preserve"> —―— (N = 155), Medián 11,1 mesiaca; Placebo ------- (N = 78), Medián 2,8 mesiaca; Pomer rizík = 0,40; 95% IS (0,27; 0,60), P &lt; 0,0000001</w:t>
      </w:r>
    </w:p>
    <w:p w14:paraId="1D6B2552" w14:textId="77777777" w:rsidR="00831F1F" w:rsidRDefault="00831F1F" w:rsidP="00DB4FB7">
      <w:pPr>
        <w:tabs>
          <w:tab w:val="left" w:pos="1134"/>
        </w:tabs>
        <w:ind w:left="1134" w:hanging="1134"/>
        <w:jc w:val="both"/>
        <w:rPr>
          <w:b/>
        </w:rPr>
      </w:pPr>
    </w:p>
    <w:p w14:paraId="32836CFE" w14:textId="77777777" w:rsidR="00DB4FB7" w:rsidRPr="00831F1F" w:rsidRDefault="00831F1F" w:rsidP="00DB4FB7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</w:rPr>
      </w:pPr>
      <w:r w:rsidRPr="00831F1F">
        <w:rPr>
          <w:rFonts w:ascii="Times New Roman" w:hAnsi="Times New Roman" w:cs="Times New Roman"/>
          <w:b/>
          <w:bCs/>
        </w:rPr>
        <w:t xml:space="preserve">Graf 3 </w:t>
      </w:r>
      <w:r w:rsidRPr="00831F1F">
        <w:rPr>
          <w:rFonts w:ascii="Times New Roman" w:hAnsi="Times New Roman" w:cs="Times New Roman"/>
          <w:b/>
          <w:bCs/>
        </w:rPr>
        <w:tab/>
      </w:r>
      <w:proofErr w:type="spellStart"/>
      <w:r w:rsidRPr="00831F1F">
        <w:rPr>
          <w:rFonts w:ascii="Times New Roman" w:hAnsi="Times New Roman" w:cs="Times New Roman"/>
          <w:b/>
          <w:bCs/>
        </w:rPr>
        <w:t>Kaplanova-Meierova</w:t>
      </w:r>
      <w:proofErr w:type="spellEnd"/>
      <w:r w:rsidRPr="00831F1F">
        <w:rPr>
          <w:rFonts w:ascii="Times New Roman" w:hAnsi="Times New Roman" w:cs="Times New Roman"/>
          <w:b/>
          <w:bCs/>
        </w:rPr>
        <w:t xml:space="preserve"> krivka prežívania bez progresie ochorenia podľa nezávislej </w:t>
      </w:r>
      <w:proofErr w:type="spellStart"/>
      <w:r w:rsidRPr="00831F1F">
        <w:rPr>
          <w:rFonts w:ascii="Times New Roman" w:hAnsi="Times New Roman" w:cs="Times New Roman"/>
          <w:b/>
          <w:bCs/>
        </w:rPr>
        <w:t>analýzy</w:t>
      </w:r>
      <w:proofErr w:type="spellEnd"/>
      <w:r w:rsidRPr="00831F1F">
        <w:rPr>
          <w:rFonts w:ascii="Times New Roman" w:hAnsi="Times New Roman" w:cs="Times New Roman"/>
          <w:b/>
          <w:bCs/>
        </w:rPr>
        <w:t xml:space="preserve"> pacientov po predchádzajúcej liečbe cytokínmi (VEG105192)</w:t>
      </w:r>
    </w:p>
    <w:p w14:paraId="76F91A92" w14:textId="77777777" w:rsidR="00DB4FB7" w:rsidRPr="00320A0D" w:rsidRDefault="00DB4FB7" w:rsidP="00DB4FB7">
      <w:pPr>
        <w:tabs>
          <w:tab w:val="left" w:pos="1134"/>
        </w:tabs>
        <w:ind w:left="1134" w:hanging="1134"/>
        <w:jc w:val="center"/>
      </w:pPr>
      <w:r w:rsidRPr="00320A0D">
        <w:rPr>
          <w:noProof/>
          <w:lang w:eastAsia="sk-SK"/>
        </w:rPr>
        <w:lastRenderedPageBreak/>
        <w:drawing>
          <wp:inline distT="0" distB="0" distL="0" distR="0" wp14:anchorId="7985E138" wp14:editId="201E26CB">
            <wp:extent cx="4714875" cy="2247900"/>
            <wp:effectExtent l="0" t="0" r="9525" b="0"/>
            <wp:docPr id="9" name="Picture 9" descr="C:\Users\tzarkadoula\Pictures\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zarkadoula\Pictures\figure 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D4C1F" w14:textId="77777777" w:rsidR="00DB4FB7" w:rsidRPr="00831F1F" w:rsidRDefault="00831F1F" w:rsidP="00DB4FB7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os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x;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Mesiace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os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y;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Podiel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pacientov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bez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progresie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ochorenia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Pazopanib —―— (N = 135),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Medián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7,4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mesiaca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; Placebo -------- (N = 67),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Medián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4,2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mesiaca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; Pomer </w:t>
      </w:r>
      <w:proofErr w:type="spellStart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>rizík</w:t>
      </w:r>
      <w:proofErr w:type="spellEnd"/>
      <w:r w:rsidRPr="00831F1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= 0,54; 95 % IS (0,35; 0,84), P &lt; 0,001</w:t>
      </w:r>
    </w:p>
    <w:p w14:paraId="5ADE2F7B" w14:textId="77777777" w:rsidR="00DB4FB7" w:rsidRDefault="00831F1F" w:rsidP="00531CFF">
      <w:pPr>
        <w:spacing w:after="0" w:line="240" w:lineRule="auto"/>
        <w:rPr>
          <w:rFonts w:ascii="Times New Roman" w:hAnsi="Times New Roman" w:cs="Times New Roman"/>
          <w:bCs/>
        </w:rPr>
      </w:pPr>
      <w:r w:rsidRPr="00831F1F">
        <w:rPr>
          <w:rFonts w:ascii="Times New Roman" w:hAnsi="Times New Roman" w:cs="Times New Roman"/>
          <w:bCs/>
        </w:rPr>
        <w:t>U pacientov, ktorí odpovedali na liečbu, bol podľa nezávislej analýzy medián času do odpovede na liečbu 11,9 týždňa a medián trvania odpovede na liečbu bol 58,7 týždňa (VEG105192).</w:t>
      </w:r>
    </w:p>
    <w:p w14:paraId="23E6217E" w14:textId="77777777" w:rsidR="00C12C8E" w:rsidRPr="00831F1F" w:rsidRDefault="00C12C8E" w:rsidP="00531CFF">
      <w:pPr>
        <w:spacing w:after="0" w:line="240" w:lineRule="auto"/>
        <w:rPr>
          <w:rFonts w:ascii="Times New Roman" w:hAnsi="Times New Roman" w:cs="Times New Roman"/>
          <w:bCs/>
        </w:rPr>
      </w:pPr>
    </w:p>
    <w:p w14:paraId="1D73C2DE" w14:textId="7D0784A1" w:rsidR="00C12C8E" w:rsidRDefault="00831F1F" w:rsidP="00531CFF">
      <w:pPr>
        <w:spacing w:after="0" w:line="240" w:lineRule="auto"/>
        <w:rPr>
          <w:rFonts w:ascii="Times New Roman" w:hAnsi="Times New Roman" w:cs="Times New Roman"/>
          <w:bCs/>
        </w:rPr>
      </w:pPr>
      <w:r w:rsidRPr="00831F1F">
        <w:rPr>
          <w:rFonts w:ascii="Times New Roman" w:hAnsi="Times New Roman" w:cs="Times New Roman"/>
          <w:bCs/>
        </w:rPr>
        <w:t xml:space="preserve">V konečnej analýze prežívania špecifikovanej protokolom bol medián celkového prežívania (OS) 22,9 mesiaca pri pacientoch náhodne zaradených do skupiny s </w:t>
      </w:r>
      <w:proofErr w:type="spellStart"/>
      <w:r w:rsidRPr="00831F1F">
        <w:rPr>
          <w:rFonts w:ascii="Times New Roman" w:hAnsi="Times New Roman" w:cs="Times New Roman"/>
          <w:bCs/>
        </w:rPr>
        <w:t>pazopanibom</w:t>
      </w:r>
      <w:proofErr w:type="spellEnd"/>
      <w:r w:rsidRPr="00831F1F">
        <w:rPr>
          <w:rFonts w:ascii="Times New Roman" w:hAnsi="Times New Roman" w:cs="Times New Roman"/>
          <w:bCs/>
        </w:rPr>
        <w:t xml:space="preserve"> a 20,5 mesiaca pri pacientoch náhodne zaradených do skupiny s placebom [HR = 0,91 (95% IS: 0,71; 1,16; p = 0,224)]. Výsledky OS podliehajú možnému skresleniu, keďže 54 % pacientov zo skupiny s placebom bolo v predĺžení tejto štúdie po progresii ochorenia liečených aj </w:t>
      </w:r>
      <w:proofErr w:type="spellStart"/>
      <w:r w:rsidRPr="00831F1F">
        <w:rPr>
          <w:rFonts w:ascii="Times New Roman" w:hAnsi="Times New Roman" w:cs="Times New Roman"/>
          <w:bCs/>
        </w:rPr>
        <w:t>pazopanibom</w:t>
      </w:r>
      <w:proofErr w:type="spellEnd"/>
      <w:r w:rsidRPr="00831F1F">
        <w:rPr>
          <w:rFonts w:ascii="Times New Roman" w:hAnsi="Times New Roman" w:cs="Times New Roman"/>
          <w:bCs/>
        </w:rPr>
        <w:t xml:space="preserve">. Šesťdesiatim šiestim percentám pacientov zo skupiny s placebom bola po skončení štúdie podávaná liečba, v porovnaní s 30 % pacientov zo skupiny s </w:t>
      </w:r>
      <w:proofErr w:type="spellStart"/>
      <w:r w:rsidRPr="00831F1F">
        <w:rPr>
          <w:rFonts w:ascii="Times New Roman" w:hAnsi="Times New Roman" w:cs="Times New Roman"/>
          <w:bCs/>
        </w:rPr>
        <w:t>pazopanibom</w:t>
      </w:r>
      <w:proofErr w:type="spellEnd"/>
      <w:r w:rsidRPr="00831F1F">
        <w:rPr>
          <w:rFonts w:ascii="Times New Roman" w:hAnsi="Times New Roman" w:cs="Times New Roman"/>
          <w:bCs/>
        </w:rPr>
        <w:t>.</w:t>
      </w:r>
    </w:p>
    <w:p w14:paraId="300AF040" w14:textId="77777777" w:rsidR="00C12C8E" w:rsidRDefault="00C12C8E" w:rsidP="00531CFF">
      <w:pPr>
        <w:spacing w:after="0" w:line="240" w:lineRule="auto"/>
        <w:rPr>
          <w:rFonts w:ascii="Times New Roman" w:hAnsi="Times New Roman" w:cs="Times New Roman"/>
          <w:bCs/>
        </w:rPr>
      </w:pPr>
    </w:p>
    <w:p w14:paraId="302322BD" w14:textId="77777777" w:rsidR="00C12C8E" w:rsidRPr="00C12C8E" w:rsidRDefault="00C12C8E" w:rsidP="00C12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C12C8E">
        <w:rPr>
          <w:rFonts w:ascii="Times New Roman" w:eastAsia="Times New Roman" w:hAnsi="Times New Roman" w:cs="Times New Roman"/>
          <w:lang w:eastAsia="en-GB"/>
        </w:rPr>
        <w:t xml:space="preserve">Medzi </w:t>
      </w:r>
      <w:proofErr w:type="spellStart"/>
      <w:r w:rsidRPr="00C12C8E">
        <w:rPr>
          <w:rFonts w:ascii="Times New Roman" w:eastAsia="Times New Roman" w:hAnsi="Times New Roman" w:cs="Times New Roman"/>
          <w:lang w:eastAsia="en-GB"/>
        </w:rPr>
        <w:t>liečebnými</w:t>
      </w:r>
      <w:proofErr w:type="spellEnd"/>
      <w:r w:rsidRPr="00C12C8E">
        <w:rPr>
          <w:rFonts w:ascii="Times New Roman" w:eastAsia="Times New Roman" w:hAnsi="Times New Roman" w:cs="Times New Roman"/>
          <w:lang w:eastAsia="en-GB"/>
        </w:rPr>
        <w:t xml:space="preserve"> skupinami sa nezistili žiadne štatistické rozdiely pri hodnotení celkovej kvality života s použitím dotazníkov EORTC QLQ-C30 a </w:t>
      </w:r>
      <w:proofErr w:type="spellStart"/>
      <w:r w:rsidRPr="00C12C8E">
        <w:rPr>
          <w:rFonts w:ascii="Times New Roman" w:eastAsia="Times New Roman" w:hAnsi="Times New Roman" w:cs="Times New Roman"/>
          <w:lang w:eastAsia="en-GB"/>
        </w:rPr>
        <w:t>EuroQoL</w:t>
      </w:r>
      <w:proofErr w:type="spellEnd"/>
      <w:r w:rsidRPr="00C12C8E">
        <w:rPr>
          <w:rFonts w:ascii="Times New Roman" w:eastAsia="Times New Roman" w:hAnsi="Times New Roman" w:cs="Times New Roman"/>
          <w:lang w:eastAsia="en-GB"/>
        </w:rPr>
        <w:t xml:space="preserve"> EQ-5D.</w:t>
      </w:r>
    </w:p>
    <w:p w14:paraId="30714657" w14:textId="77777777" w:rsidR="00C12C8E" w:rsidRPr="00831F1F" w:rsidRDefault="00C12C8E" w:rsidP="00531CFF">
      <w:pPr>
        <w:spacing w:after="0" w:line="240" w:lineRule="auto"/>
        <w:rPr>
          <w:rFonts w:ascii="Times New Roman" w:hAnsi="Times New Roman" w:cs="Times New Roman"/>
          <w:bCs/>
        </w:rPr>
      </w:pPr>
    </w:p>
    <w:p w14:paraId="0D70888D" w14:textId="77777777" w:rsidR="00DB4FB7" w:rsidRDefault="00831F1F" w:rsidP="00531CFF">
      <w:pPr>
        <w:spacing w:after="0" w:line="240" w:lineRule="auto"/>
        <w:rPr>
          <w:rFonts w:ascii="Times New Roman" w:hAnsi="Times New Roman" w:cs="Times New Roman"/>
          <w:bCs/>
        </w:rPr>
      </w:pPr>
      <w:r w:rsidRPr="00831F1F">
        <w:rPr>
          <w:rFonts w:ascii="Times New Roman" w:hAnsi="Times New Roman" w:cs="Times New Roman"/>
          <w:bCs/>
        </w:rPr>
        <w:t xml:space="preserve">V štúdii fázy II s 225 pacientmi s lokálne recidivujúcim alebo metastatickým </w:t>
      </w:r>
      <w:proofErr w:type="spellStart"/>
      <w:r w:rsidRPr="00831F1F">
        <w:rPr>
          <w:rFonts w:ascii="Times New Roman" w:hAnsi="Times New Roman" w:cs="Times New Roman"/>
          <w:bCs/>
        </w:rPr>
        <w:t>svetlobunkovým</w:t>
      </w:r>
      <w:proofErr w:type="spellEnd"/>
      <w:r w:rsidRPr="00831F1F">
        <w:rPr>
          <w:rFonts w:ascii="Times New Roman" w:hAnsi="Times New Roman" w:cs="Times New Roman"/>
          <w:bCs/>
        </w:rPr>
        <w:t xml:space="preserve"> karcinómom obličky sa podľa nezávislej analýzy vyskytla objektívna odpoveď na liečbu u 35 % pacientov a medián trvania odpovede na liečbu bol 68 týždňov. Medián PFS bol 11,9 mesiaca.</w:t>
      </w:r>
    </w:p>
    <w:p w14:paraId="565E0962" w14:textId="77777777" w:rsidR="00C12C8E" w:rsidRPr="00831F1F" w:rsidRDefault="00C12C8E" w:rsidP="00531CFF">
      <w:pPr>
        <w:spacing w:after="0" w:line="240" w:lineRule="auto"/>
        <w:rPr>
          <w:rFonts w:ascii="Times New Roman" w:hAnsi="Times New Roman" w:cs="Times New Roman"/>
          <w:bCs/>
        </w:rPr>
      </w:pPr>
    </w:p>
    <w:p w14:paraId="31334A43" w14:textId="77777777" w:rsidR="00DB4FB7" w:rsidRDefault="00831F1F" w:rsidP="00531CFF">
      <w:pPr>
        <w:spacing w:after="0" w:line="240" w:lineRule="auto"/>
        <w:rPr>
          <w:rFonts w:ascii="Times New Roman" w:hAnsi="Times New Roman" w:cs="Times New Roman"/>
          <w:bCs/>
        </w:rPr>
      </w:pPr>
      <w:r w:rsidRPr="00831F1F">
        <w:rPr>
          <w:rFonts w:ascii="Times New Roman" w:hAnsi="Times New Roman" w:cs="Times New Roman"/>
          <w:bCs/>
        </w:rPr>
        <w:t xml:space="preserve">Bezpečnosť, účinnosť a kvalita života pri liečbe </w:t>
      </w:r>
      <w:proofErr w:type="spellStart"/>
      <w:r w:rsidRPr="00831F1F">
        <w:rPr>
          <w:rFonts w:ascii="Times New Roman" w:hAnsi="Times New Roman" w:cs="Times New Roman"/>
          <w:bCs/>
        </w:rPr>
        <w:t>pazopanibom</w:t>
      </w:r>
      <w:proofErr w:type="spellEnd"/>
      <w:r w:rsidRPr="00831F1F">
        <w:rPr>
          <w:rFonts w:ascii="Times New Roman" w:hAnsi="Times New Roman" w:cs="Times New Roman"/>
          <w:bCs/>
        </w:rPr>
        <w:t xml:space="preserve"> </w:t>
      </w:r>
      <w:proofErr w:type="spellStart"/>
      <w:r w:rsidRPr="00831F1F">
        <w:rPr>
          <w:rFonts w:ascii="Times New Roman" w:hAnsi="Times New Roman" w:cs="Times New Roman"/>
          <w:bCs/>
        </w:rPr>
        <w:t>vs</w:t>
      </w:r>
      <w:proofErr w:type="spellEnd"/>
      <w:r w:rsidRPr="00831F1F">
        <w:rPr>
          <w:rFonts w:ascii="Times New Roman" w:hAnsi="Times New Roman" w:cs="Times New Roman"/>
          <w:bCs/>
        </w:rPr>
        <w:t xml:space="preserve">. </w:t>
      </w:r>
      <w:proofErr w:type="spellStart"/>
      <w:r w:rsidRPr="00831F1F">
        <w:rPr>
          <w:rFonts w:ascii="Times New Roman" w:hAnsi="Times New Roman" w:cs="Times New Roman"/>
          <w:bCs/>
        </w:rPr>
        <w:t>sunitinibom</w:t>
      </w:r>
      <w:proofErr w:type="spellEnd"/>
      <w:r w:rsidRPr="00831F1F">
        <w:rPr>
          <w:rFonts w:ascii="Times New Roman" w:hAnsi="Times New Roman" w:cs="Times New Roman"/>
          <w:bCs/>
        </w:rPr>
        <w:t xml:space="preserve"> sa hodnotili v </w:t>
      </w:r>
      <w:proofErr w:type="spellStart"/>
      <w:r w:rsidRPr="00831F1F">
        <w:rPr>
          <w:rFonts w:ascii="Times New Roman" w:hAnsi="Times New Roman" w:cs="Times New Roman"/>
          <w:bCs/>
        </w:rPr>
        <w:t>randomizovanej</w:t>
      </w:r>
      <w:proofErr w:type="spellEnd"/>
      <w:r w:rsidRPr="00831F1F">
        <w:rPr>
          <w:rFonts w:ascii="Times New Roman" w:hAnsi="Times New Roman" w:cs="Times New Roman"/>
          <w:bCs/>
        </w:rPr>
        <w:t xml:space="preserve">, otvorenej štúdii fázy III s paralelným usporiadaním skupín skúmajúcej </w:t>
      </w:r>
      <w:proofErr w:type="spellStart"/>
      <w:r w:rsidRPr="00831F1F">
        <w:rPr>
          <w:rFonts w:ascii="Times New Roman" w:hAnsi="Times New Roman" w:cs="Times New Roman"/>
          <w:bCs/>
        </w:rPr>
        <w:t>noninferioritu</w:t>
      </w:r>
      <w:proofErr w:type="spellEnd"/>
      <w:r w:rsidRPr="00831F1F">
        <w:rPr>
          <w:rFonts w:ascii="Times New Roman" w:hAnsi="Times New Roman" w:cs="Times New Roman"/>
          <w:bCs/>
        </w:rPr>
        <w:t xml:space="preserve"> (VEG108844).</w:t>
      </w:r>
    </w:p>
    <w:p w14:paraId="52AE4123" w14:textId="77777777" w:rsidR="00C12C8E" w:rsidRPr="00831F1F" w:rsidRDefault="00C12C8E" w:rsidP="00531CFF">
      <w:pPr>
        <w:spacing w:after="0" w:line="240" w:lineRule="auto"/>
        <w:rPr>
          <w:rFonts w:ascii="Times New Roman" w:hAnsi="Times New Roman" w:cs="Times New Roman"/>
          <w:bCs/>
        </w:rPr>
      </w:pPr>
    </w:p>
    <w:p w14:paraId="17B4B94B" w14:textId="77777777" w:rsidR="00DB4FB7" w:rsidRDefault="00831F1F" w:rsidP="00531CFF">
      <w:pPr>
        <w:spacing w:after="0" w:line="240" w:lineRule="auto"/>
        <w:rPr>
          <w:rFonts w:ascii="Times New Roman" w:hAnsi="Times New Roman" w:cs="Times New Roman"/>
        </w:rPr>
      </w:pPr>
      <w:r w:rsidRPr="00831F1F">
        <w:rPr>
          <w:rFonts w:ascii="Times New Roman" w:hAnsi="Times New Roman" w:cs="Times New Roman"/>
        </w:rPr>
        <w:t xml:space="preserve">V štúdii VEG108844 bola pacientom (N = 1 110) s lokálne pokročilým a/alebo metastatickým RCC, ktorí v predchádzajúcom období nepodstúpili systémovú liečbu, náhodne pridelená buď liečba </w:t>
      </w:r>
      <w:proofErr w:type="spellStart"/>
      <w:r w:rsidRPr="00831F1F">
        <w:rPr>
          <w:rFonts w:ascii="Times New Roman" w:hAnsi="Times New Roman" w:cs="Times New Roman"/>
        </w:rPr>
        <w:t>pazopanibom</w:t>
      </w:r>
      <w:proofErr w:type="spellEnd"/>
      <w:r w:rsidRPr="00831F1F">
        <w:rPr>
          <w:rFonts w:ascii="Times New Roman" w:hAnsi="Times New Roman" w:cs="Times New Roman"/>
        </w:rPr>
        <w:t xml:space="preserve"> v dávke 800 mg nepretržite jedenkrát denne alebo liečba </w:t>
      </w:r>
      <w:proofErr w:type="spellStart"/>
      <w:r w:rsidRPr="00831F1F">
        <w:rPr>
          <w:rFonts w:ascii="Times New Roman" w:hAnsi="Times New Roman" w:cs="Times New Roman"/>
        </w:rPr>
        <w:t>sunitinibom</w:t>
      </w:r>
      <w:proofErr w:type="spellEnd"/>
      <w:r w:rsidRPr="00831F1F">
        <w:rPr>
          <w:rFonts w:ascii="Times New Roman" w:hAnsi="Times New Roman" w:cs="Times New Roman"/>
        </w:rPr>
        <w:t xml:space="preserve"> v dávke 50 mg jedenkrát denne v 6-týždňových cykloch s podávaním liečby počas 4 týždňov, po ktorých nasledovali 2 týždne bez liečby.</w:t>
      </w:r>
    </w:p>
    <w:p w14:paraId="0205CA3D" w14:textId="77777777" w:rsidR="00C12C8E" w:rsidRPr="00831F1F" w:rsidRDefault="00C12C8E" w:rsidP="00531CFF">
      <w:pPr>
        <w:spacing w:after="0" w:line="240" w:lineRule="auto"/>
        <w:rPr>
          <w:rFonts w:ascii="Times New Roman" w:hAnsi="Times New Roman" w:cs="Times New Roman"/>
          <w:bCs/>
        </w:rPr>
      </w:pPr>
    </w:p>
    <w:p w14:paraId="0B353AA1" w14:textId="77777777" w:rsidR="00DB4FB7" w:rsidRDefault="00831F1F" w:rsidP="00531CFF">
      <w:pPr>
        <w:spacing w:after="0" w:line="240" w:lineRule="auto"/>
        <w:rPr>
          <w:rFonts w:ascii="Times New Roman" w:hAnsi="Times New Roman" w:cs="Times New Roman"/>
        </w:rPr>
      </w:pPr>
      <w:r w:rsidRPr="00831F1F">
        <w:rPr>
          <w:rFonts w:ascii="Times New Roman" w:hAnsi="Times New Roman" w:cs="Times New Roman"/>
        </w:rPr>
        <w:t xml:space="preserve">Primárnym cieľom tejto štúdie bolo vyhodnotiť a porovnať PFS u pacientov liečených </w:t>
      </w:r>
      <w:proofErr w:type="spellStart"/>
      <w:r w:rsidRPr="00831F1F">
        <w:rPr>
          <w:rFonts w:ascii="Times New Roman" w:hAnsi="Times New Roman" w:cs="Times New Roman"/>
        </w:rPr>
        <w:t>pazopanibom</w:t>
      </w:r>
      <w:proofErr w:type="spellEnd"/>
      <w:r w:rsidRPr="00831F1F">
        <w:rPr>
          <w:rFonts w:ascii="Times New Roman" w:hAnsi="Times New Roman" w:cs="Times New Roman"/>
        </w:rPr>
        <w:t xml:space="preserve"> oproti pacientom liečeným </w:t>
      </w:r>
      <w:proofErr w:type="spellStart"/>
      <w:r w:rsidRPr="00831F1F">
        <w:rPr>
          <w:rFonts w:ascii="Times New Roman" w:hAnsi="Times New Roman" w:cs="Times New Roman"/>
        </w:rPr>
        <w:t>sunitinibom</w:t>
      </w:r>
      <w:proofErr w:type="spellEnd"/>
      <w:r w:rsidRPr="00831F1F">
        <w:rPr>
          <w:rFonts w:ascii="Times New Roman" w:hAnsi="Times New Roman" w:cs="Times New Roman"/>
        </w:rPr>
        <w:t xml:space="preserve">. Demografické charakteristiky boli medzi liečebnými skupinami podobné. Charakteristiky ochorenia pri prvotnej diagnóze a pri skríningu boli medzi liečebnými skupinami vyvážené, pričom väčšina pacientov mala histologicky potvrdený </w:t>
      </w:r>
      <w:proofErr w:type="spellStart"/>
      <w:r w:rsidRPr="00831F1F">
        <w:rPr>
          <w:rFonts w:ascii="Times New Roman" w:hAnsi="Times New Roman" w:cs="Times New Roman"/>
        </w:rPr>
        <w:t>svetlobunkový</w:t>
      </w:r>
      <w:proofErr w:type="spellEnd"/>
      <w:r w:rsidRPr="00831F1F">
        <w:rPr>
          <w:rFonts w:ascii="Times New Roman" w:hAnsi="Times New Roman" w:cs="Times New Roman"/>
        </w:rPr>
        <w:t xml:space="preserve"> karcinóm a ochorenie v štádiu IV.</w:t>
      </w:r>
    </w:p>
    <w:p w14:paraId="332C3691" w14:textId="77777777" w:rsidR="00C12C8E" w:rsidRPr="00831F1F" w:rsidRDefault="00C12C8E" w:rsidP="00531CFF">
      <w:pPr>
        <w:spacing w:after="0" w:line="240" w:lineRule="auto"/>
        <w:rPr>
          <w:rFonts w:ascii="Times New Roman" w:hAnsi="Times New Roman" w:cs="Times New Roman"/>
          <w:bCs/>
        </w:rPr>
      </w:pPr>
    </w:p>
    <w:p w14:paraId="1416F7CD" w14:textId="77777777" w:rsidR="00DB4FB7" w:rsidRPr="00831F1F" w:rsidRDefault="00831F1F" w:rsidP="00831F1F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831F1F">
        <w:rPr>
          <w:rFonts w:ascii="Times New Roman" w:hAnsi="Times New Roman" w:cs="Times New Roman"/>
          <w:bCs/>
        </w:rPr>
        <w:t xml:space="preserve">Štúdia VEG108844 dosiahla svoj primárny cieľový ukazovateľ, ktorým bolo PFS a preukázala, že </w:t>
      </w:r>
      <w:proofErr w:type="spellStart"/>
      <w:r w:rsidRPr="00831F1F">
        <w:rPr>
          <w:rFonts w:ascii="Times New Roman" w:hAnsi="Times New Roman" w:cs="Times New Roman"/>
          <w:bCs/>
        </w:rPr>
        <w:t>pazopanib</w:t>
      </w:r>
      <w:proofErr w:type="spellEnd"/>
      <w:r w:rsidRPr="00831F1F">
        <w:rPr>
          <w:rFonts w:ascii="Times New Roman" w:hAnsi="Times New Roman" w:cs="Times New Roman"/>
          <w:bCs/>
        </w:rPr>
        <w:t xml:space="preserve"> je </w:t>
      </w:r>
      <w:proofErr w:type="spellStart"/>
      <w:r w:rsidRPr="00831F1F">
        <w:rPr>
          <w:rFonts w:ascii="Times New Roman" w:hAnsi="Times New Roman" w:cs="Times New Roman"/>
          <w:bCs/>
        </w:rPr>
        <w:t>noninferiórny</w:t>
      </w:r>
      <w:proofErr w:type="spellEnd"/>
      <w:r w:rsidRPr="00831F1F">
        <w:rPr>
          <w:rFonts w:ascii="Times New Roman" w:hAnsi="Times New Roman" w:cs="Times New Roman"/>
          <w:bCs/>
        </w:rPr>
        <w:t xml:space="preserve"> oproti </w:t>
      </w:r>
      <w:proofErr w:type="spellStart"/>
      <w:r w:rsidRPr="00831F1F">
        <w:rPr>
          <w:rFonts w:ascii="Times New Roman" w:hAnsi="Times New Roman" w:cs="Times New Roman"/>
          <w:bCs/>
        </w:rPr>
        <w:t>sunitinibu</w:t>
      </w:r>
      <w:proofErr w:type="spellEnd"/>
      <w:r w:rsidRPr="00831F1F">
        <w:rPr>
          <w:rFonts w:ascii="Times New Roman" w:hAnsi="Times New Roman" w:cs="Times New Roman"/>
          <w:bCs/>
        </w:rPr>
        <w:t xml:space="preserve">, keďže horná hranica 95 % IS pre pomer rizík bola nižšia ako protokolom špecifikovaná hraničná hodnota </w:t>
      </w:r>
      <w:proofErr w:type="spellStart"/>
      <w:r w:rsidRPr="00831F1F">
        <w:rPr>
          <w:rFonts w:ascii="Times New Roman" w:hAnsi="Times New Roman" w:cs="Times New Roman"/>
          <w:bCs/>
        </w:rPr>
        <w:t>noninferiority</w:t>
      </w:r>
      <w:proofErr w:type="spellEnd"/>
      <w:r w:rsidRPr="00831F1F">
        <w:rPr>
          <w:rFonts w:ascii="Times New Roman" w:hAnsi="Times New Roman" w:cs="Times New Roman"/>
          <w:bCs/>
        </w:rPr>
        <w:t xml:space="preserve"> 1,25. Výsledky celkovej účinnosti sú</w:t>
      </w:r>
    </w:p>
    <w:p w14:paraId="502D279F" w14:textId="77777777" w:rsidR="00831F1F" w:rsidRDefault="00831F1F" w:rsidP="00831F1F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31F1F">
        <w:rPr>
          <w:rFonts w:ascii="Times New Roman" w:hAnsi="Times New Roman" w:cs="Times New Roman"/>
        </w:rPr>
        <w:t>zhrnuté v tabuľke 5.</w:t>
      </w:r>
    </w:p>
    <w:p w14:paraId="6F55E8C8" w14:textId="77777777" w:rsidR="00831F1F" w:rsidRPr="003A78C7" w:rsidRDefault="00831F1F" w:rsidP="00831F1F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4DD041AF" w14:textId="77777777" w:rsidR="00DB4FB7" w:rsidRPr="003A78C7" w:rsidRDefault="003A78C7" w:rsidP="00DB4FB7">
      <w:pPr>
        <w:widowControl w:val="0"/>
        <w:tabs>
          <w:tab w:val="left" w:pos="660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3A78C7">
        <w:rPr>
          <w:rFonts w:ascii="Times New Roman" w:hAnsi="Times New Roman" w:cs="Times New Roman"/>
          <w:b/>
          <w:bCs/>
        </w:rPr>
        <w:t xml:space="preserve">Tabuľka 5 </w:t>
      </w:r>
      <w:r w:rsidRPr="003A78C7">
        <w:rPr>
          <w:rFonts w:ascii="Times New Roman" w:hAnsi="Times New Roman" w:cs="Times New Roman"/>
          <w:b/>
          <w:bCs/>
        </w:rPr>
        <w:tab/>
      </w:r>
      <w:proofErr w:type="spellStart"/>
      <w:r w:rsidRPr="003A78C7">
        <w:rPr>
          <w:rFonts w:ascii="Times New Roman" w:hAnsi="Times New Roman" w:cs="Times New Roman"/>
          <w:b/>
          <w:bCs/>
        </w:rPr>
        <w:t>Výsledky</w:t>
      </w:r>
      <w:proofErr w:type="spellEnd"/>
      <w:r w:rsidRPr="003A78C7">
        <w:rPr>
          <w:rFonts w:ascii="Times New Roman" w:hAnsi="Times New Roman" w:cs="Times New Roman"/>
          <w:b/>
          <w:bCs/>
        </w:rPr>
        <w:t xml:space="preserve"> celkovej účinnosti (VEG108844)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1984"/>
        <w:gridCol w:w="1843"/>
        <w:gridCol w:w="2551"/>
      </w:tblGrid>
      <w:tr w:rsidR="00DB4FB7" w:rsidRPr="00A06B04" w14:paraId="5168286B" w14:textId="77777777" w:rsidTr="00774E48">
        <w:tc>
          <w:tcPr>
            <w:tcW w:w="2694" w:type="dxa"/>
            <w:tcBorders>
              <w:bottom w:val="single" w:sz="4" w:space="0" w:color="auto"/>
            </w:tcBorders>
          </w:tcPr>
          <w:p w14:paraId="4974A852" w14:textId="77777777" w:rsidR="00DB4FB7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1B6A3226" w14:textId="77777777" w:rsidR="00DB4FB7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5412A5E8" w14:textId="77777777" w:rsidR="003A78C7" w:rsidRDefault="003A78C7" w:rsidP="003A78C7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Cieľový ukazovateľ </w:t>
            </w:r>
          </w:p>
          <w:p w14:paraId="6A73A7C5" w14:textId="77777777" w:rsidR="00DB4FB7" w:rsidRPr="00805C72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F81F62" w14:textId="77777777" w:rsidR="00DB4FB7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b/>
                <w:sz w:val="22"/>
                <w:szCs w:val="22"/>
              </w:rPr>
            </w:pPr>
          </w:p>
          <w:p w14:paraId="56D8E53E" w14:textId="77777777" w:rsidR="00DB4FB7" w:rsidRPr="00805C72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b/>
                <w:sz w:val="22"/>
                <w:szCs w:val="22"/>
              </w:rPr>
            </w:pPr>
            <w:r w:rsidRPr="00805C72">
              <w:rPr>
                <w:b/>
                <w:sz w:val="22"/>
                <w:szCs w:val="22"/>
              </w:rPr>
              <w:t>Pazopanib</w:t>
            </w:r>
          </w:p>
          <w:p w14:paraId="59DF5210" w14:textId="77777777" w:rsidR="00DB4FB7" w:rsidRPr="00805C72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b/>
                <w:sz w:val="22"/>
                <w:szCs w:val="22"/>
              </w:rPr>
            </w:pPr>
            <w:r w:rsidRPr="00805C72">
              <w:rPr>
                <w:b/>
                <w:sz w:val="22"/>
                <w:szCs w:val="22"/>
              </w:rPr>
              <w:t>N = 557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5C2825" w14:textId="77777777" w:rsidR="00DB4FB7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557D08B4" w14:textId="77777777" w:rsidR="00DB4FB7" w:rsidRPr="00805C72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05C72">
              <w:rPr>
                <w:b/>
                <w:sz w:val="22"/>
                <w:szCs w:val="22"/>
              </w:rPr>
              <w:t>Sunitinib</w:t>
            </w:r>
          </w:p>
          <w:p w14:paraId="38C3C57F" w14:textId="77777777" w:rsidR="00DB4FB7" w:rsidRPr="00805C72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05C72">
              <w:rPr>
                <w:b/>
                <w:sz w:val="22"/>
                <w:szCs w:val="22"/>
              </w:rPr>
              <w:t>N = 553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7C6663" w14:textId="77777777" w:rsidR="00DB4FB7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4470C838" w14:textId="77777777" w:rsidR="00DB4FB7" w:rsidRPr="00805C72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05C72">
              <w:rPr>
                <w:b/>
                <w:sz w:val="22"/>
                <w:szCs w:val="22"/>
              </w:rPr>
              <w:t xml:space="preserve">HR </w:t>
            </w:r>
          </w:p>
          <w:p w14:paraId="35BDE788" w14:textId="77777777" w:rsidR="00DB4FB7" w:rsidRPr="00805C72" w:rsidRDefault="003A78C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(95% </w:t>
            </w:r>
            <w:r>
              <w:rPr>
                <w:b/>
                <w:sz w:val="22"/>
                <w:szCs w:val="22"/>
                <w:lang w:val="sk-SK"/>
              </w:rPr>
              <w:t>IS</w:t>
            </w:r>
            <w:r w:rsidR="00DB4FB7" w:rsidRPr="00805C72">
              <w:rPr>
                <w:b/>
                <w:sz w:val="22"/>
                <w:szCs w:val="22"/>
              </w:rPr>
              <w:t>)</w:t>
            </w:r>
          </w:p>
        </w:tc>
      </w:tr>
      <w:tr w:rsidR="00DB4FB7" w:rsidRPr="008C79AA" w14:paraId="5E4942C5" w14:textId="77777777" w:rsidTr="00774E48">
        <w:tc>
          <w:tcPr>
            <w:tcW w:w="2694" w:type="dxa"/>
            <w:tcBorders>
              <w:bottom w:val="nil"/>
            </w:tcBorders>
          </w:tcPr>
          <w:p w14:paraId="23E36CCF" w14:textId="77777777" w:rsidR="00DB4FB7" w:rsidRPr="008C79AA" w:rsidRDefault="00DB4FB7" w:rsidP="00774E48">
            <w:pPr>
              <w:ind w:right="-20"/>
              <w:rPr>
                <w:b/>
                <w:sz w:val="22"/>
                <w:szCs w:val="22"/>
              </w:rPr>
            </w:pPr>
            <w:r w:rsidRPr="008C79AA">
              <w:rPr>
                <w:b/>
                <w:sz w:val="22"/>
                <w:szCs w:val="22"/>
              </w:rPr>
              <w:t>PFS</w:t>
            </w:r>
          </w:p>
          <w:p w14:paraId="66D2162A" w14:textId="77777777" w:rsidR="00237F39" w:rsidRDefault="00237F39" w:rsidP="00237F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Celkové </w:t>
            </w:r>
          </w:p>
          <w:p w14:paraId="24A948B6" w14:textId="77777777" w:rsidR="00237F39" w:rsidRDefault="00237F39" w:rsidP="00237F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Medián (mesiace) </w:t>
            </w:r>
          </w:p>
          <w:p w14:paraId="0D5746D6" w14:textId="77777777" w:rsidR="00DB4FB7" w:rsidRDefault="00237F39" w:rsidP="00237F39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(95% IS) </w:t>
            </w:r>
          </w:p>
          <w:p w14:paraId="6845359D" w14:textId="77777777" w:rsidR="00237F39" w:rsidRPr="008C79AA" w:rsidRDefault="00237F39" w:rsidP="00237F39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4226B8E1" w14:textId="77777777" w:rsidR="00DB4FB7" w:rsidRPr="008C79AA" w:rsidRDefault="00DB4FB7" w:rsidP="00774E48">
            <w:pPr>
              <w:ind w:left="23" w:hanging="23"/>
              <w:rPr>
                <w:sz w:val="22"/>
                <w:szCs w:val="22"/>
              </w:rPr>
            </w:pPr>
          </w:p>
          <w:p w14:paraId="628F5858" w14:textId="77777777" w:rsidR="00DB4FB7" w:rsidRPr="008C79AA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</w:p>
          <w:p w14:paraId="303D022F" w14:textId="77777777" w:rsidR="00DB4FB7" w:rsidRPr="008C79AA" w:rsidRDefault="00237F39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</w:t>
            </w:r>
            <w:r w:rsidR="00DB4FB7" w:rsidRPr="008C79AA">
              <w:rPr>
                <w:sz w:val="22"/>
                <w:szCs w:val="22"/>
              </w:rPr>
              <w:t>4</w:t>
            </w:r>
          </w:p>
          <w:p w14:paraId="2F89933A" w14:textId="77777777" w:rsidR="00DB4FB7" w:rsidRPr="008C79AA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 w:rsidRPr="008C79AA">
              <w:rPr>
                <w:sz w:val="22"/>
                <w:szCs w:val="22"/>
              </w:rPr>
              <w:t>(</w:t>
            </w:r>
            <w:r w:rsidRPr="008C79AA">
              <w:rPr>
                <w:spacing w:val="1"/>
                <w:sz w:val="22"/>
                <w:szCs w:val="22"/>
              </w:rPr>
              <w:t>8</w:t>
            </w:r>
            <w:r w:rsidR="00237F39">
              <w:rPr>
                <w:sz w:val="22"/>
                <w:szCs w:val="22"/>
              </w:rPr>
              <w:t>,3; 10,</w:t>
            </w:r>
            <w:r w:rsidRPr="008C79AA">
              <w:rPr>
                <w:sz w:val="22"/>
                <w:szCs w:val="22"/>
              </w:rPr>
              <w:t>9)</w:t>
            </w:r>
          </w:p>
        </w:tc>
        <w:tc>
          <w:tcPr>
            <w:tcW w:w="1843" w:type="dxa"/>
            <w:tcBorders>
              <w:bottom w:val="nil"/>
            </w:tcBorders>
          </w:tcPr>
          <w:p w14:paraId="4BE1DCDB" w14:textId="77777777" w:rsidR="00DB4FB7" w:rsidRPr="008C79AA" w:rsidRDefault="00DB4FB7" w:rsidP="00774E48">
            <w:pPr>
              <w:ind w:left="23" w:hanging="23"/>
              <w:rPr>
                <w:sz w:val="22"/>
                <w:szCs w:val="22"/>
              </w:rPr>
            </w:pPr>
          </w:p>
          <w:p w14:paraId="32E28DA8" w14:textId="77777777" w:rsidR="00DB4FB7" w:rsidRPr="008C79AA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</w:p>
          <w:p w14:paraId="3861468A" w14:textId="77777777" w:rsidR="00DB4FB7" w:rsidRPr="008C79AA" w:rsidRDefault="00237F39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</w:t>
            </w:r>
            <w:r w:rsidR="00DB4FB7" w:rsidRPr="008C79AA">
              <w:rPr>
                <w:sz w:val="22"/>
                <w:szCs w:val="22"/>
              </w:rPr>
              <w:t>5</w:t>
            </w:r>
          </w:p>
          <w:p w14:paraId="06DBF42D" w14:textId="77777777" w:rsidR="00DB4FB7" w:rsidRPr="008C79AA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79AA">
              <w:rPr>
                <w:sz w:val="22"/>
                <w:szCs w:val="22"/>
              </w:rPr>
              <w:t>(</w:t>
            </w:r>
            <w:r w:rsidRPr="008C79AA">
              <w:rPr>
                <w:spacing w:val="1"/>
                <w:sz w:val="22"/>
                <w:szCs w:val="22"/>
              </w:rPr>
              <w:t>8</w:t>
            </w:r>
            <w:r w:rsidR="00237F39">
              <w:rPr>
                <w:sz w:val="22"/>
                <w:szCs w:val="22"/>
              </w:rPr>
              <w:t>,3; 11,</w:t>
            </w:r>
            <w:r w:rsidRPr="008C79AA">
              <w:rPr>
                <w:sz w:val="22"/>
                <w:szCs w:val="22"/>
              </w:rPr>
              <w:t>0)</w:t>
            </w:r>
          </w:p>
        </w:tc>
        <w:tc>
          <w:tcPr>
            <w:tcW w:w="2551" w:type="dxa"/>
            <w:tcBorders>
              <w:bottom w:val="nil"/>
            </w:tcBorders>
          </w:tcPr>
          <w:p w14:paraId="3F33263C" w14:textId="77777777" w:rsidR="00DB4FB7" w:rsidRPr="008C79AA" w:rsidRDefault="00DB4FB7" w:rsidP="00774E48">
            <w:pPr>
              <w:ind w:left="23" w:hanging="23"/>
              <w:rPr>
                <w:sz w:val="22"/>
                <w:szCs w:val="22"/>
              </w:rPr>
            </w:pPr>
          </w:p>
          <w:p w14:paraId="284E9501" w14:textId="77777777" w:rsidR="00DB4FB7" w:rsidRPr="008C79AA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</w:p>
          <w:p w14:paraId="69B70C98" w14:textId="77777777" w:rsidR="00DB4FB7" w:rsidRPr="008C79AA" w:rsidRDefault="00237F39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DB4FB7" w:rsidRPr="008C79AA">
              <w:rPr>
                <w:sz w:val="22"/>
                <w:szCs w:val="22"/>
              </w:rPr>
              <w:t>047</w:t>
            </w:r>
          </w:p>
          <w:p w14:paraId="2E6B1D21" w14:textId="77777777" w:rsidR="00DB4FB7" w:rsidRPr="008C79AA" w:rsidRDefault="00237F39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(0,898; 1,</w:t>
            </w:r>
            <w:r w:rsidR="00DB4FB7" w:rsidRPr="008C79AA">
              <w:rPr>
                <w:sz w:val="22"/>
                <w:szCs w:val="22"/>
              </w:rPr>
              <w:t>220)</w:t>
            </w:r>
          </w:p>
        </w:tc>
      </w:tr>
      <w:tr w:rsidR="00DB4FB7" w:rsidRPr="008C79AA" w14:paraId="32A6D3A0" w14:textId="77777777" w:rsidTr="00774E48">
        <w:tc>
          <w:tcPr>
            <w:tcW w:w="2694" w:type="dxa"/>
            <w:tcBorders>
              <w:top w:val="nil"/>
            </w:tcBorders>
          </w:tcPr>
          <w:p w14:paraId="3B9359DB" w14:textId="77777777" w:rsidR="00237F39" w:rsidRDefault="00237F39" w:rsidP="00237F3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Celkové prežívanie </w:t>
            </w:r>
          </w:p>
          <w:p w14:paraId="1EEAFBAE" w14:textId="77777777" w:rsidR="00237F39" w:rsidRDefault="00237F39" w:rsidP="00237F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Medián (mesiace) </w:t>
            </w:r>
          </w:p>
          <w:p w14:paraId="37C602E0" w14:textId="77777777" w:rsidR="00DB4FB7" w:rsidRPr="008C79AA" w:rsidRDefault="00237F39" w:rsidP="00237F39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(95% IS) </w:t>
            </w:r>
          </w:p>
        </w:tc>
        <w:tc>
          <w:tcPr>
            <w:tcW w:w="1984" w:type="dxa"/>
            <w:tcBorders>
              <w:top w:val="nil"/>
            </w:tcBorders>
          </w:tcPr>
          <w:p w14:paraId="42691BD9" w14:textId="77777777" w:rsidR="00DB4FB7" w:rsidRPr="008C79AA" w:rsidRDefault="00DB4FB7" w:rsidP="00774E48">
            <w:pPr>
              <w:ind w:left="23" w:hanging="23"/>
              <w:rPr>
                <w:sz w:val="22"/>
                <w:szCs w:val="22"/>
              </w:rPr>
            </w:pPr>
          </w:p>
          <w:p w14:paraId="555E30D1" w14:textId="77777777" w:rsidR="00DB4FB7" w:rsidRPr="008C79AA" w:rsidRDefault="00237F39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</w:t>
            </w:r>
            <w:r w:rsidR="00DB4FB7" w:rsidRPr="008C79AA">
              <w:rPr>
                <w:sz w:val="22"/>
                <w:szCs w:val="22"/>
              </w:rPr>
              <w:t>3</w:t>
            </w:r>
          </w:p>
          <w:p w14:paraId="1983ABBA" w14:textId="77777777" w:rsidR="00DB4FB7" w:rsidRPr="008C79AA" w:rsidRDefault="00237F39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(26,0; 35,</w:t>
            </w:r>
            <w:r w:rsidR="00DB4FB7" w:rsidRPr="008C79AA">
              <w:rPr>
                <w:sz w:val="22"/>
                <w:szCs w:val="22"/>
              </w:rPr>
              <w:t>5)</w:t>
            </w:r>
          </w:p>
        </w:tc>
        <w:tc>
          <w:tcPr>
            <w:tcW w:w="1843" w:type="dxa"/>
            <w:tcBorders>
              <w:top w:val="nil"/>
            </w:tcBorders>
          </w:tcPr>
          <w:p w14:paraId="6B5FC454" w14:textId="77777777" w:rsidR="00DB4FB7" w:rsidRPr="008C79AA" w:rsidRDefault="00DB4FB7" w:rsidP="00774E48">
            <w:pPr>
              <w:ind w:left="23" w:hanging="23"/>
              <w:rPr>
                <w:sz w:val="22"/>
                <w:szCs w:val="22"/>
              </w:rPr>
            </w:pPr>
          </w:p>
          <w:p w14:paraId="53FBA87A" w14:textId="77777777" w:rsidR="00DB4FB7" w:rsidRPr="008C79AA" w:rsidRDefault="00237F39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</w:t>
            </w:r>
            <w:r w:rsidR="00DB4FB7" w:rsidRPr="008C79AA">
              <w:rPr>
                <w:sz w:val="22"/>
                <w:szCs w:val="22"/>
              </w:rPr>
              <w:t>1</w:t>
            </w:r>
          </w:p>
          <w:p w14:paraId="787B21C4" w14:textId="77777777" w:rsidR="00DB4FB7" w:rsidRPr="008C79AA" w:rsidRDefault="00237F39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(25,4; 33,</w:t>
            </w:r>
            <w:r w:rsidR="00DB4FB7" w:rsidRPr="008C79AA">
              <w:rPr>
                <w:sz w:val="22"/>
                <w:szCs w:val="22"/>
              </w:rPr>
              <w:t>1)</w:t>
            </w:r>
          </w:p>
        </w:tc>
        <w:tc>
          <w:tcPr>
            <w:tcW w:w="2551" w:type="dxa"/>
            <w:tcBorders>
              <w:top w:val="nil"/>
            </w:tcBorders>
          </w:tcPr>
          <w:p w14:paraId="26CB470E" w14:textId="77777777" w:rsidR="00DB4FB7" w:rsidRPr="008C79AA" w:rsidRDefault="00DB4FB7" w:rsidP="00774E48">
            <w:pPr>
              <w:ind w:left="23" w:hanging="23"/>
              <w:rPr>
                <w:sz w:val="22"/>
                <w:szCs w:val="22"/>
              </w:rPr>
            </w:pPr>
          </w:p>
          <w:p w14:paraId="5F719876" w14:textId="77777777" w:rsidR="00DB4FB7" w:rsidRPr="008C79AA" w:rsidRDefault="00237F39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8C79AA">
              <w:rPr>
                <w:sz w:val="22"/>
                <w:szCs w:val="22"/>
              </w:rPr>
              <w:t>915</w:t>
            </w:r>
            <w:r w:rsidR="00DB4FB7" w:rsidRPr="008C79AA">
              <w:rPr>
                <w:sz w:val="22"/>
                <w:szCs w:val="22"/>
                <w:vertAlign w:val="superscript"/>
              </w:rPr>
              <w:t>a</w:t>
            </w:r>
          </w:p>
          <w:p w14:paraId="23F2BF6F" w14:textId="77777777" w:rsidR="00DB4FB7" w:rsidRPr="008C79AA" w:rsidRDefault="00237F39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(0,786; 1,</w:t>
            </w:r>
            <w:r w:rsidR="00DB4FB7" w:rsidRPr="008C79AA">
              <w:rPr>
                <w:sz w:val="22"/>
                <w:szCs w:val="22"/>
              </w:rPr>
              <w:t>065)</w:t>
            </w:r>
          </w:p>
        </w:tc>
      </w:tr>
      <w:tr w:rsidR="00DB4FB7" w:rsidRPr="003A2F9E" w14:paraId="499613B0" w14:textId="77777777" w:rsidTr="00774E48">
        <w:tc>
          <w:tcPr>
            <w:tcW w:w="9072" w:type="dxa"/>
            <w:gridSpan w:val="4"/>
          </w:tcPr>
          <w:p w14:paraId="451173D9" w14:textId="77777777" w:rsidR="00DB4FB7" w:rsidRPr="008C79AA" w:rsidRDefault="00237F39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237F39">
              <w:t xml:space="preserve">HR=pomer rizík; PFS=prežívanie bez progresie ochorenia; </w:t>
            </w:r>
            <w:r w:rsidRPr="00531CFF">
              <w:rPr>
                <w:vertAlign w:val="superscript"/>
              </w:rPr>
              <w:t>a</w:t>
            </w:r>
            <w:r w:rsidRPr="00237F39">
              <w:t xml:space="preserve"> P hodnota=0,245 (2-stranná)</w:t>
            </w:r>
          </w:p>
        </w:tc>
      </w:tr>
    </w:tbl>
    <w:p w14:paraId="1D7E2832" w14:textId="77777777" w:rsidR="00DB4FB7" w:rsidRDefault="00DB4FB7" w:rsidP="00DB4FB7">
      <w:pPr>
        <w:widowControl w:val="0"/>
        <w:tabs>
          <w:tab w:val="left" w:pos="660"/>
        </w:tabs>
        <w:autoSpaceDE w:val="0"/>
        <w:autoSpaceDN w:val="0"/>
        <w:adjustRightInd w:val="0"/>
        <w:rPr>
          <w:bCs/>
        </w:rPr>
      </w:pPr>
    </w:p>
    <w:p w14:paraId="0BD8D72A" w14:textId="77777777" w:rsidR="00DB4FB7" w:rsidRDefault="00DB4FB7" w:rsidP="00DB4FB7">
      <w:pPr>
        <w:rPr>
          <w:b/>
        </w:rPr>
      </w:pPr>
      <w:r>
        <w:rPr>
          <w:b/>
        </w:rPr>
        <w:br w:type="page"/>
      </w:r>
    </w:p>
    <w:p w14:paraId="18C3274C" w14:textId="77777777" w:rsidR="00DB4FB7" w:rsidRPr="00F84447" w:rsidRDefault="00F84447" w:rsidP="00DB4FB7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b/>
        </w:rPr>
      </w:pPr>
      <w:r w:rsidRPr="00F84447">
        <w:rPr>
          <w:rFonts w:ascii="Times New Roman" w:hAnsi="Times New Roman" w:cs="Times New Roman"/>
          <w:b/>
          <w:bCs/>
        </w:rPr>
        <w:lastRenderedPageBreak/>
        <w:t xml:space="preserve">Graf 4 </w:t>
      </w:r>
      <w:r w:rsidRPr="00F84447">
        <w:rPr>
          <w:rFonts w:ascii="Times New Roman" w:hAnsi="Times New Roman" w:cs="Times New Roman"/>
          <w:b/>
          <w:bCs/>
        </w:rPr>
        <w:tab/>
      </w:r>
      <w:proofErr w:type="spellStart"/>
      <w:r w:rsidRPr="00F84447">
        <w:rPr>
          <w:rFonts w:ascii="Times New Roman" w:hAnsi="Times New Roman" w:cs="Times New Roman"/>
          <w:b/>
          <w:bCs/>
        </w:rPr>
        <w:t>Kaplanova-Meierova</w:t>
      </w:r>
      <w:proofErr w:type="spellEnd"/>
      <w:r w:rsidRPr="00F84447">
        <w:rPr>
          <w:rFonts w:ascii="Times New Roman" w:hAnsi="Times New Roman" w:cs="Times New Roman"/>
          <w:b/>
          <w:bCs/>
        </w:rPr>
        <w:t xml:space="preserve"> krivka prežívania bez progresie ochorenia podľa nezávislej </w:t>
      </w:r>
      <w:proofErr w:type="spellStart"/>
      <w:r w:rsidRPr="00F84447">
        <w:rPr>
          <w:rFonts w:ascii="Times New Roman" w:hAnsi="Times New Roman" w:cs="Times New Roman"/>
          <w:b/>
          <w:bCs/>
        </w:rPr>
        <w:t>analýzy</w:t>
      </w:r>
      <w:proofErr w:type="spellEnd"/>
      <w:r w:rsidRPr="00F84447">
        <w:rPr>
          <w:rFonts w:ascii="Times New Roman" w:hAnsi="Times New Roman" w:cs="Times New Roman"/>
          <w:b/>
          <w:bCs/>
        </w:rPr>
        <w:t xml:space="preserve"> celej populácie pacientov (VEG108844)</w:t>
      </w:r>
    </w:p>
    <w:p w14:paraId="11C75B90" w14:textId="77777777" w:rsidR="00DB4FB7" w:rsidRDefault="00DB4FB7" w:rsidP="00DB4FB7">
      <w:pPr>
        <w:tabs>
          <w:tab w:val="left" w:pos="1134"/>
        </w:tabs>
        <w:ind w:left="1134" w:hanging="1134"/>
        <w:jc w:val="center"/>
        <w:rPr>
          <w:b/>
        </w:rPr>
      </w:pPr>
      <w:r>
        <w:rPr>
          <w:noProof/>
          <w:lang w:eastAsia="sk-SK"/>
        </w:rPr>
        <w:drawing>
          <wp:inline distT="0" distB="0" distL="0" distR="0" wp14:anchorId="3FC3008E" wp14:editId="36F91404">
            <wp:extent cx="5486400" cy="336359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6BB2" w14:textId="77777777" w:rsidR="00DB4FB7" w:rsidRPr="00F84447" w:rsidRDefault="00F84447" w:rsidP="00DB4FB7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F84447">
        <w:rPr>
          <w:rFonts w:ascii="Times New Roman" w:hAnsi="Times New Roman" w:cs="Times New Roman"/>
          <w:sz w:val="20"/>
          <w:szCs w:val="20"/>
        </w:rPr>
        <w:t xml:space="preserve">Os x: Čas od </w:t>
      </w:r>
      <w:proofErr w:type="spellStart"/>
      <w:r w:rsidRPr="00F84447">
        <w:rPr>
          <w:rFonts w:ascii="Times New Roman" w:hAnsi="Times New Roman" w:cs="Times New Roman"/>
          <w:sz w:val="20"/>
          <w:szCs w:val="20"/>
        </w:rPr>
        <w:t>randomizácie</w:t>
      </w:r>
      <w:proofErr w:type="spellEnd"/>
      <w:r w:rsidRPr="00F84447">
        <w:rPr>
          <w:rFonts w:ascii="Times New Roman" w:hAnsi="Times New Roman" w:cs="Times New Roman"/>
          <w:sz w:val="20"/>
          <w:szCs w:val="20"/>
        </w:rPr>
        <w:t xml:space="preserve"> (mesiace)</w:t>
      </w:r>
    </w:p>
    <w:p w14:paraId="190050FA" w14:textId="709ACE83" w:rsidR="00DB4FB7" w:rsidRDefault="00F84447" w:rsidP="00531CFF">
      <w:pPr>
        <w:spacing w:after="0" w:line="240" w:lineRule="auto"/>
        <w:rPr>
          <w:rFonts w:ascii="Times New Roman" w:hAnsi="Times New Roman" w:cs="Times New Roman"/>
          <w:bCs/>
        </w:rPr>
      </w:pPr>
      <w:r w:rsidRPr="00F84447">
        <w:rPr>
          <w:rFonts w:ascii="Times New Roman" w:hAnsi="Times New Roman" w:cs="Times New Roman"/>
          <w:bCs/>
        </w:rPr>
        <w:t>Analýzy PFS v podskupinách sa vykonali pre 20 demografických a prognostických faktorov. 95</w:t>
      </w:r>
      <w:r w:rsidR="00C12C8E">
        <w:rPr>
          <w:rFonts w:ascii="Times New Roman" w:hAnsi="Times New Roman" w:cs="Times New Roman"/>
          <w:bCs/>
        </w:rPr>
        <w:t xml:space="preserve"> </w:t>
      </w:r>
      <w:r w:rsidRPr="00F84447">
        <w:rPr>
          <w:rFonts w:ascii="Times New Roman" w:hAnsi="Times New Roman" w:cs="Times New Roman"/>
          <w:bCs/>
        </w:rPr>
        <w:t xml:space="preserve">% intervaly spoľahlivosti pre všetky podskupiny zahŕňali pomer rizík v hodnote 1. V troch najmenších z týchto 20 podskupín prekročil bodový odhad pomeru rizík 1,25; </w:t>
      </w:r>
      <w:proofErr w:type="spellStart"/>
      <w:r w:rsidRPr="00F84447">
        <w:rPr>
          <w:rFonts w:ascii="Times New Roman" w:hAnsi="Times New Roman" w:cs="Times New Roman"/>
          <w:bCs/>
        </w:rPr>
        <w:t>t.j</w:t>
      </w:r>
      <w:proofErr w:type="spellEnd"/>
      <w:r w:rsidRPr="00F84447">
        <w:rPr>
          <w:rFonts w:ascii="Times New Roman" w:hAnsi="Times New Roman" w:cs="Times New Roman"/>
          <w:bCs/>
        </w:rPr>
        <w:t xml:space="preserve">. u jedincov, ktorí v predchádzajúcom období nepodstúpili </w:t>
      </w:r>
      <w:proofErr w:type="spellStart"/>
      <w:r w:rsidRPr="00F84447">
        <w:rPr>
          <w:rFonts w:ascii="Times New Roman" w:hAnsi="Times New Roman" w:cs="Times New Roman"/>
          <w:bCs/>
        </w:rPr>
        <w:t>nefrektómiu</w:t>
      </w:r>
      <w:proofErr w:type="spellEnd"/>
      <w:r w:rsidRPr="00F84447">
        <w:rPr>
          <w:rFonts w:ascii="Times New Roman" w:hAnsi="Times New Roman" w:cs="Times New Roman"/>
          <w:bCs/>
        </w:rPr>
        <w:t xml:space="preserve"> (n = 186, HR = 1,403; 95% IS (0,955; 2,061)), s východiskovou hodnotou LDH &gt; 1,5 x ULN (n = 68, HR = 1,72; 95% IS (0,943; 3,139)) a s vysokým rizikom podľa MSKCC (n = 119, HR = 1,472; 95% IS (0,937; 2,313)).</w:t>
      </w:r>
    </w:p>
    <w:p w14:paraId="20330C9D" w14:textId="77777777" w:rsidR="00C13F39" w:rsidRPr="00F84447" w:rsidRDefault="00C13F39" w:rsidP="00531CFF">
      <w:pPr>
        <w:spacing w:after="0" w:line="240" w:lineRule="auto"/>
        <w:rPr>
          <w:rFonts w:ascii="Times New Roman" w:hAnsi="Times New Roman" w:cs="Times New Roman"/>
          <w:bCs/>
        </w:rPr>
      </w:pPr>
    </w:p>
    <w:p w14:paraId="3C2F3AF9" w14:textId="77777777" w:rsidR="00F84447" w:rsidRPr="00F84447" w:rsidRDefault="00F84447" w:rsidP="00F84447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F84447">
        <w:rPr>
          <w:rFonts w:ascii="Times New Roman" w:hAnsi="Times New Roman" w:cs="Times New Roman"/>
          <w:i/>
          <w:iCs/>
          <w:u w:val="single"/>
        </w:rPr>
        <w:t xml:space="preserve">Sarkóm </w:t>
      </w:r>
      <w:proofErr w:type="spellStart"/>
      <w:r w:rsidRPr="00F84447">
        <w:rPr>
          <w:rFonts w:ascii="Times New Roman" w:hAnsi="Times New Roman" w:cs="Times New Roman"/>
          <w:i/>
          <w:iCs/>
          <w:u w:val="single"/>
        </w:rPr>
        <w:t>mäkkých</w:t>
      </w:r>
      <w:proofErr w:type="spellEnd"/>
      <w:r w:rsidRPr="00F84447">
        <w:rPr>
          <w:rFonts w:ascii="Times New Roman" w:hAnsi="Times New Roman" w:cs="Times New Roman"/>
          <w:i/>
          <w:iCs/>
          <w:u w:val="single"/>
        </w:rPr>
        <w:t xml:space="preserve"> tkanív (STS) </w:t>
      </w:r>
    </w:p>
    <w:p w14:paraId="7AF6261D" w14:textId="77777777" w:rsidR="00DB4FB7" w:rsidRPr="00F84447" w:rsidRDefault="00F84447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F84447">
        <w:rPr>
          <w:rFonts w:ascii="Times New Roman" w:hAnsi="Times New Roman" w:cs="Times New Roman"/>
          <w:bCs/>
        </w:rPr>
        <w:t xml:space="preserve">Účinnosť a bezpečnosť </w:t>
      </w:r>
      <w:proofErr w:type="spellStart"/>
      <w:r w:rsidRPr="00F84447">
        <w:rPr>
          <w:rFonts w:ascii="Times New Roman" w:hAnsi="Times New Roman" w:cs="Times New Roman"/>
          <w:bCs/>
        </w:rPr>
        <w:t>pazopanibu</w:t>
      </w:r>
      <w:proofErr w:type="spellEnd"/>
      <w:r w:rsidRPr="00F84447">
        <w:rPr>
          <w:rFonts w:ascii="Times New Roman" w:hAnsi="Times New Roman" w:cs="Times New Roman"/>
          <w:bCs/>
        </w:rPr>
        <w:t xml:space="preserve"> pri STS sa hodnotila v </w:t>
      </w:r>
      <w:proofErr w:type="spellStart"/>
      <w:r w:rsidRPr="00F84447">
        <w:rPr>
          <w:rFonts w:ascii="Times New Roman" w:hAnsi="Times New Roman" w:cs="Times New Roman"/>
          <w:bCs/>
        </w:rPr>
        <w:t>pivotnom</w:t>
      </w:r>
      <w:proofErr w:type="spellEnd"/>
      <w:r w:rsidRPr="00F84447">
        <w:rPr>
          <w:rFonts w:ascii="Times New Roman" w:hAnsi="Times New Roman" w:cs="Times New Roman"/>
          <w:bCs/>
        </w:rPr>
        <w:t xml:space="preserve">, </w:t>
      </w:r>
      <w:proofErr w:type="spellStart"/>
      <w:r w:rsidRPr="00F84447">
        <w:rPr>
          <w:rFonts w:ascii="Times New Roman" w:hAnsi="Times New Roman" w:cs="Times New Roman"/>
          <w:bCs/>
        </w:rPr>
        <w:t>randomizovanom</w:t>
      </w:r>
      <w:proofErr w:type="spellEnd"/>
      <w:r w:rsidRPr="00F84447">
        <w:rPr>
          <w:rFonts w:ascii="Times New Roman" w:hAnsi="Times New Roman" w:cs="Times New Roman"/>
          <w:bCs/>
        </w:rPr>
        <w:t xml:space="preserve">, dvojito zaslepenom, placebom kontrolovanom, </w:t>
      </w:r>
      <w:proofErr w:type="spellStart"/>
      <w:r w:rsidRPr="00F84447">
        <w:rPr>
          <w:rFonts w:ascii="Times New Roman" w:hAnsi="Times New Roman" w:cs="Times New Roman"/>
          <w:bCs/>
        </w:rPr>
        <w:t>multicentrickom</w:t>
      </w:r>
      <w:proofErr w:type="spellEnd"/>
      <w:r w:rsidRPr="00F84447">
        <w:rPr>
          <w:rFonts w:ascii="Times New Roman" w:hAnsi="Times New Roman" w:cs="Times New Roman"/>
          <w:bCs/>
        </w:rPr>
        <w:t xml:space="preserve"> skúšaní fázy III (VEG110727). Celkovo 369 pacientom s pokročilým STS bola náhodne pridelená liečba </w:t>
      </w:r>
      <w:proofErr w:type="spellStart"/>
      <w:r w:rsidRPr="00F84447">
        <w:rPr>
          <w:rFonts w:ascii="Times New Roman" w:hAnsi="Times New Roman" w:cs="Times New Roman"/>
          <w:bCs/>
        </w:rPr>
        <w:t>pazopanibom</w:t>
      </w:r>
      <w:proofErr w:type="spellEnd"/>
      <w:r w:rsidRPr="00F84447">
        <w:rPr>
          <w:rFonts w:ascii="Times New Roman" w:hAnsi="Times New Roman" w:cs="Times New Roman"/>
          <w:bCs/>
        </w:rPr>
        <w:t xml:space="preserve"> v dávke 800 mg jedenkrát denne alebo bolo podávané placebo. Dôležité je, že štúdie sa mohli zúčastniť iba pacienti s vybranými histologickými podtypmi STS, a preto sa účinnosť a bezpečnosť </w:t>
      </w:r>
      <w:proofErr w:type="spellStart"/>
      <w:r w:rsidRPr="00F84447">
        <w:rPr>
          <w:rFonts w:ascii="Times New Roman" w:hAnsi="Times New Roman" w:cs="Times New Roman"/>
          <w:bCs/>
        </w:rPr>
        <w:t>pazopanibu</w:t>
      </w:r>
      <w:proofErr w:type="spellEnd"/>
      <w:r w:rsidRPr="00F84447">
        <w:rPr>
          <w:rFonts w:ascii="Times New Roman" w:hAnsi="Times New Roman" w:cs="Times New Roman"/>
          <w:bCs/>
        </w:rPr>
        <w:t xml:space="preserve"> môže považovať za </w:t>
      </w:r>
      <w:r w:rsidRPr="00F84447">
        <w:rPr>
          <w:rFonts w:ascii="Times New Roman" w:hAnsi="Times New Roman" w:cs="Times New Roman"/>
        </w:rPr>
        <w:t xml:space="preserve">stanovenú iba pri týchto podtypoch STS a liečba </w:t>
      </w:r>
      <w:proofErr w:type="spellStart"/>
      <w:r w:rsidRPr="00F84447">
        <w:rPr>
          <w:rFonts w:ascii="Times New Roman" w:hAnsi="Times New Roman" w:cs="Times New Roman"/>
        </w:rPr>
        <w:t>pazopanibom</w:t>
      </w:r>
      <w:proofErr w:type="spellEnd"/>
      <w:r w:rsidRPr="00F84447">
        <w:rPr>
          <w:rFonts w:ascii="Times New Roman" w:hAnsi="Times New Roman" w:cs="Times New Roman"/>
        </w:rPr>
        <w:t xml:space="preserve"> sa má obmedziť na takéto podtypy STS.</w:t>
      </w:r>
    </w:p>
    <w:p w14:paraId="50212790" w14:textId="77777777" w:rsidR="00F84447" w:rsidRPr="00531CFF" w:rsidRDefault="00F84447" w:rsidP="00531CFF">
      <w:pPr>
        <w:spacing w:after="0" w:line="240" w:lineRule="auto"/>
        <w:rPr>
          <w:rFonts w:ascii="Times New Roman" w:hAnsi="Times New Roman" w:cs="Times New Roman"/>
          <w:bCs/>
        </w:rPr>
      </w:pPr>
    </w:p>
    <w:p w14:paraId="22F79110" w14:textId="77777777" w:rsidR="00F84447" w:rsidRPr="00F84447" w:rsidRDefault="00F84447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84447">
        <w:rPr>
          <w:rFonts w:ascii="Times New Roman" w:hAnsi="Times New Roman" w:cs="Times New Roman"/>
        </w:rPr>
        <w:t xml:space="preserve">Nasledujúce typy tumorov boli vhodné pre štúdiu: </w:t>
      </w:r>
    </w:p>
    <w:p w14:paraId="0E84CCCF" w14:textId="458601C6" w:rsidR="00DB4FB7" w:rsidRPr="00F84447" w:rsidRDefault="00F84447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proofErr w:type="spellStart"/>
      <w:r w:rsidRPr="00F84447">
        <w:rPr>
          <w:rFonts w:ascii="Times New Roman" w:hAnsi="Times New Roman" w:cs="Times New Roman"/>
        </w:rPr>
        <w:t>Fibroblastické</w:t>
      </w:r>
      <w:proofErr w:type="spellEnd"/>
      <w:r w:rsidRPr="00F84447">
        <w:rPr>
          <w:rFonts w:ascii="Times New Roman" w:hAnsi="Times New Roman" w:cs="Times New Roman"/>
        </w:rPr>
        <w:t xml:space="preserve"> tumory (</w:t>
      </w:r>
      <w:proofErr w:type="spellStart"/>
      <w:r w:rsidRPr="00F84447">
        <w:rPr>
          <w:rFonts w:ascii="Times New Roman" w:hAnsi="Times New Roman" w:cs="Times New Roman"/>
        </w:rPr>
        <w:t>fibrosarkóm</w:t>
      </w:r>
      <w:proofErr w:type="spellEnd"/>
      <w:r w:rsidRPr="00F84447">
        <w:rPr>
          <w:rFonts w:ascii="Times New Roman" w:hAnsi="Times New Roman" w:cs="Times New Roman"/>
        </w:rPr>
        <w:t xml:space="preserve"> u dospelých, </w:t>
      </w:r>
      <w:proofErr w:type="spellStart"/>
      <w:r w:rsidRPr="00F84447">
        <w:rPr>
          <w:rFonts w:ascii="Times New Roman" w:hAnsi="Times New Roman" w:cs="Times New Roman"/>
        </w:rPr>
        <w:t>myxofibrosarkóm</w:t>
      </w:r>
      <w:proofErr w:type="spellEnd"/>
      <w:r w:rsidRPr="00F84447">
        <w:rPr>
          <w:rFonts w:ascii="Times New Roman" w:hAnsi="Times New Roman" w:cs="Times New Roman"/>
        </w:rPr>
        <w:t xml:space="preserve">, </w:t>
      </w:r>
      <w:proofErr w:type="spellStart"/>
      <w:r w:rsidRPr="00F84447">
        <w:rPr>
          <w:rFonts w:ascii="Times New Roman" w:hAnsi="Times New Roman" w:cs="Times New Roman"/>
        </w:rPr>
        <w:t>sklerotizujúci</w:t>
      </w:r>
      <w:proofErr w:type="spellEnd"/>
      <w:r w:rsidRPr="00F84447">
        <w:rPr>
          <w:rFonts w:ascii="Times New Roman" w:hAnsi="Times New Roman" w:cs="Times New Roman"/>
        </w:rPr>
        <w:t xml:space="preserve"> </w:t>
      </w:r>
      <w:proofErr w:type="spellStart"/>
      <w:r w:rsidRPr="00F84447">
        <w:rPr>
          <w:rFonts w:ascii="Times New Roman" w:hAnsi="Times New Roman" w:cs="Times New Roman"/>
        </w:rPr>
        <w:t>epiteloidný</w:t>
      </w:r>
      <w:proofErr w:type="spellEnd"/>
      <w:r w:rsidRPr="00F84447">
        <w:rPr>
          <w:rFonts w:ascii="Times New Roman" w:hAnsi="Times New Roman" w:cs="Times New Roman"/>
        </w:rPr>
        <w:t xml:space="preserve"> </w:t>
      </w:r>
      <w:proofErr w:type="spellStart"/>
      <w:r w:rsidRPr="00F84447">
        <w:rPr>
          <w:rFonts w:ascii="Times New Roman" w:hAnsi="Times New Roman" w:cs="Times New Roman"/>
        </w:rPr>
        <w:t>fibrosarkóm</w:t>
      </w:r>
      <w:proofErr w:type="spellEnd"/>
      <w:r w:rsidRPr="00F84447">
        <w:rPr>
          <w:rFonts w:ascii="Times New Roman" w:hAnsi="Times New Roman" w:cs="Times New Roman"/>
        </w:rPr>
        <w:t xml:space="preserve">, malígne solitárne fibrózne tumory), takzvané </w:t>
      </w:r>
      <w:proofErr w:type="spellStart"/>
      <w:r w:rsidRPr="00F84447">
        <w:rPr>
          <w:rFonts w:ascii="Times New Roman" w:hAnsi="Times New Roman" w:cs="Times New Roman"/>
        </w:rPr>
        <w:t>fibrohistiocytárne</w:t>
      </w:r>
      <w:proofErr w:type="spellEnd"/>
      <w:r w:rsidRPr="00F84447">
        <w:rPr>
          <w:rFonts w:ascii="Times New Roman" w:hAnsi="Times New Roman" w:cs="Times New Roman"/>
        </w:rPr>
        <w:t xml:space="preserve"> tumory (</w:t>
      </w:r>
      <w:proofErr w:type="spellStart"/>
      <w:r w:rsidRPr="00F84447">
        <w:rPr>
          <w:rFonts w:ascii="Times New Roman" w:hAnsi="Times New Roman" w:cs="Times New Roman"/>
        </w:rPr>
        <w:t>pleomorfný</w:t>
      </w:r>
      <w:proofErr w:type="spellEnd"/>
      <w:r w:rsidRPr="00F84447">
        <w:rPr>
          <w:rFonts w:ascii="Times New Roman" w:hAnsi="Times New Roman" w:cs="Times New Roman"/>
        </w:rPr>
        <w:t xml:space="preserve"> malígny fibrózny </w:t>
      </w:r>
      <w:proofErr w:type="spellStart"/>
      <w:r w:rsidRPr="00F84447">
        <w:rPr>
          <w:rFonts w:ascii="Times New Roman" w:hAnsi="Times New Roman" w:cs="Times New Roman"/>
        </w:rPr>
        <w:t>histiocytóm</w:t>
      </w:r>
      <w:proofErr w:type="spellEnd"/>
      <w:r w:rsidRPr="00F84447">
        <w:rPr>
          <w:rFonts w:ascii="Times New Roman" w:hAnsi="Times New Roman" w:cs="Times New Roman"/>
        </w:rPr>
        <w:t xml:space="preserve"> [MFH], </w:t>
      </w:r>
      <w:proofErr w:type="spellStart"/>
      <w:r w:rsidRPr="00F84447">
        <w:rPr>
          <w:rFonts w:ascii="Times New Roman" w:hAnsi="Times New Roman" w:cs="Times New Roman"/>
        </w:rPr>
        <w:t>obrovskobunkový</w:t>
      </w:r>
      <w:proofErr w:type="spellEnd"/>
      <w:r w:rsidRPr="00F84447">
        <w:rPr>
          <w:rFonts w:ascii="Times New Roman" w:hAnsi="Times New Roman" w:cs="Times New Roman"/>
        </w:rPr>
        <w:t xml:space="preserve"> MFH, </w:t>
      </w:r>
      <w:proofErr w:type="spellStart"/>
      <w:r w:rsidRPr="00F84447">
        <w:rPr>
          <w:rFonts w:ascii="Times New Roman" w:hAnsi="Times New Roman" w:cs="Times New Roman"/>
        </w:rPr>
        <w:t>inflamatórny</w:t>
      </w:r>
      <w:proofErr w:type="spellEnd"/>
      <w:r w:rsidRPr="00F84447">
        <w:rPr>
          <w:rFonts w:ascii="Times New Roman" w:hAnsi="Times New Roman" w:cs="Times New Roman"/>
        </w:rPr>
        <w:t xml:space="preserve"> MFH), </w:t>
      </w:r>
      <w:proofErr w:type="spellStart"/>
      <w:r w:rsidRPr="00F84447">
        <w:rPr>
          <w:rFonts w:ascii="Times New Roman" w:hAnsi="Times New Roman" w:cs="Times New Roman"/>
        </w:rPr>
        <w:t>leiomyosarkóm</w:t>
      </w:r>
      <w:proofErr w:type="spellEnd"/>
      <w:r w:rsidRPr="00F84447">
        <w:rPr>
          <w:rFonts w:ascii="Times New Roman" w:hAnsi="Times New Roman" w:cs="Times New Roman"/>
        </w:rPr>
        <w:t xml:space="preserve">, malígne </w:t>
      </w:r>
      <w:proofErr w:type="spellStart"/>
      <w:r w:rsidRPr="00F84447">
        <w:rPr>
          <w:rFonts w:ascii="Times New Roman" w:hAnsi="Times New Roman" w:cs="Times New Roman"/>
        </w:rPr>
        <w:t>glomusové</w:t>
      </w:r>
      <w:proofErr w:type="spellEnd"/>
      <w:r w:rsidRPr="00F84447">
        <w:rPr>
          <w:rFonts w:ascii="Times New Roman" w:hAnsi="Times New Roman" w:cs="Times New Roman"/>
        </w:rPr>
        <w:t xml:space="preserve"> tumory, tumory kostrových svalov (</w:t>
      </w:r>
      <w:proofErr w:type="spellStart"/>
      <w:r w:rsidRPr="00F84447">
        <w:rPr>
          <w:rFonts w:ascii="Times New Roman" w:hAnsi="Times New Roman" w:cs="Times New Roman"/>
        </w:rPr>
        <w:t>pleomorfný</w:t>
      </w:r>
      <w:proofErr w:type="spellEnd"/>
      <w:r w:rsidRPr="00F84447">
        <w:rPr>
          <w:rFonts w:ascii="Times New Roman" w:hAnsi="Times New Roman" w:cs="Times New Roman"/>
        </w:rPr>
        <w:t xml:space="preserve"> a alveolárny </w:t>
      </w:r>
      <w:proofErr w:type="spellStart"/>
      <w:r w:rsidRPr="00F84447">
        <w:rPr>
          <w:rFonts w:ascii="Times New Roman" w:hAnsi="Times New Roman" w:cs="Times New Roman"/>
        </w:rPr>
        <w:t>rabdomyosarkóm</w:t>
      </w:r>
      <w:proofErr w:type="spellEnd"/>
      <w:r w:rsidRPr="00F84447">
        <w:rPr>
          <w:rFonts w:ascii="Times New Roman" w:hAnsi="Times New Roman" w:cs="Times New Roman"/>
        </w:rPr>
        <w:t>), tumory cievnej sústavy (</w:t>
      </w:r>
      <w:proofErr w:type="spellStart"/>
      <w:r w:rsidRPr="00F84447">
        <w:rPr>
          <w:rFonts w:ascii="Times New Roman" w:hAnsi="Times New Roman" w:cs="Times New Roman"/>
        </w:rPr>
        <w:t>epiteloidný</w:t>
      </w:r>
      <w:proofErr w:type="spellEnd"/>
      <w:r w:rsidRPr="00F84447">
        <w:rPr>
          <w:rFonts w:ascii="Times New Roman" w:hAnsi="Times New Roman" w:cs="Times New Roman"/>
        </w:rPr>
        <w:t xml:space="preserve"> </w:t>
      </w:r>
      <w:proofErr w:type="spellStart"/>
      <w:r w:rsidRPr="00F84447">
        <w:rPr>
          <w:rFonts w:ascii="Times New Roman" w:hAnsi="Times New Roman" w:cs="Times New Roman"/>
        </w:rPr>
        <w:t>hemangioendotelióm</w:t>
      </w:r>
      <w:proofErr w:type="spellEnd"/>
      <w:r w:rsidRPr="00F84447">
        <w:rPr>
          <w:rFonts w:ascii="Times New Roman" w:hAnsi="Times New Roman" w:cs="Times New Roman"/>
        </w:rPr>
        <w:t xml:space="preserve">, </w:t>
      </w:r>
      <w:proofErr w:type="spellStart"/>
      <w:r w:rsidRPr="00F84447">
        <w:rPr>
          <w:rFonts w:ascii="Times New Roman" w:hAnsi="Times New Roman" w:cs="Times New Roman"/>
        </w:rPr>
        <w:t>angiosarkóm</w:t>
      </w:r>
      <w:proofErr w:type="spellEnd"/>
      <w:r w:rsidRPr="00F84447">
        <w:rPr>
          <w:rFonts w:ascii="Times New Roman" w:hAnsi="Times New Roman" w:cs="Times New Roman"/>
        </w:rPr>
        <w:t>), neurčito diferencované tumory (</w:t>
      </w:r>
      <w:proofErr w:type="spellStart"/>
      <w:r w:rsidRPr="00F84447">
        <w:rPr>
          <w:rFonts w:ascii="Times New Roman" w:hAnsi="Times New Roman" w:cs="Times New Roman"/>
        </w:rPr>
        <w:t>synoviálny</w:t>
      </w:r>
      <w:proofErr w:type="spellEnd"/>
      <w:r w:rsidRPr="00F84447">
        <w:rPr>
          <w:rFonts w:ascii="Times New Roman" w:hAnsi="Times New Roman" w:cs="Times New Roman"/>
        </w:rPr>
        <w:t xml:space="preserve">, </w:t>
      </w:r>
      <w:proofErr w:type="spellStart"/>
      <w:r w:rsidRPr="00F84447">
        <w:rPr>
          <w:rFonts w:ascii="Times New Roman" w:hAnsi="Times New Roman" w:cs="Times New Roman"/>
        </w:rPr>
        <w:t>epiteloidn</w:t>
      </w:r>
      <w:r w:rsidR="009A1DDF">
        <w:rPr>
          <w:rFonts w:ascii="Times New Roman" w:hAnsi="Times New Roman" w:cs="Times New Roman"/>
        </w:rPr>
        <w:t>ý</w:t>
      </w:r>
      <w:proofErr w:type="spellEnd"/>
      <w:r w:rsidRPr="00F84447">
        <w:rPr>
          <w:rFonts w:ascii="Times New Roman" w:hAnsi="Times New Roman" w:cs="Times New Roman"/>
        </w:rPr>
        <w:t xml:space="preserve">, alveolárny tumor mäkkých tkanív, </w:t>
      </w:r>
      <w:proofErr w:type="spellStart"/>
      <w:r w:rsidRPr="00F84447">
        <w:rPr>
          <w:rFonts w:ascii="Times New Roman" w:hAnsi="Times New Roman" w:cs="Times New Roman"/>
        </w:rPr>
        <w:t>jasnobunkový</w:t>
      </w:r>
      <w:proofErr w:type="spellEnd"/>
      <w:r w:rsidRPr="00F84447">
        <w:rPr>
          <w:rFonts w:ascii="Times New Roman" w:hAnsi="Times New Roman" w:cs="Times New Roman"/>
        </w:rPr>
        <w:t xml:space="preserve">, </w:t>
      </w:r>
      <w:proofErr w:type="spellStart"/>
      <w:r w:rsidRPr="00F84447">
        <w:rPr>
          <w:rFonts w:ascii="Times New Roman" w:hAnsi="Times New Roman" w:cs="Times New Roman"/>
        </w:rPr>
        <w:t>dezmoplastický</w:t>
      </w:r>
      <w:proofErr w:type="spellEnd"/>
      <w:r w:rsidRPr="00F84447">
        <w:rPr>
          <w:rFonts w:ascii="Times New Roman" w:hAnsi="Times New Roman" w:cs="Times New Roman"/>
        </w:rPr>
        <w:t xml:space="preserve"> tumor z malých okrúhlych buniek, </w:t>
      </w:r>
      <w:proofErr w:type="spellStart"/>
      <w:r w:rsidRPr="00F84447">
        <w:rPr>
          <w:rFonts w:ascii="Times New Roman" w:hAnsi="Times New Roman" w:cs="Times New Roman"/>
        </w:rPr>
        <w:t>extrarenálny</w:t>
      </w:r>
      <w:proofErr w:type="spellEnd"/>
      <w:r w:rsidRPr="00F84447">
        <w:rPr>
          <w:rFonts w:ascii="Times New Roman" w:hAnsi="Times New Roman" w:cs="Times New Roman"/>
        </w:rPr>
        <w:t xml:space="preserve"> </w:t>
      </w:r>
      <w:proofErr w:type="spellStart"/>
      <w:r w:rsidRPr="00F84447">
        <w:rPr>
          <w:rFonts w:ascii="Times New Roman" w:hAnsi="Times New Roman" w:cs="Times New Roman"/>
        </w:rPr>
        <w:t>rabdoidný</w:t>
      </w:r>
      <w:proofErr w:type="spellEnd"/>
      <w:r w:rsidRPr="00F84447">
        <w:rPr>
          <w:rFonts w:ascii="Times New Roman" w:hAnsi="Times New Roman" w:cs="Times New Roman"/>
        </w:rPr>
        <w:t xml:space="preserve"> tumor, malígny </w:t>
      </w:r>
      <w:proofErr w:type="spellStart"/>
      <w:r w:rsidRPr="00F84447">
        <w:rPr>
          <w:rFonts w:ascii="Times New Roman" w:hAnsi="Times New Roman" w:cs="Times New Roman"/>
        </w:rPr>
        <w:t>mezenchymóm</w:t>
      </w:r>
      <w:proofErr w:type="spellEnd"/>
      <w:r w:rsidRPr="00F84447">
        <w:rPr>
          <w:rFonts w:ascii="Times New Roman" w:hAnsi="Times New Roman" w:cs="Times New Roman"/>
        </w:rPr>
        <w:t xml:space="preserve">, tumor z </w:t>
      </w:r>
      <w:proofErr w:type="spellStart"/>
      <w:r w:rsidRPr="00F84447">
        <w:rPr>
          <w:rFonts w:ascii="Times New Roman" w:hAnsi="Times New Roman" w:cs="Times New Roman"/>
        </w:rPr>
        <w:t>perivaskulárnych</w:t>
      </w:r>
      <w:proofErr w:type="spellEnd"/>
      <w:r w:rsidRPr="00F84447">
        <w:rPr>
          <w:rFonts w:ascii="Times New Roman" w:hAnsi="Times New Roman" w:cs="Times New Roman"/>
        </w:rPr>
        <w:t xml:space="preserve"> </w:t>
      </w:r>
      <w:proofErr w:type="spellStart"/>
      <w:r w:rsidRPr="00F84447">
        <w:rPr>
          <w:rFonts w:ascii="Times New Roman" w:hAnsi="Times New Roman" w:cs="Times New Roman"/>
        </w:rPr>
        <w:t>epiteloidných</w:t>
      </w:r>
      <w:proofErr w:type="spellEnd"/>
      <w:r w:rsidRPr="00F84447">
        <w:rPr>
          <w:rFonts w:ascii="Times New Roman" w:hAnsi="Times New Roman" w:cs="Times New Roman"/>
        </w:rPr>
        <w:t xml:space="preserve"> buniek (</w:t>
      </w:r>
      <w:proofErr w:type="spellStart"/>
      <w:r w:rsidRPr="00F84447">
        <w:rPr>
          <w:rFonts w:ascii="Times New Roman" w:hAnsi="Times New Roman" w:cs="Times New Roman"/>
        </w:rPr>
        <w:t>PEComa</w:t>
      </w:r>
      <w:proofErr w:type="spellEnd"/>
      <w:r w:rsidRPr="00F84447">
        <w:rPr>
          <w:rFonts w:ascii="Times New Roman" w:hAnsi="Times New Roman" w:cs="Times New Roman"/>
        </w:rPr>
        <w:t xml:space="preserve">), </w:t>
      </w:r>
      <w:proofErr w:type="spellStart"/>
      <w:r w:rsidRPr="00F84447">
        <w:rPr>
          <w:rFonts w:ascii="Times New Roman" w:hAnsi="Times New Roman" w:cs="Times New Roman"/>
        </w:rPr>
        <w:t>intimálny</w:t>
      </w:r>
      <w:proofErr w:type="spellEnd"/>
      <w:r w:rsidRPr="00F84447">
        <w:rPr>
          <w:rFonts w:ascii="Times New Roman" w:hAnsi="Times New Roman" w:cs="Times New Roman"/>
        </w:rPr>
        <w:t xml:space="preserve"> sarkóm), malígne tumory z buniek obalov periférnych nervov, nešpecifikované (NOS) nediferencované sarkómy mäkkých tkanív a iné typy sarkómu (neuvedené ako nevhodné pre štúdiu).</w:t>
      </w:r>
    </w:p>
    <w:p w14:paraId="17B1EB4E" w14:textId="77777777" w:rsidR="00F84447" w:rsidRPr="00531CFF" w:rsidRDefault="00F84447" w:rsidP="00531CFF">
      <w:pPr>
        <w:spacing w:after="0" w:line="240" w:lineRule="auto"/>
        <w:rPr>
          <w:rFonts w:ascii="Times New Roman" w:hAnsi="Times New Roman" w:cs="Times New Roman"/>
          <w:bCs/>
        </w:rPr>
      </w:pPr>
    </w:p>
    <w:p w14:paraId="1F9CDB77" w14:textId="77777777" w:rsidR="00F84447" w:rsidRPr="00F84447" w:rsidRDefault="00F84447" w:rsidP="00F84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447">
        <w:rPr>
          <w:rFonts w:ascii="Times New Roman" w:hAnsi="Times New Roman" w:cs="Times New Roman"/>
          <w:color w:val="000000"/>
        </w:rPr>
        <w:t xml:space="preserve">Nasledujúce typy tumorov boli nevhodné pre štúdiu: </w:t>
      </w:r>
    </w:p>
    <w:p w14:paraId="2593C6BD" w14:textId="313BFC61" w:rsidR="00C13F39" w:rsidRDefault="00F84447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F84447">
        <w:rPr>
          <w:rFonts w:ascii="Times New Roman" w:hAnsi="Times New Roman" w:cs="Times New Roman"/>
          <w:color w:val="000000"/>
        </w:rPr>
        <w:t>Adipocytický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sarkóm (všetky podtypy), všetky </w:t>
      </w:r>
      <w:proofErr w:type="spellStart"/>
      <w:r w:rsidRPr="00F84447">
        <w:rPr>
          <w:rFonts w:ascii="Times New Roman" w:hAnsi="Times New Roman" w:cs="Times New Roman"/>
          <w:color w:val="000000"/>
        </w:rPr>
        <w:t>rabdomyosarkómy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, ktoré neboli alveolárne ani </w:t>
      </w:r>
      <w:proofErr w:type="spellStart"/>
      <w:r w:rsidRPr="00F84447">
        <w:rPr>
          <w:rFonts w:ascii="Times New Roman" w:hAnsi="Times New Roman" w:cs="Times New Roman"/>
          <w:color w:val="000000"/>
        </w:rPr>
        <w:t>pleomorfné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84447">
        <w:rPr>
          <w:rFonts w:ascii="Times New Roman" w:hAnsi="Times New Roman" w:cs="Times New Roman"/>
          <w:color w:val="000000"/>
        </w:rPr>
        <w:t>chondrosarkóm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84447">
        <w:rPr>
          <w:rFonts w:ascii="Times New Roman" w:hAnsi="Times New Roman" w:cs="Times New Roman"/>
          <w:color w:val="000000"/>
        </w:rPr>
        <w:t>osteosarkóm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84447">
        <w:rPr>
          <w:rFonts w:ascii="Times New Roman" w:hAnsi="Times New Roman" w:cs="Times New Roman"/>
          <w:color w:val="000000"/>
        </w:rPr>
        <w:t>Ewingove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tumory/primitívne </w:t>
      </w:r>
      <w:proofErr w:type="spellStart"/>
      <w:r w:rsidRPr="00F84447">
        <w:rPr>
          <w:rFonts w:ascii="Times New Roman" w:hAnsi="Times New Roman" w:cs="Times New Roman"/>
          <w:color w:val="000000"/>
        </w:rPr>
        <w:t>neuroektodermálne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tumory (PNET), GIST, </w:t>
      </w:r>
      <w:proofErr w:type="spellStart"/>
      <w:r w:rsidRPr="00F84447">
        <w:rPr>
          <w:rFonts w:ascii="Times New Roman" w:hAnsi="Times New Roman" w:cs="Times New Roman"/>
          <w:color w:val="000000"/>
        </w:rPr>
        <w:t>dermatofibrosarcoma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84447">
        <w:rPr>
          <w:rFonts w:ascii="Times New Roman" w:hAnsi="Times New Roman" w:cs="Times New Roman"/>
          <w:color w:val="000000"/>
        </w:rPr>
        <w:t>protuberans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84447">
        <w:rPr>
          <w:rFonts w:ascii="Times New Roman" w:hAnsi="Times New Roman" w:cs="Times New Roman"/>
          <w:color w:val="000000"/>
        </w:rPr>
        <w:t>inflamatórny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84447">
        <w:rPr>
          <w:rFonts w:ascii="Times New Roman" w:hAnsi="Times New Roman" w:cs="Times New Roman"/>
          <w:color w:val="000000"/>
        </w:rPr>
        <w:t>myofibroblastický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sarkóm, malígny </w:t>
      </w:r>
      <w:proofErr w:type="spellStart"/>
      <w:r w:rsidRPr="00F84447">
        <w:rPr>
          <w:rFonts w:ascii="Times New Roman" w:hAnsi="Times New Roman" w:cs="Times New Roman"/>
          <w:color w:val="000000"/>
        </w:rPr>
        <w:t>mezotelióm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a zmiešané </w:t>
      </w:r>
      <w:proofErr w:type="spellStart"/>
      <w:r w:rsidRPr="00F84447">
        <w:rPr>
          <w:rFonts w:ascii="Times New Roman" w:hAnsi="Times New Roman" w:cs="Times New Roman"/>
          <w:color w:val="000000"/>
        </w:rPr>
        <w:t>mezodermálne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tumory maternice. </w:t>
      </w:r>
    </w:p>
    <w:p w14:paraId="056B2838" w14:textId="77777777" w:rsidR="00DB4FB7" w:rsidRDefault="00F84447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447">
        <w:rPr>
          <w:rFonts w:ascii="Times New Roman" w:hAnsi="Times New Roman" w:cs="Times New Roman"/>
          <w:color w:val="000000"/>
        </w:rPr>
        <w:t xml:space="preserve">Treba poznamenať, že pacienti s </w:t>
      </w:r>
      <w:proofErr w:type="spellStart"/>
      <w:r w:rsidRPr="00F84447">
        <w:rPr>
          <w:rFonts w:ascii="Times New Roman" w:hAnsi="Times New Roman" w:cs="Times New Roman"/>
          <w:color w:val="000000"/>
        </w:rPr>
        <w:t>adipocytickým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sarkómom boli z </w:t>
      </w:r>
      <w:proofErr w:type="spellStart"/>
      <w:r w:rsidRPr="00F84447">
        <w:rPr>
          <w:rFonts w:ascii="Times New Roman" w:hAnsi="Times New Roman" w:cs="Times New Roman"/>
          <w:color w:val="000000"/>
        </w:rPr>
        <w:t>pivotnej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štúdie fázy III vylúčení, keďže v predchádzajúcej štúdii fázy II (VEG20002) účinnosť (PFS v 12. týždni) pozorovaná pri </w:t>
      </w:r>
      <w:proofErr w:type="spellStart"/>
      <w:r w:rsidRPr="00F84447">
        <w:rPr>
          <w:rFonts w:ascii="Times New Roman" w:hAnsi="Times New Roman" w:cs="Times New Roman"/>
          <w:color w:val="000000"/>
        </w:rPr>
        <w:t>pazopanibe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podávanom pri </w:t>
      </w:r>
      <w:proofErr w:type="spellStart"/>
      <w:r w:rsidRPr="00F84447">
        <w:rPr>
          <w:rFonts w:ascii="Times New Roman" w:hAnsi="Times New Roman" w:cs="Times New Roman"/>
          <w:color w:val="000000"/>
        </w:rPr>
        <w:t>adipocytickom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sarkóme nedosiahla vopred stanovenú mieru umožňujúcu ďalšie klinické testovanie.</w:t>
      </w:r>
    </w:p>
    <w:p w14:paraId="2AB0B470" w14:textId="77777777" w:rsidR="00C13F39" w:rsidRPr="00F84447" w:rsidRDefault="00C13F39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AF29C5F" w14:textId="77777777" w:rsidR="00DB4FB7" w:rsidRDefault="00F84447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4447">
        <w:rPr>
          <w:rFonts w:ascii="Times New Roman" w:hAnsi="Times New Roman" w:cs="Times New Roman"/>
        </w:rPr>
        <w:t xml:space="preserve">Ďalšie kľúčové kritériá vhodnosti pre zaradenie do štúdie VEG110727 boli: histologicky potvrdený malígny STS vysokého alebo </w:t>
      </w:r>
      <w:proofErr w:type="spellStart"/>
      <w:r w:rsidRPr="00F84447">
        <w:rPr>
          <w:rFonts w:ascii="Times New Roman" w:hAnsi="Times New Roman" w:cs="Times New Roman"/>
        </w:rPr>
        <w:t>intermediárneho</w:t>
      </w:r>
      <w:proofErr w:type="spellEnd"/>
      <w:r w:rsidRPr="00F84447">
        <w:rPr>
          <w:rFonts w:ascii="Times New Roman" w:hAnsi="Times New Roman" w:cs="Times New Roman"/>
        </w:rPr>
        <w:t xml:space="preserve"> stupňa a progresia ochorenia v priebehu 6 mesiacov od liečby metastatického ochorenia alebo recidíva ochorenia v priebehu 12 mesiacov od (</w:t>
      </w:r>
      <w:proofErr w:type="spellStart"/>
      <w:r w:rsidRPr="00F84447">
        <w:rPr>
          <w:rFonts w:ascii="Times New Roman" w:hAnsi="Times New Roman" w:cs="Times New Roman"/>
        </w:rPr>
        <w:t>neo</w:t>
      </w:r>
      <w:proofErr w:type="spellEnd"/>
      <w:r w:rsidRPr="00F84447">
        <w:rPr>
          <w:rFonts w:ascii="Times New Roman" w:hAnsi="Times New Roman" w:cs="Times New Roman"/>
        </w:rPr>
        <w:t>)-/</w:t>
      </w:r>
      <w:proofErr w:type="spellStart"/>
      <w:r w:rsidRPr="00F84447">
        <w:rPr>
          <w:rFonts w:ascii="Times New Roman" w:hAnsi="Times New Roman" w:cs="Times New Roman"/>
        </w:rPr>
        <w:t>adjuvantnej</w:t>
      </w:r>
      <w:proofErr w:type="spellEnd"/>
      <w:r w:rsidRPr="00F84447">
        <w:rPr>
          <w:rFonts w:ascii="Times New Roman" w:hAnsi="Times New Roman" w:cs="Times New Roman"/>
        </w:rPr>
        <w:t xml:space="preserve"> liečby.</w:t>
      </w:r>
    </w:p>
    <w:p w14:paraId="2D58B3E0" w14:textId="77777777" w:rsidR="00C13F39" w:rsidRPr="00F84447" w:rsidRDefault="00C13F39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865D2E9" w14:textId="77777777" w:rsidR="00DB4FB7" w:rsidRDefault="00F84447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4447">
        <w:rPr>
          <w:rFonts w:ascii="Times New Roman" w:hAnsi="Times New Roman" w:cs="Times New Roman"/>
        </w:rPr>
        <w:t xml:space="preserve">Deväťdesiatosem percent (98 %) jedincov bolo predtým liečených </w:t>
      </w:r>
      <w:proofErr w:type="spellStart"/>
      <w:r w:rsidRPr="00F84447">
        <w:rPr>
          <w:rFonts w:ascii="Times New Roman" w:hAnsi="Times New Roman" w:cs="Times New Roman"/>
        </w:rPr>
        <w:t>doxorubicínom</w:t>
      </w:r>
      <w:proofErr w:type="spellEnd"/>
      <w:r w:rsidRPr="00F84447">
        <w:rPr>
          <w:rFonts w:ascii="Times New Roman" w:hAnsi="Times New Roman" w:cs="Times New Roman"/>
        </w:rPr>
        <w:t xml:space="preserve">, 70 % bolo predtým liečených </w:t>
      </w:r>
      <w:proofErr w:type="spellStart"/>
      <w:r w:rsidRPr="00F84447">
        <w:rPr>
          <w:rFonts w:ascii="Times New Roman" w:hAnsi="Times New Roman" w:cs="Times New Roman"/>
        </w:rPr>
        <w:t>ifosfamidom</w:t>
      </w:r>
      <w:proofErr w:type="spellEnd"/>
      <w:r w:rsidRPr="00F84447">
        <w:rPr>
          <w:rFonts w:ascii="Times New Roman" w:hAnsi="Times New Roman" w:cs="Times New Roman"/>
        </w:rPr>
        <w:t xml:space="preserve"> a 65 % jedincov bolo pred zaradením do štúdie liečených minimálne troma alebo viacerými </w:t>
      </w:r>
      <w:proofErr w:type="spellStart"/>
      <w:r w:rsidRPr="00F84447">
        <w:rPr>
          <w:rFonts w:ascii="Times New Roman" w:hAnsi="Times New Roman" w:cs="Times New Roman"/>
        </w:rPr>
        <w:t>chemoterapeutikami</w:t>
      </w:r>
      <w:proofErr w:type="spellEnd"/>
      <w:r w:rsidRPr="00F84447">
        <w:rPr>
          <w:rFonts w:ascii="Times New Roman" w:hAnsi="Times New Roman" w:cs="Times New Roman"/>
        </w:rPr>
        <w:t>.</w:t>
      </w:r>
    </w:p>
    <w:p w14:paraId="472EDC15" w14:textId="77777777" w:rsidR="00C13F39" w:rsidRPr="00F84447" w:rsidRDefault="00C13F39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5590BCA" w14:textId="77777777" w:rsidR="00F84447" w:rsidRPr="00F84447" w:rsidRDefault="00F84447" w:rsidP="00F84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447">
        <w:rPr>
          <w:rFonts w:ascii="Times New Roman" w:hAnsi="Times New Roman" w:cs="Times New Roman"/>
          <w:color w:val="000000"/>
        </w:rPr>
        <w:t xml:space="preserve">Pacienti boli stratifikovaní podľa faktorov výkonnostného stavu podľa WHO (WHO PS - </w:t>
      </w:r>
      <w:proofErr w:type="spellStart"/>
      <w:r w:rsidRPr="00F84447">
        <w:rPr>
          <w:rFonts w:ascii="Times New Roman" w:hAnsi="Times New Roman" w:cs="Times New Roman"/>
          <w:i/>
          <w:iCs/>
          <w:color w:val="000000"/>
        </w:rPr>
        <w:t>performance</w:t>
      </w:r>
      <w:proofErr w:type="spellEnd"/>
      <w:r w:rsidRPr="00F84447">
        <w:rPr>
          <w:rFonts w:ascii="Times New Roman" w:hAnsi="Times New Roman" w:cs="Times New Roman"/>
          <w:i/>
          <w:iCs/>
          <w:color w:val="000000"/>
        </w:rPr>
        <w:t xml:space="preserve"> status</w:t>
      </w:r>
      <w:r w:rsidRPr="00F84447">
        <w:rPr>
          <w:rFonts w:ascii="Times New Roman" w:hAnsi="Times New Roman" w:cs="Times New Roman"/>
          <w:color w:val="000000"/>
        </w:rPr>
        <w:t xml:space="preserve">) (0 alebo 1) pred začatím liečby a podľa počtu línií predchádzajúcej systémovej liečby pokročilého ochorenia (0 alebo 1 oproti 2+). V každej liečebnej skupine bolo mierne vyššie percento jedincov s 2+ líniami predchádzajúcej systémovej liečby pokročilého ochorenia (58 % v liečebnej skupine s placebom a 55 % v liečebnej skupine s </w:t>
      </w:r>
      <w:proofErr w:type="spellStart"/>
      <w:r w:rsidRPr="00F84447">
        <w:rPr>
          <w:rFonts w:ascii="Times New Roman" w:hAnsi="Times New Roman" w:cs="Times New Roman"/>
          <w:color w:val="000000"/>
        </w:rPr>
        <w:t>pazopanibom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) v porovnaní s 0 alebo 1 líniou </w:t>
      </w:r>
    </w:p>
    <w:p w14:paraId="44260160" w14:textId="77777777" w:rsidR="00DB4FB7" w:rsidRDefault="00F84447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84447">
        <w:rPr>
          <w:rFonts w:ascii="Times New Roman" w:hAnsi="Times New Roman" w:cs="Times New Roman"/>
          <w:color w:val="000000"/>
        </w:rPr>
        <w:t xml:space="preserve">predchádzajúcej systémovej liečby (42 % v liečebnej skupine s placebom a 45 % v liečebnej skupine s </w:t>
      </w:r>
      <w:proofErr w:type="spellStart"/>
      <w:r w:rsidRPr="00F84447">
        <w:rPr>
          <w:rFonts w:ascii="Times New Roman" w:hAnsi="Times New Roman" w:cs="Times New Roman"/>
          <w:color w:val="000000"/>
        </w:rPr>
        <w:t>pazopanibom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). Medián trvania sledovania jedincov (definovaného ako doba od dátumu </w:t>
      </w:r>
      <w:proofErr w:type="spellStart"/>
      <w:r w:rsidRPr="00F84447">
        <w:rPr>
          <w:rFonts w:ascii="Times New Roman" w:hAnsi="Times New Roman" w:cs="Times New Roman"/>
          <w:color w:val="000000"/>
        </w:rPr>
        <w:t>randomizácie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po posledný kontakt alebo úmrtie) bol podobný v oboch liečebných skupinách (9,36 mesiaca pri placebe [rozmedzie 0,69 až 23,0 mesiacov] a 10,04 mesiaca pri </w:t>
      </w:r>
      <w:proofErr w:type="spellStart"/>
      <w:r w:rsidRPr="00F84447">
        <w:rPr>
          <w:rFonts w:ascii="Times New Roman" w:hAnsi="Times New Roman" w:cs="Times New Roman"/>
          <w:color w:val="000000"/>
        </w:rPr>
        <w:t>pazopanibe</w:t>
      </w:r>
      <w:proofErr w:type="spellEnd"/>
      <w:r w:rsidRPr="00F84447">
        <w:rPr>
          <w:rFonts w:ascii="Times New Roman" w:hAnsi="Times New Roman" w:cs="Times New Roman"/>
          <w:color w:val="000000"/>
        </w:rPr>
        <w:t xml:space="preserve"> [rozmedzie 0,2 až 24,3 mesiaca].</w:t>
      </w:r>
    </w:p>
    <w:p w14:paraId="3EC36891" w14:textId="77777777" w:rsidR="00C13F39" w:rsidRPr="00531CFF" w:rsidRDefault="00C13F39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10F942C" w14:textId="77777777" w:rsidR="00DB4FB7" w:rsidRDefault="00F84447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4447">
        <w:rPr>
          <w:rFonts w:ascii="Times New Roman" w:hAnsi="Times New Roman" w:cs="Times New Roman"/>
        </w:rPr>
        <w:t>Primárnym cieľom skúšania bolo prežívanie bez progresie ochorenia (PFS hodnotené nezávislou rádiologickou analýzou); sekundárne cieľové ukazovatele zahŕňali celkové prežívanie (OS), celkovú mieru odpovede na liečbu a trvanie odpovede na liečbu.</w:t>
      </w:r>
    </w:p>
    <w:p w14:paraId="3B4491F2" w14:textId="77777777" w:rsidR="00C13F39" w:rsidRPr="00F84447" w:rsidRDefault="00C13F39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DB41CB9" w14:textId="77777777" w:rsidR="00DB4FB7" w:rsidRPr="00F84447" w:rsidRDefault="00F84447" w:rsidP="00DB4FB7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</w:rPr>
      </w:pPr>
      <w:r w:rsidRPr="00F84447">
        <w:rPr>
          <w:rFonts w:ascii="Times New Roman" w:hAnsi="Times New Roman" w:cs="Times New Roman"/>
          <w:b/>
          <w:bCs/>
        </w:rPr>
        <w:t xml:space="preserve">Tabuľka 6 </w:t>
      </w:r>
      <w:r w:rsidRPr="00F84447">
        <w:rPr>
          <w:rFonts w:ascii="Times New Roman" w:hAnsi="Times New Roman" w:cs="Times New Roman"/>
          <w:b/>
          <w:bCs/>
        </w:rPr>
        <w:tab/>
      </w:r>
      <w:proofErr w:type="spellStart"/>
      <w:r w:rsidRPr="00F84447">
        <w:rPr>
          <w:rFonts w:ascii="Times New Roman" w:hAnsi="Times New Roman" w:cs="Times New Roman"/>
          <w:b/>
          <w:bCs/>
        </w:rPr>
        <w:t>Výsledky</w:t>
      </w:r>
      <w:proofErr w:type="spellEnd"/>
      <w:r w:rsidRPr="00F84447">
        <w:rPr>
          <w:rFonts w:ascii="Times New Roman" w:hAnsi="Times New Roman" w:cs="Times New Roman"/>
          <w:b/>
          <w:bCs/>
        </w:rPr>
        <w:t xml:space="preserve"> celkovej účinnosti pri STS podľa nezávislého hodnotenia (VEG110727)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1701"/>
        <w:gridCol w:w="1276"/>
        <w:gridCol w:w="1701"/>
        <w:gridCol w:w="1559"/>
      </w:tblGrid>
      <w:tr w:rsidR="00DB4FB7" w:rsidRPr="00A2447B" w14:paraId="166F682A" w14:textId="77777777" w:rsidTr="00774E48">
        <w:tc>
          <w:tcPr>
            <w:tcW w:w="2835" w:type="dxa"/>
          </w:tcPr>
          <w:p w14:paraId="11BEBCA7" w14:textId="77777777" w:rsidR="00DB4FB7" w:rsidRPr="00A2447B" w:rsidRDefault="00F84447" w:rsidP="00F84447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Cieľové ukazovatele / Sledovaná populácia </w:t>
            </w:r>
          </w:p>
        </w:tc>
        <w:tc>
          <w:tcPr>
            <w:tcW w:w="1701" w:type="dxa"/>
          </w:tcPr>
          <w:p w14:paraId="5D5810A2" w14:textId="77777777" w:rsidR="00DB4FB7" w:rsidRPr="00926F36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b/>
                <w:sz w:val="22"/>
                <w:szCs w:val="22"/>
              </w:rPr>
            </w:pPr>
            <w:r w:rsidRPr="00926F36">
              <w:rPr>
                <w:b/>
                <w:sz w:val="22"/>
                <w:szCs w:val="22"/>
              </w:rPr>
              <w:t>Pazopanib</w:t>
            </w:r>
          </w:p>
        </w:tc>
        <w:tc>
          <w:tcPr>
            <w:tcW w:w="1276" w:type="dxa"/>
          </w:tcPr>
          <w:p w14:paraId="1682F903" w14:textId="77777777" w:rsidR="00DB4FB7" w:rsidRPr="00926F36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26F36">
              <w:rPr>
                <w:b/>
                <w:sz w:val="22"/>
                <w:szCs w:val="22"/>
              </w:rPr>
              <w:t>Placebo</w:t>
            </w:r>
          </w:p>
        </w:tc>
        <w:tc>
          <w:tcPr>
            <w:tcW w:w="1701" w:type="dxa"/>
          </w:tcPr>
          <w:p w14:paraId="3997999E" w14:textId="77777777" w:rsidR="00DB4FB7" w:rsidRPr="00A2447B" w:rsidRDefault="00DB4FB7" w:rsidP="00AF0E7D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2447B">
              <w:rPr>
                <w:b/>
                <w:sz w:val="22"/>
                <w:szCs w:val="22"/>
              </w:rPr>
              <w:t xml:space="preserve">HR (95% </w:t>
            </w:r>
            <w:r w:rsidR="00AF0E7D">
              <w:rPr>
                <w:b/>
                <w:sz w:val="22"/>
                <w:szCs w:val="22"/>
                <w:lang w:val="sk-SK"/>
              </w:rPr>
              <w:t>IS</w:t>
            </w:r>
            <w:r w:rsidRPr="00A2447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07ED1EB7" w14:textId="77777777" w:rsidR="00AF0E7D" w:rsidRDefault="00AF0E7D" w:rsidP="00AF0E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P-hodnota </w:t>
            </w:r>
          </w:p>
          <w:p w14:paraId="2EBFFD91" w14:textId="77777777" w:rsidR="00DB4FB7" w:rsidRPr="00B732B4" w:rsidRDefault="00AF0E7D" w:rsidP="00AF0E7D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(dvojstranná) </w:t>
            </w:r>
          </w:p>
        </w:tc>
      </w:tr>
      <w:tr w:rsidR="00DB4FB7" w:rsidRPr="006F7A13" w14:paraId="1F9EBC01" w14:textId="77777777" w:rsidTr="00774E48">
        <w:tc>
          <w:tcPr>
            <w:tcW w:w="2835" w:type="dxa"/>
          </w:tcPr>
          <w:p w14:paraId="4AFBC77C" w14:textId="77777777" w:rsidR="00DB4FB7" w:rsidRPr="005D3C8D" w:rsidRDefault="00DB4FB7" w:rsidP="00774E48">
            <w:pPr>
              <w:tabs>
                <w:tab w:val="left" w:pos="176"/>
              </w:tabs>
              <w:ind w:right="-20"/>
              <w:rPr>
                <w:b/>
                <w:sz w:val="22"/>
                <w:szCs w:val="22"/>
              </w:rPr>
            </w:pPr>
            <w:r w:rsidRPr="005D3C8D">
              <w:rPr>
                <w:b/>
                <w:sz w:val="22"/>
                <w:szCs w:val="22"/>
              </w:rPr>
              <w:t>PFS</w:t>
            </w:r>
          </w:p>
          <w:p w14:paraId="3820AAAD" w14:textId="77777777" w:rsidR="00AF0E7D" w:rsidRDefault="00AF0E7D" w:rsidP="00AF0E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Celková ITT populácia </w:t>
            </w:r>
          </w:p>
          <w:p w14:paraId="58408564" w14:textId="77777777" w:rsidR="00DB4FB7" w:rsidRDefault="00AF0E7D" w:rsidP="00AF0E7D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</w:rPr>
              <w:t xml:space="preserve">Medián (týždne) </w:t>
            </w:r>
          </w:p>
          <w:p w14:paraId="3E4A1F4D" w14:textId="77777777" w:rsidR="00AF0E7D" w:rsidRPr="005D3C8D" w:rsidRDefault="00AF0E7D" w:rsidP="00AF0E7D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9F9BDF" w14:textId="77777777" w:rsidR="00AF0E7D" w:rsidRDefault="00AF0E7D" w:rsidP="00AF0E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Leiomyosarkóm </w:t>
            </w:r>
          </w:p>
          <w:p w14:paraId="522B9E1D" w14:textId="77777777" w:rsidR="00DB4FB7" w:rsidRDefault="00AF0E7D" w:rsidP="00AF0E7D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Medián (týždne) </w:t>
            </w:r>
          </w:p>
          <w:p w14:paraId="6E5DB226" w14:textId="77777777" w:rsidR="00AF0E7D" w:rsidRPr="005D3C8D" w:rsidRDefault="00AF0E7D" w:rsidP="00AF0E7D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B884010" w14:textId="77777777" w:rsidR="00AF0E7D" w:rsidRDefault="00AF0E7D" w:rsidP="00AF0E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Podskupiny synoviálneho sarkómu </w:t>
            </w:r>
          </w:p>
          <w:p w14:paraId="550E5AC9" w14:textId="77777777" w:rsidR="00DB4FB7" w:rsidRDefault="00AF0E7D" w:rsidP="00AF0E7D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Medián (týždne) </w:t>
            </w:r>
          </w:p>
          <w:p w14:paraId="22BDBAF8" w14:textId="77777777" w:rsidR="00AF0E7D" w:rsidRPr="005D3C8D" w:rsidRDefault="00AF0E7D" w:rsidP="00AF0E7D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3BA8FC9" w14:textId="77777777" w:rsidR="00AF0E7D" w:rsidRDefault="00AF0E7D" w:rsidP="00AF0E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Podskupiny „iných STS“ </w:t>
            </w:r>
          </w:p>
          <w:p w14:paraId="072B0E1B" w14:textId="77777777" w:rsidR="00DB4FB7" w:rsidRPr="005D3C8D" w:rsidRDefault="00AF0E7D" w:rsidP="00AF0E7D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Medián (týždne) </w:t>
            </w:r>
          </w:p>
        </w:tc>
        <w:tc>
          <w:tcPr>
            <w:tcW w:w="1701" w:type="dxa"/>
          </w:tcPr>
          <w:p w14:paraId="19C8CD7F" w14:textId="77777777" w:rsidR="00DB4FB7" w:rsidRPr="00926F36" w:rsidRDefault="00DB4FB7" w:rsidP="00774E48">
            <w:pPr>
              <w:ind w:left="23" w:hanging="23"/>
              <w:rPr>
                <w:sz w:val="22"/>
                <w:szCs w:val="22"/>
              </w:rPr>
            </w:pPr>
          </w:p>
          <w:p w14:paraId="478030A4" w14:textId="77777777" w:rsidR="00DB4FB7" w:rsidRPr="00926F36" w:rsidRDefault="00DB4FB7" w:rsidP="00774E48">
            <w:pPr>
              <w:ind w:left="23" w:hanging="23"/>
              <w:jc w:val="center"/>
              <w:rPr>
                <w:sz w:val="22"/>
                <w:szCs w:val="22"/>
              </w:rPr>
            </w:pPr>
            <w:r w:rsidRPr="00926F36">
              <w:rPr>
                <w:sz w:val="22"/>
                <w:szCs w:val="22"/>
              </w:rPr>
              <w:t>N</w:t>
            </w:r>
            <w:r w:rsidRPr="00926F36">
              <w:rPr>
                <w:spacing w:val="-1"/>
                <w:sz w:val="22"/>
                <w:szCs w:val="22"/>
              </w:rPr>
              <w:t xml:space="preserve"> </w:t>
            </w:r>
            <w:r w:rsidRPr="00926F36">
              <w:rPr>
                <w:sz w:val="22"/>
                <w:szCs w:val="22"/>
              </w:rPr>
              <w:t>= 246</w:t>
            </w:r>
          </w:p>
          <w:p w14:paraId="1BD6E390" w14:textId="77777777" w:rsidR="00DB4FB7" w:rsidRPr="00926F36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</w:t>
            </w:r>
            <w:r w:rsidR="00DB4FB7" w:rsidRPr="00926F36">
              <w:rPr>
                <w:sz w:val="22"/>
                <w:szCs w:val="22"/>
              </w:rPr>
              <w:t>0</w:t>
            </w:r>
          </w:p>
          <w:p w14:paraId="1DE4D8F1" w14:textId="77777777" w:rsidR="00DB4FB7" w:rsidRPr="00926F36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</w:p>
          <w:p w14:paraId="6F634FEB" w14:textId="77777777" w:rsidR="00DB4FB7" w:rsidRPr="00926F36" w:rsidRDefault="00DB4FB7" w:rsidP="00774E48">
            <w:pPr>
              <w:ind w:left="23" w:hanging="23"/>
              <w:jc w:val="center"/>
              <w:rPr>
                <w:sz w:val="22"/>
                <w:szCs w:val="22"/>
              </w:rPr>
            </w:pPr>
            <w:r w:rsidRPr="00926F36">
              <w:rPr>
                <w:sz w:val="22"/>
                <w:szCs w:val="22"/>
              </w:rPr>
              <w:t>N</w:t>
            </w:r>
            <w:r w:rsidRPr="00926F36">
              <w:rPr>
                <w:spacing w:val="-1"/>
                <w:sz w:val="22"/>
                <w:szCs w:val="22"/>
              </w:rPr>
              <w:t xml:space="preserve"> </w:t>
            </w:r>
            <w:r w:rsidRPr="00926F36">
              <w:rPr>
                <w:sz w:val="22"/>
                <w:szCs w:val="22"/>
              </w:rPr>
              <w:t>= 109</w:t>
            </w:r>
          </w:p>
          <w:p w14:paraId="4FFDD751" w14:textId="77777777" w:rsidR="00DB4FB7" w:rsidRPr="00926F36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</w:t>
            </w:r>
            <w:r w:rsidR="00DB4FB7" w:rsidRPr="00926F36">
              <w:rPr>
                <w:sz w:val="22"/>
                <w:szCs w:val="22"/>
              </w:rPr>
              <w:t>1</w:t>
            </w:r>
          </w:p>
          <w:p w14:paraId="583A1C76" w14:textId="77777777" w:rsidR="00DB4FB7" w:rsidRPr="00926F36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</w:p>
          <w:p w14:paraId="4862B322" w14:textId="77777777" w:rsidR="00DB4FB7" w:rsidRPr="00926F36" w:rsidRDefault="00DB4FB7" w:rsidP="00774E48">
            <w:pPr>
              <w:ind w:left="23" w:hanging="23"/>
              <w:jc w:val="center"/>
              <w:rPr>
                <w:sz w:val="22"/>
                <w:szCs w:val="22"/>
              </w:rPr>
            </w:pPr>
            <w:r w:rsidRPr="00926F36">
              <w:rPr>
                <w:sz w:val="22"/>
                <w:szCs w:val="22"/>
              </w:rPr>
              <w:t>N</w:t>
            </w:r>
            <w:r w:rsidRPr="00926F36">
              <w:rPr>
                <w:spacing w:val="-1"/>
                <w:sz w:val="22"/>
                <w:szCs w:val="22"/>
              </w:rPr>
              <w:t xml:space="preserve"> </w:t>
            </w:r>
            <w:r w:rsidRPr="00926F36">
              <w:rPr>
                <w:sz w:val="22"/>
                <w:szCs w:val="22"/>
              </w:rPr>
              <w:t>= 25</w:t>
            </w:r>
          </w:p>
          <w:p w14:paraId="0D7EF825" w14:textId="77777777" w:rsidR="00DB4FB7" w:rsidRPr="00926F36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</w:t>
            </w:r>
            <w:r w:rsidR="00DB4FB7" w:rsidRPr="00926F36">
              <w:rPr>
                <w:sz w:val="22"/>
                <w:szCs w:val="22"/>
              </w:rPr>
              <w:t>9</w:t>
            </w:r>
          </w:p>
          <w:p w14:paraId="5B026048" w14:textId="77777777" w:rsidR="00DB4FB7" w:rsidRPr="00926F36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</w:p>
          <w:p w14:paraId="053496E2" w14:textId="77777777" w:rsidR="00DB4FB7" w:rsidRPr="00926F36" w:rsidRDefault="00DB4FB7" w:rsidP="00774E48">
            <w:pPr>
              <w:ind w:left="23" w:hanging="23"/>
              <w:jc w:val="center"/>
              <w:rPr>
                <w:sz w:val="22"/>
                <w:szCs w:val="22"/>
              </w:rPr>
            </w:pPr>
            <w:r w:rsidRPr="00926F36">
              <w:rPr>
                <w:sz w:val="22"/>
                <w:szCs w:val="22"/>
              </w:rPr>
              <w:t>N</w:t>
            </w:r>
            <w:r w:rsidRPr="00926F36">
              <w:rPr>
                <w:spacing w:val="-1"/>
                <w:sz w:val="22"/>
                <w:szCs w:val="22"/>
              </w:rPr>
              <w:t xml:space="preserve"> </w:t>
            </w:r>
            <w:r w:rsidRPr="00926F36">
              <w:rPr>
                <w:sz w:val="22"/>
                <w:szCs w:val="22"/>
              </w:rPr>
              <w:t>= 112</w:t>
            </w:r>
          </w:p>
          <w:p w14:paraId="4D8CFEB8" w14:textId="77777777" w:rsidR="00DB4FB7" w:rsidRPr="00926F36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</w:t>
            </w:r>
            <w:r w:rsidR="00DB4FB7" w:rsidRPr="00926F3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514AF89" w14:textId="77777777" w:rsidR="00DB4FB7" w:rsidRPr="00926F36" w:rsidRDefault="00DB4FB7" w:rsidP="00774E48">
            <w:pPr>
              <w:rPr>
                <w:sz w:val="22"/>
                <w:szCs w:val="22"/>
              </w:rPr>
            </w:pPr>
          </w:p>
          <w:p w14:paraId="759EFAAD" w14:textId="77777777" w:rsidR="00DB4FB7" w:rsidRPr="00926F36" w:rsidRDefault="00DB4FB7" w:rsidP="00774E48">
            <w:pPr>
              <w:jc w:val="center"/>
              <w:rPr>
                <w:sz w:val="22"/>
                <w:szCs w:val="22"/>
              </w:rPr>
            </w:pPr>
            <w:r w:rsidRPr="00926F36">
              <w:rPr>
                <w:sz w:val="22"/>
                <w:szCs w:val="22"/>
              </w:rPr>
              <w:t>N</w:t>
            </w:r>
            <w:r w:rsidRPr="00926F36">
              <w:rPr>
                <w:spacing w:val="-1"/>
                <w:sz w:val="22"/>
                <w:szCs w:val="22"/>
              </w:rPr>
              <w:t xml:space="preserve"> </w:t>
            </w:r>
            <w:r w:rsidRPr="00926F36">
              <w:rPr>
                <w:sz w:val="22"/>
                <w:szCs w:val="22"/>
              </w:rPr>
              <w:t>= 123</w:t>
            </w:r>
          </w:p>
          <w:p w14:paraId="6F03ABDE" w14:textId="77777777" w:rsidR="00DB4FB7" w:rsidRPr="00926F36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DB4FB7" w:rsidRPr="00926F36">
              <w:rPr>
                <w:sz w:val="22"/>
                <w:szCs w:val="22"/>
              </w:rPr>
              <w:t>0</w:t>
            </w:r>
          </w:p>
          <w:p w14:paraId="7AE54893" w14:textId="77777777" w:rsidR="00DB4FB7" w:rsidRPr="00926F36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91E2304" w14:textId="77777777" w:rsidR="00DB4FB7" w:rsidRPr="00926F36" w:rsidRDefault="00DB4FB7" w:rsidP="00774E48">
            <w:pPr>
              <w:jc w:val="center"/>
              <w:rPr>
                <w:sz w:val="22"/>
                <w:szCs w:val="22"/>
              </w:rPr>
            </w:pPr>
            <w:r w:rsidRPr="00926F36">
              <w:rPr>
                <w:sz w:val="22"/>
                <w:szCs w:val="22"/>
              </w:rPr>
              <w:t>N</w:t>
            </w:r>
            <w:r w:rsidRPr="00926F36">
              <w:rPr>
                <w:spacing w:val="-1"/>
                <w:sz w:val="22"/>
                <w:szCs w:val="22"/>
              </w:rPr>
              <w:t xml:space="preserve"> </w:t>
            </w:r>
            <w:r w:rsidRPr="00926F36">
              <w:rPr>
                <w:sz w:val="22"/>
                <w:szCs w:val="22"/>
              </w:rPr>
              <w:t>= 49</w:t>
            </w:r>
          </w:p>
          <w:p w14:paraId="243234C9" w14:textId="77777777" w:rsidR="00DB4FB7" w:rsidRPr="00926F36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</w:t>
            </w:r>
            <w:r w:rsidR="00DB4FB7" w:rsidRPr="00926F36">
              <w:rPr>
                <w:sz w:val="22"/>
                <w:szCs w:val="22"/>
              </w:rPr>
              <w:t>1</w:t>
            </w:r>
          </w:p>
          <w:p w14:paraId="351FBED0" w14:textId="77777777" w:rsidR="00DB4FB7" w:rsidRPr="00926F36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DE80975" w14:textId="77777777" w:rsidR="00DB4FB7" w:rsidRPr="00926F36" w:rsidRDefault="00DB4FB7" w:rsidP="00774E48">
            <w:pPr>
              <w:jc w:val="center"/>
              <w:rPr>
                <w:sz w:val="22"/>
                <w:szCs w:val="22"/>
              </w:rPr>
            </w:pPr>
            <w:r w:rsidRPr="00926F36">
              <w:rPr>
                <w:sz w:val="22"/>
                <w:szCs w:val="22"/>
              </w:rPr>
              <w:t>N</w:t>
            </w:r>
            <w:r w:rsidRPr="00926F36">
              <w:rPr>
                <w:spacing w:val="-1"/>
                <w:sz w:val="22"/>
                <w:szCs w:val="22"/>
              </w:rPr>
              <w:t xml:space="preserve"> </w:t>
            </w:r>
            <w:r w:rsidRPr="00926F36">
              <w:rPr>
                <w:sz w:val="22"/>
                <w:szCs w:val="22"/>
              </w:rPr>
              <w:t>= 13</w:t>
            </w:r>
          </w:p>
          <w:p w14:paraId="69BF8373" w14:textId="77777777" w:rsidR="00DB4FB7" w:rsidRPr="00926F36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DB4FB7" w:rsidRPr="00926F36">
              <w:rPr>
                <w:sz w:val="22"/>
                <w:szCs w:val="22"/>
              </w:rPr>
              <w:t>1</w:t>
            </w:r>
          </w:p>
          <w:p w14:paraId="7322CA96" w14:textId="77777777" w:rsidR="00DB4FB7" w:rsidRPr="00926F36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8C2C758" w14:textId="77777777" w:rsidR="00DB4FB7" w:rsidRPr="00926F36" w:rsidRDefault="00DB4FB7" w:rsidP="00774E48">
            <w:pPr>
              <w:jc w:val="center"/>
              <w:rPr>
                <w:sz w:val="22"/>
                <w:szCs w:val="22"/>
              </w:rPr>
            </w:pPr>
            <w:r w:rsidRPr="00926F36">
              <w:rPr>
                <w:sz w:val="22"/>
                <w:szCs w:val="22"/>
              </w:rPr>
              <w:t>N</w:t>
            </w:r>
            <w:r w:rsidRPr="00926F36">
              <w:rPr>
                <w:spacing w:val="-1"/>
                <w:sz w:val="22"/>
                <w:szCs w:val="22"/>
              </w:rPr>
              <w:t xml:space="preserve"> </w:t>
            </w:r>
            <w:r w:rsidRPr="00926F36">
              <w:rPr>
                <w:sz w:val="22"/>
                <w:szCs w:val="22"/>
              </w:rPr>
              <w:t>= 61</w:t>
            </w:r>
          </w:p>
          <w:p w14:paraId="03662F59" w14:textId="77777777" w:rsidR="00DB4FB7" w:rsidRPr="00926F36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DB4FB7" w:rsidRPr="00926F36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2331B8A" w14:textId="77777777" w:rsidR="00DB4FB7" w:rsidRPr="00B732B4" w:rsidRDefault="00DB4FB7" w:rsidP="00774E48">
            <w:pPr>
              <w:rPr>
                <w:sz w:val="22"/>
                <w:szCs w:val="22"/>
              </w:rPr>
            </w:pPr>
          </w:p>
          <w:p w14:paraId="7DB42511" w14:textId="77777777" w:rsidR="00DB4FB7" w:rsidRPr="00B732B4" w:rsidRDefault="00DB4FB7" w:rsidP="00774E48">
            <w:pPr>
              <w:rPr>
                <w:sz w:val="22"/>
                <w:szCs w:val="22"/>
              </w:rPr>
            </w:pPr>
          </w:p>
          <w:p w14:paraId="02FEF644" w14:textId="77777777" w:rsidR="00DB4FB7" w:rsidRPr="00B732B4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B732B4">
              <w:rPr>
                <w:sz w:val="22"/>
                <w:szCs w:val="22"/>
              </w:rPr>
              <w:t xml:space="preserve">35 </w:t>
            </w:r>
            <w:r w:rsidR="00DB4FB7" w:rsidRPr="00B732B4">
              <w:rPr>
                <w:spacing w:val="1"/>
                <w:sz w:val="22"/>
                <w:szCs w:val="22"/>
              </w:rPr>
              <w:t>(</w:t>
            </w:r>
            <w:r w:rsidR="00DB4FB7" w:rsidRPr="00B732B4">
              <w:rPr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,</w:t>
            </w:r>
            <w:r w:rsidR="00DB4FB7" w:rsidRPr="00B732B4">
              <w:rPr>
                <w:spacing w:val="-2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; 0,</w:t>
            </w:r>
            <w:r w:rsidR="00DB4FB7" w:rsidRPr="00B732B4">
              <w:rPr>
                <w:sz w:val="22"/>
                <w:szCs w:val="22"/>
              </w:rPr>
              <w:t>48)</w:t>
            </w:r>
          </w:p>
          <w:p w14:paraId="0A3A4747" w14:textId="77777777" w:rsidR="00DB4FB7" w:rsidRPr="00B732B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8CD2796" w14:textId="77777777" w:rsidR="00DB4FB7" w:rsidRPr="00B732B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174B08C" w14:textId="77777777" w:rsidR="00DB4FB7" w:rsidRPr="00B732B4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B732B4">
              <w:rPr>
                <w:sz w:val="22"/>
                <w:szCs w:val="22"/>
              </w:rPr>
              <w:t xml:space="preserve">37 </w:t>
            </w:r>
            <w:r w:rsidR="00DB4FB7" w:rsidRPr="00B732B4">
              <w:rPr>
                <w:spacing w:val="1"/>
                <w:sz w:val="22"/>
                <w:szCs w:val="22"/>
              </w:rPr>
              <w:t>(</w:t>
            </w:r>
            <w:r w:rsidR="00DB4FB7" w:rsidRPr="00B732B4">
              <w:rPr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,</w:t>
            </w:r>
            <w:r w:rsidR="00DB4FB7" w:rsidRPr="00B732B4">
              <w:rPr>
                <w:spacing w:val="-2"/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; 0,</w:t>
            </w:r>
            <w:r w:rsidR="00DB4FB7" w:rsidRPr="00B732B4">
              <w:rPr>
                <w:sz w:val="22"/>
                <w:szCs w:val="22"/>
              </w:rPr>
              <w:t>60)</w:t>
            </w:r>
          </w:p>
          <w:p w14:paraId="24A5E0B9" w14:textId="77777777" w:rsidR="00DB4FB7" w:rsidRPr="00B732B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AAAE869" w14:textId="77777777" w:rsidR="00DB4FB7" w:rsidRPr="00B732B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9A2B765" w14:textId="77777777" w:rsidR="00DB4FB7" w:rsidRPr="00B732B4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B732B4">
              <w:rPr>
                <w:sz w:val="22"/>
                <w:szCs w:val="22"/>
              </w:rPr>
              <w:t xml:space="preserve">43 </w:t>
            </w:r>
            <w:r w:rsidR="00DB4FB7" w:rsidRPr="00B732B4">
              <w:rPr>
                <w:spacing w:val="1"/>
                <w:sz w:val="22"/>
                <w:szCs w:val="22"/>
              </w:rPr>
              <w:t>(</w:t>
            </w:r>
            <w:r w:rsidR="00DB4FB7" w:rsidRPr="00B732B4">
              <w:rPr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,</w:t>
            </w:r>
            <w:r w:rsidR="00DB4FB7" w:rsidRPr="00B732B4">
              <w:rPr>
                <w:spacing w:val="-2"/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; 0,</w:t>
            </w:r>
            <w:r w:rsidR="00DB4FB7" w:rsidRPr="00B732B4">
              <w:rPr>
                <w:sz w:val="22"/>
                <w:szCs w:val="22"/>
              </w:rPr>
              <w:t>98)</w:t>
            </w:r>
          </w:p>
          <w:p w14:paraId="526280D2" w14:textId="77777777" w:rsidR="00DB4FB7" w:rsidRPr="00B732B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7F4DE0B" w14:textId="77777777" w:rsidR="00DB4FB7" w:rsidRPr="00B732B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7F71918" w14:textId="77777777" w:rsidR="00DB4FB7" w:rsidRPr="00B732B4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B732B4">
              <w:rPr>
                <w:sz w:val="22"/>
                <w:szCs w:val="22"/>
              </w:rPr>
              <w:t xml:space="preserve">39 </w:t>
            </w:r>
            <w:r w:rsidR="00DB4FB7" w:rsidRPr="00B732B4">
              <w:rPr>
                <w:spacing w:val="1"/>
                <w:sz w:val="22"/>
                <w:szCs w:val="22"/>
              </w:rPr>
              <w:t>(</w:t>
            </w:r>
            <w:r w:rsidR="00DB4FB7" w:rsidRPr="00B732B4">
              <w:rPr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,</w:t>
            </w:r>
            <w:r w:rsidR="00DB4FB7" w:rsidRPr="00B732B4">
              <w:rPr>
                <w:spacing w:val="-2"/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; 0,</w:t>
            </w:r>
            <w:r w:rsidR="00DB4FB7" w:rsidRPr="00B732B4">
              <w:rPr>
                <w:sz w:val="22"/>
                <w:szCs w:val="22"/>
              </w:rPr>
              <w:t>60)</w:t>
            </w:r>
          </w:p>
          <w:p w14:paraId="5D8AAA66" w14:textId="77777777" w:rsidR="00DB4FB7" w:rsidRPr="00B732B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B7EE7C" w14:textId="77777777" w:rsidR="00DB4FB7" w:rsidRPr="002E3F54" w:rsidRDefault="00DB4FB7" w:rsidP="00774E48">
            <w:pPr>
              <w:rPr>
                <w:sz w:val="22"/>
                <w:szCs w:val="22"/>
              </w:rPr>
            </w:pPr>
          </w:p>
          <w:p w14:paraId="4A44E64F" w14:textId="77777777" w:rsidR="00DB4FB7" w:rsidRPr="002E3F54" w:rsidRDefault="00DB4FB7" w:rsidP="00774E48">
            <w:pPr>
              <w:rPr>
                <w:sz w:val="22"/>
                <w:szCs w:val="22"/>
              </w:rPr>
            </w:pPr>
          </w:p>
          <w:p w14:paraId="504447AE" w14:textId="77777777" w:rsidR="00DB4FB7" w:rsidRPr="002E3F54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&lt;0,</w:t>
            </w:r>
            <w:r w:rsidR="00DB4FB7" w:rsidRPr="002E3F54">
              <w:rPr>
                <w:sz w:val="22"/>
                <w:szCs w:val="22"/>
              </w:rPr>
              <w:t>001</w:t>
            </w:r>
          </w:p>
          <w:p w14:paraId="667EB606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619FFE3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7A7D08" w14:textId="77777777" w:rsidR="00DB4FB7" w:rsidRPr="002E3F54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&lt;0,</w:t>
            </w:r>
            <w:r w:rsidR="00DB4FB7" w:rsidRPr="002E3F54">
              <w:rPr>
                <w:sz w:val="22"/>
                <w:szCs w:val="22"/>
              </w:rPr>
              <w:t>001</w:t>
            </w:r>
          </w:p>
          <w:p w14:paraId="4C1B8661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6FF1559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2E2D692" w14:textId="77777777" w:rsidR="00DB4FB7" w:rsidRPr="002E3F54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2E3F54">
              <w:rPr>
                <w:sz w:val="22"/>
                <w:szCs w:val="22"/>
              </w:rPr>
              <w:t>005</w:t>
            </w:r>
          </w:p>
          <w:p w14:paraId="234E4D59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DFA0C8D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CC0400F" w14:textId="77777777" w:rsidR="00DB4FB7" w:rsidRPr="002E3F54" w:rsidRDefault="00AF0E7D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&lt;0,</w:t>
            </w:r>
            <w:r w:rsidR="00DB4FB7" w:rsidRPr="002E3F54">
              <w:rPr>
                <w:sz w:val="22"/>
                <w:szCs w:val="22"/>
              </w:rPr>
              <w:t>001</w:t>
            </w:r>
          </w:p>
          <w:p w14:paraId="06665A31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4FB7" w:rsidRPr="00B732B4" w14:paraId="309028B9" w14:textId="77777777" w:rsidTr="00774E48">
        <w:tc>
          <w:tcPr>
            <w:tcW w:w="2835" w:type="dxa"/>
          </w:tcPr>
          <w:p w14:paraId="279F40AA" w14:textId="77777777" w:rsidR="00DB4FB7" w:rsidRPr="005D3C8D" w:rsidRDefault="00DB4FB7" w:rsidP="00774E48">
            <w:pPr>
              <w:tabs>
                <w:tab w:val="left" w:pos="176"/>
              </w:tabs>
              <w:ind w:right="-20"/>
              <w:rPr>
                <w:b/>
                <w:sz w:val="22"/>
                <w:szCs w:val="22"/>
              </w:rPr>
            </w:pPr>
            <w:r w:rsidRPr="005D3C8D">
              <w:rPr>
                <w:b/>
                <w:sz w:val="22"/>
                <w:szCs w:val="22"/>
              </w:rPr>
              <w:t>OS</w:t>
            </w:r>
          </w:p>
          <w:p w14:paraId="23808C7B" w14:textId="77777777" w:rsidR="007B785B" w:rsidRDefault="007B785B" w:rsidP="007B78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Celková ITT populácia </w:t>
            </w:r>
          </w:p>
          <w:p w14:paraId="159A128B" w14:textId="77777777" w:rsidR="00DB4FB7" w:rsidRDefault="007B785B" w:rsidP="007B785B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Medián (mesiace) </w:t>
            </w:r>
          </w:p>
          <w:p w14:paraId="52C61964" w14:textId="77777777" w:rsidR="007B785B" w:rsidRPr="005D3C8D" w:rsidRDefault="007B785B" w:rsidP="007B785B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4C8E254" w14:textId="77777777" w:rsidR="007B785B" w:rsidRDefault="007B785B" w:rsidP="007B78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Leiomyosarkóm* </w:t>
            </w:r>
          </w:p>
          <w:p w14:paraId="799F718D" w14:textId="77777777" w:rsidR="007B785B" w:rsidRDefault="007B785B" w:rsidP="007B785B">
            <w:pPr>
              <w:pStyle w:val="Default"/>
            </w:pPr>
            <w:r>
              <w:rPr>
                <w:sz w:val="22"/>
                <w:szCs w:val="22"/>
              </w:rPr>
              <w:t xml:space="preserve">Medián (mesiace) </w:t>
            </w:r>
          </w:p>
          <w:p w14:paraId="74D42189" w14:textId="77777777" w:rsidR="00DB4FB7" w:rsidRPr="005D3C8D" w:rsidRDefault="00DB4FB7" w:rsidP="00774E48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177398" w14:textId="77777777" w:rsidR="007B785B" w:rsidRDefault="007B785B" w:rsidP="007B78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Podskupiny synoviálneho sarkómu* </w:t>
            </w:r>
          </w:p>
          <w:p w14:paraId="63BA3435" w14:textId="77777777" w:rsidR="00DB4FB7" w:rsidRDefault="007B785B" w:rsidP="007B785B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Medián (mesiace) </w:t>
            </w:r>
          </w:p>
          <w:p w14:paraId="7971B29D" w14:textId="77777777" w:rsidR="007B785B" w:rsidRPr="005D3C8D" w:rsidRDefault="007B785B" w:rsidP="007B785B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9DE1751" w14:textId="77777777" w:rsidR="007B785B" w:rsidRDefault="007B785B" w:rsidP="007B78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Podskupiny „iných STS“* </w:t>
            </w:r>
          </w:p>
          <w:p w14:paraId="78312FA7" w14:textId="77777777" w:rsidR="00DB4FB7" w:rsidRPr="005D3C8D" w:rsidRDefault="007B785B" w:rsidP="007B785B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Medián (mesiace) </w:t>
            </w:r>
          </w:p>
        </w:tc>
        <w:tc>
          <w:tcPr>
            <w:tcW w:w="1701" w:type="dxa"/>
          </w:tcPr>
          <w:p w14:paraId="11FE0079" w14:textId="77777777" w:rsidR="00DB4FB7" w:rsidRPr="005D3C8D" w:rsidRDefault="00DB4FB7" w:rsidP="00774E48">
            <w:pPr>
              <w:ind w:left="23" w:hanging="23"/>
              <w:rPr>
                <w:sz w:val="22"/>
                <w:szCs w:val="22"/>
              </w:rPr>
            </w:pPr>
          </w:p>
          <w:p w14:paraId="5864DD86" w14:textId="77777777" w:rsidR="00DB4FB7" w:rsidRPr="005D3C8D" w:rsidRDefault="00DB4FB7" w:rsidP="00774E48">
            <w:pPr>
              <w:ind w:left="23" w:hanging="23"/>
              <w:jc w:val="center"/>
              <w:rPr>
                <w:sz w:val="22"/>
                <w:szCs w:val="22"/>
              </w:rPr>
            </w:pPr>
            <w:r w:rsidRPr="005D3C8D">
              <w:rPr>
                <w:sz w:val="22"/>
                <w:szCs w:val="22"/>
              </w:rPr>
              <w:t>N</w:t>
            </w:r>
            <w:r w:rsidRPr="005D3C8D">
              <w:rPr>
                <w:spacing w:val="-1"/>
                <w:sz w:val="22"/>
                <w:szCs w:val="22"/>
              </w:rPr>
              <w:t xml:space="preserve"> </w:t>
            </w:r>
            <w:r w:rsidRPr="005D3C8D">
              <w:rPr>
                <w:sz w:val="22"/>
                <w:szCs w:val="22"/>
              </w:rPr>
              <w:t>= 246</w:t>
            </w:r>
          </w:p>
          <w:p w14:paraId="30934708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</w:t>
            </w:r>
            <w:r w:rsidR="00DB4FB7" w:rsidRPr="005D3C8D">
              <w:rPr>
                <w:sz w:val="22"/>
                <w:szCs w:val="22"/>
              </w:rPr>
              <w:t>6</w:t>
            </w:r>
          </w:p>
          <w:p w14:paraId="1D18C038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</w:p>
          <w:p w14:paraId="5992F4AA" w14:textId="77777777" w:rsidR="00DB4FB7" w:rsidRPr="005D3C8D" w:rsidRDefault="00DB4FB7" w:rsidP="00774E48">
            <w:pPr>
              <w:ind w:left="23" w:hanging="23"/>
              <w:jc w:val="center"/>
              <w:rPr>
                <w:sz w:val="22"/>
                <w:szCs w:val="22"/>
              </w:rPr>
            </w:pPr>
            <w:r w:rsidRPr="005D3C8D">
              <w:rPr>
                <w:sz w:val="22"/>
                <w:szCs w:val="22"/>
              </w:rPr>
              <w:t>N</w:t>
            </w:r>
            <w:r w:rsidRPr="005D3C8D">
              <w:rPr>
                <w:spacing w:val="-1"/>
                <w:sz w:val="22"/>
                <w:szCs w:val="22"/>
              </w:rPr>
              <w:t xml:space="preserve"> </w:t>
            </w:r>
            <w:r w:rsidRPr="005D3C8D">
              <w:rPr>
                <w:sz w:val="22"/>
                <w:szCs w:val="22"/>
              </w:rPr>
              <w:t>= 109</w:t>
            </w:r>
          </w:p>
          <w:p w14:paraId="75C1132B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</w:t>
            </w:r>
            <w:r w:rsidR="00DB4FB7" w:rsidRPr="005D3C8D">
              <w:rPr>
                <w:sz w:val="22"/>
                <w:szCs w:val="22"/>
              </w:rPr>
              <w:t>7</w:t>
            </w:r>
          </w:p>
          <w:p w14:paraId="0B094AAA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</w:p>
          <w:p w14:paraId="7E8220EA" w14:textId="77777777" w:rsidR="00DB4FB7" w:rsidRPr="005D3C8D" w:rsidRDefault="00DB4FB7" w:rsidP="00774E48">
            <w:pPr>
              <w:ind w:left="23" w:hanging="23"/>
              <w:jc w:val="center"/>
              <w:rPr>
                <w:sz w:val="22"/>
                <w:szCs w:val="22"/>
              </w:rPr>
            </w:pPr>
            <w:r w:rsidRPr="005D3C8D">
              <w:rPr>
                <w:sz w:val="22"/>
                <w:szCs w:val="22"/>
              </w:rPr>
              <w:t>N</w:t>
            </w:r>
            <w:r w:rsidRPr="005D3C8D">
              <w:rPr>
                <w:spacing w:val="-1"/>
                <w:sz w:val="22"/>
                <w:szCs w:val="22"/>
              </w:rPr>
              <w:t xml:space="preserve"> </w:t>
            </w:r>
            <w:r w:rsidRPr="005D3C8D">
              <w:rPr>
                <w:sz w:val="22"/>
                <w:szCs w:val="22"/>
              </w:rPr>
              <w:t>= 25</w:t>
            </w:r>
          </w:p>
          <w:p w14:paraId="6135A3F2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</w:t>
            </w:r>
            <w:r w:rsidR="00DB4FB7" w:rsidRPr="005D3C8D">
              <w:rPr>
                <w:sz w:val="22"/>
                <w:szCs w:val="22"/>
              </w:rPr>
              <w:t>7</w:t>
            </w:r>
          </w:p>
          <w:p w14:paraId="61DF6D54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</w:p>
          <w:p w14:paraId="5372175E" w14:textId="77777777" w:rsidR="00DB4FB7" w:rsidRPr="005D3C8D" w:rsidRDefault="00DB4FB7" w:rsidP="00774E48">
            <w:pPr>
              <w:ind w:left="23" w:hanging="23"/>
              <w:jc w:val="center"/>
              <w:rPr>
                <w:sz w:val="22"/>
                <w:szCs w:val="22"/>
              </w:rPr>
            </w:pPr>
            <w:r w:rsidRPr="005D3C8D">
              <w:rPr>
                <w:sz w:val="22"/>
                <w:szCs w:val="22"/>
              </w:rPr>
              <w:t>N</w:t>
            </w:r>
            <w:r w:rsidRPr="005D3C8D">
              <w:rPr>
                <w:spacing w:val="-1"/>
                <w:sz w:val="22"/>
                <w:szCs w:val="22"/>
              </w:rPr>
              <w:t xml:space="preserve"> </w:t>
            </w:r>
            <w:r w:rsidRPr="005D3C8D">
              <w:rPr>
                <w:sz w:val="22"/>
                <w:szCs w:val="22"/>
              </w:rPr>
              <w:t>= 112</w:t>
            </w:r>
          </w:p>
          <w:p w14:paraId="5AF7418C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</w:t>
            </w:r>
            <w:r w:rsidR="00DB4FB7" w:rsidRPr="005D3C8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5A9A6DE0" w14:textId="77777777" w:rsidR="00DB4FB7" w:rsidRPr="005D3C8D" w:rsidRDefault="00DB4FB7" w:rsidP="00774E48">
            <w:pPr>
              <w:rPr>
                <w:sz w:val="22"/>
                <w:szCs w:val="22"/>
              </w:rPr>
            </w:pPr>
          </w:p>
          <w:p w14:paraId="7176184B" w14:textId="77777777" w:rsidR="00DB4FB7" w:rsidRPr="005D3C8D" w:rsidRDefault="00DB4FB7" w:rsidP="00774E48">
            <w:pPr>
              <w:jc w:val="center"/>
              <w:rPr>
                <w:sz w:val="22"/>
                <w:szCs w:val="22"/>
              </w:rPr>
            </w:pPr>
            <w:r w:rsidRPr="005D3C8D">
              <w:rPr>
                <w:sz w:val="22"/>
                <w:szCs w:val="22"/>
              </w:rPr>
              <w:t>N</w:t>
            </w:r>
            <w:r w:rsidRPr="005D3C8D">
              <w:rPr>
                <w:spacing w:val="-1"/>
                <w:sz w:val="22"/>
                <w:szCs w:val="22"/>
              </w:rPr>
              <w:t xml:space="preserve"> </w:t>
            </w:r>
            <w:r w:rsidRPr="005D3C8D">
              <w:rPr>
                <w:sz w:val="22"/>
                <w:szCs w:val="22"/>
              </w:rPr>
              <w:t>= 123</w:t>
            </w:r>
          </w:p>
          <w:p w14:paraId="5A8EE0FE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</w:t>
            </w:r>
            <w:r w:rsidR="00DB4FB7" w:rsidRPr="005D3C8D">
              <w:rPr>
                <w:sz w:val="22"/>
                <w:szCs w:val="22"/>
              </w:rPr>
              <w:t>7</w:t>
            </w:r>
          </w:p>
          <w:p w14:paraId="365A51E8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204FEC2" w14:textId="77777777" w:rsidR="00DB4FB7" w:rsidRPr="005D3C8D" w:rsidRDefault="00DB4FB7" w:rsidP="00774E48">
            <w:pPr>
              <w:jc w:val="center"/>
              <w:rPr>
                <w:sz w:val="22"/>
                <w:szCs w:val="22"/>
              </w:rPr>
            </w:pPr>
            <w:r w:rsidRPr="005D3C8D">
              <w:rPr>
                <w:sz w:val="22"/>
                <w:szCs w:val="22"/>
              </w:rPr>
              <w:t>N</w:t>
            </w:r>
            <w:r w:rsidRPr="005D3C8D">
              <w:rPr>
                <w:spacing w:val="-1"/>
                <w:sz w:val="22"/>
                <w:szCs w:val="22"/>
              </w:rPr>
              <w:t xml:space="preserve"> </w:t>
            </w:r>
            <w:r w:rsidRPr="005D3C8D">
              <w:rPr>
                <w:sz w:val="22"/>
                <w:szCs w:val="22"/>
              </w:rPr>
              <w:t>= 49</w:t>
            </w:r>
          </w:p>
          <w:p w14:paraId="54AE2B45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</w:t>
            </w:r>
            <w:r w:rsidR="00DB4FB7" w:rsidRPr="005D3C8D">
              <w:rPr>
                <w:sz w:val="22"/>
                <w:szCs w:val="22"/>
              </w:rPr>
              <w:t>1</w:t>
            </w:r>
          </w:p>
          <w:p w14:paraId="38BEEB41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F53F9C1" w14:textId="77777777" w:rsidR="00DB4FB7" w:rsidRPr="005D3C8D" w:rsidRDefault="00DB4FB7" w:rsidP="00774E48">
            <w:pPr>
              <w:jc w:val="center"/>
              <w:rPr>
                <w:sz w:val="22"/>
                <w:szCs w:val="22"/>
              </w:rPr>
            </w:pPr>
            <w:r w:rsidRPr="005D3C8D">
              <w:rPr>
                <w:sz w:val="22"/>
                <w:szCs w:val="22"/>
              </w:rPr>
              <w:t>N</w:t>
            </w:r>
            <w:r w:rsidRPr="005D3C8D">
              <w:rPr>
                <w:spacing w:val="-1"/>
                <w:sz w:val="22"/>
                <w:szCs w:val="22"/>
              </w:rPr>
              <w:t xml:space="preserve"> </w:t>
            </w:r>
            <w:r w:rsidRPr="005D3C8D">
              <w:rPr>
                <w:sz w:val="22"/>
                <w:szCs w:val="22"/>
              </w:rPr>
              <w:t>= 13</w:t>
            </w:r>
          </w:p>
          <w:p w14:paraId="23A10C20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</w:t>
            </w:r>
            <w:r w:rsidR="00DB4FB7" w:rsidRPr="005D3C8D">
              <w:rPr>
                <w:sz w:val="22"/>
                <w:szCs w:val="22"/>
              </w:rPr>
              <w:t>6</w:t>
            </w:r>
          </w:p>
          <w:p w14:paraId="745AE523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E1574C9" w14:textId="77777777" w:rsidR="00DB4FB7" w:rsidRPr="005D3C8D" w:rsidRDefault="00DB4FB7" w:rsidP="00774E48">
            <w:pPr>
              <w:jc w:val="center"/>
              <w:rPr>
                <w:sz w:val="22"/>
                <w:szCs w:val="22"/>
              </w:rPr>
            </w:pPr>
            <w:r w:rsidRPr="005D3C8D">
              <w:rPr>
                <w:sz w:val="22"/>
                <w:szCs w:val="22"/>
              </w:rPr>
              <w:t>N</w:t>
            </w:r>
            <w:r w:rsidRPr="005D3C8D">
              <w:rPr>
                <w:spacing w:val="-1"/>
                <w:sz w:val="22"/>
                <w:szCs w:val="22"/>
              </w:rPr>
              <w:t xml:space="preserve"> </w:t>
            </w:r>
            <w:r w:rsidRPr="005D3C8D">
              <w:rPr>
                <w:sz w:val="22"/>
                <w:szCs w:val="22"/>
              </w:rPr>
              <w:t>= 61</w:t>
            </w:r>
          </w:p>
          <w:p w14:paraId="782E33A2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</w:t>
            </w:r>
            <w:r w:rsidR="00DB4FB7" w:rsidRPr="005D3C8D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1F7FCE48" w14:textId="77777777" w:rsidR="00DB4FB7" w:rsidRPr="005D3C8D" w:rsidRDefault="00DB4FB7" w:rsidP="00774E48">
            <w:pPr>
              <w:rPr>
                <w:sz w:val="22"/>
                <w:szCs w:val="22"/>
              </w:rPr>
            </w:pPr>
          </w:p>
          <w:p w14:paraId="05196086" w14:textId="77777777" w:rsidR="00DB4FB7" w:rsidRPr="005D3C8D" w:rsidRDefault="00DB4FB7" w:rsidP="00774E48">
            <w:pPr>
              <w:rPr>
                <w:sz w:val="22"/>
                <w:szCs w:val="22"/>
              </w:rPr>
            </w:pPr>
          </w:p>
          <w:p w14:paraId="3998A948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5D3C8D">
              <w:rPr>
                <w:sz w:val="22"/>
                <w:szCs w:val="22"/>
              </w:rPr>
              <w:t xml:space="preserve">87 </w:t>
            </w:r>
            <w:r w:rsidR="00DB4FB7" w:rsidRPr="005D3C8D">
              <w:rPr>
                <w:spacing w:val="1"/>
                <w:sz w:val="22"/>
                <w:szCs w:val="22"/>
              </w:rPr>
              <w:t>(</w:t>
            </w:r>
            <w:r w:rsidR="00DB4FB7" w:rsidRPr="005D3C8D">
              <w:rPr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,</w:t>
            </w:r>
            <w:r w:rsidR="00DB4FB7" w:rsidRPr="005D3C8D">
              <w:rPr>
                <w:spacing w:val="-2"/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; 1,</w:t>
            </w:r>
            <w:r w:rsidR="00DB4FB7" w:rsidRPr="005D3C8D">
              <w:rPr>
                <w:sz w:val="22"/>
                <w:szCs w:val="22"/>
              </w:rPr>
              <w:t>12)</w:t>
            </w:r>
          </w:p>
          <w:p w14:paraId="30A2F644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6CE50A3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3F8776C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5D3C8D">
              <w:rPr>
                <w:sz w:val="22"/>
                <w:szCs w:val="22"/>
              </w:rPr>
              <w:t xml:space="preserve">84 </w:t>
            </w:r>
            <w:r w:rsidR="00DB4FB7" w:rsidRPr="005D3C8D">
              <w:rPr>
                <w:spacing w:val="1"/>
                <w:sz w:val="22"/>
                <w:szCs w:val="22"/>
              </w:rPr>
              <w:t>(</w:t>
            </w:r>
            <w:r w:rsidR="00DB4FB7" w:rsidRPr="005D3C8D">
              <w:rPr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,</w:t>
            </w:r>
            <w:r w:rsidR="00DB4FB7" w:rsidRPr="005D3C8D">
              <w:rPr>
                <w:spacing w:val="-2"/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; 1,</w:t>
            </w:r>
            <w:r w:rsidR="00DB4FB7" w:rsidRPr="005D3C8D">
              <w:rPr>
                <w:sz w:val="22"/>
                <w:szCs w:val="22"/>
              </w:rPr>
              <w:t>26)</w:t>
            </w:r>
          </w:p>
          <w:p w14:paraId="4E0A4DF7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C5DCD80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5A1A05C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DB4FB7" w:rsidRPr="005D3C8D">
              <w:rPr>
                <w:sz w:val="22"/>
                <w:szCs w:val="22"/>
              </w:rPr>
              <w:t xml:space="preserve">62 </w:t>
            </w:r>
            <w:r w:rsidR="00DB4FB7" w:rsidRPr="005D3C8D">
              <w:rPr>
                <w:spacing w:val="1"/>
                <w:sz w:val="22"/>
                <w:szCs w:val="22"/>
              </w:rPr>
              <w:t>(</w:t>
            </w:r>
            <w:r w:rsidR="00DB4FB7" w:rsidRPr="005D3C8D">
              <w:rPr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,</w:t>
            </w:r>
            <w:r w:rsidR="00DB4FB7" w:rsidRPr="005D3C8D">
              <w:rPr>
                <w:spacing w:val="-2"/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; 3,</w:t>
            </w:r>
            <w:r w:rsidR="00DB4FB7" w:rsidRPr="005D3C8D">
              <w:rPr>
                <w:sz w:val="22"/>
                <w:szCs w:val="22"/>
              </w:rPr>
              <w:t>33)</w:t>
            </w:r>
          </w:p>
          <w:p w14:paraId="1491C2D0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6EB73CA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1C5D824" w14:textId="77777777" w:rsidR="00DB4FB7" w:rsidRPr="005D3C8D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5D3C8D">
              <w:rPr>
                <w:sz w:val="22"/>
                <w:szCs w:val="22"/>
              </w:rPr>
              <w:t xml:space="preserve">84 </w:t>
            </w:r>
            <w:r w:rsidR="00DB4FB7" w:rsidRPr="005D3C8D">
              <w:rPr>
                <w:spacing w:val="1"/>
                <w:sz w:val="22"/>
                <w:szCs w:val="22"/>
              </w:rPr>
              <w:t>(</w:t>
            </w:r>
            <w:r w:rsidR="00DB4FB7" w:rsidRPr="005D3C8D">
              <w:rPr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>,</w:t>
            </w:r>
            <w:r w:rsidR="00DB4FB7" w:rsidRPr="005D3C8D">
              <w:rPr>
                <w:spacing w:val="-2"/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; 1,</w:t>
            </w:r>
            <w:r w:rsidR="00DB4FB7" w:rsidRPr="005D3C8D">
              <w:rPr>
                <w:sz w:val="22"/>
                <w:szCs w:val="22"/>
              </w:rPr>
              <w:t>21)</w:t>
            </w:r>
          </w:p>
          <w:p w14:paraId="1E0182B2" w14:textId="77777777" w:rsidR="00DB4FB7" w:rsidRPr="005D3C8D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FFA130" w14:textId="77777777" w:rsidR="00DB4FB7" w:rsidRPr="002E3F54" w:rsidRDefault="00DB4FB7" w:rsidP="00774E48">
            <w:pPr>
              <w:rPr>
                <w:sz w:val="22"/>
                <w:szCs w:val="22"/>
              </w:rPr>
            </w:pPr>
          </w:p>
          <w:p w14:paraId="7BD77398" w14:textId="77777777" w:rsidR="00DB4FB7" w:rsidRPr="002E3F54" w:rsidRDefault="00DB4FB7" w:rsidP="00774E48">
            <w:pPr>
              <w:rPr>
                <w:sz w:val="22"/>
                <w:szCs w:val="22"/>
              </w:rPr>
            </w:pPr>
          </w:p>
          <w:p w14:paraId="137A8129" w14:textId="77777777" w:rsidR="00DB4FB7" w:rsidRPr="002E3F54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2E3F54">
              <w:rPr>
                <w:sz w:val="22"/>
                <w:szCs w:val="22"/>
              </w:rPr>
              <w:t>256</w:t>
            </w:r>
          </w:p>
          <w:p w14:paraId="5DB9CDF2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C1EA4C4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EA3C399" w14:textId="77777777" w:rsidR="00DB4FB7" w:rsidRPr="002E3F54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2E3F54">
              <w:rPr>
                <w:sz w:val="22"/>
                <w:szCs w:val="22"/>
              </w:rPr>
              <w:t>363</w:t>
            </w:r>
          </w:p>
          <w:p w14:paraId="6B93C0F6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E5E8B4A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C125B58" w14:textId="77777777" w:rsidR="00DB4FB7" w:rsidRPr="002E3F54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2E3F54">
              <w:rPr>
                <w:sz w:val="22"/>
                <w:szCs w:val="22"/>
              </w:rPr>
              <w:t>115</w:t>
            </w:r>
          </w:p>
          <w:p w14:paraId="5747010E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A0057DE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A37BB0F" w14:textId="77777777" w:rsidR="00DB4FB7" w:rsidRPr="002E3F54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DB4FB7" w:rsidRPr="002E3F54">
              <w:rPr>
                <w:sz w:val="22"/>
                <w:szCs w:val="22"/>
              </w:rPr>
              <w:t>325</w:t>
            </w:r>
          </w:p>
          <w:p w14:paraId="27101F5E" w14:textId="77777777" w:rsidR="00DB4FB7" w:rsidRPr="002E3F54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B4FB7" w:rsidRPr="00166167" w14:paraId="2A8770B6" w14:textId="77777777" w:rsidTr="00774E48">
        <w:tc>
          <w:tcPr>
            <w:tcW w:w="2835" w:type="dxa"/>
          </w:tcPr>
          <w:p w14:paraId="2577174D" w14:textId="77777777" w:rsidR="007B785B" w:rsidRDefault="007B785B" w:rsidP="007B785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Miera odpovede na liečbu (CR+PR) </w:t>
            </w:r>
          </w:p>
          <w:p w14:paraId="64C5B37F" w14:textId="77777777" w:rsidR="007B785B" w:rsidRDefault="007B785B" w:rsidP="007B78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(95% IS) </w:t>
            </w:r>
          </w:p>
          <w:p w14:paraId="0F83F6C4" w14:textId="77777777" w:rsidR="007B785B" w:rsidRDefault="007B785B" w:rsidP="007B785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Trvanie odpovede na liečbu </w:t>
            </w:r>
          </w:p>
          <w:p w14:paraId="549E78B2" w14:textId="77777777" w:rsidR="00DB4FB7" w:rsidRPr="00166167" w:rsidRDefault="007B785B" w:rsidP="007B785B">
            <w:pPr>
              <w:widowControl w:val="0"/>
              <w:tabs>
                <w:tab w:val="left" w:pos="176"/>
                <w:tab w:val="left" w:pos="6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Medián (týždne) (95% IS) </w:t>
            </w:r>
          </w:p>
        </w:tc>
        <w:tc>
          <w:tcPr>
            <w:tcW w:w="1701" w:type="dxa"/>
          </w:tcPr>
          <w:p w14:paraId="5E89270B" w14:textId="77777777" w:rsidR="00DB4FB7" w:rsidRPr="00166167" w:rsidRDefault="00DB4FB7" w:rsidP="00774E48">
            <w:pPr>
              <w:ind w:left="23" w:hanging="23"/>
              <w:jc w:val="center"/>
              <w:rPr>
                <w:sz w:val="22"/>
                <w:szCs w:val="22"/>
              </w:rPr>
            </w:pPr>
          </w:p>
          <w:p w14:paraId="4EABBDCB" w14:textId="77777777" w:rsidR="00DB4FB7" w:rsidRPr="00166167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 w:rsidRPr="00166167">
              <w:rPr>
                <w:sz w:val="22"/>
                <w:szCs w:val="22"/>
              </w:rPr>
              <w:t xml:space="preserve">4 </w:t>
            </w:r>
            <w:r w:rsidRPr="00166167">
              <w:rPr>
                <w:spacing w:val="1"/>
                <w:sz w:val="22"/>
                <w:szCs w:val="22"/>
              </w:rPr>
              <w:t>(</w:t>
            </w:r>
            <w:r w:rsidR="007B785B">
              <w:rPr>
                <w:sz w:val="22"/>
                <w:szCs w:val="22"/>
              </w:rPr>
              <w:t>2,3; 7,</w:t>
            </w:r>
            <w:r w:rsidRPr="00166167">
              <w:rPr>
                <w:sz w:val="22"/>
                <w:szCs w:val="22"/>
              </w:rPr>
              <w:t>9)</w:t>
            </w:r>
          </w:p>
          <w:p w14:paraId="2D9CE4B2" w14:textId="77777777" w:rsidR="00DB4FB7" w:rsidRPr="00166167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</w:p>
          <w:p w14:paraId="76FE533B" w14:textId="77777777" w:rsidR="00DB4FB7" w:rsidRPr="00166167" w:rsidRDefault="007B785B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ind w:left="23" w:hanging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</w:t>
            </w:r>
            <w:r w:rsidR="00DB4FB7" w:rsidRPr="00166167">
              <w:rPr>
                <w:sz w:val="22"/>
                <w:szCs w:val="22"/>
              </w:rPr>
              <w:t xml:space="preserve">9 </w:t>
            </w:r>
            <w:r w:rsidR="00DB4FB7" w:rsidRPr="00166167">
              <w:rPr>
                <w:spacing w:val="1"/>
                <w:sz w:val="22"/>
                <w:szCs w:val="22"/>
              </w:rPr>
              <w:t>(16</w:t>
            </w:r>
            <w:r>
              <w:rPr>
                <w:sz w:val="22"/>
                <w:szCs w:val="22"/>
              </w:rPr>
              <w:t>,7; 40,</w:t>
            </w:r>
            <w:r w:rsidR="00DB4FB7" w:rsidRPr="00166167">
              <w:rPr>
                <w:sz w:val="22"/>
                <w:szCs w:val="22"/>
              </w:rPr>
              <w:t>0)</w:t>
            </w:r>
          </w:p>
        </w:tc>
        <w:tc>
          <w:tcPr>
            <w:tcW w:w="1276" w:type="dxa"/>
          </w:tcPr>
          <w:p w14:paraId="15CC0515" w14:textId="77777777" w:rsidR="00DB4FB7" w:rsidRPr="00166167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EBB9D7" w14:textId="5816438A" w:rsidR="00DB4FB7" w:rsidRPr="00166167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6167">
              <w:rPr>
                <w:sz w:val="22"/>
                <w:szCs w:val="22"/>
              </w:rPr>
              <w:t xml:space="preserve">0 </w:t>
            </w:r>
            <w:r w:rsidRPr="00166167">
              <w:rPr>
                <w:spacing w:val="1"/>
                <w:sz w:val="22"/>
                <w:szCs w:val="22"/>
              </w:rPr>
              <w:t>(</w:t>
            </w:r>
            <w:r w:rsidRPr="00166167">
              <w:rPr>
                <w:sz w:val="22"/>
                <w:szCs w:val="22"/>
              </w:rPr>
              <w:t>0</w:t>
            </w:r>
            <w:r w:rsidR="004E5E59">
              <w:rPr>
                <w:sz w:val="22"/>
                <w:szCs w:val="22"/>
                <w:lang w:val="sk-SK"/>
              </w:rPr>
              <w:t>,</w:t>
            </w:r>
            <w:r w:rsidRPr="00166167">
              <w:rPr>
                <w:sz w:val="22"/>
                <w:szCs w:val="22"/>
              </w:rPr>
              <w:t>0</w:t>
            </w:r>
            <w:r w:rsidR="004E5E59">
              <w:rPr>
                <w:sz w:val="22"/>
                <w:szCs w:val="22"/>
              </w:rPr>
              <w:t>;</w:t>
            </w:r>
            <w:r w:rsidRPr="00166167">
              <w:rPr>
                <w:sz w:val="22"/>
                <w:szCs w:val="22"/>
              </w:rPr>
              <w:t xml:space="preserve"> 3</w:t>
            </w:r>
            <w:r w:rsidR="004E5E59">
              <w:rPr>
                <w:sz w:val="22"/>
                <w:szCs w:val="22"/>
                <w:lang w:val="sk-SK"/>
              </w:rPr>
              <w:t>,</w:t>
            </w:r>
            <w:r w:rsidRPr="00166167">
              <w:rPr>
                <w:sz w:val="22"/>
                <w:szCs w:val="22"/>
              </w:rPr>
              <w:t>0)</w:t>
            </w:r>
          </w:p>
        </w:tc>
        <w:tc>
          <w:tcPr>
            <w:tcW w:w="1701" w:type="dxa"/>
          </w:tcPr>
          <w:p w14:paraId="44454452" w14:textId="77777777" w:rsidR="00DB4FB7" w:rsidRPr="00166167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5AE81D" w14:textId="77777777" w:rsidR="00DB4FB7" w:rsidRPr="00166167" w:rsidRDefault="00DB4FB7" w:rsidP="00774E48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4FB7" w:rsidRPr="003A2F9E" w14:paraId="36193552" w14:textId="77777777" w:rsidTr="00774E48">
        <w:tc>
          <w:tcPr>
            <w:tcW w:w="9072" w:type="dxa"/>
            <w:gridSpan w:val="5"/>
          </w:tcPr>
          <w:p w14:paraId="28FBB73B" w14:textId="77777777" w:rsidR="007B785B" w:rsidRDefault="007B785B" w:rsidP="007B785B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</w:pPr>
            <w:r>
              <w:t>HR = pomer rizík; ITT = populácia všetkých randomizovaných pacientov; PFS = prežívanie bez progresie ochorenia; CR = úplná odpoveď (complete response); PR = čiastočná odpoveď (partial response). OS = celkové prežívanie</w:t>
            </w:r>
          </w:p>
          <w:p w14:paraId="5BB1265A" w14:textId="77777777" w:rsidR="00DB4FB7" w:rsidRPr="006F7A13" w:rsidRDefault="007B785B" w:rsidP="007B785B">
            <w:pPr>
              <w:widowControl w:val="0"/>
              <w:tabs>
                <w:tab w:val="left" w:pos="660"/>
              </w:tabs>
              <w:autoSpaceDE w:val="0"/>
              <w:autoSpaceDN w:val="0"/>
              <w:adjustRightInd w:val="0"/>
              <w:rPr>
                <w:highlight w:val="green"/>
              </w:rPr>
            </w:pPr>
            <w:r>
              <w:t>* Celkové prežívanie pre konkrétne histologické podskupiny STS (leiomyosarkóm, synoviálny sarkóm a „iné“ STS) sa má interpretovať obozretne vzhľadom na malý počet jedincov a široké intervaly spoľahlivosti</w:t>
            </w:r>
          </w:p>
        </w:tc>
      </w:tr>
    </w:tbl>
    <w:p w14:paraId="001F507A" w14:textId="77777777" w:rsidR="00DB4FB7" w:rsidRPr="00284EE5" w:rsidRDefault="00DB4FB7" w:rsidP="00DB4FB7">
      <w:pPr>
        <w:tabs>
          <w:tab w:val="left" w:pos="1134"/>
        </w:tabs>
        <w:ind w:left="1134" w:hanging="1134"/>
        <w:jc w:val="both"/>
      </w:pPr>
    </w:p>
    <w:p w14:paraId="4C5F08F3" w14:textId="77777777" w:rsidR="00DB4FB7" w:rsidRPr="007B785B" w:rsidRDefault="007B785B" w:rsidP="0053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B785B">
        <w:rPr>
          <w:rFonts w:ascii="Times New Roman" w:hAnsi="Times New Roman" w:cs="Times New Roman"/>
        </w:rPr>
        <w:t xml:space="preserve">Podobné zlepšenie PFS vyplývajúce z hodnotení vykonaných skúšajúcimi lekármi sa pozorovalo v skupine s </w:t>
      </w:r>
      <w:proofErr w:type="spellStart"/>
      <w:r w:rsidRPr="007B785B">
        <w:rPr>
          <w:rFonts w:ascii="Times New Roman" w:hAnsi="Times New Roman" w:cs="Times New Roman"/>
        </w:rPr>
        <w:t>pazopanibom</w:t>
      </w:r>
      <w:proofErr w:type="spellEnd"/>
      <w:r w:rsidRPr="007B785B">
        <w:rPr>
          <w:rFonts w:ascii="Times New Roman" w:hAnsi="Times New Roman" w:cs="Times New Roman"/>
        </w:rPr>
        <w:t xml:space="preserve"> v porovnaní so skupinou s placebom (v celkovej ITT populácii HR: 0,39; 95% IS, 0,30 až 0,52, p &lt; 0,001).</w:t>
      </w:r>
    </w:p>
    <w:p w14:paraId="74E727B2" w14:textId="77777777" w:rsidR="007B785B" w:rsidRPr="00531CFF" w:rsidRDefault="007B785B" w:rsidP="00DB4FB7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14:paraId="62EAC296" w14:textId="77777777" w:rsidR="00DB4FB7" w:rsidRPr="007B785B" w:rsidRDefault="007B785B" w:rsidP="007B785B">
      <w:pPr>
        <w:widowControl w:val="0"/>
        <w:tabs>
          <w:tab w:val="left" w:pos="660"/>
        </w:tabs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bCs/>
        </w:rPr>
      </w:pPr>
      <w:r w:rsidRPr="007B785B">
        <w:rPr>
          <w:rFonts w:ascii="Times New Roman" w:hAnsi="Times New Roman" w:cs="Times New Roman"/>
          <w:b/>
          <w:bCs/>
        </w:rPr>
        <w:t xml:space="preserve">Graf 5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Pr="007B785B">
        <w:rPr>
          <w:rFonts w:ascii="Times New Roman" w:hAnsi="Times New Roman" w:cs="Times New Roman"/>
          <w:b/>
          <w:bCs/>
        </w:rPr>
        <w:t>Kaplanova-Meierova</w:t>
      </w:r>
      <w:proofErr w:type="spellEnd"/>
      <w:r w:rsidRPr="007B785B">
        <w:rPr>
          <w:rFonts w:ascii="Times New Roman" w:hAnsi="Times New Roman" w:cs="Times New Roman"/>
          <w:b/>
          <w:bCs/>
        </w:rPr>
        <w:t xml:space="preserve"> krivka prežívania bez progresie ochorenia pri STS podľa nezávislej </w:t>
      </w:r>
      <w:proofErr w:type="spellStart"/>
      <w:r w:rsidRPr="007B785B">
        <w:rPr>
          <w:rFonts w:ascii="Times New Roman" w:hAnsi="Times New Roman" w:cs="Times New Roman"/>
          <w:b/>
          <w:bCs/>
        </w:rPr>
        <w:t>analýzy</w:t>
      </w:r>
      <w:proofErr w:type="spellEnd"/>
      <w:r w:rsidRPr="007B785B">
        <w:rPr>
          <w:rFonts w:ascii="Times New Roman" w:hAnsi="Times New Roman" w:cs="Times New Roman"/>
          <w:b/>
          <w:bCs/>
        </w:rPr>
        <w:t xml:space="preserve"> celej populácie pacientov (VEG110727)</w:t>
      </w:r>
    </w:p>
    <w:p w14:paraId="6337D61F" w14:textId="77777777" w:rsidR="00DB4FB7" w:rsidRPr="00E57E67" w:rsidRDefault="00DB4FB7" w:rsidP="00DB4FB7">
      <w:pPr>
        <w:widowControl w:val="0"/>
        <w:tabs>
          <w:tab w:val="left" w:pos="660"/>
        </w:tabs>
        <w:autoSpaceDE w:val="0"/>
        <w:autoSpaceDN w:val="0"/>
        <w:adjustRightInd w:val="0"/>
        <w:jc w:val="center"/>
        <w:rPr>
          <w:bCs/>
        </w:rPr>
      </w:pPr>
      <w:r>
        <w:rPr>
          <w:noProof/>
          <w:lang w:eastAsia="sk-SK"/>
        </w:rPr>
        <w:drawing>
          <wp:inline distT="0" distB="0" distL="0" distR="0" wp14:anchorId="0C819B6C" wp14:editId="63343A06">
            <wp:extent cx="5497195" cy="2966720"/>
            <wp:effectExtent l="0" t="0" r="8255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E5719" w14:textId="77777777" w:rsidR="00DB4FB7" w:rsidRDefault="00DB4FB7" w:rsidP="00DB4FB7">
      <w:pPr>
        <w:widowControl w:val="0"/>
        <w:tabs>
          <w:tab w:val="left" w:pos="660"/>
        </w:tabs>
        <w:autoSpaceDE w:val="0"/>
        <w:autoSpaceDN w:val="0"/>
        <w:adjustRightInd w:val="0"/>
        <w:jc w:val="both"/>
        <w:rPr>
          <w:bCs/>
          <w:lang w:val="en-US"/>
        </w:rPr>
      </w:pPr>
    </w:p>
    <w:p w14:paraId="5700533D" w14:textId="77777777" w:rsidR="007B785B" w:rsidRPr="00531CFF" w:rsidRDefault="007B785B" w:rsidP="00531C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CFF">
        <w:rPr>
          <w:rFonts w:ascii="Times New Roman" w:hAnsi="Times New Roman" w:cs="Times New Roman"/>
          <w:sz w:val="20"/>
          <w:szCs w:val="20"/>
        </w:rPr>
        <w:t>Predpokladaná funkcia prežívania (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Estimated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Survival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), Čas od 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randomizácie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(týždne) (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Time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since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Randomisation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Weeks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>), Rizikoví jedinci (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Subjects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At Risk), Poznámka: Pri každej liečebnej skupine je znázornené rozmedzie 95% intervalu spoľahlivosti (Note: 95% 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confidence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interval 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bands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shown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1CFF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Pr="00531CFF">
        <w:rPr>
          <w:rFonts w:ascii="Times New Roman" w:hAnsi="Times New Roman" w:cs="Times New Roman"/>
          <w:sz w:val="20"/>
          <w:szCs w:val="20"/>
        </w:rPr>
        <w:t>)</w:t>
      </w:r>
    </w:p>
    <w:p w14:paraId="709FC7BF" w14:textId="77777777" w:rsidR="00C13F39" w:rsidRPr="00531CFF" w:rsidRDefault="00C13F39" w:rsidP="00531CFF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14:paraId="4286406C" w14:textId="77777777" w:rsidR="00DB4FB7" w:rsidRDefault="007B785B" w:rsidP="00531CFF">
      <w:pPr>
        <w:spacing w:after="0" w:line="240" w:lineRule="auto"/>
        <w:rPr>
          <w:rFonts w:ascii="Times New Roman" w:hAnsi="Times New Roman" w:cs="Times New Roman"/>
        </w:rPr>
      </w:pPr>
      <w:r w:rsidRPr="007B785B">
        <w:rPr>
          <w:rFonts w:ascii="Times New Roman" w:hAnsi="Times New Roman" w:cs="Times New Roman"/>
        </w:rPr>
        <w:lastRenderedPageBreak/>
        <w:t>V konečnej analýze OS vykonanej po objavení sa 76 % (280/369) udalostí sa medzi dvoma liečebnými skupinami nepozoroval významný rozdiel v OS (HR 0,87; 95% IS 0,67; 1,12; p = 0,256).</w:t>
      </w:r>
    </w:p>
    <w:p w14:paraId="1A525FC8" w14:textId="77777777" w:rsidR="00C13F39" w:rsidRPr="007B785B" w:rsidRDefault="00C13F39" w:rsidP="00531CFF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</w:p>
    <w:p w14:paraId="5E23FDDB" w14:textId="77777777" w:rsidR="00DB4FB7" w:rsidRPr="007B785B" w:rsidRDefault="007B785B" w:rsidP="00531CFF">
      <w:pPr>
        <w:widowControl w:val="0"/>
        <w:tabs>
          <w:tab w:val="left" w:pos="660"/>
        </w:tabs>
        <w:autoSpaceDE w:val="0"/>
        <w:autoSpaceDN w:val="0"/>
        <w:adjustRightInd w:val="0"/>
        <w:rPr>
          <w:rFonts w:ascii="Times New Roman" w:hAnsi="Times New Roman" w:cs="Times New Roman"/>
          <w:bCs/>
          <w:u w:val="single"/>
          <w:lang w:val="en-US"/>
        </w:rPr>
      </w:pPr>
      <w:r w:rsidRPr="007B785B">
        <w:rPr>
          <w:rFonts w:ascii="Times New Roman" w:hAnsi="Times New Roman" w:cs="Times New Roman"/>
          <w:u w:val="single"/>
        </w:rPr>
        <w:t>Pediatrická populácia</w:t>
      </w:r>
    </w:p>
    <w:p w14:paraId="25CE9ED1" w14:textId="77777777" w:rsidR="00DB4FB7" w:rsidRDefault="00A35827" w:rsidP="00531CFF">
      <w:pPr>
        <w:spacing w:after="0" w:line="240" w:lineRule="auto"/>
        <w:rPr>
          <w:rFonts w:ascii="Times New Roman" w:hAnsi="Times New Roman" w:cs="Times New Roman"/>
          <w:lang w:val="en-US" w:eastAsia="el-GR"/>
        </w:rPr>
      </w:pPr>
      <w:proofErr w:type="spellStart"/>
      <w:r w:rsidRPr="00A35827">
        <w:rPr>
          <w:rFonts w:ascii="Times New Roman" w:hAnsi="Times New Roman" w:cs="Times New Roman"/>
          <w:lang w:val="en-US" w:eastAsia="el-GR"/>
        </w:rPr>
        <w:t>Štúdia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fázy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I (ADVL0815) s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pazopanibom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sa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uskutočnila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u 44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pediatrických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pacientov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s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rôznymi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rekurentnými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alebo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refraktérnymi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solídnymi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nádormi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.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Primárnym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cieľom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bolo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preskúmať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maximálnu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tolerovanú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dávku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(MTD),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bezpečnostný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profil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a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farmakokinetické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vlastnosti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pazopanibu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u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detí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.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Medián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trvania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expozície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v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tejto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štúdii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bol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3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mesiace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(1 - 23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mesiacov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>).</w:t>
      </w:r>
    </w:p>
    <w:p w14:paraId="66CACA4E" w14:textId="77777777" w:rsidR="00C13F39" w:rsidRPr="00A35827" w:rsidRDefault="00C13F39" w:rsidP="00531CFF">
      <w:pPr>
        <w:spacing w:after="0" w:line="240" w:lineRule="auto"/>
        <w:rPr>
          <w:rFonts w:ascii="Times New Roman" w:hAnsi="Times New Roman" w:cs="Times New Roman"/>
          <w:lang w:val="en-US" w:eastAsia="el-GR"/>
        </w:rPr>
      </w:pPr>
    </w:p>
    <w:p w14:paraId="02AF6CC1" w14:textId="5D8A7116" w:rsidR="00DB4FB7" w:rsidRDefault="00A35827" w:rsidP="00531CFF">
      <w:pPr>
        <w:spacing w:after="0" w:line="240" w:lineRule="auto"/>
        <w:rPr>
          <w:rFonts w:ascii="Times New Roman" w:hAnsi="Times New Roman" w:cs="Times New Roman"/>
          <w:lang w:val="en-US" w:eastAsia="el-GR"/>
        </w:rPr>
      </w:pPr>
      <w:proofErr w:type="spellStart"/>
      <w:r w:rsidRPr="00A35827">
        <w:rPr>
          <w:rFonts w:ascii="Times New Roman" w:hAnsi="Times New Roman" w:cs="Times New Roman"/>
          <w:lang w:val="en-US" w:eastAsia="el-GR"/>
        </w:rPr>
        <w:t>Štúdia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fázy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II (PZP034X2203) s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pazopanibom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sa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uskutočnila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u 57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pediatrických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pacientov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s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refraktérnymi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solídnymi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nádormi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vrátane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rabdomyosarkómu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(N=12),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nerabdomyosarkómového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sarkómu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mäkkých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tkanív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(N=11),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Ewingovho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sarkómu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>/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pPNET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(N=10),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osteo</w:t>
      </w:r>
      <w:r w:rsidR="004E5E59">
        <w:rPr>
          <w:rFonts w:ascii="Times New Roman" w:hAnsi="Times New Roman" w:cs="Times New Roman"/>
          <w:lang w:val="en-US" w:eastAsia="el-GR"/>
        </w:rPr>
        <w:t>s</w:t>
      </w:r>
      <w:r w:rsidRPr="00A35827">
        <w:rPr>
          <w:rFonts w:ascii="Times New Roman" w:hAnsi="Times New Roman" w:cs="Times New Roman"/>
          <w:lang w:val="en-US" w:eastAsia="el-GR"/>
        </w:rPr>
        <w:t>ar</w:t>
      </w:r>
      <w:r w:rsidR="004E5E59">
        <w:rPr>
          <w:rFonts w:ascii="Times New Roman" w:hAnsi="Times New Roman" w:cs="Times New Roman"/>
          <w:lang w:val="en-US" w:eastAsia="el-GR"/>
        </w:rPr>
        <w:t>k</w:t>
      </w:r>
      <w:r w:rsidRPr="00A35827">
        <w:rPr>
          <w:rFonts w:ascii="Times New Roman" w:hAnsi="Times New Roman" w:cs="Times New Roman"/>
          <w:lang w:val="en-US" w:eastAsia="el-GR"/>
        </w:rPr>
        <w:t>ómu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r w:rsidR="004E5E59">
        <w:rPr>
          <w:rFonts w:ascii="Times New Roman" w:hAnsi="Times New Roman" w:cs="Times New Roman"/>
          <w:lang w:val="en-US" w:eastAsia="el-GR"/>
        </w:rPr>
        <w:t>(</w:t>
      </w:r>
      <w:r w:rsidRPr="00A35827">
        <w:rPr>
          <w:rFonts w:ascii="Times New Roman" w:hAnsi="Times New Roman" w:cs="Times New Roman"/>
          <w:lang w:val="en-US" w:eastAsia="el-GR"/>
        </w:rPr>
        <w:t xml:space="preserve">N=10),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neuroblastóm</w:t>
      </w:r>
      <w:r w:rsidR="004E5E59">
        <w:rPr>
          <w:rFonts w:ascii="Times New Roman" w:hAnsi="Times New Roman" w:cs="Times New Roman"/>
          <w:lang w:val="en-US" w:eastAsia="el-GR"/>
        </w:rPr>
        <w:t>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(N=8) a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hepatoblastóm</w:t>
      </w:r>
      <w:r w:rsidR="004E5E59">
        <w:rPr>
          <w:rFonts w:ascii="Times New Roman" w:hAnsi="Times New Roman" w:cs="Times New Roman"/>
          <w:lang w:val="en-US" w:eastAsia="el-GR"/>
        </w:rPr>
        <w:t>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(N=6).</w:t>
      </w:r>
      <w:r w:rsidR="00DB4FB7" w:rsidRPr="00A35827">
        <w:rPr>
          <w:rFonts w:ascii="Times New Roman" w:hAnsi="Times New Roman" w:cs="Times New Roman"/>
          <w:spacing w:val="1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Štúdia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bola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jednorazová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,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nekontrolovaná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,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otvorená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štúdia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na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stanovenie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terapeutickej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aktivity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pazopanibu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u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detí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a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dospievajúcich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vo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veku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od 1 do 18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rokov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. Pazopanib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sa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podával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denne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ako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tableta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v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dávke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450 mg/m</w:t>
      </w:r>
      <w:r w:rsidRPr="00531CFF">
        <w:rPr>
          <w:rFonts w:ascii="Times New Roman" w:hAnsi="Times New Roman" w:cs="Times New Roman"/>
          <w:vertAlign w:val="superscript"/>
          <w:lang w:val="en-US" w:eastAsia="el-GR"/>
        </w:rPr>
        <w:t>2</w:t>
      </w:r>
      <w:r w:rsidRPr="00A35827">
        <w:rPr>
          <w:rFonts w:ascii="Times New Roman" w:hAnsi="Times New Roman" w:cs="Times New Roman"/>
          <w:lang w:val="en-US" w:eastAsia="el-GR"/>
        </w:rPr>
        <w:t>/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dávka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alebo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ako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perorálna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suspenzia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v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dávke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225 mg/m</w:t>
      </w:r>
      <w:r w:rsidRPr="00531CFF">
        <w:rPr>
          <w:rFonts w:ascii="Times New Roman" w:hAnsi="Times New Roman" w:cs="Times New Roman"/>
          <w:vertAlign w:val="superscript"/>
          <w:lang w:val="en-US" w:eastAsia="el-GR"/>
        </w:rPr>
        <w:t>2</w:t>
      </w:r>
      <w:r w:rsidRPr="00A35827">
        <w:rPr>
          <w:rFonts w:ascii="Times New Roman" w:hAnsi="Times New Roman" w:cs="Times New Roman"/>
          <w:lang w:val="en-US" w:eastAsia="el-GR"/>
        </w:rPr>
        <w:t>/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dávka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.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Maximálna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povolená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denná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dávka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bola 800 mg pre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tabletu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a 400 mg pre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perorálnu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suspenziu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.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Medián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trvan</w:t>
      </w:r>
      <w:r>
        <w:rPr>
          <w:rFonts w:ascii="Times New Roman" w:hAnsi="Times New Roman" w:cs="Times New Roman"/>
          <w:lang w:val="en-US" w:eastAsia="el-GR"/>
        </w:rPr>
        <w:t>ia</w:t>
      </w:r>
      <w:proofErr w:type="spellEnd"/>
      <w:r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>
        <w:rPr>
          <w:rFonts w:ascii="Times New Roman" w:hAnsi="Times New Roman" w:cs="Times New Roman"/>
          <w:lang w:val="en-US" w:eastAsia="el-GR"/>
        </w:rPr>
        <w:t>expozície</w:t>
      </w:r>
      <w:proofErr w:type="spellEnd"/>
      <w:r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>
        <w:rPr>
          <w:rFonts w:ascii="Times New Roman" w:hAnsi="Times New Roman" w:cs="Times New Roman"/>
          <w:lang w:val="en-US" w:eastAsia="el-GR"/>
        </w:rPr>
        <w:t>bol</w:t>
      </w:r>
      <w:proofErr w:type="spellEnd"/>
      <w:r>
        <w:rPr>
          <w:rFonts w:ascii="Times New Roman" w:hAnsi="Times New Roman" w:cs="Times New Roman"/>
          <w:lang w:val="en-US" w:eastAsia="el-GR"/>
        </w:rPr>
        <w:t xml:space="preserve"> 1,8 </w:t>
      </w:r>
      <w:proofErr w:type="spellStart"/>
      <w:r>
        <w:rPr>
          <w:rFonts w:ascii="Times New Roman" w:hAnsi="Times New Roman" w:cs="Times New Roman"/>
          <w:lang w:val="en-US" w:eastAsia="el-GR"/>
        </w:rPr>
        <w:t>mesiaca</w:t>
      </w:r>
      <w:proofErr w:type="spellEnd"/>
      <w:r>
        <w:rPr>
          <w:rFonts w:ascii="Times New Roman" w:hAnsi="Times New Roman" w:cs="Times New Roman"/>
          <w:lang w:val="en-US" w:eastAsia="el-GR"/>
        </w:rPr>
        <w:t xml:space="preserve"> (1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deň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r>
        <w:rPr>
          <w:rFonts w:ascii="Times New Roman" w:hAnsi="Times New Roman" w:cs="Times New Roman"/>
          <w:lang w:val="en-US" w:eastAsia="el-GR"/>
        </w:rPr>
        <w:t xml:space="preserve">- </w:t>
      </w:r>
      <w:r w:rsidRPr="00A35827">
        <w:rPr>
          <w:rFonts w:ascii="Times New Roman" w:hAnsi="Times New Roman" w:cs="Times New Roman"/>
          <w:lang w:val="en-US" w:eastAsia="el-GR"/>
        </w:rPr>
        <w:t xml:space="preserve">29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mesiacov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>).</w:t>
      </w:r>
    </w:p>
    <w:p w14:paraId="5CA48B05" w14:textId="77777777" w:rsidR="00C13F39" w:rsidRPr="00531CFF" w:rsidRDefault="00C13F39" w:rsidP="00531CFF">
      <w:pPr>
        <w:spacing w:after="0" w:line="240" w:lineRule="auto"/>
        <w:rPr>
          <w:rFonts w:ascii="Times New Roman" w:hAnsi="Times New Roman" w:cs="Times New Roman"/>
          <w:lang w:val="en-US" w:eastAsia="el-GR"/>
        </w:rPr>
      </w:pPr>
    </w:p>
    <w:p w14:paraId="1EEBDDC4" w14:textId="058CD172" w:rsidR="00DB4FB7" w:rsidRDefault="00A35827" w:rsidP="00531CFF">
      <w:pPr>
        <w:spacing w:after="0" w:line="240" w:lineRule="auto"/>
        <w:rPr>
          <w:rFonts w:ascii="Times New Roman" w:hAnsi="Times New Roman" w:cs="Times New Roman"/>
          <w:lang w:val="en-US" w:eastAsia="el-GR"/>
        </w:rPr>
      </w:pPr>
      <w:proofErr w:type="spellStart"/>
      <w:r w:rsidRPr="00A35827">
        <w:rPr>
          <w:rFonts w:ascii="Times New Roman" w:hAnsi="Times New Roman" w:cs="Times New Roman"/>
          <w:lang w:val="en-US" w:eastAsia="el-GR"/>
        </w:rPr>
        <w:t>Výsledky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tejto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štúdie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nepreukázali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žiadnu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významnú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protinádorovú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aktivitu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v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príslušnej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pediatrickej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populácii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. Pazopanib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sa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preto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neodporúča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na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liečbu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týchto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nádorov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u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pediatrickej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populácie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(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informácie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o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použití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r w:rsidR="00A76433">
        <w:rPr>
          <w:rFonts w:ascii="Times New Roman" w:hAnsi="Times New Roman" w:cs="Times New Roman"/>
          <w:lang w:val="en-US" w:eastAsia="el-GR"/>
        </w:rPr>
        <w:t xml:space="preserve">v </w:t>
      </w:r>
      <w:proofErr w:type="spellStart"/>
      <w:r w:rsidR="00A76433">
        <w:rPr>
          <w:rFonts w:ascii="Times New Roman" w:hAnsi="Times New Roman" w:cs="Times New Roman"/>
          <w:lang w:val="en-US" w:eastAsia="el-GR"/>
        </w:rPr>
        <w:t>pediatrickej</w:t>
      </w:r>
      <w:proofErr w:type="spellEnd"/>
      <w:r w:rsidR="00A76433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="00A76433">
        <w:rPr>
          <w:rFonts w:ascii="Times New Roman" w:hAnsi="Times New Roman" w:cs="Times New Roman"/>
          <w:lang w:val="en-US" w:eastAsia="el-GR"/>
        </w:rPr>
        <w:t>populácii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,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pozri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</w:t>
      </w:r>
      <w:proofErr w:type="spellStart"/>
      <w:r w:rsidRPr="00A35827">
        <w:rPr>
          <w:rFonts w:ascii="Times New Roman" w:hAnsi="Times New Roman" w:cs="Times New Roman"/>
          <w:lang w:val="en-US" w:eastAsia="el-GR"/>
        </w:rPr>
        <w:t>časť</w:t>
      </w:r>
      <w:proofErr w:type="spellEnd"/>
      <w:r w:rsidRPr="00A35827">
        <w:rPr>
          <w:rFonts w:ascii="Times New Roman" w:hAnsi="Times New Roman" w:cs="Times New Roman"/>
          <w:lang w:val="en-US" w:eastAsia="el-GR"/>
        </w:rPr>
        <w:t xml:space="preserve"> 4.2).</w:t>
      </w:r>
    </w:p>
    <w:p w14:paraId="20444425" w14:textId="77777777" w:rsidR="00C13F39" w:rsidRPr="00A35827" w:rsidRDefault="00C13F39" w:rsidP="00531CFF">
      <w:pPr>
        <w:spacing w:after="0" w:line="240" w:lineRule="auto"/>
        <w:rPr>
          <w:rFonts w:ascii="Times New Roman" w:hAnsi="Times New Roman" w:cs="Times New Roman"/>
          <w:lang w:val="en-US" w:eastAsia="el-GR"/>
        </w:rPr>
      </w:pPr>
    </w:p>
    <w:p w14:paraId="59A75DC7" w14:textId="77777777" w:rsidR="00DB4FB7" w:rsidRDefault="007B785B" w:rsidP="00531CFF">
      <w:pPr>
        <w:spacing w:after="0" w:line="240" w:lineRule="auto"/>
        <w:rPr>
          <w:rFonts w:ascii="Times New Roman" w:hAnsi="Times New Roman" w:cs="Times New Roman"/>
        </w:rPr>
      </w:pPr>
      <w:r w:rsidRPr="007B785B">
        <w:rPr>
          <w:rFonts w:ascii="Times New Roman" w:hAnsi="Times New Roman" w:cs="Times New Roman"/>
        </w:rPr>
        <w:t xml:space="preserve">Európska agentúra pre lieky udelila výnimku z povinnosti predložiť výsledky štúdií s referenčným liekom obsahujúcim </w:t>
      </w:r>
      <w:proofErr w:type="spellStart"/>
      <w:r w:rsidRPr="007B785B">
        <w:rPr>
          <w:rFonts w:ascii="Times New Roman" w:hAnsi="Times New Roman" w:cs="Times New Roman"/>
        </w:rPr>
        <w:t>pazopanib</w:t>
      </w:r>
      <w:proofErr w:type="spellEnd"/>
      <w:r w:rsidRPr="007B785B">
        <w:rPr>
          <w:rFonts w:ascii="Times New Roman" w:hAnsi="Times New Roman" w:cs="Times New Roman"/>
        </w:rPr>
        <w:t xml:space="preserve"> vo všetkých podskupinách pediatrickej populácie pri liečbe karcinómu obličky a obličkovej panvičky (okrem </w:t>
      </w:r>
      <w:proofErr w:type="spellStart"/>
      <w:r w:rsidRPr="007B785B">
        <w:rPr>
          <w:rFonts w:ascii="Times New Roman" w:hAnsi="Times New Roman" w:cs="Times New Roman"/>
        </w:rPr>
        <w:t>nefroblastómu</w:t>
      </w:r>
      <w:proofErr w:type="spellEnd"/>
      <w:r w:rsidRPr="007B785B">
        <w:rPr>
          <w:rFonts w:ascii="Times New Roman" w:hAnsi="Times New Roman" w:cs="Times New Roman"/>
        </w:rPr>
        <w:t xml:space="preserve">, </w:t>
      </w:r>
      <w:proofErr w:type="spellStart"/>
      <w:r w:rsidRPr="007B785B">
        <w:rPr>
          <w:rFonts w:ascii="Times New Roman" w:hAnsi="Times New Roman" w:cs="Times New Roman"/>
        </w:rPr>
        <w:t>nefroblastomatózy</w:t>
      </w:r>
      <w:proofErr w:type="spellEnd"/>
      <w:r w:rsidRPr="007B785B">
        <w:rPr>
          <w:rFonts w:ascii="Times New Roman" w:hAnsi="Times New Roman" w:cs="Times New Roman"/>
        </w:rPr>
        <w:t xml:space="preserve">, </w:t>
      </w:r>
      <w:proofErr w:type="spellStart"/>
      <w:r w:rsidRPr="007B785B">
        <w:rPr>
          <w:rFonts w:ascii="Times New Roman" w:hAnsi="Times New Roman" w:cs="Times New Roman"/>
        </w:rPr>
        <w:t>jasnobunkového</w:t>
      </w:r>
      <w:proofErr w:type="spellEnd"/>
      <w:r w:rsidRPr="007B785B">
        <w:rPr>
          <w:rFonts w:ascii="Times New Roman" w:hAnsi="Times New Roman" w:cs="Times New Roman"/>
        </w:rPr>
        <w:t xml:space="preserve"> sarkómu, </w:t>
      </w:r>
      <w:proofErr w:type="spellStart"/>
      <w:r w:rsidRPr="007B785B">
        <w:rPr>
          <w:rFonts w:ascii="Times New Roman" w:hAnsi="Times New Roman" w:cs="Times New Roman"/>
        </w:rPr>
        <w:t>mezoblastického</w:t>
      </w:r>
      <w:proofErr w:type="spellEnd"/>
      <w:r w:rsidRPr="007B785B">
        <w:rPr>
          <w:rFonts w:ascii="Times New Roman" w:hAnsi="Times New Roman" w:cs="Times New Roman"/>
        </w:rPr>
        <w:t xml:space="preserve"> </w:t>
      </w:r>
      <w:proofErr w:type="spellStart"/>
      <w:r w:rsidRPr="007B785B">
        <w:rPr>
          <w:rFonts w:ascii="Times New Roman" w:hAnsi="Times New Roman" w:cs="Times New Roman"/>
        </w:rPr>
        <w:t>nefrómu</w:t>
      </w:r>
      <w:proofErr w:type="spellEnd"/>
      <w:r w:rsidRPr="007B785B">
        <w:rPr>
          <w:rFonts w:ascii="Times New Roman" w:hAnsi="Times New Roman" w:cs="Times New Roman"/>
        </w:rPr>
        <w:t xml:space="preserve">, </w:t>
      </w:r>
      <w:proofErr w:type="spellStart"/>
      <w:r w:rsidRPr="007B785B">
        <w:rPr>
          <w:rFonts w:ascii="Times New Roman" w:hAnsi="Times New Roman" w:cs="Times New Roman"/>
        </w:rPr>
        <w:t>medulárneho</w:t>
      </w:r>
      <w:proofErr w:type="spellEnd"/>
      <w:r w:rsidRPr="007B785B">
        <w:rPr>
          <w:rFonts w:ascii="Times New Roman" w:hAnsi="Times New Roman" w:cs="Times New Roman"/>
        </w:rPr>
        <w:t xml:space="preserve"> karcinómu obličky a </w:t>
      </w:r>
      <w:proofErr w:type="spellStart"/>
      <w:r w:rsidRPr="007B785B">
        <w:rPr>
          <w:rFonts w:ascii="Times New Roman" w:hAnsi="Times New Roman" w:cs="Times New Roman"/>
        </w:rPr>
        <w:t>rabdoidného</w:t>
      </w:r>
      <w:proofErr w:type="spellEnd"/>
      <w:r w:rsidRPr="007B785B">
        <w:rPr>
          <w:rFonts w:ascii="Times New Roman" w:hAnsi="Times New Roman" w:cs="Times New Roman"/>
        </w:rPr>
        <w:t xml:space="preserve"> tumoru obličky) (informácie o použití v pediatrickej populácii, pozri časť 4.2).</w:t>
      </w:r>
    </w:p>
    <w:p w14:paraId="247053F3" w14:textId="77777777" w:rsidR="00C13F39" w:rsidRPr="007B785B" w:rsidRDefault="00C13F39" w:rsidP="00531CF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4C58745" w14:textId="77777777" w:rsidR="005C1753" w:rsidRPr="005C1753" w:rsidRDefault="005C1753" w:rsidP="005C1753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GB"/>
        </w:rPr>
      </w:pPr>
      <w:r w:rsidRPr="005C1753">
        <w:rPr>
          <w:rFonts w:ascii="Times New Roman" w:eastAsia="Times New Roman" w:hAnsi="Times New Roman" w:cs="Times New Roman"/>
          <w:b/>
          <w:bCs/>
          <w:lang w:val="en-US" w:eastAsia="en-GB"/>
        </w:rPr>
        <w:t>5.2</w:t>
      </w:r>
      <w:r w:rsidRPr="005C1753">
        <w:rPr>
          <w:rFonts w:ascii="Times New Roman" w:eastAsia="Times New Roman" w:hAnsi="Times New Roman" w:cs="Times New Roman"/>
          <w:b/>
          <w:bCs/>
          <w:lang w:val="en-US" w:eastAsia="en-GB"/>
        </w:rPr>
        <w:tab/>
      </w:r>
      <w:proofErr w:type="spellStart"/>
      <w:r w:rsidR="009B7BAB" w:rsidRPr="009B7BAB">
        <w:rPr>
          <w:rFonts w:ascii="Times New Roman" w:eastAsia="Times New Roman" w:hAnsi="Times New Roman" w:cs="Times New Roman"/>
          <w:b/>
          <w:bCs/>
          <w:lang w:eastAsia="en-GB"/>
        </w:rPr>
        <w:t>Farmakokinetické</w:t>
      </w:r>
      <w:proofErr w:type="spellEnd"/>
      <w:r w:rsidR="009B7BAB" w:rsidRPr="009B7BAB">
        <w:rPr>
          <w:rFonts w:ascii="Times New Roman" w:eastAsia="Times New Roman" w:hAnsi="Times New Roman" w:cs="Times New Roman"/>
          <w:b/>
          <w:bCs/>
          <w:lang w:eastAsia="en-GB"/>
        </w:rPr>
        <w:t xml:space="preserve"> vlastnosti</w:t>
      </w:r>
    </w:p>
    <w:p w14:paraId="28E30BBA" w14:textId="77777777" w:rsidR="005C1753" w:rsidRPr="005C1753" w:rsidRDefault="005C1753" w:rsidP="005C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GB"/>
        </w:rPr>
      </w:pPr>
    </w:p>
    <w:p w14:paraId="2945B81D" w14:textId="77777777" w:rsidR="005C1753" w:rsidRDefault="005C1753" w:rsidP="005C175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 w:eastAsia="en-GB"/>
        </w:rPr>
      </w:pPr>
      <w:proofErr w:type="spellStart"/>
      <w:r w:rsidRPr="005C1753">
        <w:rPr>
          <w:rFonts w:ascii="Times New Roman" w:eastAsia="Times New Roman" w:hAnsi="Times New Roman" w:cs="Times New Roman"/>
          <w:u w:val="single"/>
          <w:lang w:val="en-GB" w:eastAsia="en-GB"/>
        </w:rPr>
        <w:t>Absorp</w:t>
      </w:r>
      <w:r w:rsidR="009B7BAB">
        <w:rPr>
          <w:rFonts w:ascii="Times New Roman" w:eastAsia="Times New Roman" w:hAnsi="Times New Roman" w:cs="Times New Roman"/>
          <w:u w:val="single"/>
          <w:lang w:val="en-GB" w:eastAsia="en-GB"/>
        </w:rPr>
        <w:t>cia</w:t>
      </w:r>
      <w:proofErr w:type="spellEnd"/>
    </w:p>
    <w:p w14:paraId="6483423B" w14:textId="77777777" w:rsidR="008B68BD" w:rsidRPr="005C1753" w:rsidRDefault="008B68BD" w:rsidP="005C175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 w:eastAsia="en-GB"/>
        </w:rPr>
      </w:pPr>
    </w:p>
    <w:p w14:paraId="72B4E655" w14:textId="77777777" w:rsidR="005C1753" w:rsidRPr="005C1753" w:rsidRDefault="009B7BAB" w:rsidP="005C175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9B7BAB">
        <w:rPr>
          <w:rFonts w:ascii="Times New Roman" w:eastAsia="Times New Roman" w:hAnsi="Times New Roman" w:cs="Times New Roman"/>
          <w:lang w:eastAsia="en-GB"/>
        </w:rPr>
        <w:t xml:space="preserve">Po perorálnom podaní jednorazovej 800 mg dávky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 xml:space="preserve"> pacientom so solídnymi nádormi sa maximálna plazmatická koncentrácia (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C</w:t>
      </w:r>
      <w:r w:rsidRPr="009B7BAB">
        <w:rPr>
          <w:rFonts w:ascii="Times New Roman" w:eastAsia="Times New Roman" w:hAnsi="Times New Roman" w:cs="Times New Roman"/>
          <w:vertAlign w:val="subscript"/>
          <w:lang w:eastAsia="en-GB"/>
        </w:rPr>
        <w:t>max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 xml:space="preserve">) v hodnote približne 19 ± 13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μg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>/ml dosiahla v priemere po 3,5 hodinách (rozmedzie 1,0 - 11,9 hodiny) a dosiahla sa hodnota AUC</w:t>
      </w:r>
      <w:r w:rsidRPr="00531CFF">
        <w:rPr>
          <w:rFonts w:ascii="Times New Roman" w:eastAsia="Times New Roman" w:hAnsi="Times New Roman" w:cs="Times New Roman"/>
          <w:vertAlign w:val="subscript"/>
          <w:lang w:eastAsia="en-GB"/>
        </w:rPr>
        <w:t>0-∞</w:t>
      </w:r>
      <w:r w:rsidRPr="009B7BAB">
        <w:rPr>
          <w:rFonts w:ascii="Times New Roman" w:eastAsia="Times New Roman" w:hAnsi="Times New Roman" w:cs="Times New Roman"/>
          <w:lang w:eastAsia="en-GB"/>
        </w:rPr>
        <w:t xml:space="preserve"> približne 650 ± 500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μg.h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>/ml. Každodenné podávanie viedlo k 1,23- až 4-násobnému zvýšeniu AUC</w:t>
      </w:r>
      <w:r w:rsidRPr="00531CFF">
        <w:rPr>
          <w:rFonts w:ascii="Times New Roman" w:eastAsia="Times New Roman" w:hAnsi="Times New Roman" w:cs="Times New Roman"/>
          <w:vertAlign w:val="subscript"/>
          <w:lang w:eastAsia="en-GB"/>
        </w:rPr>
        <w:t>0-T</w:t>
      </w:r>
      <w:r w:rsidRPr="009B7BAB">
        <w:rPr>
          <w:rFonts w:ascii="Times New Roman" w:eastAsia="Times New Roman" w:hAnsi="Times New Roman" w:cs="Times New Roman"/>
          <w:lang w:eastAsia="en-GB"/>
        </w:rPr>
        <w:t>.</w:t>
      </w:r>
    </w:p>
    <w:p w14:paraId="20F534C1" w14:textId="77777777" w:rsidR="009B7BAB" w:rsidRDefault="009B7BAB" w:rsidP="005C17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79F59CE9" w14:textId="77777777" w:rsidR="005C1753" w:rsidRDefault="009B7BAB" w:rsidP="005C17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9B7BAB">
        <w:rPr>
          <w:rFonts w:ascii="Times New Roman" w:eastAsia="Times New Roman" w:hAnsi="Times New Roman" w:cs="Times New Roman"/>
          <w:lang w:eastAsia="en-GB"/>
        </w:rPr>
        <w:t xml:space="preserve">Pri podávaní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 xml:space="preserve"> v dávkach nad 800 mg nedošlo ku konzistentnému zvýšeniu hodnoty AUC alebo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C</w:t>
      </w:r>
      <w:r w:rsidRPr="009B7BAB">
        <w:rPr>
          <w:rFonts w:ascii="Times New Roman" w:eastAsia="Times New Roman" w:hAnsi="Times New Roman" w:cs="Times New Roman"/>
          <w:vertAlign w:val="subscript"/>
          <w:lang w:eastAsia="en-GB"/>
        </w:rPr>
        <w:t>max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>.</w:t>
      </w:r>
    </w:p>
    <w:p w14:paraId="5E919DD0" w14:textId="77777777" w:rsidR="009B7BAB" w:rsidRPr="005C1753" w:rsidRDefault="009B7BAB" w:rsidP="005C175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</w:p>
    <w:p w14:paraId="6AFDAA15" w14:textId="064BAB41" w:rsidR="005C1753" w:rsidRDefault="009B7BAB" w:rsidP="009B7B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9B7BAB">
        <w:rPr>
          <w:rFonts w:ascii="Times New Roman" w:eastAsia="Times New Roman" w:hAnsi="Times New Roman" w:cs="Times New Roman"/>
          <w:lang w:eastAsia="en-GB"/>
        </w:rPr>
        <w:t xml:space="preserve">Systémová expozícia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 xml:space="preserve"> je zvýšená, keď sa podáva s jedlom. Podanie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 xml:space="preserve"> s jedlom s vysokým alebo nízkym obsahom tuku viedlo k približne 2-násobnému zvýšeniu hodnôt AUC a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C</w:t>
      </w:r>
      <w:r w:rsidRPr="009B7BAB">
        <w:rPr>
          <w:rFonts w:ascii="Times New Roman" w:eastAsia="Times New Roman" w:hAnsi="Times New Roman" w:cs="Times New Roman"/>
          <w:vertAlign w:val="subscript"/>
          <w:lang w:eastAsia="en-GB"/>
        </w:rPr>
        <w:t>max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Pazopanib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 xml:space="preserve"> sa má preto podávať aspoň dve hodiny po jedle alebo aspoň jednu hodinu pred jedlom (pozri časť 4.2).</w:t>
      </w:r>
    </w:p>
    <w:p w14:paraId="2072D8B3" w14:textId="77777777" w:rsidR="009B7BAB" w:rsidRPr="005C1753" w:rsidRDefault="009B7BAB" w:rsidP="009B7BA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</w:p>
    <w:p w14:paraId="70F0023F" w14:textId="77777777" w:rsidR="005C1753" w:rsidRDefault="009B7BAB" w:rsidP="00531CFF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9B7BAB">
        <w:rPr>
          <w:rFonts w:ascii="Times New Roman" w:eastAsia="Times New Roman" w:hAnsi="Times New Roman" w:cs="Times New Roman"/>
          <w:lang w:eastAsia="en-GB"/>
        </w:rPr>
        <w:t xml:space="preserve">Podanie rozdrvenej tablety s obsahom 400 mg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 xml:space="preserve"> zvýšilo hodnotu AUC</w:t>
      </w:r>
      <w:r w:rsidRPr="00531CFF">
        <w:rPr>
          <w:rFonts w:ascii="Times New Roman" w:eastAsia="Times New Roman" w:hAnsi="Times New Roman" w:cs="Times New Roman"/>
          <w:vertAlign w:val="subscript"/>
          <w:lang w:eastAsia="en-GB"/>
        </w:rPr>
        <w:t>(0-72)</w:t>
      </w:r>
      <w:r w:rsidRPr="009B7BAB">
        <w:rPr>
          <w:rFonts w:ascii="Times New Roman" w:eastAsia="Times New Roman" w:hAnsi="Times New Roman" w:cs="Times New Roman"/>
          <w:lang w:eastAsia="en-GB"/>
        </w:rPr>
        <w:t xml:space="preserve"> o 46 % a hodnotu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C</w:t>
      </w:r>
      <w:r w:rsidRPr="005B2C8D">
        <w:rPr>
          <w:rFonts w:ascii="Times New Roman" w:eastAsia="Times New Roman" w:hAnsi="Times New Roman" w:cs="Times New Roman"/>
          <w:vertAlign w:val="subscript"/>
          <w:lang w:eastAsia="en-GB"/>
        </w:rPr>
        <w:t>max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 xml:space="preserve"> približne 2-násobne a skrátilo </w:t>
      </w:r>
      <w:proofErr w:type="spellStart"/>
      <w:r w:rsidRPr="009B7BAB">
        <w:rPr>
          <w:rFonts w:ascii="Times New Roman" w:eastAsia="Times New Roman" w:hAnsi="Times New Roman" w:cs="Times New Roman"/>
          <w:lang w:eastAsia="en-GB"/>
        </w:rPr>
        <w:t>t</w:t>
      </w:r>
      <w:r w:rsidRPr="005B2C8D">
        <w:rPr>
          <w:rFonts w:ascii="Times New Roman" w:eastAsia="Times New Roman" w:hAnsi="Times New Roman" w:cs="Times New Roman"/>
          <w:vertAlign w:val="subscript"/>
          <w:lang w:eastAsia="en-GB"/>
        </w:rPr>
        <w:t>max</w:t>
      </w:r>
      <w:proofErr w:type="spellEnd"/>
      <w:r w:rsidRPr="009B7BAB">
        <w:rPr>
          <w:rFonts w:ascii="Times New Roman" w:eastAsia="Times New Roman" w:hAnsi="Times New Roman" w:cs="Times New Roman"/>
          <w:lang w:eastAsia="en-GB"/>
        </w:rPr>
        <w:t xml:space="preserve"> o približne 2 hodiny v porovnaní s podaním celej</w:t>
      </w:r>
      <w:r w:rsidR="005B2C8D">
        <w:rPr>
          <w:rFonts w:ascii="Times New Roman" w:eastAsia="Times New Roman" w:hAnsi="Times New Roman" w:cs="Times New Roman"/>
          <w:lang w:eastAsia="en-GB"/>
        </w:rPr>
        <w:t xml:space="preserve"> </w:t>
      </w:r>
      <w:r w:rsidR="005B2C8D" w:rsidRPr="005B2C8D">
        <w:rPr>
          <w:rFonts w:ascii="Times New Roman" w:eastAsia="Times New Roman" w:hAnsi="Times New Roman" w:cs="Times New Roman"/>
          <w:lang w:eastAsia="en-GB"/>
        </w:rPr>
        <w:t xml:space="preserve">tablety. Tieto výsledky naznačujú, že biologická dostupnosť a rýchlosť absorpcie perorálne podaného </w:t>
      </w:r>
      <w:proofErr w:type="spellStart"/>
      <w:r w:rsidR="005B2C8D" w:rsidRPr="005B2C8D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="005B2C8D" w:rsidRPr="005B2C8D">
        <w:rPr>
          <w:rFonts w:ascii="Times New Roman" w:eastAsia="Times New Roman" w:hAnsi="Times New Roman" w:cs="Times New Roman"/>
          <w:lang w:eastAsia="en-GB"/>
        </w:rPr>
        <w:t xml:space="preserve"> sú zvýšené po podaní rozdrvenej tablety v porovnaní s podaním celej tablety (pozri časť 4.2).</w:t>
      </w:r>
    </w:p>
    <w:p w14:paraId="42932612" w14:textId="77777777" w:rsidR="009B7BAB" w:rsidRPr="005C1753" w:rsidRDefault="009B7BAB" w:rsidP="00531CFF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22284BB2" w14:textId="77777777" w:rsidR="00C14DA3" w:rsidRPr="00C14DA3" w:rsidRDefault="00C14DA3" w:rsidP="00531CFF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C14DA3">
        <w:rPr>
          <w:rFonts w:ascii="Times New Roman" w:eastAsia="Times New Roman" w:hAnsi="Times New Roman" w:cs="Times New Roman"/>
          <w:u w:val="single"/>
          <w:lang w:eastAsia="en-GB"/>
        </w:rPr>
        <w:t xml:space="preserve">Distribúcia </w:t>
      </w:r>
    </w:p>
    <w:p w14:paraId="7EECA641" w14:textId="468B9553" w:rsidR="005C1753" w:rsidRPr="006B68D6" w:rsidRDefault="00C14DA3" w:rsidP="00531CFF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531CFF">
        <w:rPr>
          <w:rFonts w:ascii="Times New Roman" w:eastAsia="Times New Roman" w:hAnsi="Times New Roman" w:cs="Times New Roman"/>
          <w:lang w:eastAsia="en-GB"/>
        </w:rPr>
        <w:lastRenderedPageBreak/>
        <w:t xml:space="preserve">Väzba </w:t>
      </w:r>
      <w:proofErr w:type="spellStart"/>
      <w:r w:rsidRPr="00531CFF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531CFF">
        <w:rPr>
          <w:rFonts w:ascii="Times New Roman" w:eastAsia="Times New Roman" w:hAnsi="Times New Roman" w:cs="Times New Roman"/>
          <w:lang w:eastAsia="en-GB"/>
        </w:rPr>
        <w:t xml:space="preserve"> na ľudské plazmatické bielkoviny </w:t>
      </w:r>
      <w:r w:rsidRPr="00531CFF">
        <w:rPr>
          <w:rFonts w:ascii="Times New Roman" w:eastAsia="Times New Roman" w:hAnsi="Times New Roman" w:cs="Times New Roman"/>
          <w:i/>
          <w:iCs/>
          <w:lang w:eastAsia="en-GB"/>
        </w:rPr>
        <w:t xml:space="preserve">in </w:t>
      </w:r>
      <w:proofErr w:type="spellStart"/>
      <w:r w:rsidRPr="00531CFF">
        <w:rPr>
          <w:rFonts w:ascii="Times New Roman" w:eastAsia="Times New Roman" w:hAnsi="Times New Roman" w:cs="Times New Roman"/>
          <w:i/>
          <w:iCs/>
          <w:lang w:eastAsia="en-GB"/>
        </w:rPr>
        <w:t>vivo</w:t>
      </w:r>
      <w:proofErr w:type="spellEnd"/>
      <w:r w:rsidRPr="00531CFF">
        <w:rPr>
          <w:rFonts w:ascii="Times New Roman" w:eastAsia="Times New Roman" w:hAnsi="Times New Roman" w:cs="Times New Roman"/>
          <w:i/>
          <w:iCs/>
          <w:lang w:eastAsia="en-GB"/>
        </w:rPr>
        <w:t xml:space="preserve"> </w:t>
      </w:r>
      <w:r w:rsidRPr="00531CFF">
        <w:rPr>
          <w:rFonts w:ascii="Times New Roman" w:eastAsia="Times New Roman" w:hAnsi="Times New Roman" w:cs="Times New Roman"/>
          <w:lang w:eastAsia="en-GB"/>
        </w:rPr>
        <w:t xml:space="preserve">bola viac než 99 % bez závislosti od koncentrácie v rozmedzí 10 - 100 </w:t>
      </w:r>
      <w:r w:rsidR="00C320CF" w:rsidRPr="00DF1788">
        <w:rPr>
          <w:rFonts w:eastAsia="Symbol"/>
          <w:lang w:val="el-GR"/>
        </w:rPr>
        <w:t>μ</w:t>
      </w:r>
      <w:r w:rsidRPr="00531CFF">
        <w:rPr>
          <w:rFonts w:ascii="Times New Roman" w:eastAsia="Times New Roman" w:hAnsi="Times New Roman" w:cs="Times New Roman"/>
          <w:lang w:eastAsia="en-GB"/>
        </w:rPr>
        <w:t xml:space="preserve">g/ml. </w:t>
      </w:r>
      <w:r w:rsidRPr="00531CFF">
        <w:rPr>
          <w:rFonts w:ascii="Times New Roman" w:eastAsia="Times New Roman" w:hAnsi="Times New Roman" w:cs="Times New Roman"/>
          <w:i/>
          <w:iCs/>
          <w:lang w:eastAsia="en-GB"/>
        </w:rPr>
        <w:t xml:space="preserve">In vitro </w:t>
      </w:r>
      <w:r w:rsidRPr="00531CFF">
        <w:rPr>
          <w:rFonts w:ascii="Times New Roman" w:eastAsia="Times New Roman" w:hAnsi="Times New Roman" w:cs="Times New Roman"/>
          <w:lang w:eastAsia="en-GB"/>
        </w:rPr>
        <w:t xml:space="preserve">štúdie svedčia o tom, že </w:t>
      </w:r>
      <w:proofErr w:type="spellStart"/>
      <w:r w:rsidRPr="00531CFF">
        <w:rPr>
          <w:rFonts w:ascii="Times New Roman" w:eastAsia="Times New Roman" w:hAnsi="Times New Roman" w:cs="Times New Roman"/>
          <w:lang w:eastAsia="en-GB"/>
        </w:rPr>
        <w:t>pazopanib</w:t>
      </w:r>
      <w:proofErr w:type="spellEnd"/>
      <w:r w:rsidRPr="00531CFF">
        <w:rPr>
          <w:rFonts w:ascii="Times New Roman" w:eastAsia="Times New Roman" w:hAnsi="Times New Roman" w:cs="Times New Roman"/>
          <w:lang w:eastAsia="en-GB"/>
        </w:rPr>
        <w:t xml:space="preserve"> je substrát P-</w:t>
      </w:r>
      <w:proofErr w:type="spellStart"/>
      <w:r w:rsidRPr="00531CFF">
        <w:rPr>
          <w:rFonts w:ascii="Times New Roman" w:eastAsia="Times New Roman" w:hAnsi="Times New Roman" w:cs="Times New Roman"/>
          <w:lang w:eastAsia="en-GB"/>
        </w:rPr>
        <w:t>gp</w:t>
      </w:r>
      <w:proofErr w:type="spellEnd"/>
      <w:r w:rsidRPr="00531CFF">
        <w:rPr>
          <w:rFonts w:ascii="Times New Roman" w:eastAsia="Times New Roman" w:hAnsi="Times New Roman" w:cs="Times New Roman"/>
          <w:lang w:eastAsia="en-GB"/>
        </w:rPr>
        <w:t xml:space="preserve"> a BCRP.</w:t>
      </w:r>
    </w:p>
    <w:p w14:paraId="57B30D77" w14:textId="77777777" w:rsidR="005C1753" w:rsidRPr="005C1753" w:rsidRDefault="005C1753" w:rsidP="00531CFF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0B185FD5" w14:textId="77777777" w:rsidR="00C14DA3" w:rsidRDefault="00C14DA3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GB"/>
        </w:rPr>
      </w:pPr>
      <w:proofErr w:type="spellStart"/>
      <w:r w:rsidRPr="00C14DA3">
        <w:rPr>
          <w:rFonts w:ascii="Times New Roman" w:eastAsia="Times New Roman" w:hAnsi="Times New Roman" w:cs="Times New Roman"/>
          <w:u w:val="single"/>
          <w:lang w:eastAsia="en-GB"/>
        </w:rPr>
        <w:t>Biotransformácia</w:t>
      </w:r>
      <w:proofErr w:type="spellEnd"/>
      <w:r w:rsidRPr="00C14DA3">
        <w:rPr>
          <w:rFonts w:ascii="Times New Roman" w:eastAsia="Times New Roman" w:hAnsi="Times New Roman" w:cs="Times New Roman"/>
          <w:u w:val="single"/>
          <w:lang w:eastAsia="en-GB"/>
        </w:rPr>
        <w:t xml:space="preserve"> </w:t>
      </w:r>
    </w:p>
    <w:p w14:paraId="1A90C43A" w14:textId="77777777" w:rsidR="008B68BD" w:rsidRPr="00C14DA3" w:rsidRDefault="008B68BD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GB"/>
        </w:rPr>
      </w:pPr>
    </w:p>
    <w:p w14:paraId="41211A70" w14:textId="77777777" w:rsidR="005C1753" w:rsidRPr="005C1753" w:rsidRDefault="00C14DA3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C14DA3">
        <w:rPr>
          <w:rFonts w:ascii="Times New Roman" w:eastAsia="Times New Roman" w:hAnsi="Times New Roman" w:cs="Times New Roman"/>
          <w:lang w:eastAsia="en-GB"/>
        </w:rPr>
        <w:t xml:space="preserve">Výsledky z </w:t>
      </w:r>
      <w:r w:rsidRPr="00C14DA3">
        <w:rPr>
          <w:rFonts w:ascii="Times New Roman" w:eastAsia="Times New Roman" w:hAnsi="Times New Roman" w:cs="Times New Roman"/>
          <w:i/>
          <w:iCs/>
          <w:lang w:eastAsia="en-GB"/>
        </w:rPr>
        <w:t xml:space="preserve">in vitro </w:t>
      </w:r>
      <w:r w:rsidRPr="00C14DA3">
        <w:rPr>
          <w:rFonts w:ascii="Times New Roman" w:eastAsia="Times New Roman" w:hAnsi="Times New Roman" w:cs="Times New Roman"/>
          <w:lang w:eastAsia="en-GB"/>
        </w:rPr>
        <w:t xml:space="preserve">štúdií preukázali, že metabolizmus </w:t>
      </w:r>
      <w:proofErr w:type="spellStart"/>
      <w:r w:rsidRPr="00C14DA3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C14DA3">
        <w:rPr>
          <w:rFonts w:ascii="Times New Roman" w:eastAsia="Times New Roman" w:hAnsi="Times New Roman" w:cs="Times New Roman"/>
          <w:lang w:eastAsia="en-GB"/>
        </w:rPr>
        <w:t xml:space="preserve"> je sprostredkovaný hlavne CYP3A4, pričom v menšej miere sa na ňom podieľajú CYP1A2 a CYP2C8. Štyri hlavné metabolity </w:t>
      </w:r>
      <w:proofErr w:type="spellStart"/>
      <w:r w:rsidRPr="00C14DA3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C14DA3">
        <w:rPr>
          <w:rFonts w:ascii="Times New Roman" w:eastAsia="Times New Roman" w:hAnsi="Times New Roman" w:cs="Times New Roman"/>
          <w:lang w:eastAsia="en-GB"/>
        </w:rPr>
        <w:t xml:space="preserve"> predstavujú iba 6 % expozície v plazme. Jeden z týchto metabolitov inhibuje proliferáciu VEGF-stimulovaných ľudských endotelových buniek </w:t>
      </w:r>
      <w:proofErr w:type="spellStart"/>
      <w:r w:rsidRPr="00C14DA3">
        <w:rPr>
          <w:rFonts w:ascii="Times New Roman" w:eastAsia="Times New Roman" w:hAnsi="Times New Roman" w:cs="Times New Roman"/>
          <w:lang w:eastAsia="en-GB"/>
        </w:rPr>
        <w:t>umbilikálnej</w:t>
      </w:r>
      <w:proofErr w:type="spellEnd"/>
      <w:r w:rsidRPr="00C14DA3">
        <w:rPr>
          <w:rFonts w:ascii="Times New Roman" w:eastAsia="Times New Roman" w:hAnsi="Times New Roman" w:cs="Times New Roman"/>
          <w:lang w:eastAsia="en-GB"/>
        </w:rPr>
        <w:t xml:space="preserve"> žily s podobnou účinnosťou ako </w:t>
      </w:r>
      <w:proofErr w:type="spellStart"/>
      <w:r w:rsidRPr="00C14DA3">
        <w:rPr>
          <w:rFonts w:ascii="Times New Roman" w:eastAsia="Times New Roman" w:hAnsi="Times New Roman" w:cs="Times New Roman"/>
          <w:lang w:eastAsia="en-GB"/>
        </w:rPr>
        <w:t>pazopanib</w:t>
      </w:r>
      <w:proofErr w:type="spellEnd"/>
      <w:r w:rsidRPr="00C14DA3">
        <w:rPr>
          <w:rFonts w:ascii="Times New Roman" w:eastAsia="Times New Roman" w:hAnsi="Times New Roman" w:cs="Times New Roman"/>
          <w:lang w:eastAsia="en-GB"/>
        </w:rPr>
        <w:t xml:space="preserve">, ďalšie metabolity sú 10- až 20-násobne menej účinné. Účinnosť </w:t>
      </w:r>
      <w:proofErr w:type="spellStart"/>
      <w:r w:rsidRPr="00C14DA3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C14DA3">
        <w:rPr>
          <w:rFonts w:ascii="Times New Roman" w:eastAsia="Times New Roman" w:hAnsi="Times New Roman" w:cs="Times New Roman"/>
          <w:lang w:eastAsia="en-GB"/>
        </w:rPr>
        <w:t xml:space="preserve"> preto závisí hlavne od expozície pôvodnej molekule </w:t>
      </w:r>
      <w:proofErr w:type="spellStart"/>
      <w:r w:rsidRPr="00C14DA3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 w14:paraId="2E000D09" w14:textId="77777777" w:rsidR="00C14DA3" w:rsidRDefault="00C14DA3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en-GB"/>
        </w:rPr>
      </w:pPr>
    </w:p>
    <w:p w14:paraId="5300DDA6" w14:textId="77777777" w:rsidR="005C1753" w:rsidRDefault="005C1753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en-GB"/>
        </w:rPr>
      </w:pPr>
      <w:proofErr w:type="spellStart"/>
      <w:r w:rsidRPr="005C1753">
        <w:rPr>
          <w:rFonts w:ascii="Times New Roman" w:eastAsia="Times New Roman" w:hAnsi="Times New Roman" w:cs="Times New Roman"/>
          <w:u w:val="single"/>
          <w:lang w:val="en-GB" w:eastAsia="en-GB"/>
        </w:rPr>
        <w:t>Elimin</w:t>
      </w:r>
      <w:r w:rsidR="00C14DA3">
        <w:rPr>
          <w:rFonts w:ascii="Times New Roman" w:eastAsia="Times New Roman" w:hAnsi="Times New Roman" w:cs="Times New Roman"/>
          <w:u w:val="single"/>
          <w:lang w:val="en-GB" w:eastAsia="en-GB"/>
        </w:rPr>
        <w:t>ácia</w:t>
      </w:r>
      <w:proofErr w:type="spellEnd"/>
    </w:p>
    <w:p w14:paraId="3EC4A309" w14:textId="77777777" w:rsidR="008B68BD" w:rsidRPr="005C1753" w:rsidRDefault="008B68BD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6343F8CD" w14:textId="77777777" w:rsidR="005C1753" w:rsidRPr="005C1753" w:rsidRDefault="00C14DA3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Pazopanib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sa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vylučuje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pomaly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s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priemerným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polčasom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30,9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hodiny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po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podaní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odporúčanej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800 mg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dávky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.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Vylučuje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sa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hlavne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stolicou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pričom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vylučovanie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C14DA3">
        <w:rPr>
          <w:rFonts w:ascii="Times New Roman" w:eastAsia="Times New Roman" w:hAnsi="Times New Roman" w:cs="Times New Roman"/>
          <w:lang w:val="en-GB" w:eastAsia="en-GB"/>
        </w:rPr>
        <w:t>obličkami</w:t>
      </w:r>
      <w:proofErr w:type="spellEnd"/>
      <w:r w:rsidRPr="00C14DA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 w:eastAsia="en-GB"/>
        </w:rPr>
        <w:t>predstavuje</w:t>
      </w:r>
      <w:proofErr w:type="spellEnd"/>
      <w:r>
        <w:rPr>
          <w:rFonts w:ascii="Times New Roman" w:eastAsia="Times New Roman" w:hAnsi="Times New Roman" w:cs="Times New Roman"/>
          <w:lang w:val="en-GB" w:eastAsia="en-GB"/>
        </w:rPr>
        <w:t xml:space="preserve"> &lt; 4 % </w:t>
      </w:r>
      <w:proofErr w:type="spellStart"/>
      <w:r>
        <w:rPr>
          <w:rFonts w:ascii="Times New Roman" w:eastAsia="Times New Roman" w:hAnsi="Times New Roman" w:cs="Times New Roman"/>
          <w:lang w:val="en-GB" w:eastAsia="en-GB"/>
        </w:rPr>
        <w:t>podanej</w:t>
      </w:r>
      <w:proofErr w:type="spellEnd"/>
      <w:r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GB" w:eastAsia="en-GB"/>
        </w:rPr>
        <w:t>dávky</w:t>
      </w:r>
      <w:proofErr w:type="spellEnd"/>
      <w:r w:rsidR="005C1753" w:rsidRPr="005C1753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41ACC5F6" w14:textId="77777777" w:rsidR="005C1753" w:rsidRPr="005C1753" w:rsidRDefault="005C1753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1C334104" w14:textId="77777777" w:rsidR="005C1753" w:rsidRPr="005C1753" w:rsidRDefault="00053D11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u w:val="single"/>
          <w:lang w:val="en-GB" w:eastAsia="en-GB"/>
        </w:rPr>
        <w:t>Osobitné</w:t>
      </w:r>
      <w:proofErr w:type="spellEnd"/>
      <w:r>
        <w:rPr>
          <w:rFonts w:ascii="Times New Roman" w:eastAsia="Times New Roman" w:hAnsi="Times New Roman" w:cs="Times New Roman"/>
          <w:u w:val="singl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/>
          <w:lang w:val="en-GB" w:eastAsia="en-GB"/>
        </w:rPr>
        <w:t>skupiny</w:t>
      </w:r>
      <w:proofErr w:type="spellEnd"/>
      <w:r>
        <w:rPr>
          <w:rFonts w:ascii="Times New Roman" w:eastAsia="Times New Roman" w:hAnsi="Times New Roman" w:cs="Times New Roman"/>
          <w:u w:val="singl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u w:val="single"/>
          <w:lang w:val="en-GB" w:eastAsia="en-GB"/>
        </w:rPr>
        <w:t>pacientov</w:t>
      </w:r>
      <w:proofErr w:type="spellEnd"/>
    </w:p>
    <w:p w14:paraId="7551F757" w14:textId="77777777" w:rsidR="00053D11" w:rsidRPr="00531CFF" w:rsidRDefault="00053D11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en-GB"/>
        </w:rPr>
      </w:pPr>
      <w:r w:rsidRPr="00531CFF">
        <w:rPr>
          <w:rFonts w:ascii="Times New Roman" w:eastAsia="Times New Roman" w:hAnsi="Times New Roman" w:cs="Times New Roman"/>
          <w:i/>
          <w:iCs/>
          <w:u w:val="single"/>
          <w:lang w:eastAsia="en-GB"/>
        </w:rPr>
        <w:t xml:space="preserve">Porucha funkcie obličiek </w:t>
      </w:r>
    </w:p>
    <w:p w14:paraId="648AA9FB" w14:textId="77777777" w:rsidR="005C1753" w:rsidRPr="005C1753" w:rsidRDefault="00053D11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053D11">
        <w:rPr>
          <w:rFonts w:ascii="Times New Roman" w:eastAsia="Times New Roman" w:hAnsi="Times New Roman" w:cs="Times New Roman"/>
          <w:lang w:eastAsia="en-GB"/>
        </w:rPr>
        <w:t xml:space="preserve">Výsledky naznačujú, že močom sa vo forme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 a jeho metabolitov vylučuje menej než 4 % perorálne podanej dávky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. Výsledky z populačného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farmakokinetického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 modelovania (údaje od jedincov s východiskovými hodnotami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klírensu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 kreatinínu (CLCR) v rozmedzí od 30,8 ml/min do 150 ml/min) preukázali, že porucha funkcie obličiek pravdepodobne nemá klinicky významný vplyv na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farmakokinetiku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. U pacientov s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klírensom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 kreatinínu nad 30 ml/min nie je potrebná žiadna úprava dávky. U pacientov s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klírensom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 kreatinínu pod 30 ml/min sa odporúča opatrnosť, keďže v tejto skupine pacientov nie sú skúsenosti s podávaním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 (pozri časť 4.2).</w:t>
      </w:r>
    </w:p>
    <w:p w14:paraId="36A7F93F" w14:textId="77777777" w:rsidR="00053D11" w:rsidRPr="00053D11" w:rsidRDefault="00053D11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6511B16A" w14:textId="77777777" w:rsidR="005C1753" w:rsidRPr="005C1753" w:rsidRDefault="00053D11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i/>
          <w:u w:val="single"/>
          <w:lang w:val="en-GB" w:eastAsia="en-GB"/>
        </w:rPr>
        <w:t>Porucha</w:t>
      </w:r>
      <w:proofErr w:type="spellEnd"/>
      <w:r>
        <w:rPr>
          <w:rFonts w:ascii="Times New Roman" w:eastAsia="Times New Roman" w:hAnsi="Times New Roman" w:cs="Times New Roman"/>
          <w:i/>
          <w:u w:val="singl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u w:val="single"/>
          <w:lang w:val="en-GB" w:eastAsia="en-GB"/>
        </w:rPr>
        <w:t>funkcie</w:t>
      </w:r>
      <w:proofErr w:type="spellEnd"/>
      <w:r>
        <w:rPr>
          <w:rFonts w:ascii="Times New Roman" w:eastAsia="Times New Roman" w:hAnsi="Times New Roman" w:cs="Times New Roman"/>
          <w:i/>
          <w:u w:val="singl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u w:val="single"/>
          <w:lang w:val="en-GB" w:eastAsia="en-GB"/>
        </w:rPr>
        <w:t>pečene</w:t>
      </w:r>
      <w:proofErr w:type="spellEnd"/>
    </w:p>
    <w:p w14:paraId="72D00CF1" w14:textId="77777777" w:rsidR="005C1753" w:rsidRPr="005C1753" w:rsidRDefault="00053D11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i/>
          <w:lang w:val="en-GB" w:eastAsia="en-GB"/>
        </w:rPr>
        <w:t>Ľahká</w:t>
      </w:r>
      <w:proofErr w:type="spellEnd"/>
    </w:p>
    <w:p w14:paraId="328D66CC" w14:textId="1FF58FDE" w:rsidR="005C1753" w:rsidRDefault="00053D11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Mediány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hodnôt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C</w:t>
      </w:r>
      <w:r w:rsidRPr="00531CFF">
        <w:rPr>
          <w:rFonts w:ascii="Times New Roman" w:eastAsia="Times New Roman" w:hAnsi="Times New Roman" w:cs="Times New Roman"/>
          <w:vertAlign w:val="subscript"/>
          <w:lang w:val="en-GB" w:eastAsia="en-GB"/>
        </w:rPr>
        <w:t>max</w:t>
      </w:r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a </w:t>
      </w:r>
      <w:proofErr w:type="gramStart"/>
      <w:r w:rsidRPr="00053D11">
        <w:rPr>
          <w:rFonts w:ascii="Times New Roman" w:eastAsia="Times New Roman" w:hAnsi="Times New Roman" w:cs="Times New Roman"/>
          <w:lang w:val="en-GB" w:eastAsia="en-GB"/>
        </w:rPr>
        <w:t>AUC</w:t>
      </w:r>
      <w:r w:rsidRPr="00531CFF">
        <w:rPr>
          <w:rFonts w:ascii="Times New Roman" w:eastAsia="Times New Roman" w:hAnsi="Times New Roman" w:cs="Times New Roman"/>
          <w:vertAlign w:val="subscript"/>
          <w:lang w:val="en-GB" w:eastAsia="en-GB"/>
        </w:rPr>
        <w:t>(</w:t>
      </w:r>
      <w:proofErr w:type="gramEnd"/>
      <w:r w:rsidRPr="00531CFF">
        <w:rPr>
          <w:rFonts w:ascii="Times New Roman" w:eastAsia="Times New Roman" w:hAnsi="Times New Roman" w:cs="Times New Roman"/>
          <w:vertAlign w:val="subscript"/>
          <w:lang w:val="en-GB" w:eastAsia="en-GB"/>
        </w:rPr>
        <w:t>0-24)</w:t>
      </w:r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pazopanibu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v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rovnovážnom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stave u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pacientov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s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miernymi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abnormalitami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parametrov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pečene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definovanými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buď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ako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referenčné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hodnoty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bilirubínu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a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zvýšenie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hodnôt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ALT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akéhokoľvek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stupňa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alebo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ako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zvýšenie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hodnôt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bilirubínu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až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1,5-násobok ULN bez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ohľadu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hodnotu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ALT) po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podaní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800 mg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jedenkrát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denne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sú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podobné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ako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mediány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hodnôt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pacientov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s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normálnou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funkciou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pečene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pozri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="00025BBF">
        <w:rPr>
          <w:rFonts w:ascii="Times New Roman" w:eastAsia="Times New Roman" w:hAnsi="Times New Roman" w:cs="Times New Roman"/>
          <w:lang w:val="en-GB" w:eastAsia="en-GB"/>
        </w:rPr>
        <w:t>T</w:t>
      </w:r>
      <w:r w:rsidRPr="00053D11">
        <w:rPr>
          <w:rFonts w:ascii="Times New Roman" w:eastAsia="Times New Roman" w:hAnsi="Times New Roman" w:cs="Times New Roman"/>
          <w:lang w:val="en-GB" w:eastAsia="en-GB"/>
        </w:rPr>
        <w:t>abuľku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7). 800 mg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pazopanibu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jedenkrát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denne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je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odporúčaná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dávka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pre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pacientov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s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miernymi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abnormalitami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sérových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pečeňových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testov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pozri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053D11">
        <w:rPr>
          <w:rFonts w:ascii="Times New Roman" w:eastAsia="Times New Roman" w:hAnsi="Times New Roman" w:cs="Times New Roman"/>
          <w:lang w:val="en-GB" w:eastAsia="en-GB"/>
        </w:rPr>
        <w:t>časť</w:t>
      </w:r>
      <w:proofErr w:type="spellEnd"/>
      <w:r w:rsidRPr="00053D11">
        <w:rPr>
          <w:rFonts w:ascii="Times New Roman" w:eastAsia="Times New Roman" w:hAnsi="Times New Roman" w:cs="Times New Roman"/>
          <w:lang w:val="en-GB" w:eastAsia="en-GB"/>
        </w:rPr>
        <w:t xml:space="preserve"> 4.2).</w:t>
      </w:r>
    </w:p>
    <w:p w14:paraId="75AD73A7" w14:textId="77777777" w:rsidR="00053D11" w:rsidRPr="005C1753" w:rsidRDefault="00053D11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1A3ABBD1" w14:textId="77777777" w:rsidR="005C1753" w:rsidRPr="005C1753" w:rsidRDefault="00053D11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i/>
          <w:lang w:val="en-GB" w:eastAsia="en-GB"/>
        </w:rPr>
        <w:t>Stredne</w:t>
      </w:r>
      <w:proofErr w:type="spellEnd"/>
      <w:r>
        <w:rPr>
          <w:rFonts w:ascii="Times New Roman" w:eastAsia="Times New Roman" w:hAnsi="Times New Roman" w:cs="Times New Roman"/>
          <w:i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en-GB" w:eastAsia="en-GB"/>
        </w:rPr>
        <w:t>ťažká</w:t>
      </w:r>
      <w:proofErr w:type="spellEnd"/>
    </w:p>
    <w:p w14:paraId="5A43F500" w14:textId="2A9CF46B" w:rsidR="005C1753" w:rsidRDefault="00053D11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53D11">
        <w:rPr>
          <w:rFonts w:ascii="Times New Roman" w:eastAsia="Times New Roman" w:hAnsi="Times New Roman" w:cs="Times New Roman"/>
          <w:lang w:eastAsia="en-GB"/>
        </w:rPr>
        <w:t xml:space="preserve">Maximálna tolerovaná dávka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 (MTD) u pacientov so stredne ťažkou poruchou funkcie pečene (definovanou ako zvýšenie hodnôt bilirubínu na &gt; 1,5-násobok až 3-násobok ULN bez ohľadu na hodnotu ALT) bola 200 mg jedenkrát denne. Mediány hodnôt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C</w:t>
      </w:r>
      <w:r w:rsidRPr="00053D11">
        <w:rPr>
          <w:rFonts w:ascii="Times New Roman" w:eastAsia="Times New Roman" w:hAnsi="Times New Roman" w:cs="Times New Roman"/>
          <w:vertAlign w:val="subscript"/>
          <w:lang w:eastAsia="en-GB"/>
        </w:rPr>
        <w:t>max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 a AUC</w:t>
      </w:r>
      <w:r w:rsidRPr="00531CFF">
        <w:rPr>
          <w:rFonts w:ascii="Times New Roman" w:eastAsia="Times New Roman" w:hAnsi="Times New Roman" w:cs="Times New Roman"/>
          <w:vertAlign w:val="subscript"/>
          <w:lang w:eastAsia="en-GB"/>
        </w:rPr>
        <w:t>(0-24)</w:t>
      </w:r>
      <w:r w:rsidRPr="00053D11">
        <w:rPr>
          <w:rFonts w:ascii="Times New Roman" w:eastAsia="Times New Roman" w:hAnsi="Times New Roman" w:cs="Times New Roman"/>
          <w:lang w:eastAsia="en-GB"/>
        </w:rPr>
        <w:t xml:space="preserve"> v rovnovážnom stave dosiahnuté po podávaní 200 mg 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 xml:space="preserve"> jedenkrát denne u pacientov so stredne ťažkou poruchou funkcie pečene predstavovali približne 44 % (</w:t>
      </w:r>
      <w:proofErr w:type="spellStart"/>
      <w:r w:rsidRPr="00053D11">
        <w:rPr>
          <w:rFonts w:ascii="Times New Roman" w:eastAsia="Times New Roman" w:hAnsi="Times New Roman" w:cs="Times New Roman"/>
          <w:lang w:eastAsia="en-GB"/>
        </w:rPr>
        <w:t>C</w:t>
      </w:r>
      <w:r w:rsidRPr="00053D11">
        <w:rPr>
          <w:rFonts w:ascii="Times New Roman" w:eastAsia="Times New Roman" w:hAnsi="Times New Roman" w:cs="Times New Roman"/>
          <w:vertAlign w:val="subscript"/>
          <w:lang w:eastAsia="en-GB"/>
        </w:rPr>
        <w:t>max</w:t>
      </w:r>
      <w:proofErr w:type="spellEnd"/>
      <w:r w:rsidRPr="00053D11">
        <w:rPr>
          <w:rFonts w:ascii="Times New Roman" w:eastAsia="Times New Roman" w:hAnsi="Times New Roman" w:cs="Times New Roman"/>
          <w:lang w:eastAsia="en-GB"/>
        </w:rPr>
        <w:t>) a 39 % (AUC</w:t>
      </w:r>
      <w:r w:rsidRPr="00531CFF">
        <w:rPr>
          <w:rFonts w:ascii="Times New Roman" w:eastAsia="Times New Roman" w:hAnsi="Times New Roman" w:cs="Times New Roman"/>
          <w:vertAlign w:val="subscript"/>
          <w:lang w:eastAsia="en-GB"/>
        </w:rPr>
        <w:t>(0-24</w:t>
      </w:r>
      <w:r w:rsidRPr="00053D11">
        <w:rPr>
          <w:rFonts w:ascii="Times New Roman" w:eastAsia="Times New Roman" w:hAnsi="Times New Roman" w:cs="Times New Roman"/>
          <w:lang w:eastAsia="en-GB"/>
        </w:rPr>
        <w:t xml:space="preserve">)) zodpovedajúcich mediánov hodnôt dosiahnutých po podávaní 800 mg jedenkrát denne u pacientov s normálnou funkciou pečene (pozri </w:t>
      </w:r>
      <w:r w:rsidR="00025BBF">
        <w:rPr>
          <w:rFonts w:ascii="Times New Roman" w:eastAsia="Times New Roman" w:hAnsi="Times New Roman" w:cs="Times New Roman"/>
          <w:lang w:eastAsia="en-GB"/>
        </w:rPr>
        <w:t>T</w:t>
      </w:r>
      <w:r w:rsidRPr="00053D11">
        <w:rPr>
          <w:rFonts w:ascii="Times New Roman" w:eastAsia="Times New Roman" w:hAnsi="Times New Roman" w:cs="Times New Roman"/>
          <w:lang w:eastAsia="en-GB"/>
        </w:rPr>
        <w:t>abuľku 7).</w:t>
      </w:r>
    </w:p>
    <w:p w14:paraId="7C1AE40D" w14:textId="77777777" w:rsidR="00053D11" w:rsidRPr="005C1753" w:rsidRDefault="00053D11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2EABCBDF" w14:textId="77777777" w:rsidR="005C1753" w:rsidRPr="005C1753" w:rsidRDefault="00F96BAD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96BAD">
        <w:rPr>
          <w:rFonts w:ascii="Times New Roman" w:eastAsia="Times New Roman" w:hAnsi="Times New Roman" w:cs="Times New Roman"/>
          <w:lang w:eastAsia="en-GB"/>
        </w:rPr>
        <w:t xml:space="preserve">U jedincov so stredne ťažkou poruchou funkcie pečene sa na základe údajov o bezpečnosti a znášanlivosti má dávka </w:t>
      </w:r>
      <w:proofErr w:type="spellStart"/>
      <w:r w:rsidRPr="00F96BAD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F96BAD">
        <w:rPr>
          <w:rFonts w:ascii="Times New Roman" w:eastAsia="Times New Roman" w:hAnsi="Times New Roman" w:cs="Times New Roman"/>
          <w:lang w:eastAsia="en-GB"/>
        </w:rPr>
        <w:t xml:space="preserve"> znížiť na 200 mg jedenkrát denne (pozri časť 4.2). </w:t>
      </w:r>
      <w:r w:rsidR="005C1753"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468DE29C" w14:textId="77777777" w:rsidR="00F96BAD" w:rsidRDefault="00F96BAD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val="en-GB" w:eastAsia="en-GB"/>
        </w:rPr>
      </w:pPr>
    </w:p>
    <w:p w14:paraId="4C3B5D80" w14:textId="77777777" w:rsidR="005C1753" w:rsidRPr="005C1753" w:rsidRDefault="00F96BAD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i/>
          <w:lang w:val="en-GB" w:eastAsia="en-GB"/>
        </w:rPr>
        <w:t>Ťažká</w:t>
      </w:r>
      <w:proofErr w:type="spellEnd"/>
    </w:p>
    <w:p w14:paraId="1C7EE7BF" w14:textId="77777777" w:rsidR="005C1753" w:rsidRPr="005C1753" w:rsidRDefault="00F96BAD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  <w:r w:rsidRPr="00F96BAD">
        <w:rPr>
          <w:rFonts w:ascii="Times New Roman" w:eastAsia="Times New Roman" w:hAnsi="Times New Roman" w:cs="Times New Roman"/>
          <w:lang w:eastAsia="en-GB"/>
        </w:rPr>
        <w:t xml:space="preserve">Mediány hodnôt </w:t>
      </w:r>
      <w:proofErr w:type="spellStart"/>
      <w:r w:rsidRPr="00F96BAD">
        <w:rPr>
          <w:rFonts w:ascii="Times New Roman" w:eastAsia="Times New Roman" w:hAnsi="Times New Roman" w:cs="Times New Roman"/>
          <w:lang w:eastAsia="en-GB"/>
        </w:rPr>
        <w:t>C</w:t>
      </w:r>
      <w:r w:rsidRPr="00531CFF">
        <w:rPr>
          <w:rFonts w:ascii="Times New Roman" w:eastAsia="Times New Roman" w:hAnsi="Times New Roman" w:cs="Times New Roman"/>
          <w:vertAlign w:val="subscript"/>
          <w:lang w:eastAsia="en-GB"/>
        </w:rPr>
        <w:t>max</w:t>
      </w:r>
      <w:proofErr w:type="spellEnd"/>
      <w:r w:rsidRPr="00F96BAD">
        <w:rPr>
          <w:rFonts w:ascii="Times New Roman" w:eastAsia="Times New Roman" w:hAnsi="Times New Roman" w:cs="Times New Roman"/>
          <w:lang w:eastAsia="en-GB"/>
        </w:rPr>
        <w:t xml:space="preserve"> a AUC(</w:t>
      </w:r>
      <w:r w:rsidRPr="00531CFF">
        <w:rPr>
          <w:rFonts w:ascii="Times New Roman" w:eastAsia="Times New Roman" w:hAnsi="Times New Roman" w:cs="Times New Roman"/>
          <w:vertAlign w:val="subscript"/>
          <w:lang w:eastAsia="en-GB"/>
        </w:rPr>
        <w:t>0-24</w:t>
      </w:r>
      <w:r w:rsidRPr="00F96BAD">
        <w:rPr>
          <w:rFonts w:ascii="Times New Roman" w:eastAsia="Times New Roman" w:hAnsi="Times New Roman" w:cs="Times New Roman"/>
          <w:lang w:eastAsia="en-GB"/>
        </w:rPr>
        <w:t xml:space="preserve">) v rovnovážnom stave dosiahnuté po podávaní 200 mg </w:t>
      </w:r>
      <w:proofErr w:type="spellStart"/>
      <w:r w:rsidRPr="00F96BAD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F96BAD">
        <w:rPr>
          <w:rFonts w:ascii="Times New Roman" w:eastAsia="Times New Roman" w:hAnsi="Times New Roman" w:cs="Times New Roman"/>
          <w:lang w:eastAsia="en-GB"/>
        </w:rPr>
        <w:t xml:space="preserve"> jedenkrát denne u pacientov s ťažkou poruchou funkcie pečene predstavovali približne 18 % (</w:t>
      </w:r>
      <w:proofErr w:type="spellStart"/>
      <w:r w:rsidRPr="00F96BAD">
        <w:rPr>
          <w:rFonts w:ascii="Times New Roman" w:eastAsia="Times New Roman" w:hAnsi="Times New Roman" w:cs="Times New Roman"/>
          <w:lang w:eastAsia="en-GB"/>
        </w:rPr>
        <w:t>C</w:t>
      </w:r>
      <w:r w:rsidRPr="00531CFF">
        <w:rPr>
          <w:rFonts w:ascii="Times New Roman" w:eastAsia="Times New Roman" w:hAnsi="Times New Roman" w:cs="Times New Roman"/>
          <w:vertAlign w:val="subscript"/>
          <w:lang w:eastAsia="en-GB"/>
        </w:rPr>
        <w:t>max</w:t>
      </w:r>
      <w:proofErr w:type="spellEnd"/>
      <w:r w:rsidRPr="00F96BAD">
        <w:rPr>
          <w:rFonts w:ascii="Times New Roman" w:eastAsia="Times New Roman" w:hAnsi="Times New Roman" w:cs="Times New Roman"/>
          <w:lang w:eastAsia="en-GB"/>
        </w:rPr>
        <w:t>) a 15 % (AUC(</w:t>
      </w:r>
      <w:r w:rsidRPr="00531CFF">
        <w:rPr>
          <w:rFonts w:ascii="Times New Roman" w:eastAsia="Times New Roman" w:hAnsi="Times New Roman" w:cs="Times New Roman"/>
          <w:vertAlign w:val="subscript"/>
          <w:lang w:eastAsia="en-GB"/>
        </w:rPr>
        <w:t>0-24</w:t>
      </w:r>
      <w:r w:rsidRPr="00F96BAD">
        <w:rPr>
          <w:rFonts w:ascii="Times New Roman" w:eastAsia="Times New Roman" w:hAnsi="Times New Roman" w:cs="Times New Roman"/>
          <w:lang w:eastAsia="en-GB"/>
        </w:rPr>
        <w:t xml:space="preserve">)) zodpovedajúcich mediánov hodnôt dosiahnutých po podávaní 800 mg jedenkrát denne u pacientov s normálnou funkciou pečene. Na základe zníženej expozície a obmedzenej </w:t>
      </w:r>
      <w:r w:rsidRPr="00F96BAD">
        <w:rPr>
          <w:rFonts w:ascii="Times New Roman" w:eastAsia="Times New Roman" w:hAnsi="Times New Roman" w:cs="Times New Roman"/>
          <w:lang w:eastAsia="en-GB"/>
        </w:rPr>
        <w:lastRenderedPageBreak/>
        <w:t xml:space="preserve">pečeňovej rezervy sa </w:t>
      </w:r>
      <w:proofErr w:type="spellStart"/>
      <w:r w:rsidRPr="00F96BAD">
        <w:rPr>
          <w:rFonts w:ascii="Times New Roman" w:eastAsia="Times New Roman" w:hAnsi="Times New Roman" w:cs="Times New Roman"/>
          <w:lang w:eastAsia="en-GB"/>
        </w:rPr>
        <w:t>pazopanib</w:t>
      </w:r>
      <w:proofErr w:type="spellEnd"/>
      <w:r w:rsidRPr="00F96BAD">
        <w:rPr>
          <w:rFonts w:ascii="Times New Roman" w:eastAsia="Times New Roman" w:hAnsi="Times New Roman" w:cs="Times New Roman"/>
          <w:lang w:eastAsia="en-GB"/>
        </w:rPr>
        <w:t xml:space="preserve"> neodporúča pre pacientov s ťažkou poruchou funkcie pečene (definovanou ako hodnota celkového bilirubínu &gt; 3-násobok ULN bez ohľadu na hladinu ALT) (pozri časť 4.2). </w:t>
      </w:r>
      <w:r w:rsidR="005C1753"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4B8D419C" w14:textId="77777777" w:rsidR="005C1753" w:rsidRPr="005C1753" w:rsidRDefault="005C1753" w:rsidP="00531CFF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en-GB"/>
        </w:rPr>
      </w:pPr>
    </w:p>
    <w:p w14:paraId="051AD27F" w14:textId="77777777" w:rsidR="005C1753" w:rsidRPr="005C1753" w:rsidRDefault="005C1753" w:rsidP="00F96BAD">
      <w:pPr>
        <w:tabs>
          <w:tab w:val="left" w:pos="1134"/>
        </w:tabs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lang w:val="en-GB" w:eastAsia="en-GB"/>
        </w:rPr>
      </w:pPr>
      <w:proofErr w:type="spellStart"/>
      <w:r w:rsidRPr="005C1753">
        <w:rPr>
          <w:rFonts w:ascii="Times New Roman" w:eastAsia="Times New Roman" w:hAnsi="Times New Roman" w:cs="Times New Roman"/>
          <w:b/>
          <w:lang w:val="en-GB" w:eastAsia="en-GB"/>
        </w:rPr>
        <w:t>Tab</w:t>
      </w:r>
      <w:r w:rsidR="00F96BAD">
        <w:rPr>
          <w:rFonts w:ascii="Times New Roman" w:eastAsia="Times New Roman" w:hAnsi="Times New Roman" w:cs="Times New Roman"/>
          <w:b/>
          <w:lang w:val="en-GB" w:eastAsia="en-GB"/>
        </w:rPr>
        <w:t>uľka</w:t>
      </w:r>
      <w:proofErr w:type="spellEnd"/>
      <w:r w:rsidRPr="005C1753">
        <w:rPr>
          <w:rFonts w:ascii="Times New Roman" w:eastAsia="Times New Roman" w:hAnsi="Times New Roman" w:cs="Times New Roman"/>
          <w:b/>
          <w:lang w:val="en-GB" w:eastAsia="en-GB"/>
        </w:rPr>
        <w:t xml:space="preserve"> 7</w:t>
      </w:r>
      <w:r w:rsidRPr="005C1753">
        <w:rPr>
          <w:rFonts w:ascii="Times New Roman" w:eastAsia="Times New Roman" w:hAnsi="Times New Roman" w:cs="Times New Roman"/>
          <w:b/>
          <w:lang w:val="en-GB" w:eastAsia="en-GB"/>
        </w:rPr>
        <w:tab/>
      </w:r>
      <w:r w:rsidR="00F96BAD">
        <w:rPr>
          <w:rFonts w:ascii="Times New Roman" w:eastAsia="Times New Roman" w:hAnsi="Times New Roman" w:cs="Times New Roman"/>
          <w:b/>
          <w:lang w:val="en-GB" w:eastAsia="en-GB"/>
        </w:rPr>
        <w:tab/>
      </w:r>
      <w:r w:rsidR="00F96BAD" w:rsidRPr="00F96BAD">
        <w:rPr>
          <w:rFonts w:ascii="Times New Roman" w:eastAsia="Times New Roman" w:hAnsi="Times New Roman" w:cs="Times New Roman"/>
          <w:b/>
          <w:bCs/>
          <w:lang w:eastAsia="el-GR"/>
        </w:rPr>
        <w:t xml:space="preserve">Mediány </w:t>
      </w:r>
      <w:proofErr w:type="spellStart"/>
      <w:r w:rsidR="00F96BAD" w:rsidRPr="00F96BAD">
        <w:rPr>
          <w:rFonts w:ascii="Times New Roman" w:eastAsia="Times New Roman" w:hAnsi="Times New Roman" w:cs="Times New Roman"/>
          <w:b/>
          <w:bCs/>
          <w:lang w:eastAsia="el-GR"/>
        </w:rPr>
        <w:t>farmakokinetických</w:t>
      </w:r>
      <w:proofErr w:type="spellEnd"/>
      <w:r w:rsidR="00F96BAD" w:rsidRPr="00F96BAD">
        <w:rPr>
          <w:rFonts w:ascii="Times New Roman" w:eastAsia="Times New Roman" w:hAnsi="Times New Roman" w:cs="Times New Roman"/>
          <w:b/>
          <w:bCs/>
          <w:lang w:eastAsia="el-GR"/>
        </w:rPr>
        <w:t xml:space="preserve"> parametrov </w:t>
      </w:r>
      <w:proofErr w:type="spellStart"/>
      <w:r w:rsidR="00F96BAD" w:rsidRPr="00F96BAD">
        <w:rPr>
          <w:rFonts w:ascii="Times New Roman" w:eastAsia="Times New Roman" w:hAnsi="Times New Roman" w:cs="Times New Roman"/>
          <w:b/>
          <w:bCs/>
          <w:lang w:eastAsia="el-GR"/>
        </w:rPr>
        <w:t>pazopanibu</w:t>
      </w:r>
      <w:proofErr w:type="spellEnd"/>
      <w:r w:rsidR="00F96BAD" w:rsidRPr="00F96BAD">
        <w:rPr>
          <w:rFonts w:ascii="Times New Roman" w:eastAsia="Times New Roman" w:hAnsi="Times New Roman" w:cs="Times New Roman"/>
          <w:b/>
          <w:bCs/>
          <w:lang w:eastAsia="el-GR"/>
        </w:rPr>
        <w:t xml:space="preserve"> v rovnovážnom stave stanovené u pacientov s poruchou funkcie pečene. </w:t>
      </w:r>
      <w:r w:rsidRPr="005C1753">
        <w:rPr>
          <w:rFonts w:ascii="Times New Roman" w:eastAsia="Times New Roman" w:hAnsi="Times New Roman" w:cs="Times New Roman"/>
          <w:b/>
          <w:lang w:val="en-GB" w:eastAsia="en-GB"/>
        </w:rPr>
        <w:t xml:space="preserve"> </w:t>
      </w:r>
    </w:p>
    <w:p w14:paraId="7109F6ED" w14:textId="77777777" w:rsidR="005C1753" w:rsidRPr="005C1753" w:rsidRDefault="005C1753" w:rsidP="005C1753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561"/>
        <w:gridCol w:w="1558"/>
        <w:gridCol w:w="1702"/>
        <w:gridCol w:w="2127"/>
      </w:tblGrid>
      <w:tr w:rsidR="005C1753" w:rsidRPr="005C1753" w14:paraId="324CB50B" w14:textId="77777777" w:rsidTr="002D5C32">
        <w:trPr>
          <w:trHeight w:hRule="exact" w:val="51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C30F" w14:textId="77777777" w:rsidR="005C1753" w:rsidRPr="005C1753" w:rsidRDefault="00F96BAD" w:rsidP="005C175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F96BAD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>Skupina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CBB9" w14:textId="50F6197F" w:rsidR="005C1753" w:rsidRPr="005C1753" w:rsidRDefault="00A229E1" w:rsidP="00531CFF">
            <w:pPr>
              <w:spacing w:after="0" w:line="240" w:lineRule="auto"/>
              <w:ind w:left="566" w:right="141" w:hanging="368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229E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Sledovaná</w:t>
            </w:r>
            <w:proofErr w:type="spellEnd"/>
            <w:r w:rsidRPr="00A229E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A229E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dávka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57AA" w14:textId="77777777" w:rsidR="005C1753" w:rsidRPr="005C1753" w:rsidRDefault="005C1753" w:rsidP="005C1753">
            <w:pPr>
              <w:spacing w:after="0" w:line="240" w:lineRule="auto"/>
              <w:ind w:left="193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>C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2"/>
                <w:vertAlign w:val="subscript"/>
                <w:lang w:val="en-GB" w:eastAsia="en-GB"/>
              </w:rPr>
              <w:t>m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2"/>
                <w:position w:val="-2"/>
                <w:vertAlign w:val="subscript"/>
                <w:lang w:val="en-GB" w:eastAsia="en-GB"/>
              </w:rPr>
              <w:t>a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position w:val="-2"/>
                <w:vertAlign w:val="subscript"/>
                <w:lang w:val="en-GB" w:eastAsia="en-GB"/>
              </w:rPr>
              <w:t>x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15"/>
                <w:position w:val="-2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1"/>
                <w:lang w:val="en-GB" w:eastAsia="en-GB"/>
              </w:rPr>
              <w:t>(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µg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1"/>
                <w:lang w:val="en-GB" w:eastAsia="en-GB"/>
              </w:rPr>
              <w:t>/m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>l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FE54" w14:textId="0C3CF27C" w:rsidR="005C1753" w:rsidRPr="005C1753" w:rsidRDefault="005C1753" w:rsidP="005C1753">
            <w:pPr>
              <w:spacing w:after="0" w:line="240" w:lineRule="auto"/>
              <w:ind w:left="280" w:right="223" w:firstLine="24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>AU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C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1"/>
                <w:lang w:val="en-GB" w:eastAsia="en-GB"/>
              </w:rPr>
              <w:t>(</w:t>
            </w:r>
            <w:r w:rsidRPr="00531CFF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GB" w:eastAsia="en-GB"/>
              </w:rPr>
              <w:t>0</w:t>
            </w:r>
            <w:r w:rsidRPr="00531CFF">
              <w:rPr>
                <w:rFonts w:ascii="Times New Roman" w:eastAsia="Times New Roman" w:hAnsi="Times New Roman" w:cs="Times New Roman"/>
                <w:b/>
                <w:bCs/>
                <w:spacing w:val="1"/>
                <w:vertAlign w:val="subscript"/>
                <w:lang w:val="en-GB" w:eastAsia="en-GB"/>
              </w:rPr>
              <w:t>-</w:t>
            </w:r>
            <w:r w:rsidRPr="00531CFF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val="en-GB" w:eastAsia="en-GB"/>
              </w:rPr>
              <w:t>24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) 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1"/>
                <w:lang w:val="en-GB" w:eastAsia="en-GB"/>
              </w:rPr>
              <w:t>(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µg x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-2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h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>/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1"/>
                <w:lang w:val="en-GB" w:eastAsia="en-GB"/>
              </w:rPr>
              <w:t>m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>l</w:t>
            </w:r>
            <w:r w:rsidRPr="005C175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DA19" w14:textId="7DE92BC7" w:rsidR="005C1753" w:rsidRPr="005C1753" w:rsidRDefault="00A229E1" w:rsidP="00531CFF">
            <w:pPr>
              <w:spacing w:after="0" w:line="240" w:lineRule="auto"/>
              <w:ind w:left="849" w:right="302" w:hanging="488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A229E1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>Odporúčaná</w:t>
            </w:r>
            <w:proofErr w:type="spellEnd"/>
            <w:r w:rsidRPr="00A229E1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 xml:space="preserve"> </w:t>
            </w:r>
            <w:proofErr w:type="spellStart"/>
            <w:r w:rsidRPr="00A229E1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>dávka</w:t>
            </w:r>
            <w:proofErr w:type="spellEnd"/>
          </w:p>
        </w:tc>
      </w:tr>
      <w:tr w:rsidR="005C1753" w:rsidRPr="005C1753" w14:paraId="0E3039AA" w14:textId="77777777" w:rsidTr="002D5C32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372B" w14:textId="77777777" w:rsidR="005C1753" w:rsidRPr="005C1753" w:rsidRDefault="00F96BAD" w:rsidP="005C1753">
            <w:pPr>
              <w:spacing w:after="0" w:line="240" w:lineRule="auto"/>
              <w:ind w:left="102" w:right="175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F96BAD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>Normálna</w:t>
            </w:r>
            <w:proofErr w:type="spellEnd"/>
            <w:r w:rsidRPr="00F96BAD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 xml:space="preserve"> </w:t>
            </w:r>
            <w:proofErr w:type="spellStart"/>
            <w:r w:rsidRPr="00F96BAD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>funkcia</w:t>
            </w:r>
            <w:proofErr w:type="spellEnd"/>
            <w:r w:rsidRPr="00F96BAD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 xml:space="preserve"> </w:t>
            </w:r>
            <w:proofErr w:type="spellStart"/>
            <w:r w:rsidRPr="00F96BAD"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 w:eastAsia="en-GB"/>
              </w:rPr>
              <w:t>pečene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5419" w14:textId="77777777" w:rsidR="005C1753" w:rsidRPr="005C1753" w:rsidRDefault="005C1753" w:rsidP="005C1753">
            <w:pPr>
              <w:spacing w:after="0" w:line="240" w:lineRule="auto"/>
              <w:ind w:left="253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800</w:t>
            </w: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m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g</w:t>
            </w:r>
            <w:r w:rsidRPr="005C1753">
              <w:rPr>
                <w:rFonts w:ascii="Times New Roman" w:eastAsia="Times New Roman" w:hAnsi="Times New Roman" w:cs="Times New Roman"/>
                <w:spacing w:val="-2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O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1700" w14:textId="77777777" w:rsidR="005C1753" w:rsidRPr="005C1753" w:rsidRDefault="00F96BAD" w:rsidP="005C1753">
            <w:pPr>
              <w:spacing w:after="0" w:line="240" w:lineRule="auto"/>
              <w:ind w:left="546" w:right="521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52,</w:t>
            </w:r>
            <w:r w:rsidR="005C1753" w:rsidRPr="005C1753">
              <w:rPr>
                <w:rFonts w:ascii="Times New Roman" w:eastAsia="Times New Roman" w:hAnsi="Times New Roman" w:cs="Times New Roman"/>
                <w:lang w:val="en-GB" w:eastAsia="en-GB"/>
              </w:rPr>
              <w:t>0</w:t>
            </w:r>
          </w:p>
          <w:p w14:paraId="7AB5459F" w14:textId="77777777" w:rsidR="005C1753" w:rsidRPr="005C1753" w:rsidRDefault="005C1753" w:rsidP="005C1753">
            <w:pPr>
              <w:spacing w:after="0" w:line="240" w:lineRule="auto"/>
              <w:ind w:left="243" w:right="22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>(</w:t>
            </w:r>
            <w:r w:rsidR="00F96BAD">
              <w:rPr>
                <w:rFonts w:ascii="Times New Roman" w:eastAsia="Times New Roman" w:hAnsi="Times New Roman" w:cs="Times New Roman"/>
                <w:lang w:val="en-GB" w:eastAsia="en-GB"/>
              </w:rPr>
              <w:t>17,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  <w:r w:rsidRPr="005C1753">
              <w:rPr>
                <w:rFonts w:ascii="Times New Roman" w:eastAsia="Times New Roman" w:hAnsi="Times New Roman" w:cs="Times New Roman"/>
                <w:spacing w:val="-4"/>
                <w:lang w:val="en-GB" w:eastAsia="en-GB"/>
              </w:rPr>
              <w:t>-</w:t>
            </w:r>
            <w:r w:rsidR="00F96BAD">
              <w:rPr>
                <w:rFonts w:ascii="Times New Roman" w:eastAsia="Times New Roman" w:hAnsi="Times New Roman" w:cs="Times New Roman"/>
                <w:lang w:val="en-GB" w:eastAsia="en-GB"/>
              </w:rPr>
              <w:t>85,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7)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D0D0" w14:textId="77777777" w:rsidR="005C1753" w:rsidRPr="005C1753" w:rsidRDefault="00534A77" w:rsidP="005C1753">
            <w:pPr>
              <w:spacing w:after="0" w:line="240" w:lineRule="auto"/>
              <w:ind w:left="560" w:right="54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888,</w:t>
            </w:r>
            <w:r w:rsidR="005C1753" w:rsidRPr="005C1753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  <w:p w14:paraId="13236C58" w14:textId="77777777" w:rsidR="005C1753" w:rsidRPr="005C1753" w:rsidRDefault="005C1753" w:rsidP="005C1753">
            <w:pPr>
              <w:spacing w:after="0" w:line="240" w:lineRule="auto"/>
              <w:ind w:left="231" w:right="209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>(</w:t>
            </w:r>
            <w:r w:rsidR="00534A77">
              <w:rPr>
                <w:rFonts w:ascii="Times New Roman" w:eastAsia="Times New Roman" w:hAnsi="Times New Roman" w:cs="Times New Roman"/>
                <w:lang w:val="en-GB" w:eastAsia="en-GB"/>
              </w:rPr>
              <w:t>345,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5</w:t>
            </w:r>
            <w:r w:rsidRPr="005C1753">
              <w:rPr>
                <w:rFonts w:ascii="Times New Roman" w:eastAsia="Times New Roman" w:hAnsi="Times New Roman" w:cs="Times New Roman"/>
                <w:spacing w:val="-4"/>
                <w:lang w:val="en-GB" w:eastAsia="en-GB"/>
              </w:rPr>
              <w:t>-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1482)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28F6" w14:textId="77777777" w:rsidR="005C1753" w:rsidRPr="005C1753" w:rsidRDefault="005C1753" w:rsidP="005C1753">
            <w:pPr>
              <w:spacing w:after="0" w:line="240" w:lineRule="auto"/>
              <w:ind w:left="537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800</w:t>
            </w: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m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g</w:t>
            </w:r>
            <w:r w:rsidRPr="005C1753">
              <w:rPr>
                <w:rFonts w:ascii="Times New Roman" w:eastAsia="Times New Roman" w:hAnsi="Times New Roman" w:cs="Times New Roman"/>
                <w:spacing w:val="-2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O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D</w:t>
            </w:r>
          </w:p>
        </w:tc>
      </w:tr>
      <w:tr w:rsidR="005C1753" w:rsidRPr="005C1753" w14:paraId="3848B308" w14:textId="77777777" w:rsidTr="002D5C32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EF7E" w14:textId="77777777" w:rsidR="005C1753" w:rsidRPr="005C1753" w:rsidRDefault="00F96BAD" w:rsidP="005C175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Mierna</w:t>
            </w:r>
            <w:proofErr w:type="spellEnd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porucha</w:t>
            </w:r>
            <w:proofErr w:type="spellEnd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funkcie</w:t>
            </w:r>
            <w:proofErr w:type="spellEnd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pečene</w:t>
            </w:r>
            <w:proofErr w:type="spellEnd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(PFP)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B293" w14:textId="77777777" w:rsidR="005C1753" w:rsidRPr="005C1753" w:rsidRDefault="005C1753" w:rsidP="005C1753">
            <w:pPr>
              <w:spacing w:after="0" w:line="240" w:lineRule="auto"/>
              <w:ind w:left="253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800</w:t>
            </w: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m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g</w:t>
            </w:r>
            <w:r w:rsidRPr="005C1753">
              <w:rPr>
                <w:rFonts w:ascii="Times New Roman" w:eastAsia="Times New Roman" w:hAnsi="Times New Roman" w:cs="Times New Roman"/>
                <w:spacing w:val="-2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O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B0B4" w14:textId="77777777" w:rsidR="005C1753" w:rsidRPr="005C1753" w:rsidRDefault="00F96BAD" w:rsidP="005C1753">
            <w:pPr>
              <w:spacing w:after="0" w:line="240" w:lineRule="auto"/>
              <w:ind w:left="546" w:right="521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33,</w:t>
            </w:r>
            <w:r w:rsidR="005C1753" w:rsidRPr="005C1753">
              <w:rPr>
                <w:rFonts w:ascii="Times New Roman" w:eastAsia="Times New Roman" w:hAnsi="Times New Roman" w:cs="Times New Roman"/>
                <w:lang w:val="en-GB" w:eastAsia="en-GB"/>
              </w:rPr>
              <w:t>5</w:t>
            </w:r>
          </w:p>
          <w:p w14:paraId="2DCADA89" w14:textId="77777777" w:rsidR="005C1753" w:rsidRPr="005C1753" w:rsidRDefault="005C1753" w:rsidP="005C1753">
            <w:pPr>
              <w:spacing w:after="0" w:line="240" w:lineRule="auto"/>
              <w:ind w:left="188" w:right="165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>(</w:t>
            </w:r>
            <w:r w:rsidR="00F96BAD">
              <w:rPr>
                <w:rFonts w:ascii="Times New Roman" w:eastAsia="Times New Roman" w:hAnsi="Times New Roman" w:cs="Times New Roman"/>
                <w:lang w:val="en-GB" w:eastAsia="en-GB"/>
              </w:rPr>
              <w:t>11,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3</w:t>
            </w:r>
            <w:r w:rsidRPr="005C1753">
              <w:rPr>
                <w:rFonts w:ascii="Times New Roman" w:eastAsia="Times New Roman" w:hAnsi="Times New Roman" w:cs="Times New Roman"/>
                <w:spacing w:val="-4"/>
                <w:lang w:val="en-GB" w:eastAsia="en-GB"/>
              </w:rPr>
              <w:t>-</w:t>
            </w:r>
            <w:r w:rsidR="00F96BAD">
              <w:rPr>
                <w:rFonts w:ascii="Times New Roman" w:eastAsia="Times New Roman" w:hAnsi="Times New Roman" w:cs="Times New Roman"/>
                <w:lang w:val="en-GB" w:eastAsia="en-GB"/>
              </w:rPr>
              <w:t>104,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2)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7809" w14:textId="77777777" w:rsidR="005C1753" w:rsidRPr="005C1753" w:rsidRDefault="00534A77" w:rsidP="005C1753">
            <w:pPr>
              <w:spacing w:after="0" w:line="240" w:lineRule="auto"/>
              <w:ind w:left="560" w:right="54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774,</w:t>
            </w:r>
            <w:r w:rsidR="005C1753" w:rsidRPr="005C1753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  <w:p w14:paraId="43BFC8F0" w14:textId="77777777" w:rsidR="005C1753" w:rsidRPr="005C1753" w:rsidRDefault="005C1753" w:rsidP="005C1753">
            <w:pPr>
              <w:spacing w:after="0" w:line="240" w:lineRule="auto"/>
              <w:ind w:left="147" w:right="128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>(</w:t>
            </w:r>
            <w:r w:rsidR="00534A77">
              <w:rPr>
                <w:rFonts w:ascii="Times New Roman" w:eastAsia="Times New Roman" w:hAnsi="Times New Roman" w:cs="Times New Roman"/>
                <w:lang w:val="en-GB" w:eastAsia="en-GB"/>
              </w:rPr>
              <w:t>214,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7</w:t>
            </w:r>
            <w:r w:rsidRPr="005C1753">
              <w:rPr>
                <w:rFonts w:ascii="Times New Roman" w:eastAsia="Times New Roman" w:hAnsi="Times New Roman" w:cs="Times New Roman"/>
                <w:spacing w:val="-4"/>
                <w:lang w:val="en-GB" w:eastAsia="en-GB"/>
              </w:rPr>
              <w:t>-</w:t>
            </w:r>
            <w:r w:rsidR="00534A77">
              <w:rPr>
                <w:rFonts w:ascii="Times New Roman" w:eastAsia="Times New Roman" w:hAnsi="Times New Roman" w:cs="Times New Roman"/>
                <w:lang w:val="en-GB" w:eastAsia="en-GB"/>
              </w:rPr>
              <w:t>2034,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6698" w14:textId="77777777" w:rsidR="005C1753" w:rsidRPr="005C1753" w:rsidRDefault="005C1753" w:rsidP="005C1753">
            <w:pPr>
              <w:spacing w:after="0" w:line="240" w:lineRule="auto"/>
              <w:ind w:left="537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800</w:t>
            </w: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m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g</w:t>
            </w:r>
            <w:r w:rsidRPr="005C1753">
              <w:rPr>
                <w:rFonts w:ascii="Times New Roman" w:eastAsia="Times New Roman" w:hAnsi="Times New Roman" w:cs="Times New Roman"/>
                <w:spacing w:val="-2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O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D</w:t>
            </w:r>
          </w:p>
        </w:tc>
      </w:tr>
      <w:tr w:rsidR="005C1753" w:rsidRPr="005C1753" w14:paraId="69FB67CE" w14:textId="77777777" w:rsidTr="002D5C32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FD44" w14:textId="77777777" w:rsidR="005C1753" w:rsidRPr="005C1753" w:rsidRDefault="00F96BAD" w:rsidP="005C175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Stredne</w:t>
            </w:r>
            <w:proofErr w:type="spellEnd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ťažká</w:t>
            </w:r>
            <w:proofErr w:type="spellEnd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PFP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FEDB" w14:textId="77777777" w:rsidR="005C1753" w:rsidRPr="005C1753" w:rsidRDefault="005C1753" w:rsidP="005C1753">
            <w:pPr>
              <w:spacing w:after="0" w:line="240" w:lineRule="auto"/>
              <w:ind w:left="253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200</w:t>
            </w: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m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g</w:t>
            </w:r>
            <w:r w:rsidRPr="005C1753">
              <w:rPr>
                <w:rFonts w:ascii="Times New Roman" w:eastAsia="Times New Roman" w:hAnsi="Times New Roman" w:cs="Times New Roman"/>
                <w:spacing w:val="-2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O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F9A3" w14:textId="77777777" w:rsidR="005C1753" w:rsidRPr="005C1753" w:rsidRDefault="00F96BAD" w:rsidP="005C1753">
            <w:pPr>
              <w:spacing w:after="0" w:line="240" w:lineRule="auto"/>
              <w:ind w:left="546" w:right="521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22,</w:t>
            </w:r>
            <w:r w:rsidR="005C1753" w:rsidRPr="005C1753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  <w:p w14:paraId="02C6D994" w14:textId="77777777" w:rsidR="005C1753" w:rsidRPr="005C1753" w:rsidRDefault="005C1753" w:rsidP="005C1753">
            <w:pPr>
              <w:spacing w:after="0" w:line="240" w:lineRule="auto"/>
              <w:ind w:left="296" w:right="277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>(</w:t>
            </w:r>
            <w:r w:rsidR="00F96BAD">
              <w:rPr>
                <w:rFonts w:ascii="Times New Roman" w:eastAsia="Times New Roman" w:hAnsi="Times New Roman" w:cs="Times New Roman"/>
                <w:lang w:val="en-GB" w:eastAsia="en-GB"/>
              </w:rPr>
              <w:t>4,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  <w:r w:rsidRPr="005C1753">
              <w:rPr>
                <w:rFonts w:ascii="Times New Roman" w:eastAsia="Times New Roman" w:hAnsi="Times New Roman" w:cs="Times New Roman"/>
                <w:spacing w:val="-4"/>
                <w:lang w:val="en-GB" w:eastAsia="en-GB"/>
              </w:rPr>
              <w:t>-</w:t>
            </w:r>
            <w:r w:rsidR="00F96BAD">
              <w:rPr>
                <w:rFonts w:ascii="Times New Roman" w:eastAsia="Times New Roman" w:hAnsi="Times New Roman" w:cs="Times New Roman"/>
                <w:lang w:val="en-GB" w:eastAsia="en-GB"/>
              </w:rPr>
              <w:t>32,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9)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C3CE" w14:textId="77777777" w:rsidR="005C1753" w:rsidRPr="005C1753" w:rsidRDefault="00534A77" w:rsidP="005C1753">
            <w:pPr>
              <w:spacing w:after="0" w:line="240" w:lineRule="auto"/>
              <w:ind w:left="560" w:right="54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256,</w:t>
            </w:r>
            <w:r w:rsidR="005C1753" w:rsidRPr="005C1753">
              <w:rPr>
                <w:rFonts w:ascii="Times New Roman" w:eastAsia="Times New Roman" w:hAnsi="Times New Roman" w:cs="Times New Roman"/>
                <w:lang w:val="en-GB" w:eastAsia="en-GB"/>
              </w:rPr>
              <w:t>8</w:t>
            </w:r>
          </w:p>
          <w:p w14:paraId="098582CB" w14:textId="77777777" w:rsidR="005C1753" w:rsidRPr="005C1753" w:rsidRDefault="005C1753" w:rsidP="005C1753">
            <w:pPr>
              <w:spacing w:after="0" w:line="240" w:lineRule="auto"/>
              <w:ind w:left="258" w:right="239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>(</w:t>
            </w:r>
            <w:r w:rsidR="00534A77">
              <w:rPr>
                <w:rFonts w:ascii="Times New Roman" w:eastAsia="Times New Roman" w:hAnsi="Times New Roman" w:cs="Times New Roman"/>
                <w:lang w:val="en-GB" w:eastAsia="en-GB"/>
              </w:rPr>
              <w:t>65,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7</w:t>
            </w:r>
            <w:r w:rsidRPr="005C1753">
              <w:rPr>
                <w:rFonts w:ascii="Times New Roman" w:eastAsia="Times New Roman" w:hAnsi="Times New Roman" w:cs="Times New Roman"/>
                <w:spacing w:val="-4"/>
                <w:lang w:val="en-GB" w:eastAsia="en-GB"/>
              </w:rPr>
              <w:t>-</w:t>
            </w:r>
            <w:r w:rsidR="00534A77">
              <w:rPr>
                <w:rFonts w:ascii="Times New Roman" w:eastAsia="Times New Roman" w:hAnsi="Times New Roman" w:cs="Times New Roman"/>
                <w:lang w:val="en-GB" w:eastAsia="en-GB"/>
              </w:rPr>
              <w:t>487,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7)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5EC4" w14:textId="77777777" w:rsidR="005C1753" w:rsidRPr="005C1753" w:rsidRDefault="005C1753" w:rsidP="005C1753">
            <w:pPr>
              <w:spacing w:after="0" w:line="240" w:lineRule="auto"/>
              <w:ind w:left="537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200</w:t>
            </w: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m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g</w:t>
            </w:r>
            <w:r w:rsidRPr="005C1753">
              <w:rPr>
                <w:rFonts w:ascii="Times New Roman" w:eastAsia="Times New Roman" w:hAnsi="Times New Roman" w:cs="Times New Roman"/>
                <w:spacing w:val="-2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O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D</w:t>
            </w:r>
          </w:p>
        </w:tc>
      </w:tr>
      <w:tr w:rsidR="005C1753" w:rsidRPr="005C1753" w14:paraId="40675E80" w14:textId="77777777" w:rsidTr="002D5C32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4B89" w14:textId="77777777" w:rsidR="005C1753" w:rsidRPr="005C1753" w:rsidRDefault="00F96BAD" w:rsidP="005C1753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Ťažká</w:t>
            </w:r>
            <w:proofErr w:type="spellEnd"/>
            <w:r w:rsidRPr="00F96BA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PFP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B0B8" w14:textId="77777777" w:rsidR="005C1753" w:rsidRPr="005C1753" w:rsidRDefault="005C1753" w:rsidP="005C1753">
            <w:pPr>
              <w:spacing w:after="0" w:line="240" w:lineRule="auto"/>
              <w:ind w:left="253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200</w:t>
            </w: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m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g</w:t>
            </w:r>
            <w:r w:rsidRPr="005C1753">
              <w:rPr>
                <w:rFonts w:ascii="Times New Roman" w:eastAsia="Times New Roman" w:hAnsi="Times New Roman" w:cs="Times New Roman"/>
                <w:spacing w:val="-2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O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56B1" w14:textId="77777777" w:rsidR="005C1753" w:rsidRPr="005C1753" w:rsidRDefault="00F96BAD" w:rsidP="005C1753">
            <w:pPr>
              <w:spacing w:after="0" w:line="240" w:lineRule="auto"/>
              <w:ind w:left="598" w:right="579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9,</w:t>
            </w:r>
            <w:r w:rsidR="005C1753" w:rsidRPr="005C1753">
              <w:rPr>
                <w:rFonts w:ascii="Times New Roman" w:eastAsia="Times New Roman" w:hAnsi="Times New Roman" w:cs="Times New Roman"/>
                <w:lang w:val="en-GB" w:eastAsia="en-GB"/>
              </w:rPr>
              <w:t>4</w:t>
            </w:r>
          </w:p>
          <w:p w14:paraId="40328198" w14:textId="77777777" w:rsidR="005C1753" w:rsidRPr="005C1753" w:rsidRDefault="005C1753" w:rsidP="005C1753">
            <w:pPr>
              <w:spacing w:after="0" w:line="240" w:lineRule="auto"/>
              <w:ind w:left="296" w:right="277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>(</w:t>
            </w:r>
            <w:r w:rsidR="00F96BAD">
              <w:rPr>
                <w:rFonts w:ascii="Times New Roman" w:eastAsia="Times New Roman" w:hAnsi="Times New Roman" w:cs="Times New Roman"/>
                <w:lang w:val="en-GB" w:eastAsia="en-GB"/>
              </w:rPr>
              <w:t>2,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4</w:t>
            </w:r>
            <w:r w:rsidRPr="005C1753">
              <w:rPr>
                <w:rFonts w:ascii="Times New Roman" w:eastAsia="Times New Roman" w:hAnsi="Times New Roman" w:cs="Times New Roman"/>
                <w:spacing w:val="-4"/>
                <w:lang w:val="en-GB" w:eastAsia="en-GB"/>
              </w:rPr>
              <w:t>-</w:t>
            </w:r>
            <w:r w:rsidR="00F96BAD">
              <w:rPr>
                <w:rFonts w:ascii="Times New Roman" w:eastAsia="Times New Roman" w:hAnsi="Times New Roman" w:cs="Times New Roman"/>
                <w:lang w:val="en-GB" w:eastAsia="en-GB"/>
              </w:rPr>
              <w:t>24,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3)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6E05" w14:textId="77777777" w:rsidR="005C1753" w:rsidRPr="005C1753" w:rsidRDefault="00534A77" w:rsidP="005C1753">
            <w:pPr>
              <w:spacing w:after="0" w:line="240" w:lineRule="auto"/>
              <w:ind w:left="560" w:right="540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130,</w:t>
            </w:r>
            <w:r w:rsidR="005C1753" w:rsidRPr="005C1753">
              <w:rPr>
                <w:rFonts w:ascii="Times New Roman" w:eastAsia="Times New Roman" w:hAnsi="Times New Roman" w:cs="Times New Roman"/>
                <w:lang w:val="en-GB" w:eastAsia="en-GB"/>
              </w:rPr>
              <w:t>6</w:t>
            </w:r>
          </w:p>
          <w:p w14:paraId="2E63B2CC" w14:textId="77777777" w:rsidR="005C1753" w:rsidRPr="005C1753" w:rsidRDefault="005C1753" w:rsidP="005C1753">
            <w:pPr>
              <w:spacing w:after="0" w:line="240" w:lineRule="auto"/>
              <w:ind w:left="258" w:right="239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spacing w:val="1"/>
                <w:lang w:val="en-GB" w:eastAsia="en-GB"/>
              </w:rPr>
              <w:t>(</w:t>
            </w:r>
            <w:r w:rsidR="00534A77">
              <w:rPr>
                <w:rFonts w:ascii="Times New Roman" w:eastAsia="Times New Roman" w:hAnsi="Times New Roman" w:cs="Times New Roman"/>
                <w:lang w:val="en-GB" w:eastAsia="en-GB"/>
              </w:rPr>
              <w:t>46,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9</w:t>
            </w:r>
            <w:r w:rsidRPr="005C1753">
              <w:rPr>
                <w:rFonts w:ascii="Times New Roman" w:eastAsia="Times New Roman" w:hAnsi="Times New Roman" w:cs="Times New Roman"/>
                <w:spacing w:val="-4"/>
                <w:lang w:val="en-GB" w:eastAsia="en-GB"/>
              </w:rPr>
              <w:t>-</w:t>
            </w:r>
            <w:r w:rsidR="00534A77">
              <w:rPr>
                <w:rFonts w:ascii="Times New Roman" w:eastAsia="Times New Roman" w:hAnsi="Times New Roman" w:cs="Times New Roman"/>
                <w:lang w:val="en-GB" w:eastAsia="en-GB"/>
              </w:rPr>
              <w:t>473,</w:t>
            </w:r>
            <w:r w:rsidRPr="005C1753">
              <w:rPr>
                <w:rFonts w:ascii="Times New Roman" w:eastAsia="Times New Roman" w:hAnsi="Times New Roman" w:cs="Times New Roman"/>
                <w:lang w:val="en-GB" w:eastAsia="en-GB"/>
              </w:rPr>
              <w:t>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150D" w14:textId="77777777" w:rsidR="005C1753" w:rsidRPr="005C1753" w:rsidRDefault="00534A77" w:rsidP="005C1753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Neodporúča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lang w:val="en-GB" w:eastAsia="en-GB"/>
              </w:rPr>
              <w:t>sa</w:t>
            </w:r>
            <w:proofErr w:type="spellEnd"/>
          </w:p>
        </w:tc>
      </w:tr>
      <w:tr w:rsidR="005C1753" w:rsidRPr="005C1753" w14:paraId="3C13BEEA" w14:textId="77777777" w:rsidTr="002D5C32">
        <w:trPr>
          <w:trHeight w:hRule="exact" w:val="240"/>
        </w:trPr>
        <w:tc>
          <w:tcPr>
            <w:tcW w:w="8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38FA" w14:textId="77777777" w:rsidR="005C1753" w:rsidRPr="005C1753" w:rsidRDefault="005C1753" w:rsidP="00F96BA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5C175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OD</w:t>
            </w:r>
            <w:r w:rsidRPr="005C175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GB" w:eastAsia="en-GB"/>
              </w:rPr>
              <w:t xml:space="preserve"> </w:t>
            </w:r>
            <w:r w:rsidRPr="005C175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–</w:t>
            </w:r>
            <w:r w:rsidRPr="005C17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96B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GB" w:eastAsia="en-GB"/>
              </w:rPr>
              <w:t>jedenkrát</w:t>
            </w:r>
            <w:proofErr w:type="spellEnd"/>
            <w:r w:rsidR="00F96B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F96BA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GB" w:eastAsia="en-GB"/>
              </w:rPr>
              <w:t>denne</w:t>
            </w:r>
            <w:proofErr w:type="spellEnd"/>
          </w:p>
        </w:tc>
      </w:tr>
    </w:tbl>
    <w:p w14:paraId="5C8FE6A8" w14:textId="77777777" w:rsidR="005C1753" w:rsidRPr="005C1753" w:rsidRDefault="005C1753" w:rsidP="005C1753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</w:p>
    <w:p w14:paraId="17909818" w14:textId="77777777" w:rsidR="005C1753" w:rsidRPr="005C1753" w:rsidRDefault="005C1753" w:rsidP="005C1753">
      <w:pPr>
        <w:widowControl w:val="0"/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Times New Roman" w:eastAsia="Times New Roman" w:hAnsi="Times New Roman" w:cs="Times New Roman"/>
          <w:i/>
          <w:iCs/>
          <w:lang w:val="en-US" w:eastAsia="el-GR"/>
        </w:rPr>
      </w:pPr>
      <w:proofErr w:type="spellStart"/>
      <w:r w:rsidRPr="005C1753">
        <w:rPr>
          <w:rFonts w:ascii="Times New Roman" w:eastAsia="Times New Roman" w:hAnsi="Times New Roman" w:cs="Times New Roman"/>
          <w:i/>
          <w:iCs/>
          <w:u w:val="single"/>
          <w:lang w:val="en-US" w:eastAsia="el-GR"/>
        </w:rPr>
        <w:t>P</w:t>
      </w:r>
      <w:r w:rsidR="00534A77">
        <w:rPr>
          <w:rFonts w:ascii="Times New Roman" w:eastAsia="Times New Roman" w:hAnsi="Times New Roman" w:cs="Times New Roman"/>
          <w:i/>
          <w:iCs/>
          <w:u w:val="single"/>
          <w:lang w:val="en-US" w:eastAsia="el-GR"/>
        </w:rPr>
        <w:t>ediatrická</w:t>
      </w:r>
      <w:proofErr w:type="spellEnd"/>
      <w:r w:rsidR="00534A77">
        <w:rPr>
          <w:rFonts w:ascii="Times New Roman" w:eastAsia="Times New Roman" w:hAnsi="Times New Roman" w:cs="Times New Roman"/>
          <w:i/>
          <w:iCs/>
          <w:u w:val="single"/>
          <w:lang w:val="en-US" w:eastAsia="el-GR"/>
        </w:rPr>
        <w:t xml:space="preserve"> </w:t>
      </w:r>
      <w:proofErr w:type="spellStart"/>
      <w:r w:rsidR="00534A77">
        <w:rPr>
          <w:rFonts w:ascii="Times New Roman" w:eastAsia="Times New Roman" w:hAnsi="Times New Roman" w:cs="Times New Roman"/>
          <w:i/>
          <w:iCs/>
          <w:u w:val="single"/>
          <w:lang w:val="en-US" w:eastAsia="el-GR"/>
        </w:rPr>
        <w:t>populácia</w:t>
      </w:r>
      <w:proofErr w:type="spellEnd"/>
    </w:p>
    <w:p w14:paraId="21279B20" w14:textId="77777777" w:rsidR="005C1753" w:rsidRDefault="00534A77" w:rsidP="005C175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79"/>
        <w:rPr>
          <w:rFonts w:ascii="Times New Roman" w:eastAsia="Times New Roman" w:hAnsi="Times New Roman" w:cs="Times New Roman"/>
          <w:lang w:val="en-US" w:eastAsia="el-GR"/>
        </w:rPr>
      </w:pPr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Po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podaní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pazopanibu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225 mg/m</w:t>
      </w:r>
      <w:r w:rsidRPr="00531CFF">
        <w:rPr>
          <w:rFonts w:ascii="Times New Roman" w:eastAsia="Times New Roman" w:hAnsi="Times New Roman" w:cs="Times New Roman"/>
          <w:vertAlign w:val="superscript"/>
          <w:lang w:val="en-US" w:eastAsia="el-GR"/>
        </w:rPr>
        <w:t>2</w:t>
      </w:r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(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vo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forme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perorálnej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suspenzie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)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pediatrickým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pacientom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boli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farmakokinetické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parametre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(C</w:t>
      </w:r>
      <w:r w:rsidRPr="00534A77">
        <w:rPr>
          <w:rFonts w:ascii="Times New Roman" w:eastAsia="Times New Roman" w:hAnsi="Times New Roman" w:cs="Times New Roman"/>
          <w:vertAlign w:val="subscript"/>
          <w:lang w:val="en-US" w:eastAsia="el-GR"/>
        </w:rPr>
        <w:t>max</w:t>
      </w:r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,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T</w:t>
      </w:r>
      <w:r w:rsidRPr="00534A77">
        <w:rPr>
          <w:rFonts w:ascii="Times New Roman" w:eastAsia="Times New Roman" w:hAnsi="Times New Roman" w:cs="Times New Roman"/>
          <w:vertAlign w:val="subscript"/>
          <w:lang w:val="en-US" w:eastAsia="el-GR"/>
        </w:rPr>
        <w:t>max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a AUC)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podobné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tým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,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ktoré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boli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predtým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hlásené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u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dospelých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pacientov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liečených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800 mg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pazopanibu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.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Výsledky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nepreukázali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žiadny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výrazný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rozdiel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v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klírense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pazopanibu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,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normalizovaný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podľa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plochy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povrchu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tela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,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medzi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deťmi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 xml:space="preserve"> a </w:t>
      </w:r>
      <w:proofErr w:type="spellStart"/>
      <w:r w:rsidRPr="00534A77">
        <w:rPr>
          <w:rFonts w:ascii="Times New Roman" w:eastAsia="Times New Roman" w:hAnsi="Times New Roman" w:cs="Times New Roman"/>
          <w:lang w:val="en-US" w:eastAsia="el-GR"/>
        </w:rPr>
        <w:t>dospelými</w:t>
      </w:r>
      <w:proofErr w:type="spellEnd"/>
      <w:r w:rsidRPr="00534A77">
        <w:rPr>
          <w:rFonts w:ascii="Times New Roman" w:eastAsia="Times New Roman" w:hAnsi="Times New Roman" w:cs="Times New Roman"/>
          <w:lang w:val="en-US" w:eastAsia="el-GR"/>
        </w:rPr>
        <w:t>.</w:t>
      </w:r>
    </w:p>
    <w:p w14:paraId="0776DC44" w14:textId="77777777" w:rsidR="00534A77" w:rsidRPr="005C1753" w:rsidRDefault="00534A77" w:rsidP="005C175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79"/>
        <w:rPr>
          <w:rFonts w:ascii="Times New Roman" w:eastAsia="Times New Roman" w:hAnsi="Times New Roman" w:cs="Times New Roman"/>
          <w:lang w:val="en-US" w:eastAsia="el-GR"/>
        </w:rPr>
      </w:pPr>
    </w:p>
    <w:p w14:paraId="75ECD4AC" w14:textId="77777777" w:rsidR="005C1753" w:rsidRDefault="005C1753" w:rsidP="005C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5C1753">
        <w:rPr>
          <w:rFonts w:ascii="Times New Roman" w:eastAsia="Times New Roman" w:hAnsi="Times New Roman" w:cs="Times New Roman"/>
          <w:b/>
          <w:bCs/>
          <w:lang w:eastAsia="en-GB"/>
        </w:rPr>
        <w:t xml:space="preserve">5.3 </w:t>
      </w:r>
      <w:r>
        <w:rPr>
          <w:rFonts w:ascii="Times New Roman" w:eastAsia="Times New Roman" w:hAnsi="Times New Roman" w:cs="Times New Roman"/>
          <w:b/>
          <w:bCs/>
          <w:lang w:eastAsia="en-GB"/>
        </w:rPr>
        <w:tab/>
      </w:r>
      <w:r w:rsidRPr="005C1753">
        <w:rPr>
          <w:rFonts w:ascii="Times New Roman" w:eastAsia="Times New Roman" w:hAnsi="Times New Roman" w:cs="Times New Roman"/>
          <w:b/>
          <w:bCs/>
          <w:lang w:eastAsia="en-GB"/>
        </w:rPr>
        <w:t>Predklinické údaje o</w:t>
      </w:r>
      <w:r>
        <w:rPr>
          <w:rFonts w:ascii="Times New Roman" w:eastAsia="Times New Roman" w:hAnsi="Times New Roman" w:cs="Times New Roman"/>
          <w:b/>
          <w:bCs/>
          <w:lang w:eastAsia="en-GB"/>
        </w:rPr>
        <w:t> </w:t>
      </w:r>
      <w:r w:rsidRPr="005C1753">
        <w:rPr>
          <w:rFonts w:ascii="Times New Roman" w:eastAsia="Times New Roman" w:hAnsi="Times New Roman" w:cs="Times New Roman"/>
          <w:b/>
          <w:bCs/>
          <w:lang w:eastAsia="en-GB"/>
        </w:rPr>
        <w:t>bezpečnosti</w:t>
      </w:r>
    </w:p>
    <w:p w14:paraId="19A7BEA0" w14:textId="77777777" w:rsidR="005C1753" w:rsidRPr="005C1753" w:rsidRDefault="005C1753" w:rsidP="005C1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GB"/>
        </w:rPr>
      </w:pPr>
    </w:p>
    <w:p w14:paraId="5348C894" w14:textId="77777777" w:rsidR="005C1753" w:rsidRDefault="005C1753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5C1753">
        <w:rPr>
          <w:rFonts w:ascii="Times New Roman" w:eastAsia="Times New Roman" w:hAnsi="Times New Roman" w:cs="Times New Roman"/>
          <w:lang w:eastAsia="en-GB"/>
        </w:rPr>
        <w:t xml:space="preserve">Predklinický bezpečnostný profil </w:t>
      </w:r>
      <w:proofErr w:type="spellStart"/>
      <w:r w:rsidRPr="005C1753">
        <w:rPr>
          <w:rFonts w:ascii="Times New Roman" w:eastAsia="Times New Roman" w:hAnsi="Times New Roman" w:cs="Times New Roman"/>
          <w:lang w:eastAsia="en-GB"/>
        </w:rPr>
        <w:t>pazopanibu</w:t>
      </w:r>
      <w:proofErr w:type="spellEnd"/>
      <w:r w:rsidRPr="005C1753">
        <w:rPr>
          <w:rFonts w:ascii="Times New Roman" w:eastAsia="Times New Roman" w:hAnsi="Times New Roman" w:cs="Times New Roman"/>
          <w:lang w:eastAsia="en-GB"/>
        </w:rPr>
        <w:t xml:space="preserve"> sa hodnotil na myšiach, potkanoch, králikoch a opiciach. V štúdiách opakovaného podávania vykonaných na hlodavcoch, účinky na rôzne tkanivá (kosti, zuby, nechtové lôžka, reprodukčné orgány, hematologické tkanivá, obličky a pankreas) zrejme súviseli s farmakologickým účinkom inhibície VEGFR a/alebo narušenia od VEGF-závislých signálnych dráh, pričom väčšina účinkov sa vyskytovala pri hladinách expozície v plazme nižších ako sú hladiny pozorované v klinicke</w:t>
      </w:r>
      <w:r>
        <w:rPr>
          <w:rFonts w:ascii="Times New Roman" w:eastAsia="Times New Roman" w:hAnsi="Times New Roman" w:cs="Times New Roman"/>
          <w:lang w:eastAsia="en-GB"/>
        </w:rPr>
        <w:t>j praxi</w:t>
      </w:r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.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Ďalšie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zaznamenané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účinky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zahŕňajú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úbytok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telesnej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hmotnosti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hnačku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a/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alebo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morbiditu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ktoré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boli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buď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dôsledkom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lokálnych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gastrointestinálnych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účinkov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zapríčinených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vysokou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lokálnou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expozíciou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lieku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slizniciach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pri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opiciach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)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alebo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farmakologických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účinkov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pri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hlodavcoch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).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Proliferatívne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hepatálne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lézie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eozinofilné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ložiská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gramStart"/>
      <w:r w:rsidRPr="005C1753">
        <w:rPr>
          <w:rFonts w:ascii="Times New Roman" w:eastAsia="Times New Roman" w:hAnsi="Times New Roman" w:cs="Times New Roman"/>
          <w:lang w:val="en-GB" w:eastAsia="en-GB"/>
        </w:rPr>
        <w:t>a</w:t>
      </w:r>
      <w:proofErr w:type="gram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adenóm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)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sa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pozorovali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samíc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myší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pri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expozíciách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2,5-násobne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vyšších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ako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je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expozícia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ľudí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základe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AUC.</w:t>
      </w:r>
    </w:p>
    <w:p w14:paraId="2A43C868" w14:textId="77777777" w:rsidR="005C1753" w:rsidRPr="005C1753" w:rsidRDefault="005C1753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056C142D" w14:textId="77777777" w:rsidR="00D46040" w:rsidRDefault="005C1753" w:rsidP="00531CFF"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V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štúdiách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juvenilnej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toxicity, v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ktorých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sa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potkanom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pred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odstavením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podávali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dávky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od 9.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dňa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po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narodení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až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do 14.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dňa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po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narodení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spôsobil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pazopanib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úmrtia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gramStart"/>
      <w:r w:rsidRPr="005C1753">
        <w:rPr>
          <w:rFonts w:ascii="Times New Roman" w:eastAsia="Times New Roman" w:hAnsi="Times New Roman" w:cs="Times New Roman"/>
          <w:lang w:val="en-GB" w:eastAsia="en-GB"/>
        </w:rPr>
        <w:t>a</w:t>
      </w:r>
      <w:proofErr w:type="gram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abnormálny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rast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>/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zrenie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orgánov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konkrétne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obličiek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pľúc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pečene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a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srdca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, a to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pri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dávke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predstavujúcej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približne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0,1-násobok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klinickej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expozície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dospelých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ľudí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základe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AUC.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Keď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sa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potkanom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po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odstavení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podávali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dávky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od 21.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dňa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po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narodení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po 62.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deň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po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narodení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toxikologické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nálezy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boli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podobné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ako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dospelých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potkanov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pri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porovnateľných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expozíciách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.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Ľudskí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pediatrickí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pacienti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sú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vystavení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zvýšenému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riziku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účinkov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kosti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a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zuby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v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porovnaní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s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dospelými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keďže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tieto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zmeny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vrátane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inhibície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rastu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skrátené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končatiny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),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krehkých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kostí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a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remodelácie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zubov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boli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prítomné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juvenilných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potkanov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pri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dávke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≥ 10 mg/kg/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deň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rovnajúcej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sa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približne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0,1-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až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0,2-násobku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klinickej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expozície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dospelých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ľudí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základe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AUC) (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pozri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C1753">
        <w:rPr>
          <w:rFonts w:ascii="Times New Roman" w:eastAsia="Times New Roman" w:hAnsi="Times New Roman" w:cs="Times New Roman"/>
          <w:lang w:val="en-GB" w:eastAsia="en-GB"/>
        </w:rPr>
        <w:t>časť</w:t>
      </w:r>
      <w:proofErr w:type="spellEnd"/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4.4).</w:t>
      </w:r>
    </w:p>
    <w:p w14:paraId="1E4EC663" w14:textId="77777777" w:rsidR="005C1753" w:rsidRDefault="00534A77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GB"/>
        </w:rPr>
      </w:pPr>
      <w:r w:rsidRPr="00534A77">
        <w:rPr>
          <w:rFonts w:ascii="Times New Roman" w:eastAsia="Times New Roman" w:hAnsi="Times New Roman" w:cs="Times New Roman"/>
          <w:u w:val="single"/>
          <w:lang w:eastAsia="en-GB"/>
        </w:rPr>
        <w:t xml:space="preserve">Účinky na reprodukčný systém, </w:t>
      </w:r>
      <w:proofErr w:type="spellStart"/>
      <w:r w:rsidRPr="00534A77">
        <w:rPr>
          <w:rFonts w:ascii="Times New Roman" w:eastAsia="Times New Roman" w:hAnsi="Times New Roman" w:cs="Times New Roman"/>
          <w:u w:val="single"/>
          <w:lang w:eastAsia="en-GB"/>
        </w:rPr>
        <w:t>fertilitu</w:t>
      </w:r>
      <w:proofErr w:type="spellEnd"/>
      <w:r w:rsidRPr="00534A77">
        <w:rPr>
          <w:rFonts w:ascii="Times New Roman" w:eastAsia="Times New Roman" w:hAnsi="Times New Roman" w:cs="Times New Roman"/>
          <w:u w:val="single"/>
          <w:lang w:eastAsia="en-GB"/>
        </w:rPr>
        <w:t xml:space="preserve"> a teratogénne účinky</w:t>
      </w:r>
    </w:p>
    <w:p w14:paraId="4F1D74BE" w14:textId="77777777" w:rsidR="00534A77" w:rsidRPr="005C1753" w:rsidRDefault="00534A77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38148061" w14:textId="01AC7305" w:rsidR="00534A77" w:rsidRDefault="00534A77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534A77">
        <w:rPr>
          <w:rFonts w:ascii="Times New Roman" w:eastAsia="Times New Roman" w:hAnsi="Times New Roman" w:cs="Times New Roman"/>
          <w:lang w:eastAsia="en-GB"/>
        </w:rPr>
        <w:t>Pazopanib</w:t>
      </w:r>
      <w:proofErr w:type="spellEnd"/>
      <w:r w:rsidRPr="00534A77">
        <w:rPr>
          <w:rFonts w:ascii="Times New Roman" w:eastAsia="Times New Roman" w:hAnsi="Times New Roman" w:cs="Times New Roman"/>
          <w:lang w:eastAsia="en-GB"/>
        </w:rPr>
        <w:t xml:space="preserve"> bol preukázateľne </w:t>
      </w:r>
      <w:proofErr w:type="spellStart"/>
      <w:r w:rsidRPr="00534A77">
        <w:rPr>
          <w:rFonts w:ascii="Times New Roman" w:eastAsia="Times New Roman" w:hAnsi="Times New Roman" w:cs="Times New Roman"/>
          <w:lang w:eastAsia="en-GB"/>
        </w:rPr>
        <w:t>embryotoxický</w:t>
      </w:r>
      <w:proofErr w:type="spellEnd"/>
      <w:r w:rsidRPr="00534A77">
        <w:rPr>
          <w:rFonts w:ascii="Times New Roman" w:eastAsia="Times New Roman" w:hAnsi="Times New Roman" w:cs="Times New Roman"/>
          <w:lang w:eastAsia="en-GB"/>
        </w:rPr>
        <w:t xml:space="preserve"> a teratogénny, keď sa podával potkanom a králikom pri expozíciách viac než 300-násobne nižších ako je expozícia u ľudí (na základe AUC). Účinky zahŕňali </w:t>
      </w:r>
      <w:r w:rsidRPr="00534A77">
        <w:rPr>
          <w:rFonts w:ascii="Times New Roman" w:eastAsia="Times New Roman" w:hAnsi="Times New Roman" w:cs="Times New Roman"/>
          <w:lang w:eastAsia="en-GB"/>
        </w:rPr>
        <w:lastRenderedPageBreak/>
        <w:t xml:space="preserve">zníženú samičiu </w:t>
      </w:r>
      <w:proofErr w:type="spellStart"/>
      <w:r w:rsidRPr="00534A77">
        <w:rPr>
          <w:rFonts w:ascii="Times New Roman" w:eastAsia="Times New Roman" w:hAnsi="Times New Roman" w:cs="Times New Roman"/>
          <w:lang w:eastAsia="en-GB"/>
        </w:rPr>
        <w:t>fertilitu</w:t>
      </w:r>
      <w:proofErr w:type="spellEnd"/>
      <w:r w:rsidRPr="00534A77">
        <w:rPr>
          <w:rFonts w:ascii="Times New Roman" w:eastAsia="Times New Roman" w:hAnsi="Times New Roman" w:cs="Times New Roman"/>
          <w:lang w:eastAsia="en-GB"/>
        </w:rPr>
        <w:t xml:space="preserve">, zvýšené </w:t>
      </w:r>
      <w:proofErr w:type="spellStart"/>
      <w:r w:rsidRPr="00534A77">
        <w:rPr>
          <w:rFonts w:ascii="Times New Roman" w:eastAsia="Times New Roman" w:hAnsi="Times New Roman" w:cs="Times New Roman"/>
          <w:lang w:eastAsia="en-GB"/>
        </w:rPr>
        <w:t>predimplantačné</w:t>
      </w:r>
      <w:proofErr w:type="spellEnd"/>
      <w:r w:rsidRPr="00534A77">
        <w:rPr>
          <w:rFonts w:ascii="Times New Roman" w:eastAsia="Times New Roman" w:hAnsi="Times New Roman" w:cs="Times New Roman"/>
          <w:lang w:eastAsia="en-GB"/>
        </w:rPr>
        <w:t xml:space="preserve"> a </w:t>
      </w:r>
      <w:proofErr w:type="spellStart"/>
      <w:r w:rsidRPr="00534A77">
        <w:rPr>
          <w:rFonts w:ascii="Times New Roman" w:eastAsia="Times New Roman" w:hAnsi="Times New Roman" w:cs="Times New Roman"/>
          <w:lang w:eastAsia="en-GB"/>
        </w:rPr>
        <w:t>postimplantačné</w:t>
      </w:r>
      <w:proofErr w:type="spellEnd"/>
      <w:r w:rsidRPr="00534A77">
        <w:rPr>
          <w:rFonts w:ascii="Times New Roman" w:eastAsia="Times New Roman" w:hAnsi="Times New Roman" w:cs="Times New Roman"/>
          <w:lang w:eastAsia="en-GB"/>
        </w:rPr>
        <w:t xml:space="preserve"> straty, skorú </w:t>
      </w:r>
      <w:proofErr w:type="spellStart"/>
      <w:r w:rsidRPr="00534A77">
        <w:rPr>
          <w:rFonts w:ascii="Times New Roman" w:eastAsia="Times New Roman" w:hAnsi="Times New Roman" w:cs="Times New Roman"/>
          <w:lang w:eastAsia="en-GB"/>
        </w:rPr>
        <w:t>resorpciu</w:t>
      </w:r>
      <w:proofErr w:type="spellEnd"/>
      <w:r w:rsidRPr="00534A77">
        <w:rPr>
          <w:rFonts w:ascii="Times New Roman" w:eastAsia="Times New Roman" w:hAnsi="Times New Roman" w:cs="Times New Roman"/>
          <w:lang w:eastAsia="en-GB"/>
        </w:rPr>
        <w:t xml:space="preserve"> embrya/plodu, smrť embrya, zníženú telesnú hmotnosť plodu a kardiovaskulárnu </w:t>
      </w:r>
      <w:proofErr w:type="spellStart"/>
      <w:r w:rsidRPr="00534A77">
        <w:rPr>
          <w:rFonts w:ascii="Times New Roman" w:eastAsia="Times New Roman" w:hAnsi="Times New Roman" w:cs="Times New Roman"/>
          <w:lang w:eastAsia="en-GB"/>
        </w:rPr>
        <w:t>malformáciu</w:t>
      </w:r>
      <w:proofErr w:type="spellEnd"/>
      <w:r w:rsidRPr="00534A77">
        <w:rPr>
          <w:rFonts w:ascii="Times New Roman" w:eastAsia="Times New Roman" w:hAnsi="Times New Roman" w:cs="Times New Roman"/>
          <w:lang w:eastAsia="en-GB"/>
        </w:rPr>
        <w:t xml:space="preserve">. U hlodavcov sa tiež zaznamenalo zníženie počtu žltých teliesok, zvýšenie počtu cýst a atrofia vaječníkov. V štúdii </w:t>
      </w:r>
      <w:proofErr w:type="spellStart"/>
      <w:r w:rsidRPr="00534A77">
        <w:rPr>
          <w:rFonts w:ascii="Times New Roman" w:eastAsia="Times New Roman" w:hAnsi="Times New Roman" w:cs="Times New Roman"/>
          <w:lang w:eastAsia="en-GB"/>
        </w:rPr>
        <w:t>fertility</w:t>
      </w:r>
      <w:proofErr w:type="spellEnd"/>
      <w:r w:rsidRPr="00534A77">
        <w:rPr>
          <w:rFonts w:ascii="Times New Roman" w:eastAsia="Times New Roman" w:hAnsi="Times New Roman" w:cs="Times New Roman"/>
          <w:lang w:eastAsia="en-GB"/>
        </w:rPr>
        <w:t xml:space="preserve"> potkaních samcov sa nezistil žiaden účinok na párenie alebo </w:t>
      </w:r>
      <w:proofErr w:type="spellStart"/>
      <w:r w:rsidRPr="00534A77">
        <w:rPr>
          <w:rFonts w:ascii="Times New Roman" w:eastAsia="Times New Roman" w:hAnsi="Times New Roman" w:cs="Times New Roman"/>
          <w:lang w:eastAsia="en-GB"/>
        </w:rPr>
        <w:t>fertilitu</w:t>
      </w:r>
      <w:proofErr w:type="spellEnd"/>
      <w:r w:rsidRPr="00534A77">
        <w:rPr>
          <w:rFonts w:ascii="Times New Roman" w:eastAsia="Times New Roman" w:hAnsi="Times New Roman" w:cs="Times New Roman"/>
          <w:lang w:eastAsia="en-GB"/>
        </w:rPr>
        <w:t xml:space="preserve">, ale pri expozíciách rovnajúcich sa 0,3-násobku expozície u ľudí na základe AUC sa zaznamenala znížená hmotnosť semenníkov a nadsemenníkov spolu so zníženou tvorbou spermií, zníženou </w:t>
      </w:r>
      <w:proofErr w:type="spellStart"/>
      <w:r w:rsidRPr="00534A77">
        <w:rPr>
          <w:rFonts w:ascii="Times New Roman" w:eastAsia="Times New Roman" w:hAnsi="Times New Roman" w:cs="Times New Roman"/>
          <w:lang w:eastAsia="en-GB"/>
        </w:rPr>
        <w:t>motilitou</w:t>
      </w:r>
      <w:proofErr w:type="spellEnd"/>
      <w:r w:rsidRPr="00534A77">
        <w:rPr>
          <w:rFonts w:ascii="Times New Roman" w:eastAsia="Times New Roman" w:hAnsi="Times New Roman" w:cs="Times New Roman"/>
          <w:lang w:eastAsia="en-GB"/>
        </w:rPr>
        <w:t xml:space="preserve"> spermií a zníženou koncentráciou spermií v </w:t>
      </w:r>
      <w:proofErr w:type="spellStart"/>
      <w:r w:rsidRPr="00534A77">
        <w:rPr>
          <w:rFonts w:ascii="Times New Roman" w:eastAsia="Times New Roman" w:hAnsi="Times New Roman" w:cs="Times New Roman"/>
          <w:lang w:eastAsia="en-GB"/>
        </w:rPr>
        <w:t>nadsemeníkoch</w:t>
      </w:r>
      <w:proofErr w:type="spellEnd"/>
      <w:r w:rsidRPr="00534A77">
        <w:rPr>
          <w:rFonts w:ascii="Times New Roman" w:eastAsia="Times New Roman" w:hAnsi="Times New Roman" w:cs="Times New Roman"/>
          <w:lang w:eastAsia="en-GB"/>
        </w:rPr>
        <w:t xml:space="preserve"> a v semenníkoch. </w:t>
      </w:r>
    </w:p>
    <w:p w14:paraId="058DDD89" w14:textId="77777777" w:rsidR="005C1753" w:rsidRPr="005C1753" w:rsidRDefault="005C1753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5C1753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2E789182" w14:textId="77777777" w:rsidR="005C1753" w:rsidRPr="005C1753" w:rsidRDefault="005C1753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en-GB"/>
        </w:rPr>
      </w:pPr>
      <w:proofErr w:type="spellStart"/>
      <w:r w:rsidRPr="005C1753">
        <w:rPr>
          <w:rFonts w:ascii="Times New Roman" w:eastAsia="Times New Roman" w:hAnsi="Times New Roman" w:cs="Times New Roman"/>
          <w:u w:val="single"/>
          <w:lang w:val="en-GB" w:eastAsia="en-GB"/>
        </w:rPr>
        <w:t>Genotoxicit</w:t>
      </w:r>
      <w:r w:rsidR="00534A77">
        <w:rPr>
          <w:rFonts w:ascii="Times New Roman" w:eastAsia="Times New Roman" w:hAnsi="Times New Roman" w:cs="Times New Roman"/>
          <w:u w:val="single"/>
          <w:lang w:val="en-GB" w:eastAsia="en-GB"/>
        </w:rPr>
        <w:t>a</w:t>
      </w:r>
      <w:proofErr w:type="spellEnd"/>
    </w:p>
    <w:p w14:paraId="6272FFAB" w14:textId="77777777" w:rsidR="005C1753" w:rsidRPr="005C1753" w:rsidRDefault="005C1753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70C71BFC" w14:textId="77777777" w:rsidR="005C1753" w:rsidRDefault="00534A77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Pazopanib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nespôsobil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genetické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poškodenie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keď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sa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testoval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v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testoch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genotoxicity (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Amesov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test, test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chromozómových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aberácií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v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ľudských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periférnych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lymfocytoch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a </w:t>
      </w:r>
      <w:r w:rsidRPr="0083485A">
        <w:rPr>
          <w:rFonts w:ascii="Times New Roman" w:eastAsia="Times New Roman" w:hAnsi="Times New Roman" w:cs="Times New Roman"/>
          <w:i/>
          <w:lang w:val="en-GB" w:eastAsia="en-GB"/>
        </w:rPr>
        <w:t>in vivo</w:t>
      </w:r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mikronukleárny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test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potkanoch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).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Syntetický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medziprodukt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vznikajúci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pri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výrobe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pazopanibu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ktorý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je v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malom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množstve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obsiahnutý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aj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v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konečnom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liečive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nebol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mutagénny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v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Amesovom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teste, ale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bol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genotoxický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v teste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bunkách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myšieho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lymfómu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a v </w:t>
      </w:r>
      <w:r w:rsidRPr="0083485A">
        <w:rPr>
          <w:rFonts w:ascii="Times New Roman" w:eastAsia="Times New Roman" w:hAnsi="Times New Roman" w:cs="Times New Roman"/>
          <w:i/>
          <w:lang w:val="en-GB" w:eastAsia="en-GB"/>
        </w:rPr>
        <w:t>in vivo</w:t>
      </w:r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mikronukleárnom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teste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534A77">
        <w:rPr>
          <w:rFonts w:ascii="Times New Roman" w:eastAsia="Times New Roman" w:hAnsi="Times New Roman" w:cs="Times New Roman"/>
          <w:lang w:val="en-GB" w:eastAsia="en-GB"/>
        </w:rPr>
        <w:t>myšiach</w:t>
      </w:r>
      <w:proofErr w:type="spellEnd"/>
      <w:r w:rsidRPr="00534A77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21897CB9" w14:textId="77777777" w:rsidR="00534A77" w:rsidRPr="005C1753" w:rsidRDefault="00534A77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32828785" w14:textId="77777777" w:rsidR="005C1753" w:rsidRPr="005C1753" w:rsidRDefault="0083485A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u w:val="single"/>
          <w:lang w:val="en-GB" w:eastAsia="en-GB"/>
        </w:rPr>
        <w:t>Karcinogenita</w:t>
      </w:r>
      <w:proofErr w:type="spellEnd"/>
    </w:p>
    <w:p w14:paraId="5495C9A3" w14:textId="77777777" w:rsidR="005C1753" w:rsidRPr="005C1753" w:rsidRDefault="005C1753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116567A1" w14:textId="77777777" w:rsidR="005C1753" w:rsidRDefault="0083485A" w:rsidP="00531CFF">
      <w:pPr>
        <w:widowControl w:val="0"/>
        <w:autoSpaceDE w:val="0"/>
        <w:autoSpaceDN w:val="0"/>
        <w:adjustRightInd w:val="0"/>
        <w:spacing w:after="0" w:line="240" w:lineRule="auto"/>
      </w:pPr>
      <w:r w:rsidRPr="0083485A">
        <w:rPr>
          <w:rFonts w:ascii="Times New Roman" w:eastAsia="Times New Roman" w:hAnsi="Times New Roman" w:cs="Times New Roman"/>
          <w:lang w:eastAsia="en-GB"/>
        </w:rPr>
        <w:t xml:space="preserve">V dvojročných testoch karcinogenity s </w:t>
      </w:r>
      <w:proofErr w:type="spellStart"/>
      <w:r w:rsidRPr="0083485A">
        <w:rPr>
          <w:rFonts w:ascii="Times New Roman" w:eastAsia="Times New Roman" w:hAnsi="Times New Roman" w:cs="Times New Roman"/>
          <w:lang w:eastAsia="en-GB"/>
        </w:rPr>
        <w:t>pazopanibom</w:t>
      </w:r>
      <w:proofErr w:type="spellEnd"/>
      <w:r w:rsidRPr="0083485A">
        <w:rPr>
          <w:rFonts w:ascii="Times New Roman" w:eastAsia="Times New Roman" w:hAnsi="Times New Roman" w:cs="Times New Roman"/>
          <w:lang w:eastAsia="en-GB"/>
        </w:rPr>
        <w:t xml:space="preserve"> sa pozorovalo zvýšenie počtu pečeňových adenómov u myší a </w:t>
      </w:r>
      <w:proofErr w:type="spellStart"/>
      <w:r w:rsidRPr="0083485A">
        <w:rPr>
          <w:rFonts w:ascii="Times New Roman" w:eastAsia="Times New Roman" w:hAnsi="Times New Roman" w:cs="Times New Roman"/>
          <w:lang w:eastAsia="en-GB"/>
        </w:rPr>
        <w:t>duodenálnych</w:t>
      </w:r>
      <w:proofErr w:type="spellEnd"/>
      <w:r w:rsidRPr="0083485A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83485A">
        <w:rPr>
          <w:rFonts w:ascii="Times New Roman" w:eastAsia="Times New Roman" w:hAnsi="Times New Roman" w:cs="Times New Roman"/>
          <w:lang w:eastAsia="en-GB"/>
        </w:rPr>
        <w:t>adenokarcinómov</w:t>
      </w:r>
      <w:proofErr w:type="spellEnd"/>
      <w:r w:rsidRPr="0083485A">
        <w:rPr>
          <w:rFonts w:ascii="Times New Roman" w:eastAsia="Times New Roman" w:hAnsi="Times New Roman" w:cs="Times New Roman"/>
          <w:lang w:eastAsia="en-GB"/>
        </w:rPr>
        <w:t xml:space="preserve"> u potkanov. Vzhľadom na patogenézu špecifickú pre hlodavcov a mechanizmus týchto nálezov sa neusudzuje, že by predstavovali zvýšené riziko karcinogenity pre pacientov užívajúcich </w:t>
      </w:r>
      <w:proofErr w:type="spellStart"/>
      <w:r w:rsidRPr="0083485A">
        <w:rPr>
          <w:rFonts w:ascii="Times New Roman" w:eastAsia="Times New Roman" w:hAnsi="Times New Roman" w:cs="Times New Roman"/>
          <w:lang w:eastAsia="en-GB"/>
        </w:rPr>
        <w:t>pazopanib</w:t>
      </w:r>
      <w:proofErr w:type="spellEnd"/>
      <w:r w:rsidRPr="0083485A">
        <w:rPr>
          <w:rFonts w:ascii="Times New Roman" w:eastAsia="Times New Roman" w:hAnsi="Times New Roman" w:cs="Times New Roman"/>
          <w:lang w:eastAsia="en-GB"/>
        </w:rPr>
        <w:t>.</w:t>
      </w:r>
    </w:p>
    <w:p w14:paraId="7A45572A" w14:textId="77777777" w:rsidR="00D46040" w:rsidRDefault="00D46040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041F01" w14:textId="77777777" w:rsidR="00F86F92" w:rsidRPr="00531CFF" w:rsidRDefault="00F86F92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2DD1A1" w14:textId="77777777" w:rsidR="002D5C32" w:rsidRDefault="002D5C32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2D5C32"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>
        <w:t xml:space="preserve">. </w:t>
      </w:r>
      <w:r>
        <w:tab/>
      </w:r>
      <w:r w:rsidRPr="002D5C32">
        <w:rPr>
          <w:rFonts w:ascii="Times New Roman" w:eastAsia="Times New Roman" w:hAnsi="Times New Roman" w:cs="Times New Roman"/>
          <w:b/>
          <w:bCs/>
          <w:lang w:eastAsia="en-GB"/>
        </w:rPr>
        <w:t xml:space="preserve">FARMACEUTICKÉ INFORMÁCIE </w:t>
      </w:r>
    </w:p>
    <w:p w14:paraId="3896C3EC" w14:textId="77777777" w:rsidR="00F86F92" w:rsidRPr="002D5C32" w:rsidRDefault="00F86F92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5CFF291" w14:textId="77777777" w:rsidR="002D5C32" w:rsidRDefault="002D5C32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2D5C32">
        <w:rPr>
          <w:rFonts w:ascii="Times New Roman" w:eastAsia="Times New Roman" w:hAnsi="Times New Roman" w:cs="Times New Roman"/>
          <w:b/>
          <w:bCs/>
          <w:lang w:eastAsia="en-GB"/>
        </w:rPr>
        <w:t xml:space="preserve">6.1 </w:t>
      </w:r>
      <w:r>
        <w:rPr>
          <w:rFonts w:ascii="Times New Roman" w:eastAsia="Times New Roman" w:hAnsi="Times New Roman" w:cs="Times New Roman"/>
          <w:b/>
          <w:bCs/>
          <w:lang w:eastAsia="en-GB"/>
        </w:rPr>
        <w:tab/>
      </w:r>
      <w:r w:rsidRPr="002D5C32">
        <w:rPr>
          <w:rFonts w:ascii="Times New Roman" w:eastAsia="Times New Roman" w:hAnsi="Times New Roman" w:cs="Times New Roman"/>
          <w:b/>
          <w:bCs/>
          <w:lang w:eastAsia="en-GB"/>
        </w:rPr>
        <w:t xml:space="preserve">Zoznam </w:t>
      </w:r>
      <w:proofErr w:type="spellStart"/>
      <w:r w:rsidRPr="002D5C32">
        <w:rPr>
          <w:rFonts w:ascii="Times New Roman" w:eastAsia="Times New Roman" w:hAnsi="Times New Roman" w:cs="Times New Roman"/>
          <w:b/>
          <w:bCs/>
          <w:lang w:eastAsia="en-GB"/>
        </w:rPr>
        <w:t>pomocných</w:t>
      </w:r>
      <w:proofErr w:type="spellEnd"/>
      <w:r w:rsidRPr="002D5C32">
        <w:rPr>
          <w:rFonts w:ascii="Times New Roman" w:eastAsia="Times New Roman" w:hAnsi="Times New Roman" w:cs="Times New Roman"/>
          <w:b/>
          <w:bCs/>
          <w:lang w:eastAsia="en-GB"/>
        </w:rPr>
        <w:t xml:space="preserve"> látok </w:t>
      </w:r>
    </w:p>
    <w:p w14:paraId="2BE1D46B" w14:textId="77777777" w:rsidR="00F86F92" w:rsidRPr="002D5C32" w:rsidRDefault="00F86F92" w:rsidP="00531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5997FC9" w14:textId="77777777" w:rsidR="00B34054" w:rsidRPr="00B34054" w:rsidRDefault="00B34054" w:rsidP="00B34054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en-GB"/>
        </w:rPr>
      </w:pPr>
      <w:proofErr w:type="spellStart"/>
      <w:r w:rsidRPr="00B34054">
        <w:rPr>
          <w:rFonts w:ascii="Times New Roman" w:eastAsia="Times New Roman" w:hAnsi="Times New Roman" w:cs="Times New Roman"/>
          <w:i/>
          <w:u w:val="single"/>
          <w:lang w:eastAsia="en-GB"/>
        </w:rPr>
        <w:t>Pazopanib</w:t>
      </w:r>
      <w:proofErr w:type="spellEnd"/>
      <w:r w:rsidRPr="00B34054">
        <w:rPr>
          <w:rFonts w:ascii="Times New Roman" w:eastAsia="Times New Roman" w:hAnsi="Times New Roman" w:cs="Times New Roman"/>
          <w:i/>
          <w:u w:val="single"/>
          <w:lang w:eastAsia="en-GB"/>
        </w:rPr>
        <w:t xml:space="preserve"> </w:t>
      </w:r>
      <w:proofErr w:type="spellStart"/>
      <w:r w:rsidRPr="00B34054">
        <w:rPr>
          <w:rFonts w:ascii="Times New Roman" w:eastAsia="Times New Roman" w:hAnsi="Times New Roman" w:cs="Times New Roman"/>
          <w:i/>
          <w:u w:val="single"/>
          <w:lang w:eastAsia="en-GB"/>
        </w:rPr>
        <w:t>Teva</w:t>
      </w:r>
      <w:proofErr w:type="spellEnd"/>
      <w:r w:rsidRPr="00B34054">
        <w:rPr>
          <w:rFonts w:ascii="Times New Roman" w:eastAsia="Times New Roman" w:hAnsi="Times New Roman" w:cs="Times New Roman"/>
          <w:i/>
          <w:u w:val="single"/>
          <w:lang w:eastAsia="en-GB"/>
        </w:rPr>
        <w:t xml:space="preserve"> 200 mg filmom obalené tablety</w:t>
      </w:r>
      <w:r>
        <w:rPr>
          <w:rFonts w:ascii="Times New Roman" w:eastAsia="Times New Roman" w:hAnsi="Times New Roman" w:cs="Times New Roman"/>
          <w:i/>
          <w:u w:val="single"/>
          <w:lang w:eastAsia="en-GB"/>
        </w:rPr>
        <w:t>:</w:t>
      </w:r>
    </w:p>
    <w:p w14:paraId="1CC83D6E" w14:textId="77777777" w:rsidR="00B34054" w:rsidRDefault="00B34054" w:rsidP="002D5C32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en-GB"/>
        </w:rPr>
      </w:pPr>
    </w:p>
    <w:p w14:paraId="48E95EBB" w14:textId="77777777" w:rsidR="002D5C32" w:rsidRPr="002D5C32" w:rsidRDefault="002D5C32" w:rsidP="002D5C32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en-GB"/>
        </w:rPr>
      </w:pPr>
      <w:r w:rsidRPr="002D5C32">
        <w:rPr>
          <w:rFonts w:ascii="Times New Roman" w:eastAsia="Times New Roman" w:hAnsi="Times New Roman" w:cs="Times New Roman"/>
          <w:u w:val="single"/>
          <w:lang w:eastAsia="en-GB"/>
        </w:rPr>
        <w:t>Jadro tablety:</w:t>
      </w:r>
    </w:p>
    <w:p w14:paraId="3BE4077F" w14:textId="77777777" w:rsidR="002D5C32" w:rsidRPr="002D5C32" w:rsidRDefault="002D5C32" w:rsidP="002D5C3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2D5C32">
        <w:rPr>
          <w:rFonts w:ascii="Times New Roman" w:eastAsia="Times New Roman" w:hAnsi="Times New Roman" w:cs="Times New Roman"/>
          <w:lang w:eastAsia="en-GB"/>
        </w:rPr>
        <w:t xml:space="preserve">mikrokryštalická celulóza (E 460) </w:t>
      </w:r>
    </w:p>
    <w:p w14:paraId="36006BA1" w14:textId="77777777" w:rsidR="002D5C32" w:rsidRDefault="002D5C32" w:rsidP="002D5C3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2D5C32">
        <w:rPr>
          <w:rFonts w:ascii="Times New Roman" w:eastAsia="Times New Roman" w:hAnsi="Times New Roman" w:cs="Times New Roman"/>
          <w:lang w:eastAsia="en-GB"/>
        </w:rPr>
        <w:t xml:space="preserve">sodná soľ </w:t>
      </w:r>
      <w:proofErr w:type="spellStart"/>
      <w:r w:rsidRPr="002D5C32">
        <w:rPr>
          <w:rFonts w:ascii="Times New Roman" w:eastAsia="Times New Roman" w:hAnsi="Times New Roman" w:cs="Times New Roman"/>
          <w:lang w:eastAsia="en-GB"/>
        </w:rPr>
        <w:t>karboxymetylškrobu</w:t>
      </w:r>
      <w:proofErr w:type="spellEnd"/>
      <w:r w:rsidRPr="002D5C32">
        <w:rPr>
          <w:rFonts w:ascii="Times New Roman" w:eastAsia="Times New Roman" w:hAnsi="Times New Roman" w:cs="Times New Roman"/>
          <w:lang w:eastAsia="en-GB"/>
        </w:rPr>
        <w:t xml:space="preserve"> (typ A)</w:t>
      </w:r>
    </w:p>
    <w:p w14:paraId="492DC6D2" w14:textId="1EC3614C" w:rsidR="00B34054" w:rsidRPr="00B34054" w:rsidRDefault="002D5C3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B34054">
        <w:rPr>
          <w:rFonts w:ascii="Times New Roman" w:eastAsia="Times New Roman" w:hAnsi="Times New Roman" w:cs="Times New Roman"/>
          <w:lang w:eastAsia="en-GB"/>
        </w:rPr>
        <w:t>povidón</w:t>
      </w:r>
      <w:proofErr w:type="spellEnd"/>
      <w:r w:rsidRPr="00B34054">
        <w:rPr>
          <w:rFonts w:ascii="Times New Roman" w:eastAsia="Times New Roman" w:hAnsi="Times New Roman" w:cs="Times New Roman"/>
          <w:lang w:eastAsia="en-GB"/>
        </w:rPr>
        <w:t xml:space="preserve"> K30 </w:t>
      </w:r>
      <w:r w:rsidR="00F86F92" w:rsidRPr="000B4905">
        <w:rPr>
          <w:rFonts w:ascii="Times New Roman" w:eastAsia="Times New Roman" w:hAnsi="Times New Roman" w:cs="Times New Roman"/>
          <w:lang w:eastAsia="en-GB"/>
        </w:rPr>
        <w:t>(E</w:t>
      </w:r>
      <w:r w:rsidR="00A01F3F">
        <w:rPr>
          <w:rFonts w:ascii="Times New Roman" w:eastAsia="Times New Roman" w:hAnsi="Times New Roman" w:cs="Times New Roman"/>
          <w:lang w:eastAsia="en-GB"/>
        </w:rPr>
        <w:t xml:space="preserve"> </w:t>
      </w:r>
      <w:r w:rsidR="00F86F92" w:rsidRPr="000B4905">
        <w:rPr>
          <w:rFonts w:ascii="Times New Roman" w:eastAsia="Times New Roman" w:hAnsi="Times New Roman" w:cs="Times New Roman"/>
          <w:lang w:eastAsia="en-GB"/>
        </w:rPr>
        <w:t>1201)</w:t>
      </w:r>
    </w:p>
    <w:p w14:paraId="7C313D21" w14:textId="77777777" w:rsidR="00B34054" w:rsidRDefault="00B34054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B34054">
        <w:rPr>
          <w:rFonts w:ascii="Times New Roman" w:eastAsia="Times New Roman" w:hAnsi="Times New Roman" w:cs="Times New Roman"/>
          <w:lang w:eastAsia="en-GB"/>
        </w:rPr>
        <w:t>stearát</w:t>
      </w:r>
      <w:proofErr w:type="spellEnd"/>
      <w:r w:rsidRPr="00B34054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B34054">
        <w:rPr>
          <w:rFonts w:ascii="Times New Roman" w:eastAsia="Times New Roman" w:hAnsi="Times New Roman" w:cs="Times New Roman"/>
          <w:lang w:eastAsia="en-GB"/>
        </w:rPr>
        <w:t>horečnatý</w:t>
      </w:r>
      <w:proofErr w:type="spellEnd"/>
      <w:r w:rsidRPr="00B34054">
        <w:rPr>
          <w:rFonts w:ascii="Times New Roman" w:eastAsia="Times New Roman" w:hAnsi="Times New Roman" w:cs="Times New Roman"/>
          <w:lang w:eastAsia="en-GB"/>
        </w:rPr>
        <w:t xml:space="preserve"> (E470b)</w:t>
      </w:r>
    </w:p>
    <w:p w14:paraId="080308D6" w14:textId="77777777" w:rsidR="006A3E12" w:rsidRPr="002D5C3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</w:p>
    <w:p w14:paraId="7776B84E" w14:textId="77777777" w:rsidR="006A3E12" w:rsidRDefault="002D5C32" w:rsidP="006A3E12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en-GB"/>
        </w:rPr>
      </w:pPr>
      <w:r w:rsidRPr="006A3E12">
        <w:rPr>
          <w:rFonts w:ascii="Times New Roman" w:eastAsia="Times New Roman" w:hAnsi="Times New Roman" w:cs="Times New Roman"/>
          <w:u w:val="single"/>
          <w:lang w:eastAsia="en-GB"/>
        </w:rPr>
        <w:t>Obal tablety</w:t>
      </w:r>
      <w:r w:rsidR="006A3E12">
        <w:rPr>
          <w:rFonts w:ascii="Times New Roman" w:eastAsia="Times New Roman" w:hAnsi="Times New Roman" w:cs="Times New Roman"/>
          <w:u w:val="single"/>
          <w:lang w:eastAsia="en-GB"/>
        </w:rPr>
        <w:t>:</w:t>
      </w:r>
      <w:r w:rsidRPr="006A3E12">
        <w:rPr>
          <w:rFonts w:ascii="Times New Roman" w:eastAsia="Times New Roman" w:hAnsi="Times New Roman" w:cs="Times New Roman"/>
          <w:u w:val="single"/>
          <w:lang w:eastAsia="en-GB"/>
        </w:rPr>
        <w:t xml:space="preserve"> </w:t>
      </w:r>
    </w:p>
    <w:p w14:paraId="20897BE1" w14:textId="59D4B76E" w:rsidR="006A3E12" w:rsidRPr="006A3E12" w:rsidRDefault="000035FD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h</w:t>
      </w:r>
      <w:r w:rsidR="006A3E12" w:rsidRPr="006A3E12">
        <w:rPr>
          <w:rFonts w:ascii="Times New Roman" w:eastAsia="Times New Roman" w:hAnsi="Times New Roman" w:cs="Times New Roman"/>
          <w:lang w:eastAsia="en-GB"/>
        </w:rPr>
        <w:t>ypromelóza</w:t>
      </w:r>
      <w:proofErr w:type="spellEnd"/>
      <w:r w:rsidR="00A01F3F">
        <w:rPr>
          <w:rFonts w:ascii="Times New Roman" w:eastAsia="Times New Roman" w:hAnsi="Times New Roman" w:cs="Times New Roman"/>
          <w:lang w:eastAsia="en-GB"/>
        </w:rPr>
        <w:t xml:space="preserve"> (E 464)</w:t>
      </w:r>
    </w:p>
    <w:p w14:paraId="55621DCF" w14:textId="77777777" w:rsidR="006A3E12" w:rsidRPr="006A3E12" w:rsidRDefault="002D5C3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6A3E12">
        <w:rPr>
          <w:rFonts w:ascii="Times New Roman" w:eastAsia="Times New Roman" w:hAnsi="Times New Roman" w:cs="Times New Roman"/>
          <w:lang w:eastAsia="en-GB"/>
        </w:rPr>
        <w:t xml:space="preserve">oxid </w:t>
      </w:r>
      <w:proofErr w:type="spellStart"/>
      <w:r w:rsidRPr="006A3E12">
        <w:rPr>
          <w:rFonts w:ascii="Times New Roman" w:eastAsia="Times New Roman" w:hAnsi="Times New Roman" w:cs="Times New Roman"/>
          <w:lang w:eastAsia="en-GB"/>
        </w:rPr>
        <w:t>titaničitý</w:t>
      </w:r>
      <w:proofErr w:type="spellEnd"/>
      <w:r w:rsidRPr="006A3E12">
        <w:rPr>
          <w:rFonts w:ascii="Times New Roman" w:eastAsia="Times New Roman" w:hAnsi="Times New Roman" w:cs="Times New Roman"/>
          <w:lang w:eastAsia="en-GB"/>
        </w:rPr>
        <w:t xml:space="preserve"> (E 171) </w:t>
      </w:r>
    </w:p>
    <w:p w14:paraId="301E7B72" w14:textId="122E49A4" w:rsidR="006A3E12" w:rsidRPr="006A3E12" w:rsidRDefault="002D5C3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6A3E12">
        <w:rPr>
          <w:rFonts w:ascii="Times New Roman" w:eastAsia="Times New Roman" w:hAnsi="Times New Roman" w:cs="Times New Roman"/>
          <w:lang w:eastAsia="en-GB"/>
        </w:rPr>
        <w:t>makrogol</w:t>
      </w:r>
      <w:proofErr w:type="spellEnd"/>
      <w:r w:rsidRPr="006A3E12">
        <w:rPr>
          <w:rFonts w:ascii="Times New Roman" w:eastAsia="Times New Roman" w:hAnsi="Times New Roman" w:cs="Times New Roman"/>
          <w:lang w:eastAsia="en-GB"/>
        </w:rPr>
        <w:t xml:space="preserve"> 400 </w:t>
      </w:r>
      <w:r w:rsidR="00A01F3F">
        <w:rPr>
          <w:rFonts w:ascii="Times New Roman" w:eastAsia="Times New Roman" w:hAnsi="Times New Roman" w:cs="Times New Roman"/>
          <w:lang w:eastAsia="en-GB"/>
        </w:rPr>
        <w:t>(E 1521)</w:t>
      </w:r>
    </w:p>
    <w:p w14:paraId="1C7297D0" w14:textId="77777777" w:rsidR="006A3E12" w:rsidRPr="006A3E12" w:rsidRDefault="002D5C3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6A3E12">
        <w:rPr>
          <w:rFonts w:ascii="Times New Roman" w:eastAsia="Times New Roman" w:hAnsi="Times New Roman" w:cs="Times New Roman"/>
          <w:lang w:eastAsia="en-GB"/>
        </w:rPr>
        <w:t>červený oxid železitý (E 172)</w:t>
      </w:r>
    </w:p>
    <w:p w14:paraId="7336C068" w14:textId="77777777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6A3E12">
        <w:rPr>
          <w:rFonts w:ascii="Times New Roman" w:eastAsia="Times New Roman" w:hAnsi="Times New Roman" w:cs="Times New Roman"/>
          <w:lang w:eastAsia="en-GB"/>
        </w:rPr>
        <w:t>polysorbát</w:t>
      </w:r>
      <w:proofErr w:type="spellEnd"/>
      <w:r w:rsidRPr="006A3E12">
        <w:rPr>
          <w:rFonts w:ascii="Times New Roman" w:eastAsia="Times New Roman" w:hAnsi="Times New Roman" w:cs="Times New Roman"/>
          <w:lang w:eastAsia="en-GB"/>
        </w:rPr>
        <w:t xml:space="preserve"> 80 (E 433)</w:t>
      </w:r>
    </w:p>
    <w:p w14:paraId="16803851" w14:textId="77777777" w:rsid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</w:p>
    <w:p w14:paraId="4FFD2982" w14:textId="77777777" w:rsidR="006A3E12" w:rsidRPr="006A3E12" w:rsidRDefault="006A3E12" w:rsidP="006A3E12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</w:pPr>
      <w:proofErr w:type="spellStart"/>
      <w:r w:rsidRPr="006A3E12"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  <w:t>Pazopanib</w:t>
      </w:r>
      <w:proofErr w:type="spellEnd"/>
      <w:r w:rsidRPr="006A3E12"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  <w:t xml:space="preserve"> </w:t>
      </w:r>
      <w:proofErr w:type="spellStart"/>
      <w:r w:rsidRPr="006A3E12"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  <w:t>Teva</w:t>
      </w:r>
      <w:proofErr w:type="spellEnd"/>
      <w:r w:rsidRPr="006A3E12"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  <w:t xml:space="preserve"> 400 mg filmom obalené tablety:</w:t>
      </w:r>
    </w:p>
    <w:p w14:paraId="3E2E2EE7" w14:textId="77777777" w:rsidR="006A3E12" w:rsidRPr="006A3E12" w:rsidRDefault="006A3E12" w:rsidP="006A3E12">
      <w:pPr>
        <w:spacing w:after="0" w:line="240" w:lineRule="auto"/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</w:pPr>
    </w:p>
    <w:p w14:paraId="0CCA231F" w14:textId="77777777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highlight w:val="lightGray"/>
          <w:u w:val="single"/>
          <w:lang w:eastAsia="en-GB"/>
        </w:rPr>
      </w:pPr>
      <w:r w:rsidRPr="006A3E12">
        <w:rPr>
          <w:rFonts w:ascii="Times New Roman" w:eastAsia="Times New Roman" w:hAnsi="Times New Roman" w:cs="Times New Roman"/>
          <w:highlight w:val="lightGray"/>
          <w:u w:val="single"/>
          <w:lang w:eastAsia="en-GB"/>
        </w:rPr>
        <w:t>Jadro tablety:</w:t>
      </w:r>
    </w:p>
    <w:p w14:paraId="41B20F83" w14:textId="77777777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highlight w:val="lightGray"/>
          <w:lang w:eastAsia="en-GB"/>
        </w:rPr>
      </w:pPr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 xml:space="preserve">mikrokryštalická celulóza (E 460) </w:t>
      </w:r>
    </w:p>
    <w:p w14:paraId="6709F7B8" w14:textId="77777777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highlight w:val="lightGray"/>
          <w:lang w:eastAsia="en-GB"/>
        </w:rPr>
      </w:pPr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 xml:space="preserve">sodná soľ </w:t>
      </w:r>
      <w:proofErr w:type="spellStart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>karboxymetylškrobu</w:t>
      </w:r>
      <w:proofErr w:type="spellEnd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 xml:space="preserve"> (typ A)</w:t>
      </w:r>
    </w:p>
    <w:p w14:paraId="0471339A" w14:textId="54B3BD53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highlight w:val="lightGray"/>
          <w:lang w:eastAsia="en-GB"/>
        </w:rPr>
      </w:pPr>
      <w:proofErr w:type="spellStart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>povidón</w:t>
      </w:r>
      <w:proofErr w:type="spellEnd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 xml:space="preserve"> K30 </w:t>
      </w:r>
      <w:r w:rsidR="00A01F3F" w:rsidRPr="000B4905">
        <w:rPr>
          <w:rFonts w:ascii="Times New Roman" w:eastAsia="Times New Roman" w:hAnsi="Times New Roman" w:cs="Times New Roman"/>
          <w:highlight w:val="lightGray"/>
          <w:lang w:eastAsia="en-GB"/>
        </w:rPr>
        <w:t>(E 1201)</w:t>
      </w:r>
    </w:p>
    <w:p w14:paraId="05D541B0" w14:textId="77777777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highlight w:val="lightGray"/>
          <w:lang w:eastAsia="en-GB"/>
        </w:rPr>
      </w:pPr>
      <w:proofErr w:type="spellStart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>stearát</w:t>
      </w:r>
      <w:proofErr w:type="spellEnd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 xml:space="preserve"> </w:t>
      </w:r>
      <w:proofErr w:type="spellStart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>horečnatý</w:t>
      </w:r>
      <w:proofErr w:type="spellEnd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 xml:space="preserve"> (E470b)</w:t>
      </w:r>
    </w:p>
    <w:p w14:paraId="6145ACE4" w14:textId="77777777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highlight w:val="lightGray"/>
          <w:lang w:eastAsia="en-GB"/>
        </w:rPr>
      </w:pPr>
    </w:p>
    <w:p w14:paraId="49068A42" w14:textId="77777777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highlight w:val="lightGray"/>
          <w:u w:val="single"/>
          <w:lang w:eastAsia="en-GB"/>
        </w:rPr>
      </w:pPr>
      <w:r w:rsidRPr="006A3E12">
        <w:rPr>
          <w:rFonts w:ascii="Times New Roman" w:eastAsia="Times New Roman" w:hAnsi="Times New Roman" w:cs="Times New Roman"/>
          <w:highlight w:val="lightGray"/>
          <w:u w:val="single"/>
          <w:lang w:eastAsia="en-GB"/>
        </w:rPr>
        <w:t xml:space="preserve">Obal tablety: </w:t>
      </w:r>
    </w:p>
    <w:p w14:paraId="1AF2E13E" w14:textId="6B090038" w:rsidR="006A3E12" w:rsidRPr="006A3E12" w:rsidRDefault="000035FD" w:rsidP="006A3E12">
      <w:pPr>
        <w:spacing w:after="0"/>
        <w:jc w:val="both"/>
        <w:rPr>
          <w:rFonts w:ascii="Times New Roman" w:eastAsia="Times New Roman" w:hAnsi="Times New Roman" w:cs="Times New Roman"/>
          <w:highlight w:val="lightGray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highlight w:val="lightGray"/>
          <w:lang w:eastAsia="en-GB"/>
        </w:rPr>
        <w:t>h</w:t>
      </w:r>
      <w:r w:rsidR="006A3E12" w:rsidRPr="006A3E12">
        <w:rPr>
          <w:rFonts w:ascii="Times New Roman" w:eastAsia="Times New Roman" w:hAnsi="Times New Roman" w:cs="Times New Roman"/>
          <w:highlight w:val="lightGray"/>
          <w:lang w:eastAsia="en-GB"/>
        </w:rPr>
        <w:t>ypromelóza</w:t>
      </w:r>
      <w:proofErr w:type="spellEnd"/>
      <w:r w:rsidR="00A01F3F" w:rsidRPr="000B4905">
        <w:rPr>
          <w:rFonts w:ascii="Times New Roman" w:eastAsia="Times New Roman" w:hAnsi="Times New Roman" w:cs="Times New Roman"/>
          <w:highlight w:val="lightGray"/>
          <w:lang w:eastAsia="en-GB"/>
        </w:rPr>
        <w:t xml:space="preserve"> (E 464)</w:t>
      </w:r>
    </w:p>
    <w:p w14:paraId="72B7C423" w14:textId="77777777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highlight w:val="lightGray"/>
          <w:lang w:eastAsia="en-GB"/>
        </w:rPr>
      </w:pPr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lastRenderedPageBreak/>
        <w:t xml:space="preserve">oxid </w:t>
      </w:r>
      <w:proofErr w:type="spellStart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>titaničitý</w:t>
      </w:r>
      <w:proofErr w:type="spellEnd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 xml:space="preserve"> (E 171) </w:t>
      </w:r>
    </w:p>
    <w:p w14:paraId="0EEC70E6" w14:textId="0CB51BA9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highlight w:val="lightGray"/>
          <w:lang w:eastAsia="en-GB"/>
        </w:rPr>
      </w:pPr>
      <w:proofErr w:type="spellStart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>makrogol</w:t>
      </w:r>
      <w:proofErr w:type="spellEnd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 xml:space="preserve"> 400 </w:t>
      </w:r>
      <w:r w:rsidR="00A01F3F" w:rsidRPr="000B4905">
        <w:rPr>
          <w:rFonts w:ascii="Times New Roman" w:eastAsia="Times New Roman" w:hAnsi="Times New Roman" w:cs="Times New Roman"/>
          <w:highlight w:val="lightGray"/>
          <w:lang w:eastAsia="en-GB"/>
        </w:rPr>
        <w:t>(E 1521)</w:t>
      </w:r>
    </w:p>
    <w:p w14:paraId="1FB3D689" w14:textId="77777777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>polysorbát</w:t>
      </w:r>
      <w:proofErr w:type="spellEnd"/>
      <w:r w:rsidRPr="006A3E12">
        <w:rPr>
          <w:rFonts w:ascii="Times New Roman" w:eastAsia="Times New Roman" w:hAnsi="Times New Roman" w:cs="Times New Roman"/>
          <w:highlight w:val="lightGray"/>
          <w:lang w:eastAsia="en-GB"/>
        </w:rPr>
        <w:t xml:space="preserve"> 80 (E 433)</w:t>
      </w:r>
    </w:p>
    <w:p w14:paraId="3D379CB7" w14:textId="77777777" w:rsidR="006A3E12" w:rsidRP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</w:p>
    <w:p w14:paraId="1983F698" w14:textId="77777777" w:rsidR="006A3E12" w:rsidRDefault="002D5C32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6A3E12">
        <w:rPr>
          <w:rFonts w:ascii="Times New Roman" w:eastAsia="Times New Roman" w:hAnsi="Times New Roman" w:cs="Times New Roman"/>
          <w:b/>
          <w:bCs/>
          <w:lang w:eastAsia="en-GB"/>
        </w:rPr>
        <w:t>6.2</w:t>
      </w:r>
      <w:r w:rsidR="006A3E12">
        <w:rPr>
          <w:rFonts w:ascii="Times New Roman" w:eastAsia="Times New Roman" w:hAnsi="Times New Roman" w:cs="Times New Roman"/>
          <w:b/>
          <w:bCs/>
          <w:lang w:eastAsia="en-GB"/>
        </w:rPr>
        <w:tab/>
      </w:r>
      <w:r w:rsidRPr="006A3E12">
        <w:rPr>
          <w:rFonts w:ascii="Times New Roman" w:eastAsia="Times New Roman" w:hAnsi="Times New Roman" w:cs="Times New Roman"/>
          <w:b/>
          <w:bCs/>
          <w:lang w:eastAsia="en-GB"/>
        </w:rPr>
        <w:t xml:space="preserve"> Inkompatibility </w:t>
      </w:r>
    </w:p>
    <w:p w14:paraId="7697DE16" w14:textId="77777777" w:rsid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B2FED06" w14:textId="77777777" w:rsidR="006A3E12" w:rsidRDefault="002D5C32" w:rsidP="006A3E12">
      <w:pPr>
        <w:spacing w:after="0"/>
        <w:jc w:val="both"/>
      </w:pPr>
      <w:r w:rsidRPr="006A3E12">
        <w:rPr>
          <w:rFonts w:ascii="Times New Roman" w:eastAsia="Times New Roman" w:hAnsi="Times New Roman" w:cs="Times New Roman"/>
          <w:lang w:eastAsia="en-GB"/>
        </w:rPr>
        <w:t>Neaplikovateľné</w:t>
      </w:r>
      <w:r>
        <w:t xml:space="preserve">. </w:t>
      </w:r>
    </w:p>
    <w:p w14:paraId="38A4E2E9" w14:textId="77777777" w:rsidR="006A3E12" w:rsidRDefault="006A3E12" w:rsidP="006A3E12">
      <w:pPr>
        <w:spacing w:after="0"/>
        <w:jc w:val="both"/>
      </w:pPr>
    </w:p>
    <w:p w14:paraId="28A1D56B" w14:textId="77777777" w:rsidR="006A3E12" w:rsidRDefault="002D5C32" w:rsidP="006A3E12">
      <w:pPr>
        <w:spacing w:after="0"/>
        <w:jc w:val="both"/>
      </w:pPr>
      <w:r w:rsidRPr="006A3E12">
        <w:rPr>
          <w:rFonts w:ascii="Times New Roman" w:eastAsia="Times New Roman" w:hAnsi="Times New Roman" w:cs="Times New Roman"/>
          <w:b/>
          <w:bCs/>
          <w:lang w:eastAsia="en-GB"/>
        </w:rPr>
        <w:t xml:space="preserve">6.3 </w:t>
      </w:r>
      <w:r w:rsidR="006A3E12">
        <w:rPr>
          <w:rFonts w:ascii="Times New Roman" w:eastAsia="Times New Roman" w:hAnsi="Times New Roman" w:cs="Times New Roman"/>
          <w:b/>
          <w:bCs/>
          <w:lang w:eastAsia="en-GB"/>
        </w:rPr>
        <w:tab/>
      </w:r>
      <w:r w:rsidRPr="006A3E12">
        <w:rPr>
          <w:rFonts w:ascii="Times New Roman" w:eastAsia="Times New Roman" w:hAnsi="Times New Roman" w:cs="Times New Roman"/>
          <w:b/>
          <w:bCs/>
          <w:lang w:eastAsia="en-GB"/>
        </w:rPr>
        <w:t>Čas použiteľnosti</w:t>
      </w:r>
      <w:r>
        <w:t xml:space="preserve"> </w:t>
      </w:r>
    </w:p>
    <w:p w14:paraId="63853C5E" w14:textId="77777777" w:rsidR="006A3E12" w:rsidRDefault="006A3E12" w:rsidP="006A3E12">
      <w:pPr>
        <w:spacing w:after="0"/>
        <w:jc w:val="both"/>
      </w:pPr>
    </w:p>
    <w:p w14:paraId="0969BB77" w14:textId="1D4A0EAC" w:rsidR="006A3E12" w:rsidRPr="006A3E12" w:rsidRDefault="00B42F3B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4 </w:t>
      </w:r>
      <w:r w:rsidR="006633AB">
        <w:rPr>
          <w:rFonts w:ascii="Times New Roman" w:eastAsia="Times New Roman" w:hAnsi="Times New Roman" w:cs="Times New Roman"/>
          <w:lang w:eastAsia="en-GB"/>
        </w:rPr>
        <w:t>roky</w:t>
      </w:r>
      <w:r w:rsidR="006A3E12" w:rsidRPr="006A3E12">
        <w:rPr>
          <w:rFonts w:ascii="Times New Roman" w:eastAsia="Times New Roman" w:hAnsi="Times New Roman" w:cs="Times New Roman"/>
          <w:lang w:eastAsia="en-GB"/>
        </w:rPr>
        <w:t>.</w:t>
      </w:r>
    </w:p>
    <w:p w14:paraId="38498B7D" w14:textId="77777777" w:rsidR="006A3E12" w:rsidRDefault="006A3E12" w:rsidP="006A3E12">
      <w:pPr>
        <w:spacing w:after="0"/>
        <w:jc w:val="both"/>
      </w:pPr>
    </w:p>
    <w:p w14:paraId="78790A48" w14:textId="77777777" w:rsidR="006A3E12" w:rsidRDefault="002D5C32" w:rsidP="006A3E12">
      <w:pPr>
        <w:spacing w:after="0"/>
        <w:jc w:val="both"/>
      </w:pPr>
      <w:r w:rsidRPr="006A3E12">
        <w:rPr>
          <w:rFonts w:ascii="Times New Roman" w:eastAsia="Times New Roman" w:hAnsi="Times New Roman" w:cs="Times New Roman"/>
          <w:b/>
          <w:bCs/>
          <w:lang w:eastAsia="en-GB"/>
        </w:rPr>
        <w:t xml:space="preserve">6.4 </w:t>
      </w:r>
      <w:r w:rsidR="006A3E12">
        <w:rPr>
          <w:rFonts w:ascii="Times New Roman" w:eastAsia="Times New Roman" w:hAnsi="Times New Roman" w:cs="Times New Roman"/>
          <w:b/>
          <w:bCs/>
          <w:lang w:eastAsia="en-GB"/>
        </w:rPr>
        <w:tab/>
      </w:r>
      <w:r w:rsidRPr="006A3E12">
        <w:rPr>
          <w:rFonts w:ascii="Times New Roman" w:eastAsia="Times New Roman" w:hAnsi="Times New Roman" w:cs="Times New Roman"/>
          <w:b/>
          <w:bCs/>
          <w:lang w:eastAsia="en-GB"/>
        </w:rPr>
        <w:t>Špeciálne upozornenia na uchovávanie</w:t>
      </w:r>
      <w:r>
        <w:t xml:space="preserve"> </w:t>
      </w:r>
    </w:p>
    <w:p w14:paraId="568C5E1F" w14:textId="77777777" w:rsidR="006A3E12" w:rsidRDefault="006A3E12" w:rsidP="006A3E12">
      <w:pPr>
        <w:spacing w:after="0"/>
        <w:jc w:val="both"/>
      </w:pPr>
    </w:p>
    <w:p w14:paraId="6203AFBD" w14:textId="75417038" w:rsidR="006A3E12" w:rsidRDefault="002D5C3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6A3E12">
        <w:rPr>
          <w:rFonts w:ascii="Times New Roman" w:eastAsia="Times New Roman" w:hAnsi="Times New Roman" w:cs="Times New Roman"/>
          <w:lang w:eastAsia="en-GB"/>
        </w:rPr>
        <w:t>Tento liek nevyžaduje ž</w:t>
      </w:r>
      <w:r w:rsidR="00A01F3F">
        <w:rPr>
          <w:rFonts w:ascii="Times New Roman" w:eastAsia="Times New Roman" w:hAnsi="Times New Roman" w:cs="Times New Roman"/>
          <w:lang w:eastAsia="en-GB"/>
        </w:rPr>
        <w:t>ia</w:t>
      </w:r>
      <w:r w:rsidRPr="006A3E12">
        <w:rPr>
          <w:rFonts w:ascii="Times New Roman" w:eastAsia="Times New Roman" w:hAnsi="Times New Roman" w:cs="Times New Roman"/>
          <w:lang w:eastAsia="en-GB"/>
        </w:rPr>
        <w:t xml:space="preserve">dne zvláštne podmienky na uchovávanie. </w:t>
      </w:r>
    </w:p>
    <w:p w14:paraId="4279D5C1" w14:textId="77777777" w:rsidR="006A3E12" w:rsidRDefault="006A3E1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</w:p>
    <w:p w14:paraId="570A1CC3" w14:textId="77777777" w:rsidR="00EF3BED" w:rsidRDefault="002D5C32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6A3E12">
        <w:rPr>
          <w:rFonts w:ascii="Times New Roman" w:eastAsia="Times New Roman" w:hAnsi="Times New Roman" w:cs="Times New Roman"/>
          <w:b/>
          <w:bCs/>
          <w:lang w:eastAsia="en-GB"/>
        </w:rPr>
        <w:t xml:space="preserve">6.5 </w:t>
      </w:r>
      <w:r w:rsidR="006A3E12">
        <w:rPr>
          <w:rFonts w:ascii="Times New Roman" w:eastAsia="Times New Roman" w:hAnsi="Times New Roman" w:cs="Times New Roman"/>
          <w:b/>
          <w:bCs/>
          <w:lang w:eastAsia="en-GB"/>
        </w:rPr>
        <w:tab/>
      </w:r>
      <w:r w:rsidRPr="006A3E12">
        <w:rPr>
          <w:rFonts w:ascii="Times New Roman" w:eastAsia="Times New Roman" w:hAnsi="Times New Roman" w:cs="Times New Roman"/>
          <w:b/>
          <w:bCs/>
          <w:lang w:eastAsia="en-GB"/>
        </w:rPr>
        <w:t xml:space="preserve">Druh obalu a obsah balenia </w:t>
      </w:r>
    </w:p>
    <w:p w14:paraId="39FE41E7" w14:textId="77777777" w:rsidR="00EF3BED" w:rsidRDefault="00EF3BED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330552" w14:textId="77777777" w:rsidR="00EF3BED" w:rsidRPr="00B34054" w:rsidRDefault="00EF3BED" w:rsidP="003F21DA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en-GB"/>
        </w:rPr>
      </w:pPr>
      <w:proofErr w:type="spellStart"/>
      <w:r w:rsidRPr="00B34054">
        <w:rPr>
          <w:rFonts w:ascii="Times New Roman" w:eastAsia="Times New Roman" w:hAnsi="Times New Roman" w:cs="Times New Roman"/>
          <w:i/>
          <w:u w:val="single"/>
          <w:lang w:eastAsia="en-GB"/>
        </w:rPr>
        <w:t>Pazopanib</w:t>
      </w:r>
      <w:proofErr w:type="spellEnd"/>
      <w:r w:rsidRPr="00B34054">
        <w:rPr>
          <w:rFonts w:ascii="Times New Roman" w:eastAsia="Times New Roman" w:hAnsi="Times New Roman" w:cs="Times New Roman"/>
          <w:i/>
          <w:u w:val="single"/>
          <w:lang w:eastAsia="en-GB"/>
        </w:rPr>
        <w:t xml:space="preserve"> </w:t>
      </w:r>
      <w:proofErr w:type="spellStart"/>
      <w:r w:rsidRPr="00B34054">
        <w:rPr>
          <w:rFonts w:ascii="Times New Roman" w:eastAsia="Times New Roman" w:hAnsi="Times New Roman" w:cs="Times New Roman"/>
          <w:i/>
          <w:u w:val="single"/>
          <w:lang w:eastAsia="en-GB"/>
        </w:rPr>
        <w:t>Teva</w:t>
      </w:r>
      <w:proofErr w:type="spellEnd"/>
      <w:r w:rsidRPr="00B34054">
        <w:rPr>
          <w:rFonts w:ascii="Times New Roman" w:eastAsia="Times New Roman" w:hAnsi="Times New Roman" w:cs="Times New Roman"/>
          <w:i/>
          <w:u w:val="single"/>
          <w:lang w:eastAsia="en-GB"/>
        </w:rPr>
        <w:t xml:space="preserve"> 200 mg filmom obalené tablety</w:t>
      </w:r>
      <w:r>
        <w:rPr>
          <w:rFonts w:ascii="Times New Roman" w:eastAsia="Times New Roman" w:hAnsi="Times New Roman" w:cs="Times New Roman"/>
          <w:i/>
          <w:u w:val="single"/>
          <w:lang w:eastAsia="en-GB"/>
        </w:rPr>
        <w:t>:</w:t>
      </w:r>
    </w:p>
    <w:p w14:paraId="465B2820" w14:textId="77777777" w:rsidR="00CA6CBB" w:rsidRDefault="00971D0C" w:rsidP="00AB2DE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u w:val="single"/>
          <w:lang w:eastAsia="en-GB"/>
        </w:rPr>
      </w:pPr>
      <w:r w:rsidRPr="00AC58BD">
        <w:rPr>
          <w:rFonts w:ascii="Times New Roman" w:eastAsia="Times New Roman" w:hAnsi="Times New Roman" w:cs="Times New Roman"/>
          <w:lang w:eastAsia="en-GB"/>
        </w:rPr>
        <w:t xml:space="preserve">30, 60, </w:t>
      </w:r>
      <w:proofErr w:type="spellStart"/>
      <w:r w:rsidRPr="00AC58BD">
        <w:rPr>
          <w:rFonts w:ascii="Times New Roman" w:eastAsia="Times New Roman" w:hAnsi="Times New Roman" w:cs="Times New Roman"/>
          <w:lang w:eastAsia="en-GB"/>
        </w:rPr>
        <w:t>multibalenie</w:t>
      </w:r>
      <w:proofErr w:type="spellEnd"/>
      <w:r w:rsidRPr="00AC58BD">
        <w:rPr>
          <w:rFonts w:ascii="Times New Roman" w:eastAsia="Times New Roman" w:hAnsi="Times New Roman" w:cs="Times New Roman"/>
          <w:lang w:eastAsia="en-GB"/>
        </w:rPr>
        <w:t xml:space="preserve"> po 60 (2 balenia po 30), 90, </w:t>
      </w:r>
      <w:proofErr w:type="spellStart"/>
      <w:r w:rsidRPr="00AC58BD">
        <w:rPr>
          <w:rFonts w:ascii="Times New Roman" w:eastAsia="Times New Roman" w:hAnsi="Times New Roman" w:cs="Times New Roman"/>
          <w:lang w:eastAsia="en-GB"/>
        </w:rPr>
        <w:t>multibalenie</w:t>
      </w:r>
      <w:proofErr w:type="spellEnd"/>
      <w:r w:rsidRPr="00AC58BD">
        <w:rPr>
          <w:rFonts w:ascii="Times New Roman" w:eastAsia="Times New Roman" w:hAnsi="Times New Roman" w:cs="Times New Roman"/>
          <w:lang w:eastAsia="en-GB"/>
        </w:rPr>
        <w:t xml:space="preserve"> po 90 (3 balenia po 30)</w:t>
      </w:r>
      <w:r w:rsidR="00EF3BED" w:rsidRPr="00AC58BD">
        <w:rPr>
          <w:rFonts w:ascii="Times New Roman" w:eastAsia="Times New Roman" w:hAnsi="Times New Roman" w:cs="Times New Roman"/>
          <w:lang w:eastAsia="en-GB"/>
        </w:rPr>
        <w:t xml:space="preserve"> </w:t>
      </w:r>
      <w:r w:rsidR="00AC58BD">
        <w:rPr>
          <w:rFonts w:ascii="Times New Roman" w:eastAsia="Times New Roman" w:hAnsi="Times New Roman" w:cs="Times New Roman"/>
          <w:lang w:eastAsia="en-GB"/>
        </w:rPr>
        <w:t>filmom obalených tabliet</w:t>
      </w:r>
      <w:r w:rsidR="00EF3BED" w:rsidRPr="00AC58B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AC58BD">
        <w:rPr>
          <w:rFonts w:ascii="Times New Roman" w:eastAsia="Times New Roman" w:hAnsi="Times New Roman" w:cs="Times New Roman"/>
          <w:lang w:eastAsia="en-GB"/>
        </w:rPr>
        <w:t>v č</w:t>
      </w:r>
      <w:r w:rsidR="009E5686">
        <w:rPr>
          <w:rFonts w:ascii="Times New Roman" w:eastAsia="Times New Roman" w:hAnsi="Times New Roman" w:cs="Times New Roman"/>
          <w:lang w:eastAsia="en-GB"/>
        </w:rPr>
        <w:t>íry</w:t>
      </w:r>
      <w:r w:rsidRPr="00AC58BD">
        <w:rPr>
          <w:rFonts w:ascii="Times New Roman" w:eastAsia="Times New Roman" w:hAnsi="Times New Roman" w:cs="Times New Roman"/>
          <w:lang w:eastAsia="en-GB"/>
        </w:rPr>
        <w:t xml:space="preserve">ch/priehľadných hliníkových PVC/PE/PVDC </w:t>
      </w:r>
      <w:proofErr w:type="spellStart"/>
      <w:r w:rsidRPr="00AC58BD">
        <w:rPr>
          <w:rFonts w:ascii="Times New Roman" w:eastAsia="Times New Roman" w:hAnsi="Times New Roman" w:cs="Times New Roman"/>
          <w:lang w:eastAsia="en-GB"/>
        </w:rPr>
        <w:t>blistroch</w:t>
      </w:r>
      <w:proofErr w:type="spellEnd"/>
      <w:r w:rsidRPr="00AC58BD">
        <w:rPr>
          <w:rFonts w:ascii="Times New Roman" w:eastAsia="Times New Roman" w:hAnsi="Times New Roman" w:cs="Times New Roman"/>
          <w:lang w:eastAsia="en-GB"/>
        </w:rPr>
        <w:t>.</w:t>
      </w:r>
      <w:r w:rsidRPr="00B34054">
        <w:rPr>
          <w:rFonts w:ascii="Times New Roman" w:eastAsia="Times New Roman" w:hAnsi="Times New Roman" w:cs="Times New Roman"/>
          <w:i/>
          <w:u w:val="single"/>
          <w:lang w:eastAsia="en-GB"/>
        </w:rPr>
        <w:t xml:space="preserve"> </w:t>
      </w:r>
    </w:p>
    <w:p w14:paraId="74ABC075" w14:textId="5D36BD41" w:rsidR="00CA6CBB" w:rsidRPr="00E149DD" w:rsidRDefault="00CA6CBB" w:rsidP="00AB2DE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Cs/>
          <w:lang w:eastAsia="en-GB"/>
        </w:rPr>
      </w:pPr>
      <w:r w:rsidRPr="00E149DD">
        <w:rPr>
          <w:rFonts w:ascii="Times New Roman" w:eastAsia="Times New Roman" w:hAnsi="Times New Roman" w:cs="Times New Roman"/>
          <w:iCs/>
          <w:lang w:eastAsia="en-GB"/>
        </w:rPr>
        <w:t>30 filmom obalených tabliet v</w:t>
      </w:r>
      <w:r w:rsidR="009720E8" w:rsidRPr="00E149DD">
        <w:rPr>
          <w:rFonts w:ascii="Times New Roman" w:eastAsia="Times New Roman" w:hAnsi="Times New Roman" w:cs="Times New Roman"/>
          <w:iCs/>
          <w:lang w:eastAsia="en-GB"/>
        </w:rPr>
        <w:t xml:space="preserve"> bielych</w:t>
      </w:r>
      <w:r w:rsidRPr="00E149DD">
        <w:rPr>
          <w:rFonts w:ascii="Times New Roman" w:eastAsia="Times New Roman" w:hAnsi="Times New Roman" w:cs="Times New Roman"/>
          <w:iCs/>
          <w:lang w:eastAsia="en-GB"/>
        </w:rPr>
        <w:t xml:space="preserve"> fľašiach (HDPE) s</w:t>
      </w:r>
      <w:r w:rsidR="009720E8" w:rsidRPr="00E149DD">
        <w:rPr>
          <w:rFonts w:ascii="Times New Roman" w:eastAsia="Times New Roman" w:hAnsi="Times New Roman" w:cs="Times New Roman"/>
          <w:iCs/>
          <w:lang w:eastAsia="en-GB"/>
        </w:rPr>
        <w:t xml:space="preserve"> bielym </w:t>
      </w:r>
      <w:r w:rsidRPr="00E149DD">
        <w:rPr>
          <w:rFonts w:ascii="Times New Roman" w:eastAsia="Times New Roman" w:hAnsi="Times New Roman" w:cs="Times New Roman"/>
          <w:iCs/>
          <w:lang w:eastAsia="en-GB"/>
        </w:rPr>
        <w:t>polypropylénovým detským bezpečnostným uzáverom.</w:t>
      </w:r>
    </w:p>
    <w:p w14:paraId="378A8711" w14:textId="77777777" w:rsidR="000A3433" w:rsidRPr="00AB2DEF" w:rsidRDefault="000A3433" w:rsidP="00AB2DE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Cs/>
          <w:u w:val="single"/>
          <w:lang w:eastAsia="en-GB"/>
        </w:rPr>
      </w:pPr>
    </w:p>
    <w:p w14:paraId="7857DDB7" w14:textId="77777777" w:rsidR="00EF3BED" w:rsidRPr="00F16C66" w:rsidRDefault="00971D0C" w:rsidP="00AB2DE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</w:pPr>
      <w:proofErr w:type="spellStart"/>
      <w:r w:rsidRPr="00F16C66"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  <w:t>Pazopanib</w:t>
      </w:r>
      <w:proofErr w:type="spellEnd"/>
      <w:r w:rsidRPr="00F16C66"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  <w:t xml:space="preserve"> </w:t>
      </w:r>
      <w:proofErr w:type="spellStart"/>
      <w:r w:rsidRPr="00F16C66"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  <w:t>Teva</w:t>
      </w:r>
      <w:proofErr w:type="spellEnd"/>
      <w:r w:rsidRPr="00F16C66"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  <w:t xml:space="preserve"> 4</w:t>
      </w:r>
      <w:r w:rsidR="00EF3BED" w:rsidRPr="00F16C66">
        <w:rPr>
          <w:rFonts w:ascii="Times New Roman" w:eastAsia="Times New Roman" w:hAnsi="Times New Roman" w:cs="Times New Roman"/>
          <w:i/>
          <w:highlight w:val="lightGray"/>
          <w:u w:val="single"/>
          <w:lang w:eastAsia="en-GB"/>
        </w:rPr>
        <w:t>00 mg filmom obalené tablety:</w:t>
      </w:r>
    </w:p>
    <w:p w14:paraId="125A3F8E" w14:textId="77777777" w:rsidR="00CA6CBB" w:rsidRDefault="00AC58BD" w:rsidP="00AB2DE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en-GB"/>
        </w:rPr>
      </w:pPr>
      <w:r w:rsidRPr="00F16C66">
        <w:rPr>
          <w:rFonts w:ascii="Times New Roman" w:eastAsia="Times New Roman" w:hAnsi="Times New Roman" w:cs="Times New Roman"/>
          <w:highlight w:val="lightGray"/>
          <w:lang w:eastAsia="en-GB"/>
        </w:rPr>
        <w:t xml:space="preserve">30, 60, </w:t>
      </w:r>
      <w:proofErr w:type="spellStart"/>
      <w:r w:rsidRPr="00F16C66">
        <w:rPr>
          <w:rFonts w:ascii="Times New Roman" w:eastAsia="Times New Roman" w:hAnsi="Times New Roman" w:cs="Times New Roman"/>
          <w:highlight w:val="lightGray"/>
          <w:lang w:eastAsia="en-GB"/>
        </w:rPr>
        <w:t>multibalenie</w:t>
      </w:r>
      <w:proofErr w:type="spellEnd"/>
      <w:r w:rsidRPr="00F16C66">
        <w:rPr>
          <w:rFonts w:ascii="Times New Roman" w:eastAsia="Times New Roman" w:hAnsi="Times New Roman" w:cs="Times New Roman"/>
          <w:highlight w:val="lightGray"/>
          <w:lang w:eastAsia="en-GB"/>
        </w:rPr>
        <w:t xml:space="preserve"> po 60 (2 balenia po 30), 90, </w:t>
      </w:r>
      <w:proofErr w:type="spellStart"/>
      <w:r w:rsidRPr="00F16C66">
        <w:rPr>
          <w:rFonts w:ascii="Times New Roman" w:eastAsia="Times New Roman" w:hAnsi="Times New Roman" w:cs="Times New Roman"/>
          <w:highlight w:val="lightGray"/>
          <w:lang w:eastAsia="en-GB"/>
        </w:rPr>
        <w:t>multibalenie</w:t>
      </w:r>
      <w:proofErr w:type="spellEnd"/>
      <w:r w:rsidRPr="00F16C66">
        <w:rPr>
          <w:rFonts w:ascii="Times New Roman" w:eastAsia="Times New Roman" w:hAnsi="Times New Roman" w:cs="Times New Roman"/>
          <w:highlight w:val="lightGray"/>
          <w:lang w:eastAsia="en-GB"/>
        </w:rPr>
        <w:t xml:space="preserve"> po 90 (3 balenia po 30) filmom obalených tabliet v č</w:t>
      </w:r>
      <w:r w:rsidR="009E5686">
        <w:rPr>
          <w:rFonts w:ascii="Times New Roman" w:eastAsia="Times New Roman" w:hAnsi="Times New Roman" w:cs="Times New Roman"/>
          <w:highlight w:val="lightGray"/>
          <w:lang w:eastAsia="en-GB"/>
        </w:rPr>
        <w:t>íry</w:t>
      </w:r>
      <w:r w:rsidRPr="00F16C66">
        <w:rPr>
          <w:rFonts w:ascii="Times New Roman" w:eastAsia="Times New Roman" w:hAnsi="Times New Roman" w:cs="Times New Roman"/>
          <w:highlight w:val="lightGray"/>
          <w:lang w:eastAsia="en-GB"/>
        </w:rPr>
        <w:t xml:space="preserve">ch/priehľadných hliníkových PVC/PE/PVDC </w:t>
      </w:r>
      <w:proofErr w:type="spellStart"/>
      <w:r w:rsidRPr="00F16C66">
        <w:rPr>
          <w:rFonts w:ascii="Times New Roman" w:eastAsia="Times New Roman" w:hAnsi="Times New Roman" w:cs="Times New Roman"/>
          <w:highlight w:val="lightGray"/>
          <w:lang w:eastAsia="en-GB"/>
        </w:rPr>
        <w:t>blistroch</w:t>
      </w:r>
      <w:proofErr w:type="spellEnd"/>
      <w:r w:rsidRPr="00F16C66">
        <w:rPr>
          <w:rFonts w:ascii="Times New Roman" w:eastAsia="Times New Roman" w:hAnsi="Times New Roman" w:cs="Times New Roman"/>
          <w:highlight w:val="lightGray"/>
          <w:lang w:eastAsia="en-GB"/>
        </w:rPr>
        <w:t>.</w:t>
      </w:r>
    </w:p>
    <w:p w14:paraId="5DE1A99E" w14:textId="6968D5EC" w:rsidR="00AC58BD" w:rsidRPr="00AB2DEF" w:rsidRDefault="00CA6CBB" w:rsidP="00AB2DE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highlight w:val="lightGray"/>
          <w:lang w:eastAsia="en-GB"/>
        </w:rPr>
      </w:pPr>
      <w:r w:rsidRPr="00AB2DEF">
        <w:rPr>
          <w:rFonts w:ascii="Times New Roman" w:eastAsia="Times New Roman" w:hAnsi="Times New Roman" w:cs="Times New Roman"/>
          <w:highlight w:val="lightGray"/>
          <w:lang w:eastAsia="en-GB"/>
        </w:rPr>
        <w:t xml:space="preserve">30, 60, </w:t>
      </w:r>
      <w:proofErr w:type="spellStart"/>
      <w:r w:rsidRPr="00AB2DEF">
        <w:rPr>
          <w:rFonts w:ascii="Times New Roman" w:eastAsia="Times New Roman" w:hAnsi="Times New Roman" w:cs="Times New Roman"/>
          <w:highlight w:val="lightGray"/>
          <w:lang w:eastAsia="en-GB"/>
        </w:rPr>
        <w:t>multibalenie</w:t>
      </w:r>
      <w:proofErr w:type="spellEnd"/>
      <w:r w:rsidRPr="00AB2DEF">
        <w:rPr>
          <w:rFonts w:ascii="Times New Roman" w:eastAsia="Times New Roman" w:hAnsi="Times New Roman" w:cs="Times New Roman"/>
          <w:highlight w:val="lightGray"/>
          <w:lang w:eastAsia="en-GB"/>
        </w:rPr>
        <w:t xml:space="preserve"> po 60 (2 balenia po 30) filmom obalených tabliet v</w:t>
      </w:r>
      <w:r w:rsidR="009720E8">
        <w:rPr>
          <w:rFonts w:ascii="Times New Roman" w:eastAsia="Times New Roman" w:hAnsi="Times New Roman" w:cs="Times New Roman"/>
          <w:highlight w:val="lightGray"/>
          <w:lang w:eastAsia="en-GB"/>
        </w:rPr>
        <w:t xml:space="preserve"> bielych</w:t>
      </w:r>
      <w:r w:rsidRPr="00AB2DEF">
        <w:rPr>
          <w:rFonts w:ascii="Times New Roman" w:eastAsia="Times New Roman" w:hAnsi="Times New Roman" w:cs="Times New Roman"/>
          <w:highlight w:val="lightGray"/>
          <w:lang w:eastAsia="en-GB"/>
        </w:rPr>
        <w:t xml:space="preserve"> </w:t>
      </w:r>
      <w:r w:rsidR="00A62ABA" w:rsidRPr="00AB2DEF">
        <w:rPr>
          <w:rFonts w:ascii="Times New Roman" w:hAnsi="Times New Roman" w:cs="Times New Roman"/>
          <w:highlight w:val="lightGray"/>
        </w:rPr>
        <w:t>fľašiach</w:t>
      </w:r>
      <w:r w:rsidR="00A62ABA" w:rsidRPr="00A62ABA">
        <w:rPr>
          <w:rFonts w:ascii="Times New Roman" w:eastAsia="Times New Roman" w:hAnsi="Times New Roman" w:cs="Times New Roman"/>
          <w:highlight w:val="lightGray"/>
          <w:lang w:eastAsia="en-GB"/>
        </w:rPr>
        <w:t xml:space="preserve"> </w:t>
      </w:r>
      <w:r w:rsidRPr="00AB2DEF">
        <w:rPr>
          <w:rFonts w:ascii="Times New Roman" w:eastAsia="Times New Roman" w:hAnsi="Times New Roman" w:cs="Times New Roman"/>
          <w:highlight w:val="lightGray"/>
          <w:lang w:eastAsia="en-GB"/>
        </w:rPr>
        <w:t>(HDPE) s</w:t>
      </w:r>
      <w:r w:rsidR="009720E8">
        <w:rPr>
          <w:rFonts w:ascii="Times New Roman" w:eastAsia="Times New Roman" w:hAnsi="Times New Roman" w:cs="Times New Roman"/>
          <w:highlight w:val="lightGray"/>
          <w:lang w:eastAsia="en-GB"/>
        </w:rPr>
        <w:t xml:space="preserve"> bielym </w:t>
      </w:r>
      <w:r w:rsidRPr="00AB2DEF">
        <w:rPr>
          <w:rFonts w:ascii="Times New Roman" w:eastAsia="Times New Roman" w:hAnsi="Times New Roman" w:cs="Times New Roman"/>
          <w:highlight w:val="lightGray"/>
          <w:lang w:eastAsia="en-GB"/>
        </w:rPr>
        <w:t>polypropylénovým detským bezpečnostným uzáverom.</w:t>
      </w:r>
      <w:r w:rsidR="00AC58BD" w:rsidRPr="00AB2DEF">
        <w:rPr>
          <w:rFonts w:ascii="Times New Roman" w:eastAsia="Times New Roman" w:hAnsi="Times New Roman" w:cs="Times New Roman"/>
          <w:highlight w:val="lightGray"/>
          <w:lang w:eastAsia="en-GB"/>
        </w:rPr>
        <w:t xml:space="preserve"> </w:t>
      </w:r>
    </w:p>
    <w:p w14:paraId="35350138" w14:textId="77777777" w:rsidR="00EF3BED" w:rsidRPr="00AB2DEF" w:rsidRDefault="00EF3BED" w:rsidP="000A3433">
      <w:pPr>
        <w:spacing w:after="0"/>
        <w:jc w:val="both"/>
        <w:rPr>
          <w:rFonts w:ascii="Times New Roman" w:eastAsia="Times New Roman" w:hAnsi="Times New Roman" w:cs="Times New Roman"/>
          <w:highlight w:val="lightGray"/>
          <w:lang w:eastAsia="en-GB"/>
        </w:rPr>
      </w:pPr>
    </w:p>
    <w:p w14:paraId="4D7C8D9F" w14:textId="77777777" w:rsidR="00EF3BED" w:rsidRPr="00AC58BD" w:rsidRDefault="002D5C32" w:rsidP="00AC58B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AC58BD">
        <w:rPr>
          <w:rFonts w:ascii="Times New Roman" w:eastAsia="Times New Roman" w:hAnsi="Times New Roman" w:cs="Times New Roman"/>
          <w:lang w:eastAsia="en-GB"/>
        </w:rPr>
        <w:t>Na trh nemusia byť u</w:t>
      </w:r>
      <w:r w:rsidR="00EF3BED" w:rsidRPr="00AC58BD">
        <w:rPr>
          <w:rFonts w:ascii="Times New Roman" w:eastAsia="Times New Roman" w:hAnsi="Times New Roman" w:cs="Times New Roman"/>
          <w:lang w:eastAsia="en-GB"/>
        </w:rPr>
        <w:t>vedené všetky veľkosti balenia.</w:t>
      </w:r>
    </w:p>
    <w:p w14:paraId="66843990" w14:textId="77777777" w:rsidR="00EF3BED" w:rsidRDefault="00EF3BED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9A146D0" w14:textId="77777777" w:rsidR="00EF3BED" w:rsidRDefault="002D5C32" w:rsidP="006A3E12">
      <w:pPr>
        <w:spacing w:after="0"/>
        <w:jc w:val="both"/>
      </w:pP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 xml:space="preserve">6.6 </w:t>
      </w:r>
      <w:r w:rsidR="00EF3BED">
        <w:rPr>
          <w:rFonts w:ascii="Times New Roman" w:eastAsia="Times New Roman" w:hAnsi="Times New Roman" w:cs="Times New Roman"/>
          <w:b/>
          <w:bCs/>
          <w:lang w:eastAsia="en-GB"/>
        </w:rPr>
        <w:tab/>
      </w: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>Špeciálne opatrenia na likvidáciu</w:t>
      </w:r>
      <w:r>
        <w:t xml:space="preserve"> </w:t>
      </w:r>
    </w:p>
    <w:p w14:paraId="3B26A348" w14:textId="77777777" w:rsidR="00EF3BED" w:rsidRDefault="00EF3BED" w:rsidP="006A3E12">
      <w:pPr>
        <w:spacing w:after="0"/>
        <w:jc w:val="both"/>
      </w:pPr>
    </w:p>
    <w:p w14:paraId="5452D599" w14:textId="77777777" w:rsidR="00EF3BED" w:rsidRPr="00AC58BD" w:rsidRDefault="002D5C32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AC58BD">
        <w:rPr>
          <w:rFonts w:ascii="Times New Roman" w:eastAsia="Times New Roman" w:hAnsi="Times New Roman" w:cs="Times New Roman"/>
          <w:lang w:eastAsia="en-GB"/>
        </w:rPr>
        <w:t xml:space="preserve">Žiadne zvláštne požiadavky. </w:t>
      </w:r>
    </w:p>
    <w:p w14:paraId="08D943A0" w14:textId="1624F5BD" w:rsidR="00EF3BED" w:rsidRPr="006F4C89" w:rsidRDefault="00EF3BED" w:rsidP="006A3E12">
      <w:pPr>
        <w:spacing w:after="0"/>
        <w:jc w:val="both"/>
        <w:rPr>
          <w:rFonts w:ascii="Times New Roman" w:hAnsi="Times New Roman" w:cs="Times New Roman"/>
        </w:rPr>
      </w:pPr>
    </w:p>
    <w:p w14:paraId="1203F9F7" w14:textId="77777777" w:rsidR="00EF3BED" w:rsidRPr="006F4C89" w:rsidRDefault="00EF3BED" w:rsidP="006A3E12">
      <w:pPr>
        <w:spacing w:after="0"/>
        <w:jc w:val="both"/>
        <w:rPr>
          <w:rFonts w:ascii="Times New Roman" w:hAnsi="Times New Roman" w:cs="Times New Roman"/>
        </w:rPr>
      </w:pPr>
    </w:p>
    <w:p w14:paraId="3D992BFB" w14:textId="77777777" w:rsidR="002D5C32" w:rsidRDefault="002D5C32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 xml:space="preserve">7. </w:t>
      </w:r>
      <w:r w:rsidR="00EF3BED">
        <w:rPr>
          <w:rFonts w:ascii="Times New Roman" w:eastAsia="Times New Roman" w:hAnsi="Times New Roman" w:cs="Times New Roman"/>
          <w:b/>
          <w:bCs/>
          <w:lang w:eastAsia="en-GB"/>
        </w:rPr>
        <w:tab/>
      </w: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>DRŽITEĽ ROZHODNUTIA O</w:t>
      </w:r>
      <w:r w:rsidR="00EF3BED">
        <w:rPr>
          <w:rFonts w:ascii="Times New Roman" w:eastAsia="Times New Roman" w:hAnsi="Times New Roman" w:cs="Times New Roman"/>
          <w:b/>
          <w:bCs/>
          <w:lang w:eastAsia="en-GB"/>
        </w:rPr>
        <w:t> </w:t>
      </w: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>REGISTRÁ</w:t>
      </w:r>
      <w:r w:rsidRPr="00275763">
        <w:rPr>
          <w:rFonts w:ascii="Times New Roman" w:eastAsia="Times New Roman" w:hAnsi="Times New Roman" w:cs="Times New Roman"/>
          <w:b/>
          <w:bCs/>
          <w:vertAlign w:val="subscript"/>
          <w:lang w:eastAsia="en-GB"/>
        </w:rPr>
        <w:t>C</w:t>
      </w: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>II</w:t>
      </w:r>
    </w:p>
    <w:p w14:paraId="38391F51" w14:textId="77777777" w:rsidR="00EF3BED" w:rsidRDefault="00EF3BED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027325D2" w14:textId="77777777" w:rsidR="00EF3BED" w:rsidRDefault="00EF3BED" w:rsidP="00531CFF">
      <w:pPr>
        <w:pStyle w:val="Default"/>
        <w:rPr>
          <w:color w:val="auto"/>
          <w:sz w:val="22"/>
          <w:szCs w:val="22"/>
        </w:rPr>
      </w:pPr>
      <w:proofErr w:type="spellStart"/>
      <w:r w:rsidRPr="0012618B">
        <w:rPr>
          <w:color w:val="auto"/>
          <w:sz w:val="22"/>
          <w:szCs w:val="22"/>
        </w:rPr>
        <w:t>Teva</w:t>
      </w:r>
      <w:proofErr w:type="spellEnd"/>
      <w:r w:rsidRPr="0012618B">
        <w:rPr>
          <w:color w:val="auto"/>
          <w:sz w:val="22"/>
          <w:szCs w:val="22"/>
        </w:rPr>
        <w:t xml:space="preserve"> B.V., </w:t>
      </w:r>
      <w:proofErr w:type="spellStart"/>
      <w:r w:rsidRPr="0012618B">
        <w:rPr>
          <w:color w:val="auto"/>
          <w:sz w:val="22"/>
          <w:szCs w:val="22"/>
        </w:rPr>
        <w:t>Swensweg</w:t>
      </w:r>
      <w:proofErr w:type="spellEnd"/>
      <w:r w:rsidRPr="0012618B">
        <w:rPr>
          <w:color w:val="auto"/>
          <w:sz w:val="22"/>
          <w:szCs w:val="22"/>
        </w:rPr>
        <w:t xml:space="preserve"> 5, </w:t>
      </w:r>
    </w:p>
    <w:p w14:paraId="167E9008" w14:textId="77777777" w:rsidR="00EF3BED" w:rsidRDefault="00EF3BED" w:rsidP="00531CFF">
      <w:pPr>
        <w:pStyle w:val="Default"/>
        <w:rPr>
          <w:color w:val="auto"/>
          <w:sz w:val="22"/>
          <w:szCs w:val="22"/>
        </w:rPr>
      </w:pPr>
      <w:r w:rsidRPr="0012618B">
        <w:rPr>
          <w:color w:val="auto"/>
          <w:sz w:val="22"/>
          <w:szCs w:val="22"/>
        </w:rPr>
        <w:t xml:space="preserve">2031 GA </w:t>
      </w:r>
      <w:proofErr w:type="spellStart"/>
      <w:r w:rsidRPr="0012618B">
        <w:rPr>
          <w:color w:val="auto"/>
          <w:sz w:val="22"/>
          <w:szCs w:val="22"/>
        </w:rPr>
        <w:t>Haarlem</w:t>
      </w:r>
      <w:proofErr w:type="spellEnd"/>
      <w:r w:rsidRPr="0012618B">
        <w:rPr>
          <w:color w:val="auto"/>
          <w:sz w:val="22"/>
          <w:szCs w:val="22"/>
        </w:rPr>
        <w:t xml:space="preserve">, </w:t>
      </w:r>
    </w:p>
    <w:p w14:paraId="106832DE" w14:textId="77777777" w:rsidR="00EF3BED" w:rsidRDefault="00EF3BED" w:rsidP="00531CFF">
      <w:pPr>
        <w:pStyle w:val="Default"/>
        <w:rPr>
          <w:rFonts w:eastAsia="Times New Roman"/>
          <w:b/>
          <w:bCs/>
          <w:lang w:eastAsia="en-GB"/>
        </w:rPr>
      </w:pPr>
      <w:r w:rsidRPr="0012618B">
        <w:rPr>
          <w:color w:val="auto"/>
          <w:sz w:val="22"/>
          <w:szCs w:val="22"/>
        </w:rPr>
        <w:t>Holandsko</w:t>
      </w:r>
      <w:r>
        <w:rPr>
          <w:color w:val="auto"/>
          <w:sz w:val="22"/>
          <w:szCs w:val="22"/>
        </w:rPr>
        <w:t xml:space="preserve"> </w:t>
      </w:r>
    </w:p>
    <w:p w14:paraId="6970A141" w14:textId="77777777" w:rsidR="00EF3BED" w:rsidRDefault="00EF3BED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0E71E6C" w14:textId="77777777" w:rsidR="00EF3BED" w:rsidRDefault="00EF3BED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D86C69C" w14:textId="77777777" w:rsidR="00EF3BED" w:rsidRDefault="00EF3BED" w:rsidP="006A3E12">
      <w:pPr>
        <w:spacing w:after="0"/>
        <w:jc w:val="both"/>
      </w:pP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lang w:eastAsia="en-GB"/>
        </w:rPr>
        <w:tab/>
      </w: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>REGISTRAČNÉ ČÍSLO</w:t>
      </w:r>
      <w:r>
        <w:t xml:space="preserve"> </w:t>
      </w:r>
    </w:p>
    <w:p w14:paraId="167E436A" w14:textId="77777777" w:rsidR="00EF3BED" w:rsidRDefault="00EF3BED" w:rsidP="006A3E12">
      <w:pPr>
        <w:spacing w:after="0"/>
        <w:jc w:val="both"/>
      </w:pPr>
    </w:p>
    <w:p w14:paraId="0985DF2C" w14:textId="54AB45DC" w:rsidR="00E93B88" w:rsidRPr="00E93B88" w:rsidRDefault="00E93B88" w:rsidP="00E93B8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93B88">
        <w:rPr>
          <w:rFonts w:ascii="Times New Roman" w:eastAsia="Times New Roman" w:hAnsi="Times New Roman" w:cs="Times New Roman"/>
          <w:lang w:eastAsia="en-GB"/>
        </w:rPr>
        <w:t>Pazopanib</w:t>
      </w:r>
      <w:proofErr w:type="spellEnd"/>
      <w:r w:rsidRPr="00E93B8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E93B88">
        <w:rPr>
          <w:rFonts w:ascii="Times New Roman" w:eastAsia="Times New Roman" w:hAnsi="Times New Roman" w:cs="Times New Roman"/>
          <w:lang w:eastAsia="en-GB"/>
        </w:rPr>
        <w:t>Teva</w:t>
      </w:r>
      <w:proofErr w:type="spellEnd"/>
      <w:r w:rsidRPr="00E93B88">
        <w:rPr>
          <w:rFonts w:ascii="Times New Roman" w:eastAsia="Times New Roman" w:hAnsi="Times New Roman" w:cs="Times New Roman"/>
          <w:lang w:eastAsia="en-GB"/>
        </w:rPr>
        <w:t xml:space="preserve"> 200 mg filmom obalené tablety: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E93B88">
        <w:rPr>
          <w:rFonts w:ascii="Times New Roman" w:eastAsia="Times New Roman" w:hAnsi="Times New Roman" w:cs="Times New Roman"/>
          <w:lang w:eastAsia="en-GB"/>
        </w:rPr>
        <w:t>44/0037/22-S</w:t>
      </w:r>
    </w:p>
    <w:p w14:paraId="7CF6AE13" w14:textId="5CC2E10A" w:rsidR="00E93B88" w:rsidRPr="00E93B88" w:rsidRDefault="00E93B88" w:rsidP="00E93B88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93B88">
        <w:rPr>
          <w:rFonts w:ascii="Times New Roman" w:eastAsia="Times New Roman" w:hAnsi="Times New Roman" w:cs="Times New Roman"/>
          <w:highlight w:val="lightGray"/>
          <w:lang w:eastAsia="en-GB"/>
        </w:rPr>
        <w:t>Pazopanib</w:t>
      </w:r>
      <w:proofErr w:type="spellEnd"/>
      <w:r w:rsidRPr="00E93B88">
        <w:rPr>
          <w:rFonts w:ascii="Times New Roman" w:eastAsia="Times New Roman" w:hAnsi="Times New Roman" w:cs="Times New Roman"/>
          <w:highlight w:val="lightGray"/>
          <w:lang w:eastAsia="en-GB"/>
        </w:rPr>
        <w:t xml:space="preserve"> </w:t>
      </w:r>
      <w:proofErr w:type="spellStart"/>
      <w:r w:rsidRPr="00E93B88">
        <w:rPr>
          <w:rFonts w:ascii="Times New Roman" w:eastAsia="Times New Roman" w:hAnsi="Times New Roman" w:cs="Times New Roman"/>
          <w:highlight w:val="lightGray"/>
          <w:lang w:eastAsia="en-GB"/>
        </w:rPr>
        <w:t>Teva</w:t>
      </w:r>
      <w:proofErr w:type="spellEnd"/>
      <w:r w:rsidRPr="00E93B88">
        <w:rPr>
          <w:rFonts w:ascii="Times New Roman" w:eastAsia="Times New Roman" w:hAnsi="Times New Roman" w:cs="Times New Roman"/>
          <w:highlight w:val="lightGray"/>
          <w:lang w:eastAsia="en-GB"/>
        </w:rPr>
        <w:t xml:space="preserve"> 400 mg filmom obalené tablety: 44/0038/22-S</w:t>
      </w:r>
    </w:p>
    <w:p w14:paraId="04ECECD6" w14:textId="77777777" w:rsidR="00EF3BED" w:rsidRDefault="00EF3BED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046917B" w14:textId="77777777" w:rsidR="00EF3BED" w:rsidRDefault="00EF3BED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E47D6F3" w14:textId="77777777" w:rsidR="00EF3BED" w:rsidRDefault="00EF3BED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lang w:eastAsia="en-GB"/>
        </w:rPr>
        <w:tab/>
      </w: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 xml:space="preserve">DÁTUM PRVEJ REGISTRÁCIE/PREDĹŽENIA REGISTRÁCIE </w:t>
      </w:r>
    </w:p>
    <w:p w14:paraId="250E1C1E" w14:textId="77777777" w:rsidR="00EF3BED" w:rsidRDefault="00EF3BED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29597DD9" w14:textId="4071A54B" w:rsidR="00EF3BED" w:rsidRPr="00AC58BD" w:rsidRDefault="00EF3BED" w:rsidP="006A3E12">
      <w:pPr>
        <w:spacing w:after="0"/>
        <w:jc w:val="both"/>
        <w:rPr>
          <w:rFonts w:ascii="Times New Roman" w:eastAsia="Times New Roman" w:hAnsi="Times New Roman" w:cs="Times New Roman"/>
          <w:lang w:eastAsia="en-GB"/>
        </w:rPr>
      </w:pPr>
      <w:r w:rsidRPr="00AC58BD">
        <w:rPr>
          <w:rFonts w:ascii="Times New Roman" w:eastAsia="Times New Roman" w:hAnsi="Times New Roman" w:cs="Times New Roman"/>
          <w:lang w:eastAsia="en-GB"/>
        </w:rPr>
        <w:t xml:space="preserve">Dátum prvej registrácie: </w:t>
      </w:r>
      <w:r w:rsidR="00523D2F">
        <w:rPr>
          <w:rFonts w:ascii="Times New Roman" w:eastAsia="Times New Roman" w:hAnsi="Times New Roman" w:cs="Times New Roman"/>
          <w:lang w:eastAsia="en-GB"/>
        </w:rPr>
        <w:t xml:space="preserve">28. februára </w:t>
      </w:r>
      <w:r w:rsidR="00523D2F" w:rsidRPr="00523D2F">
        <w:rPr>
          <w:rFonts w:ascii="Times New Roman" w:eastAsia="Times New Roman" w:hAnsi="Times New Roman" w:cs="Times New Roman"/>
          <w:lang w:eastAsia="en-GB"/>
        </w:rPr>
        <w:t>2022</w:t>
      </w:r>
    </w:p>
    <w:p w14:paraId="693DA43A" w14:textId="77777777" w:rsidR="00EF3BED" w:rsidRPr="00AB2DEF" w:rsidRDefault="00EF3BED" w:rsidP="006A3E12">
      <w:pPr>
        <w:spacing w:after="0"/>
        <w:jc w:val="both"/>
        <w:rPr>
          <w:rFonts w:ascii="Times New Roman" w:hAnsi="Times New Roman" w:cs="Times New Roman"/>
        </w:rPr>
      </w:pPr>
    </w:p>
    <w:p w14:paraId="7CD24053" w14:textId="77777777" w:rsidR="00EF3BED" w:rsidRPr="00AB2DEF" w:rsidRDefault="00EF3BED" w:rsidP="006A3E12">
      <w:pPr>
        <w:spacing w:after="0"/>
        <w:jc w:val="both"/>
        <w:rPr>
          <w:rFonts w:ascii="Times New Roman" w:hAnsi="Times New Roman" w:cs="Times New Roman"/>
        </w:rPr>
      </w:pPr>
    </w:p>
    <w:p w14:paraId="28FAA8A4" w14:textId="77777777" w:rsidR="00EF3BED" w:rsidRPr="00EF3BED" w:rsidRDefault="00EF3BED" w:rsidP="006A3E12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>10.</w:t>
      </w:r>
      <w:r w:rsidRPr="00EF3BED">
        <w:rPr>
          <w:rFonts w:ascii="Times New Roman" w:eastAsia="Times New Roman" w:hAnsi="Times New Roman" w:cs="Times New Roman"/>
          <w:b/>
          <w:bCs/>
          <w:lang w:eastAsia="en-GB"/>
        </w:rPr>
        <w:tab/>
        <w:t xml:space="preserve">DÁTUM REVÍZIE TEXTU </w:t>
      </w:r>
    </w:p>
    <w:p w14:paraId="3324520D" w14:textId="77777777" w:rsidR="00D46040" w:rsidRDefault="00D46040" w:rsidP="000F2DF1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B04BFD1" w14:textId="36E736DE" w:rsidR="00A01F3F" w:rsidRPr="00531CFF" w:rsidRDefault="006679A3" w:rsidP="000F2DF1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Cs/>
          <w:lang w:eastAsia="en-GB"/>
        </w:rPr>
      </w:pPr>
      <w:r>
        <w:rPr>
          <w:rFonts w:ascii="Times New Roman" w:eastAsia="Times New Roman" w:hAnsi="Times New Roman" w:cs="Times New Roman"/>
          <w:bCs/>
          <w:lang w:eastAsia="en-GB"/>
        </w:rPr>
        <w:t>0</w:t>
      </w:r>
      <w:r w:rsidR="009A1BFE">
        <w:rPr>
          <w:rFonts w:ascii="Times New Roman" w:eastAsia="Times New Roman" w:hAnsi="Times New Roman" w:cs="Times New Roman"/>
          <w:bCs/>
          <w:lang w:eastAsia="en-GB"/>
        </w:rPr>
        <w:t>9</w:t>
      </w:r>
      <w:r w:rsidR="00A01F3F" w:rsidRPr="00531CFF">
        <w:rPr>
          <w:rFonts w:ascii="Times New Roman" w:eastAsia="Times New Roman" w:hAnsi="Times New Roman" w:cs="Times New Roman"/>
          <w:bCs/>
          <w:lang w:eastAsia="en-GB"/>
        </w:rPr>
        <w:t>/202</w:t>
      </w:r>
      <w:r w:rsidR="00CC6019">
        <w:rPr>
          <w:rFonts w:ascii="Times New Roman" w:eastAsia="Times New Roman" w:hAnsi="Times New Roman" w:cs="Times New Roman"/>
          <w:bCs/>
          <w:lang w:eastAsia="en-GB"/>
        </w:rPr>
        <w:t>5</w:t>
      </w:r>
    </w:p>
    <w:sectPr w:rsidR="00A01F3F" w:rsidRPr="00531CFF" w:rsidSect="006F4C89">
      <w:headerReference w:type="default" r:id="rId14"/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69EF" w14:textId="77777777" w:rsidR="00E9169F" w:rsidRDefault="00E9169F" w:rsidP="00336526">
      <w:pPr>
        <w:spacing w:after="0" w:line="240" w:lineRule="auto"/>
      </w:pPr>
      <w:r>
        <w:separator/>
      </w:r>
    </w:p>
  </w:endnote>
  <w:endnote w:type="continuationSeparator" w:id="0">
    <w:p w14:paraId="5DFD48B4" w14:textId="77777777" w:rsidR="00E9169F" w:rsidRDefault="00E9169F" w:rsidP="0033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119435"/>
      <w:docPartObj>
        <w:docPartGallery w:val="Page Numbers (Bottom of Page)"/>
        <w:docPartUnique/>
      </w:docPartObj>
    </w:sdtPr>
    <w:sdtEndPr/>
    <w:sdtContent>
      <w:p w14:paraId="40A460B2" w14:textId="65E517C4" w:rsidR="00E9169F" w:rsidRDefault="00E9169F">
        <w:pPr>
          <w:jc w:val="center"/>
        </w:pPr>
        <w:r w:rsidRPr="00AB2DE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B2DE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B2DE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F4C89" w:rsidRPr="00AB2DEF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6F4C89" w:rsidRPr="00AB2DEF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AB2DE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D1E63F4" w14:textId="77777777" w:rsidR="00E9169F" w:rsidRPr="00AB2DEF" w:rsidRDefault="00E9169F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EFFB" w14:textId="77777777" w:rsidR="00E9169F" w:rsidRDefault="00E9169F" w:rsidP="00336526">
      <w:pPr>
        <w:spacing w:after="0" w:line="240" w:lineRule="auto"/>
      </w:pPr>
      <w:r>
        <w:separator/>
      </w:r>
    </w:p>
  </w:footnote>
  <w:footnote w:type="continuationSeparator" w:id="0">
    <w:p w14:paraId="4A50D7FC" w14:textId="77777777" w:rsidR="00E9169F" w:rsidRDefault="00E9169F" w:rsidP="0033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9B58" w14:textId="02F3C44C" w:rsidR="001F43BB" w:rsidRDefault="00A817F2" w:rsidP="006F4C89">
    <w:pPr>
      <w:spacing w:after="0"/>
      <w:rPr>
        <w:rFonts w:ascii="Times New Roman" w:hAnsi="Times New Roman" w:cs="Times New Roman"/>
        <w:sz w:val="18"/>
        <w:szCs w:val="18"/>
      </w:rPr>
    </w:pPr>
    <w:r w:rsidRPr="006F4C89">
      <w:rPr>
        <w:rFonts w:ascii="Times New Roman" w:hAnsi="Times New Roman" w:cs="Times New Roman"/>
        <w:sz w:val="18"/>
        <w:szCs w:val="18"/>
      </w:rPr>
      <w:t xml:space="preserve">Príloha č. </w:t>
    </w:r>
    <w:r w:rsidR="000276ED">
      <w:rPr>
        <w:rFonts w:ascii="Times New Roman" w:hAnsi="Times New Roman" w:cs="Times New Roman"/>
        <w:sz w:val="18"/>
        <w:szCs w:val="18"/>
      </w:rPr>
      <w:t>2</w:t>
    </w:r>
    <w:r w:rsidR="000276ED" w:rsidRPr="006F4C89">
      <w:rPr>
        <w:rFonts w:ascii="Times New Roman" w:hAnsi="Times New Roman" w:cs="Times New Roman"/>
        <w:sz w:val="18"/>
        <w:szCs w:val="18"/>
      </w:rPr>
      <w:t xml:space="preserve"> </w:t>
    </w:r>
    <w:r w:rsidR="00920134" w:rsidRPr="00920134">
      <w:rPr>
        <w:rFonts w:ascii="Times New Roman" w:hAnsi="Times New Roman" w:cs="Times New Roman"/>
        <w:sz w:val="18"/>
        <w:szCs w:val="18"/>
      </w:rPr>
      <w:t>potvrdenia prijatia oznámenia o zmene</w:t>
    </w:r>
    <w:r w:rsidRPr="006F4C89">
      <w:rPr>
        <w:rFonts w:ascii="Times New Roman" w:hAnsi="Times New Roman" w:cs="Times New Roman"/>
        <w:sz w:val="18"/>
        <w:szCs w:val="18"/>
      </w:rPr>
      <w:t xml:space="preserve">, ev. č.: </w:t>
    </w:r>
    <w:r w:rsidR="00920134" w:rsidRPr="00920134">
      <w:rPr>
        <w:rFonts w:ascii="Times New Roman" w:hAnsi="Times New Roman" w:cs="Times New Roman"/>
        <w:sz w:val="18"/>
        <w:szCs w:val="18"/>
      </w:rPr>
      <w:t>2025/01899-Z1B</w:t>
    </w:r>
    <w:r w:rsidR="00920134" w:rsidRPr="00920134" w:rsidDel="00CA6CBB">
      <w:rPr>
        <w:rFonts w:ascii="Times New Roman" w:hAnsi="Times New Roman" w:cs="Times New Roman"/>
        <w:sz w:val="18"/>
        <w:szCs w:val="18"/>
      </w:rPr>
      <w:t xml:space="preserve"> </w:t>
    </w:r>
  </w:p>
  <w:p w14:paraId="5BE29324" w14:textId="77777777" w:rsidR="00E9169F" w:rsidRPr="00AB2DEF" w:rsidRDefault="00E9169F" w:rsidP="006F4C89">
    <w:pPr>
      <w:spacing w:after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A672F"/>
    <w:multiLevelType w:val="hybridMultilevel"/>
    <w:tmpl w:val="4552B27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2BB"/>
    <w:multiLevelType w:val="hybridMultilevel"/>
    <w:tmpl w:val="24400598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3209"/>
    <w:multiLevelType w:val="hybridMultilevel"/>
    <w:tmpl w:val="7CFC5DEC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11D4B"/>
    <w:multiLevelType w:val="hybridMultilevel"/>
    <w:tmpl w:val="058E52D6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32C37"/>
    <w:multiLevelType w:val="hybridMultilevel"/>
    <w:tmpl w:val="D9CCF306"/>
    <w:lvl w:ilvl="0" w:tplc="040E000F">
      <w:start w:val="1"/>
      <w:numFmt w:val="decimal"/>
      <w:lvlText w:val="%1."/>
      <w:lvlJc w:val="left"/>
      <w:pPr>
        <w:ind w:left="461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037B"/>
    <w:multiLevelType w:val="hybridMultilevel"/>
    <w:tmpl w:val="452AB32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2694"/>
    <w:multiLevelType w:val="hybridMultilevel"/>
    <w:tmpl w:val="71C402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60688"/>
    <w:multiLevelType w:val="hybridMultilevel"/>
    <w:tmpl w:val="875E8990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15FC8"/>
    <w:multiLevelType w:val="hybridMultilevel"/>
    <w:tmpl w:val="B11613BA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65CF"/>
    <w:multiLevelType w:val="multilevel"/>
    <w:tmpl w:val="1D746DB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DA541AE"/>
    <w:multiLevelType w:val="hybridMultilevel"/>
    <w:tmpl w:val="FD2AB9F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8499D"/>
    <w:multiLevelType w:val="hybridMultilevel"/>
    <w:tmpl w:val="A09299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31D81"/>
    <w:multiLevelType w:val="hybridMultilevel"/>
    <w:tmpl w:val="32764C0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25DD2"/>
    <w:multiLevelType w:val="hybridMultilevel"/>
    <w:tmpl w:val="1C60F5EA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F70FA"/>
    <w:multiLevelType w:val="hybridMultilevel"/>
    <w:tmpl w:val="A6A6CF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380D"/>
    <w:multiLevelType w:val="hybridMultilevel"/>
    <w:tmpl w:val="FD74F2A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D0501"/>
    <w:multiLevelType w:val="hybridMultilevel"/>
    <w:tmpl w:val="5704C48E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A3755"/>
    <w:multiLevelType w:val="hybridMultilevel"/>
    <w:tmpl w:val="129683EC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9568F"/>
    <w:multiLevelType w:val="hybridMultilevel"/>
    <w:tmpl w:val="B4E40C64"/>
    <w:lvl w:ilvl="0" w:tplc="D57EC4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72D25"/>
    <w:multiLevelType w:val="hybridMultilevel"/>
    <w:tmpl w:val="323817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D4D08"/>
    <w:multiLevelType w:val="hybridMultilevel"/>
    <w:tmpl w:val="EC9A84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F1392"/>
    <w:multiLevelType w:val="hybridMultilevel"/>
    <w:tmpl w:val="D66A57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8686E"/>
    <w:multiLevelType w:val="hybridMultilevel"/>
    <w:tmpl w:val="C4A0B5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7492A"/>
    <w:multiLevelType w:val="hybridMultilevel"/>
    <w:tmpl w:val="1DEC5590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D45E2"/>
    <w:multiLevelType w:val="hybridMultilevel"/>
    <w:tmpl w:val="69F680CE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81B7D"/>
    <w:multiLevelType w:val="hybridMultilevel"/>
    <w:tmpl w:val="62B666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26CC1"/>
    <w:multiLevelType w:val="hybridMultilevel"/>
    <w:tmpl w:val="F95E2CA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F509D"/>
    <w:multiLevelType w:val="hybridMultilevel"/>
    <w:tmpl w:val="9EB29C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F3F1B9D"/>
    <w:multiLevelType w:val="hybridMultilevel"/>
    <w:tmpl w:val="67549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6265F"/>
    <w:multiLevelType w:val="hybridMultilevel"/>
    <w:tmpl w:val="806C30DA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11416"/>
    <w:multiLevelType w:val="hybridMultilevel"/>
    <w:tmpl w:val="667AE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11002"/>
    <w:multiLevelType w:val="hybridMultilevel"/>
    <w:tmpl w:val="95067C24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66F65"/>
    <w:multiLevelType w:val="multilevel"/>
    <w:tmpl w:val="1D746DB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D590291"/>
    <w:multiLevelType w:val="hybridMultilevel"/>
    <w:tmpl w:val="4372C81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7653">
    <w:abstractNumId w:val="34"/>
  </w:num>
  <w:num w:numId="2" w16cid:durableId="18903202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487987533">
    <w:abstractNumId w:val="30"/>
  </w:num>
  <w:num w:numId="4" w16cid:durableId="1041976150">
    <w:abstractNumId w:val="13"/>
  </w:num>
  <w:num w:numId="5" w16cid:durableId="1262761662">
    <w:abstractNumId w:val="28"/>
  </w:num>
  <w:num w:numId="6" w16cid:durableId="1968272071">
    <w:abstractNumId w:val="12"/>
  </w:num>
  <w:num w:numId="7" w16cid:durableId="1879853536">
    <w:abstractNumId w:val="22"/>
  </w:num>
  <w:num w:numId="8" w16cid:durableId="2056925321">
    <w:abstractNumId w:val="10"/>
  </w:num>
  <w:num w:numId="9" w16cid:durableId="1485929858">
    <w:abstractNumId w:val="29"/>
  </w:num>
  <w:num w:numId="10" w16cid:durableId="466317437">
    <w:abstractNumId w:val="7"/>
  </w:num>
  <w:num w:numId="11" w16cid:durableId="1657106354">
    <w:abstractNumId w:val="27"/>
  </w:num>
  <w:num w:numId="12" w16cid:durableId="2022507018">
    <w:abstractNumId w:val="1"/>
  </w:num>
  <w:num w:numId="13" w16cid:durableId="507332111">
    <w:abstractNumId w:val="19"/>
  </w:num>
  <w:num w:numId="14" w16cid:durableId="1101487459">
    <w:abstractNumId w:val="32"/>
  </w:num>
  <w:num w:numId="15" w16cid:durableId="81295045">
    <w:abstractNumId w:val="25"/>
  </w:num>
  <w:num w:numId="16" w16cid:durableId="1176991632">
    <w:abstractNumId w:val="6"/>
  </w:num>
  <w:num w:numId="17" w16cid:durableId="1766225929">
    <w:abstractNumId w:val="2"/>
  </w:num>
  <w:num w:numId="18" w16cid:durableId="425856371">
    <w:abstractNumId w:val="20"/>
  </w:num>
  <w:num w:numId="19" w16cid:durableId="290326597">
    <w:abstractNumId w:val="9"/>
  </w:num>
  <w:num w:numId="20" w16cid:durableId="826437898">
    <w:abstractNumId w:val="11"/>
  </w:num>
  <w:num w:numId="21" w16cid:durableId="1655716942">
    <w:abstractNumId w:val="18"/>
  </w:num>
  <w:num w:numId="22" w16cid:durableId="770319539">
    <w:abstractNumId w:val="4"/>
  </w:num>
  <w:num w:numId="23" w16cid:durableId="108403400">
    <w:abstractNumId w:val="8"/>
  </w:num>
  <w:num w:numId="24" w16cid:durableId="1578517741">
    <w:abstractNumId w:val="33"/>
  </w:num>
  <w:num w:numId="25" w16cid:durableId="749691468">
    <w:abstractNumId w:val="3"/>
  </w:num>
  <w:num w:numId="26" w16cid:durableId="322322578">
    <w:abstractNumId w:val="16"/>
  </w:num>
  <w:num w:numId="27" w16cid:durableId="1189904344">
    <w:abstractNumId w:val="14"/>
  </w:num>
  <w:num w:numId="28" w16cid:durableId="1593049188">
    <w:abstractNumId w:val="17"/>
  </w:num>
  <w:num w:numId="29" w16cid:durableId="681594100">
    <w:abstractNumId w:val="31"/>
  </w:num>
  <w:num w:numId="30" w16cid:durableId="607080851">
    <w:abstractNumId w:val="35"/>
  </w:num>
  <w:num w:numId="31" w16cid:durableId="254290825">
    <w:abstractNumId w:val="24"/>
  </w:num>
  <w:num w:numId="32" w16cid:durableId="1525754817">
    <w:abstractNumId w:val="21"/>
  </w:num>
  <w:num w:numId="33" w16cid:durableId="1741170051">
    <w:abstractNumId w:val="26"/>
  </w:num>
  <w:num w:numId="34" w16cid:durableId="312411905">
    <w:abstractNumId w:val="15"/>
  </w:num>
  <w:num w:numId="35" w16cid:durableId="346829918">
    <w:abstractNumId w:val="5"/>
  </w:num>
  <w:num w:numId="36" w16cid:durableId="526973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26"/>
    <w:rsid w:val="000035FD"/>
    <w:rsid w:val="000101AD"/>
    <w:rsid w:val="00010C11"/>
    <w:rsid w:val="00025BBF"/>
    <w:rsid w:val="000276ED"/>
    <w:rsid w:val="00053D11"/>
    <w:rsid w:val="00070D98"/>
    <w:rsid w:val="00097A4F"/>
    <w:rsid w:val="000A3433"/>
    <w:rsid w:val="000A7D44"/>
    <w:rsid w:val="000B4905"/>
    <w:rsid w:val="000D10FB"/>
    <w:rsid w:val="000E2B83"/>
    <w:rsid w:val="000F2DF1"/>
    <w:rsid w:val="00123B03"/>
    <w:rsid w:val="00131615"/>
    <w:rsid w:val="00145DCF"/>
    <w:rsid w:val="00184E24"/>
    <w:rsid w:val="001A7992"/>
    <w:rsid w:val="001B39EF"/>
    <w:rsid w:val="001F43BB"/>
    <w:rsid w:val="00222D9A"/>
    <w:rsid w:val="00237F39"/>
    <w:rsid w:val="00253F14"/>
    <w:rsid w:val="0027194F"/>
    <w:rsid w:val="00275763"/>
    <w:rsid w:val="002979FB"/>
    <w:rsid w:val="002B7B11"/>
    <w:rsid w:val="002C08CE"/>
    <w:rsid w:val="002D5C32"/>
    <w:rsid w:val="002E56F2"/>
    <w:rsid w:val="0030575E"/>
    <w:rsid w:val="00316D7D"/>
    <w:rsid w:val="003230CC"/>
    <w:rsid w:val="0033037C"/>
    <w:rsid w:val="00336526"/>
    <w:rsid w:val="00356C81"/>
    <w:rsid w:val="00364737"/>
    <w:rsid w:val="00395BDC"/>
    <w:rsid w:val="003A78C7"/>
    <w:rsid w:val="003D31B7"/>
    <w:rsid w:val="003E06F1"/>
    <w:rsid w:val="003F21DA"/>
    <w:rsid w:val="00432BFB"/>
    <w:rsid w:val="00434B60"/>
    <w:rsid w:val="00443596"/>
    <w:rsid w:val="00443D3F"/>
    <w:rsid w:val="00447932"/>
    <w:rsid w:val="004530DC"/>
    <w:rsid w:val="00483D85"/>
    <w:rsid w:val="004A0C37"/>
    <w:rsid w:val="004D3C3B"/>
    <w:rsid w:val="004E5E59"/>
    <w:rsid w:val="004F7401"/>
    <w:rsid w:val="00500940"/>
    <w:rsid w:val="00503E6D"/>
    <w:rsid w:val="00504B06"/>
    <w:rsid w:val="00512560"/>
    <w:rsid w:val="00523D2F"/>
    <w:rsid w:val="00531CFF"/>
    <w:rsid w:val="00534A77"/>
    <w:rsid w:val="005359FD"/>
    <w:rsid w:val="00560F69"/>
    <w:rsid w:val="00573E24"/>
    <w:rsid w:val="0058386A"/>
    <w:rsid w:val="0059305B"/>
    <w:rsid w:val="005B1A64"/>
    <w:rsid w:val="005B2C8D"/>
    <w:rsid w:val="005C1753"/>
    <w:rsid w:val="005C5BF7"/>
    <w:rsid w:val="005C796B"/>
    <w:rsid w:val="0060670B"/>
    <w:rsid w:val="006234CD"/>
    <w:rsid w:val="006633AB"/>
    <w:rsid w:val="006679A3"/>
    <w:rsid w:val="00682E50"/>
    <w:rsid w:val="00695499"/>
    <w:rsid w:val="006A3E12"/>
    <w:rsid w:val="006B68D6"/>
    <w:rsid w:val="006F4C89"/>
    <w:rsid w:val="00720AA6"/>
    <w:rsid w:val="00750EAA"/>
    <w:rsid w:val="00774E48"/>
    <w:rsid w:val="007756D6"/>
    <w:rsid w:val="00793D65"/>
    <w:rsid w:val="007A4A27"/>
    <w:rsid w:val="007B2DBB"/>
    <w:rsid w:val="007B341B"/>
    <w:rsid w:val="007B785B"/>
    <w:rsid w:val="007D2419"/>
    <w:rsid w:val="007E2214"/>
    <w:rsid w:val="007E2DF2"/>
    <w:rsid w:val="007E34DB"/>
    <w:rsid w:val="00802BB1"/>
    <w:rsid w:val="008235AF"/>
    <w:rsid w:val="008258A3"/>
    <w:rsid w:val="00831F1F"/>
    <w:rsid w:val="0083485A"/>
    <w:rsid w:val="008416DC"/>
    <w:rsid w:val="00844DF8"/>
    <w:rsid w:val="00846844"/>
    <w:rsid w:val="008469A1"/>
    <w:rsid w:val="00863C92"/>
    <w:rsid w:val="00863D65"/>
    <w:rsid w:val="00882F5C"/>
    <w:rsid w:val="008A0BB5"/>
    <w:rsid w:val="008B68BD"/>
    <w:rsid w:val="008E0187"/>
    <w:rsid w:val="009074D0"/>
    <w:rsid w:val="00916ECB"/>
    <w:rsid w:val="00920134"/>
    <w:rsid w:val="00932656"/>
    <w:rsid w:val="009526C6"/>
    <w:rsid w:val="00971D0C"/>
    <w:rsid w:val="009720E8"/>
    <w:rsid w:val="00983CB0"/>
    <w:rsid w:val="009A1BFE"/>
    <w:rsid w:val="009A1DDF"/>
    <w:rsid w:val="009A1E25"/>
    <w:rsid w:val="009A3A35"/>
    <w:rsid w:val="009B7BAB"/>
    <w:rsid w:val="009D56F6"/>
    <w:rsid w:val="009E11AB"/>
    <w:rsid w:val="009E5686"/>
    <w:rsid w:val="009F42EC"/>
    <w:rsid w:val="00A01F3F"/>
    <w:rsid w:val="00A229E1"/>
    <w:rsid w:val="00A35827"/>
    <w:rsid w:val="00A577E0"/>
    <w:rsid w:val="00A62ABA"/>
    <w:rsid w:val="00A72AC1"/>
    <w:rsid w:val="00A76433"/>
    <w:rsid w:val="00A817F2"/>
    <w:rsid w:val="00AB2DEF"/>
    <w:rsid w:val="00AC58BD"/>
    <w:rsid w:val="00AE312F"/>
    <w:rsid w:val="00AF0E7D"/>
    <w:rsid w:val="00B34054"/>
    <w:rsid w:val="00B42F3B"/>
    <w:rsid w:val="00BB3CBB"/>
    <w:rsid w:val="00BC097C"/>
    <w:rsid w:val="00BE5FB2"/>
    <w:rsid w:val="00C12C8E"/>
    <w:rsid w:val="00C13F39"/>
    <w:rsid w:val="00C14DA3"/>
    <w:rsid w:val="00C320CF"/>
    <w:rsid w:val="00C71E69"/>
    <w:rsid w:val="00CA6CBB"/>
    <w:rsid w:val="00CA748A"/>
    <w:rsid w:val="00CB3EA0"/>
    <w:rsid w:val="00CC2F9F"/>
    <w:rsid w:val="00CC6019"/>
    <w:rsid w:val="00CC6E0E"/>
    <w:rsid w:val="00D169B9"/>
    <w:rsid w:val="00D312E1"/>
    <w:rsid w:val="00D46040"/>
    <w:rsid w:val="00D67F7B"/>
    <w:rsid w:val="00D81960"/>
    <w:rsid w:val="00DA6DBC"/>
    <w:rsid w:val="00DB3EE0"/>
    <w:rsid w:val="00DB4FB7"/>
    <w:rsid w:val="00DB6397"/>
    <w:rsid w:val="00E149DD"/>
    <w:rsid w:val="00E22FF9"/>
    <w:rsid w:val="00E25E76"/>
    <w:rsid w:val="00E40399"/>
    <w:rsid w:val="00E65626"/>
    <w:rsid w:val="00E70233"/>
    <w:rsid w:val="00E9169F"/>
    <w:rsid w:val="00E93B88"/>
    <w:rsid w:val="00EB565C"/>
    <w:rsid w:val="00EE2972"/>
    <w:rsid w:val="00EF3BED"/>
    <w:rsid w:val="00F00378"/>
    <w:rsid w:val="00F00DC0"/>
    <w:rsid w:val="00F16C66"/>
    <w:rsid w:val="00F209FF"/>
    <w:rsid w:val="00F534D6"/>
    <w:rsid w:val="00F5593E"/>
    <w:rsid w:val="00F8207F"/>
    <w:rsid w:val="00F84447"/>
    <w:rsid w:val="00F86F92"/>
    <w:rsid w:val="00F950F8"/>
    <w:rsid w:val="00F96BAD"/>
    <w:rsid w:val="00FA724A"/>
    <w:rsid w:val="00FA78F1"/>
    <w:rsid w:val="00FD7DDC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A74A78"/>
  <w15:chartTrackingRefBased/>
  <w15:docId w15:val="{ECBB5810-5B3B-48D3-8963-D1938C7C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F209F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Nadpis2">
    <w:name w:val="heading 2"/>
    <w:basedOn w:val="Normlny"/>
    <w:next w:val="Normlny"/>
    <w:link w:val="Nadpis2Char"/>
    <w:qFormat/>
    <w:rsid w:val="00F209FF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 w:cs="Times New Roman"/>
      <w:b/>
      <w:i/>
      <w:sz w:val="24"/>
      <w:szCs w:val="20"/>
      <w:lang w:val="en-GB"/>
    </w:rPr>
  </w:style>
  <w:style w:type="paragraph" w:styleId="Nadpis3">
    <w:name w:val="heading 3"/>
    <w:basedOn w:val="Normlny"/>
    <w:next w:val="Normlny"/>
    <w:link w:val="Nadpis3Char"/>
    <w:qFormat/>
    <w:rsid w:val="00F209F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6526"/>
  </w:style>
  <w:style w:type="paragraph" w:styleId="Pta">
    <w:name w:val="footer"/>
    <w:basedOn w:val="Normlny"/>
    <w:link w:val="PtaChar"/>
    <w:unhideWhenUsed/>
    <w:rsid w:val="00336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6526"/>
  </w:style>
  <w:style w:type="paragraph" w:customStyle="1" w:styleId="Default">
    <w:name w:val="Default"/>
    <w:rsid w:val="00E40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B2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7B2D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7B2DB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dpis1Char">
    <w:name w:val="Nadpis 1 Char"/>
    <w:basedOn w:val="Predvolenpsmoodseku"/>
    <w:link w:val="Nadpis1"/>
    <w:rsid w:val="00F209FF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customStyle="1" w:styleId="Nadpis2Char">
    <w:name w:val="Nadpis 2 Char"/>
    <w:basedOn w:val="Predvolenpsmoodseku"/>
    <w:link w:val="Nadpis2"/>
    <w:rsid w:val="00F209FF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F209FF"/>
    <w:rPr>
      <w:rFonts w:ascii="Arial" w:eastAsia="Times New Roman" w:hAnsi="Arial" w:cs="Times New Roman"/>
      <w:b/>
      <w:bCs/>
      <w:sz w:val="26"/>
      <w:szCs w:val="26"/>
      <w:lang w:val="en-GB" w:eastAsia="en-GB"/>
    </w:rPr>
  </w:style>
  <w:style w:type="paragraph" w:styleId="Textbubliny">
    <w:name w:val="Balloon Text"/>
    <w:basedOn w:val="Normlny"/>
    <w:link w:val="TextbublinyChar"/>
    <w:semiHidden/>
    <w:rsid w:val="00F209FF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bublinyChar">
    <w:name w:val="Text bubliny Char"/>
    <w:basedOn w:val="Predvolenpsmoodseku"/>
    <w:link w:val="Textbubliny"/>
    <w:semiHidden/>
    <w:rsid w:val="00F209FF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F209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el-GR"/>
    </w:rPr>
  </w:style>
  <w:style w:type="character" w:customStyle="1" w:styleId="NzovChar">
    <w:name w:val="Názov Char"/>
    <w:basedOn w:val="Predvolenpsmoodseku"/>
    <w:link w:val="Nzov"/>
    <w:rsid w:val="00F209FF"/>
    <w:rPr>
      <w:rFonts w:ascii="Times New Roman" w:eastAsia="Times New Roman" w:hAnsi="Times New Roman" w:cs="Times New Roman"/>
      <w:b/>
      <w:bCs/>
      <w:sz w:val="32"/>
      <w:szCs w:val="24"/>
      <w:lang w:val="en-US" w:eastAsia="el-GR"/>
    </w:rPr>
  </w:style>
  <w:style w:type="character" w:styleId="slostrany">
    <w:name w:val="page number"/>
    <w:basedOn w:val="Predvolenpsmoodseku"/>
    <w:rsid w:val="00F209FF"/>
  </w:style>
  <w:style w:type="paragraph" w:customStyle="1" w:styleId="CM14">
    <w:name w:val="CM14"/>
    <w:basedOn w:val="Default"/>
    <w:next w:val="Default"/>
    <w:rsid w:val="00F209FF"/>
    <w:pPr>
      <w:widowControl w:val="0"/>
      <w:spacing w:after="268"/>
    </w:pPr>
    <w:rPr>
      <w:rFonts w:eastAsia="Times New Roman"/>
      <w:color w:val="auto"/>
      <w:lang w:val="el-GR" w:eastAsia="el-GR"/>
    </w:rPr>
  </w:style>
  <w:style w:type="paragraph" w:customStyle="1" w:styleId="CM4">
    <w:name w:val="CM4"/>
    <w:basedOn w:val="Default"/>
    <w:next w:val="Default"/>
    <w:rsid w:val="00F209FF"/>
    <w:pPr>
      <w:widowControl w:val="0"/>
      <w:spacing w:line="276" w:lineRule="atLeast"/>
    </w:pPr>
    <w:rPr>
      <w:rFonts w:eastAsia="Times New Roman"/>
      <w:color w:val="auto"/>
      <w:lang w:val="el-GR" w:eastAsia="el-GR"/>
    </w:rPr>
  </w:style>
  <w:style w:type="character" w:customStyle="1" w:styleId="tw4winMark">
    <w:name w:val="tw4winMark"/>
    <w:rsid w:val="00F209FF"/>
    <w:rPr>
      <w:rFonts w:ascii="Courier New" w:hAnsi="Courier New" w:cs="Courier New"/>
      <w:vanish/>
      <w:color w:val="800080"/>
      <w:vertAlign w:val="subscript"/>
    </w:rPr>
  </w:style>
  <w:style w:type="paragraph" w:styleId="Obsah1">
    <w:name w:val="toc 1"/>
    <w:basedOn w:val="Normlny"/>
    <w:next w:val="Normlny"/>
    <w:autoRedefine/>
    <w:semiHidden/>
    <w:rsid w:val="00F2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textovprepojenie">
    <w:name w:val="Hyperlink"/>
    <w:uiPriority w:val="99"/>
    <w:rsid w:val="00F209FF"/>
    <w:rPr>
      <w:color w:val="0000FF"/>
      <w:u w:val="single"/>
    </w:rPr>
  </w:style>
  <w:style w:type="character" w:styleId="PouitHypertextovPrepojenie">
    <w:name w:val="FollowedHyperlink"/>
    <w:rsid w:val="00F209FF"/>
    <w:rPr>
      <w:color w:val="800080"/>
      <w:u w:val="single"/>
    </w:rPr>
  </w:style>
  <w:style w:type="character" w:styleId="Odkaznakomentr">
    <w:name w:val="annotation reference"/>
    <w:semiHidden/>
    <w:rsid w:val="00F209FF"/>
    <w:rPr>
      <w:sz w:val="16"/>
    </w:rPr>
  </w:style>
  <w:style w:type="paragraph" w:styleId="Textkomentra">
    <w:name w:val="annotation text"/>
    <w:basedOn w:val="Normlny"/>
    <w:link w:val="TextkomentraChar"/>
    <w:semiHidden/>
    <w:rsid w:val="00F209F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F209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F209FF"/>
    <w:pPr>
      <w:tabs>
        <w:tab w:val="clear" w:pos="567"/>
      </w:tabs>
      <w:spacing w:line="240" w:lineRule="auto"/>
    </w:pPr>
    <w:rPr>
      <w:b/>
      <w:bCs/>
      <w:lang w:eastAsia="en-GB"/>
    </w:rPr>
  </w:style>
  <w:style w:type="character" w:customStyle="1" w:styleId="PredmetkomentraChar">
    <w:name w:val="Predmet komentára Char"/>
    <w:basedOn w:val="TextkomentraChar"/>
    <w:link w:val="Predmetkomentra"/>
    <w:semiHidden/>
    <w:rsid w:val="00F209FF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leipa">
    <w:name w:val="leipa"/>
    <w:basedOn w:val="Normlny"/>
    <w:rsid w:val="00F209F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styleId="Zarkazkladnhotextu2">
    <w:name w:val="Body Text Indent 2"/>
    <w:basedOn w:val="Normlny"/>
    <w:link w:val="Zarkazkladnhotextu2Char"/>
    <w:rsid w:val="00F209F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209F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M1">
    <w:name w:val="CM1"/>
    <w:basedOn w:val="Default"/>
    <w:next w:val="Default"/>
    <w:rsid w:val="00F209FF"/>
    <w:pPr>
      <w:widowControl w:val="0"/>
    </w:pPr>
    <w:rPr>
      <w:rFonts w:ascii="Courier" w:eastAsia="Times New Roman" w:hAnsi="Courier" w:cs="Courier"/>
      <w:color w:val="auto"/>
      <w:lang w:val="el-GR" w:eastAsia="el-GR"/>
    </w:rPr>
  </w:style>
  <w:style w:type="paragraph" w:customStyle="1" w:styleId="EMEAEnBodyText">
    <w:name w:val="EMEA En Body Text"/>
    <w:basedOn w:val="Normlny"/>
    <w:rsid w:val="00F209F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styleId="Normlnywebov">
    <w:name w:val="Normal (Web)"/>
    <w:basedOn w:val="Normlny"/>
    <w:rsid w:val="00F2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M50">
    <w:name w:val="CM50"/>
    <w:basedOn w:val="Default"/>
    <w:next w:val="Default"/>
    <w:rsid w:val="00F209FF"/>
    <w:pPr>
      <w:widowControl w:val="0"/>
      <w:spacing w:after="350"/>
    </w:pPr>
    <w:rPr>
      <w:rFonts w:eastAsia="Times New Roman"/>
      <w:color w:val="auto"/>
      <w:lang w:val="en-US"/>
    </w:rPr>
  </w:style>
  <w:style w:type="paragraph" w:customStyle="1" w:styleId="CM48">
    <w:name w:val="CM48"/>
    <w:basedOn w:val="Default"/>
    <w:next w:val="Default"/>
    <w:rsid w:val="00F209FF"/>
    <w:pPr>
      <w:widowControl w:val="0"/>
      <w:spacing w:after="258"/>
    </w:pPr>
    <w:rPr>
      <w:rFonts w:eastAsia="Times New Roman"/>
      <w:color w:val="auto"/>
      <w:lang w:val="en-US"/>
    </w:rPr>
  </w:style>
  <w:style w:type="paragraph" w:styleId="Odsekzoznamu">
    <w:name w:val="List Paragraph"/>
    <w:basedOn w:val="Normlny"/>
    <w:uiPriority w:val="99"/>
    <w:qFormat/>
    <w:rsid w:val="00F209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zia">
    <w:name w:val="Revision"/>
    <w:hidden/>
    <w:uiPriority w:val="99"/>
    <w:semiHidden/>
    <w:rsid w:val="00F2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wordsection1">
    <w:name w:val="wordsection1"/>
    <w:basedOn w:val="Normlny"/>
    <w:uiPriority w:val="99"/>
    <w:rsid w:val="00F209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2FEE-DF0D-4A8F-A2D6-368DDF0A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11849</Words>
  <Characters>67545</Characters>
  <Application>Microsoft Office Word</Application>
  <DocSecurity>0</DocSecurity>
  <Lines>562</Lines>
  <Paragraphs>158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79236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Paucova</dc:creator>
  <cp:keywords/>
  <dc:description/>
  <cp:lastModifiedBy>Reviewer</cp:lastModifiedBy>
  <cp:revision>3</cp:revision>
  <cp:lastPrinted>2022-02-24T08:46:00Z</cp:lastPrinted>
  <dcterms:created xsi:type="dcterms:W3CDTF">2025-09-05T05:43:00Z</dcterms:created>
  <dcterms:modified xsi:type="dcterms:W3CDTF">2025-09-23T08:59:00Z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2025-03-24T11:17:33Z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05de3945-82c7-4424-ab69-d7e1df5670eb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