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CA386" w14:textId="77777777" w:rsidR="00582954" w:rsidRDefault="00582954">
      <w:pPr>
        <w:widowControl w:val="0"/>
        <w:spacing w:after="0" w:line="240" w:lineRule="auto"/>
        <w:jc w:val="center"/>
        <w:rPr>
          <w:rFonts w:ascii="Times New Roman" w:hAnsi="Times New Roman"/>
          <w:b/>
          <w:lang w:val="sk-SK"/>
        </w:rPr>
      </w:pPr>
    </w:p>
    <w:p w14:paraId="364A4CA2" w14:textId="77777777" w:rsidR="00582954" w:rsidRDefault="00582954">
      <w:pPr>
        <w:widowControl w:val="0"/>
        <w:spacing w:after="0" w:line="240" w:lineRule="auto"/>
        <w:jc w:val="center"/>
        <w:rPr>
          <w:rFonts w:ascii="Times New Roman" w:hAnsi="Times New Roman"/>
          <w:b/>
          <w:lang w:val="sk-SK"/>
        </w:rPr>
      </w:pPr>
    </w:p>
    <w:p w14:paraId="5B6AAD7B" w14:textId="77777777" w:rsidR="00582954" w:rsidRDefault="00582954">
      <w:pPr>
        <w:widowControl w:val="0"/>
        <w:spacing w:after="0" w:line="240" w:lineRule="auto"/>
        <w:jc w:val="center"/>
        <w:rPr>
          <w:rFonts w:ascii="Times New Roman" w:hAnsi="Times New Roman"/>
          <w:b/>
          <w:lang w:val="sk-SK"/>
        </w:rPr>
      </w:pPr>
    </w:p>
    <w:p w14:paraId="268E1E3A" w14:textId="77777777" w:rsidR="00582954" w:rsidRDefault="00582954">
      <w:pPr>
        <w:widowControl w:val="0"/>
        <w:spacing w:after="0" w:line="240" w:lineRule="auto"/>
        <w:jc w:val="center"/>
        <w:rPr>
          <w:rFonts w:ascii="Times New Roman" w:hAnsi="Times New Roman"/>
          <w:b/>
          <w:lang w:val="sk-SK"/>
        </w:rPr>
      </w:pPr>
    </w:p>
    <w:p w14:paraId="352A690B" w14:textId="77777777" w:rsidR="00582954" w:rsidRDefault="00582954">
      <w:pPr>
        <w:widowControl w:val="0"/>
        <w:spacing w:after="0" w:line="240" w:lineRule="auto"/>
        <w:jc w:val="center"/>
        <w:rPr>
          <w:rFonts w:ascii="Times New Roman" w:hAnsi="Times New Roman"/>
          <w:b/>
          <w:lang w:val="sk-SK"/>
        </w:rPr>
      </w:pPr>
    </w:p>
    <w:p w14:paraId="370C99E5" w14:textId="77777777" w:rsidR="00582954" w:rsidRDefault="00582954">
      <w:pPr>
        <w:widowControl w:val="0"/>
        <w:spacing w:after="0" w:line="240" w:lineRule="auto"/>
        <w:jc w:val="center"/>
        <w:rPr>
          <w:rFonts w:ascii="Times New Roman" w:hAnsi="Times New Roman"/>
          <w:b/>
          <w:lang w:val="sk-SK"/>
        </w:rPr>
      </w:pPr>
    </w:p>
    <w:p w14:paraId="7978CA4B" w14:textId="77777777" w:rsidR="00582954" w:rsidRDefault="00582954">
      <w:pPr>
        <w:widowControl w:val="0"/>
        <w:spacing w:after="0" w:line="240" w:lineRule="auto"/>
        <w:jc w:val="center"/>
        <w:rPr>
          <w:rFonts w:ascii="Times New Roman" w:hAnsi="Times New Roman"/>
          <w:b/>
          <w:lang w:val="sk-SK"/>
        </w:rPr>
      </w:pPr>
    </w:p>
    <w:p w14:paraId="29F592DD" w14:textId="77777777" w:rsidR="00582954" w:rsidRDefault="00582954">
      <w:pPr>
        <w:widowControl w:val="0"/>
        <w:spacing w:after="0" w:line="240" w:lineRule="auto"/>
        <w:jc w:val="center"/>
        <w:rPr>
          <w:rFonts w:ascii="Times New Roman" w:hAnsi="Times New Roman"/>
          <w:b/>
          <w:lang w:val="sk-SK"/>
        </w:rPr>
      </w:pPr>
    </w:p>
    <w:p w14:paraId="4D0FE640" w14:textId="77777777" w:rsidR="00582954" w:rsidRDefault="00582954">
      <w:pPr>
        <w:widowControl w:val="0"/>
        <w:spacing w:after="0" w:line="240" w:lineRule="auto"/>
        <w:jc w:val="center"/>
        <w:rPr>
          <w:rFonts w:ascii="Times New Roman" w:hAnsi="Times New Roman"/>
          <w:b/>
          <w:lang w:val="sk-SK"/>
        </w:rPr>
      </w:pPr>
    </w:p>
    <w:p w14:paraId="76010767" w14:textId="77777777" w:rsidR="00582954" w:rsidRDefault="00582954">
      <w:pPr>
        <w:widowControl w:val="0"/>
        <w:spacing w:after="0" w:line="240" w:lineRule="auto"/>
        <w:jc w:val="center"/>
        <w:rPr>
          <w:rFonts w:ascii="Times New Roman" w:hAnsi="Times New Roman"/>
          <w:b/>
          <w:lang w:val="sk-SK"/>
        </w:rPr>
      </w:pPr>
    </w:p>
    <w:p w14:paraId="2085F8AD" w14:textId="77777777" w:rsidR="00582954" w:rsidRDefault="00582954">
      <w:pPr>
        <w:widowControl w:val="0"/>
        <w:spacing w:after="0" w:line="240" w:lineRule="auto"/>
        <w:jc w:val="center"/>
        <w:rPr>
          <w:rFonts w:ascii="Times New Roman" w:hAnsi="Times New Roman"/>
          <w:b/>
          <w:lang w:val="sk-SK"/>
        </w:rPr>
      </w:pPr>
    </w:p>
    <w:p w14:paraId="4EA1BADF" w14:textId="77777777" w:rsidR="00582954" w:rsidRDefault="00582954">
      <w:pPr>
        <w:widowControl w:val="0"/>
        <w:spacing w:after="0" w:line="240" w:lineRule="auto"/>
        <w:jc w:val="center"/>
        <w:rPr>
          <w:rFonts w:ascii="Times New Roman" w:hAnsi="Times New Roman"/>
          <w:b/>
          <w:lang w:val="sk-SK"/>
        </w:rPr>
      </w:pPr>
    </w:p>
    <w:p w14:paraId="2D8AD56E" w14:textId="77777777" w:rsidR="00582954" w:rsidRDefault="00582954">
      <w:pPr>
        <w:widowControl w:val="0"/>
        <w:spacing w:after="0" w:line="240" w:lineRule="auto"/>
        <w:jc w:val="center"/>
        <w:rPr>
          <w:rFonts w:ascii="Times New Roman" w:hAnsi="Times New Roman"/>
          <w:b/>
          <w:lang w:val="sk-SK"/>
        </w:rPr>
      </w:pPr>
    </w:p>
    <w:p w14:paraId="422A9D53" w14:textId="77777777" w:rsidR="00582954" w:rsidRDefault="00582954">
      <w:pPr>
        <w:widowControl w:val="0"/>
        <w:spacing w:after="0" w:line="240" w:lineRule="auto"/>
        <w:jc w:val="center"/>
        <w:rPr>
          <w:rFonts w:ascii="Times New Roman" w:hAnsi="Times New Roman"/>
          <w:b/>
          <w:lang w:val="sk-SK"/>
        </w:rPr>
      </w:pPr>
    </w:p>
    <w:p w14:paraId="77E2541D" w14:textId="77777777" w:rsidR="00582954" w:rsidRDefault="00582954">
      <w:pPr>
        <w:widowControl w:val="0"/>
        <w:spacing w:after="0" w:line="240" w:lineRule="auto"/>
        <w:jc w:val="center"/>
        <w:rPr>
          <w:rFonts w:ascii="Times New Roman" w:hAnsi="Times New Roman"/>
          <w:b/>
          <w:lang w:val="sk-SK"/>
        </w:rPr>
      </w:pPr>
    </w:p>
    <w:p w14:paraId="40C1CA01" w14:textId="77777777" w:rsidR="00582954" w:rsidRDefault="00582954">
      <w:pPr>
        <w:widowControl w:val="0"/>
        <w:spacing w:after="0" w:line="240" w:lineRule="auto"/>
        <w:jc w:val="center"/>
        <w:rPr>
          <w:rFonts w:ascii="Times New Roman" w:hAnsi="Times New Roman"/>
          <w:b/>
          <w:lang w:val="sk-SK"/>
        </w:rPr>
      </w:pPr>
    </w:p>
    <w:p w14:paraId="656F70BD" w14:textId="77777777" w:rsidR="00582954" w:rsidRDefault="00582954">
      <w:pPr>
        <w:widowControl w:val="0"/>
        <w:spacing w:after="0" w:line="240" w:lineRule="auto"/>
        <w:jc w:val="center"/>
        <w:rPr>
          <w:rFonts w:ascii="Times New Roman" w:hAnsi="Times New Roman"/>
          <w:b/>
          <w:lang w:val="sk-SK"/>
        </w:rPr>
      </w:pPr>
    </w:p>
    <w:p w14:paraId="7F44DD78" w14:textId="77777777" w:rsidR="00582954" w:rsidRDefault="00582954">
      <w:pPr>
        <w:widowControl w:val="0"/>
        <w:spacing w:after="0" w:line="240" w:lineRule="auto"/>
        <w:jc w:val="center"/>
        <w:rPr>
          <w:rFonts w:ascii="Times New Roman" w:hAnsi="Times New Roman"/>
          <w:b/>
          <w:lang w:val="sk-SK"/>
        </w:rPr>
      </w:pPr>
    </w:p>
    <w:p w14:paraId="0FF14A7E" w14:textId="77777777" w:rsidR="00582954" w:rsidRDefault="00582954">
      <w:pPr>
        <w:widowControl w:val="0"/>
        <w:spacing w:after="0" w:line="240" w:lineRule="auto"/>
        <w:jc w:val="center"/>
        <w:rPr>
          <w:rFonts w:ascii="Times New Roman" w:hAnsi="Times New Roman"/>
          <w:b/>
          <w:lang w:val="sk-SK"/>
        </w:rPr>
      </w:pPr>
    </w:p>
    <w:p w14:paraId="36C38E07" w14:textId="77777777" w:rsidR="00582954" w:rsidRDefault="00582954">
      <w:pPr>
        <w:widowControl w:val="0"/>
        <w:spacing w:after="0" w:line="240" w:lineRule="auto"/>
        <w:jc w:val="center"/>
        <w:rPr>
          <w:rFonts w:ascii="Times New Roman" w:hAnsi="Times New Roman"/>
          <w:b/>
          <w:lang w:val="sk-SK"/>
        </w:rPr>
      </w:pPr>
    </w:p>
    <w:p w14:paraId="072C7C9C" w14:textId="77777777" w:rsidR="00582954" w:rsidRDefault="00582954">
      <w:pPr>
        <w:widowControl w:val="0"/>
        <w:spacing w:after="0" w:line="240" w:lineRule="auto"/>
        <w:jc w:val="center"/>
        <w:rPr>
          <w:rFonts w:ascii="Times New Roman" w:hAnsi="Times New Roman"/>
          <w:b/>
          <w:lang w:val="sk-SK"/>
        </w:rPr>
      </w:pPr>
    </w:p>
    <w:p w14:paraId="50B52CE2" w14:textId="77777777" w:rsidR="00582954" w:rsidRDefault="00582954">
      <w:pPr>
        <w:widowControl w:val="0"/>
        <w:spacing w:after="0" w:line="240" w:lineRule="auto"/>
        <w:jc w:val="center"/>
        <w:rPr>
          <w:rFonts w:ascii="Times New Roman" w:hAnsi="Times New Roman"/>
          <w:b/>
          <w:lang w:val="sk-SK"/>
        </w:rPr>
      </w:pPr>
    </w:p>
    <w:p w14:paraId="5187CD7E" w14:textId="77777777" w:rsidR="00582954" w:rsidRDefault="00582954">
      <w:pPr>
        <w:widowControl w:val="0"/>
        <w:spacing w:after="0" w:line="240" w:lineRule="auto"/>
        <w:jc w:val="center"/>
        <w:rPr>
          <w:rFonts w:ascii="Times New Roman" w:hAnsi="Times New Roman"/>
          <w:b/>
          <w:lang w:val="sk-SK"/>
        </w:rPr>
      </w:pPr>
    </w:p>
    <w:p w14:paraId="61E32A1F" w14:textId="77777777" w:rsidR="00582954" w:rsidRDefault="00645977">
      <w:pPr>
        <w:widowControl w:val="0"/>
        <w:autoSpaceDE w:val="0"/>
        <w:autoSpaceDN w:val="0"/>
        <w:adjustRightInd w:val="0"/>
        <w:spacing w:after="0" w:line="240" w:lineRule="auto"/>
        <w:jc w:val="center"/>
        <w:rPr>
          <w:rFonts w:ascii="Times New Roman" w:hAnsi="Times New Roman"/>
          <w:b/>
          <w:bCs/>
          <w:lang w:val="sk-SK"/>
        </w:rPr>
      </w:pPr>
      <w:r>
        <w:rPr>
          <w:rFonts w:ascii="Times New Roman" w:hAnsi="Times New Roman"/>
          <w:b/>
          <w:bCs/>
          <w:lang w:val="sk-SK"/>
        </w:rPr>
        <w:t>PRÍLOHA I</w:t>
      </w:r>
    </w:p>
    <w:p w14:paraId="62D3CED0" w14:textId="77777777" w:rsidR="00582954" w:rsidRDefault="00582954">
      <w:pPr>
        <w:widowControl w:val="0"/>
        <w:autoSpaceDE w:val="0"/>
        <w:autoSpaceDN w:val="0"/>
        <w:adjustRightInd w:val="0"/>
        <w:spacing w:after="0" w:line="240" w:lineRule="auto"/>
        <w:jc w:val="center"/>
        <w:rPr>
          <w:rFonts w:ascii="Times New Roman" w:hAnsi="Times New Roman"/>
          <w:b/>
          <w:bCs/>
          <w:lang w:val="sk-SK"/>
        </w:rPr>
      </w:pPr>
    </w:p>
    <w:p w14:paraId="72B1DC73" w14:textId="77777777" w:rsidR="00582954" w:rsidRDefault="00645977">
      <w:pPr>
        <w:pStyle w:val="TitleA"/>
        <w:rPr>
          <w:lang w:val="sk-SK"/>
        </w:rPr>
      </w:pPr>
      <w:r>
        <w:rPr>
          <w:lang w:val="sk-SK"/>
        </w:rPr>
        <w:t>SÚHRN CHARAKTERISTICKÝCH VLASTNOSTÍ LIEKU</w:t>
      </w:r>
    </w:p>
    <w:p w14:paraId="2C630E48" w14:textId="77777777" w:rsidR="00582954" w:rsidRDefault="00645977">
      <w:pPr>
        <w:pStyle w:val="Odsekzoznamu"/>
        <w:widowControl w:val="0"/>
        <w:tabs>
          <w:tab w:val="left" w:pos="567"/>
        </w:tabs>
        <w:spacing w:after="0" w:line="240" w:lineRule="auto"/>
        <w:ind w:left="0"/>
        <w:rPr>
          <w:rFonts w:ascii="Times New Roman" w:hAnsi="Times New Roman"/>
          <w:b/>
          <w:lang w:val="sk-SK"/>
        </w:rPr>
      </w:pPr>
      <w:r>
        <w:rPr>
          <w:rFonts w:ascii="Times New Roman" w:hAnsi="Times New Roman"/>
          <w:b/>
          <w:lang w:val="sk-SK"/>
        </w:rPr>
        <w:br w:type="page"/>
      </w:r>
      <w:r>
        <w:rPr>
          <w:rFonts w:ascii="Times New Roman" w:hAnsi="Times New Roman"/>
          <w:b/>
          <w:lang w:val="sk-SK"/>
        </w:rPr>
        <w:lastRenderedPageBreak/>
        <w:t>1.</w:t>
      </w:r>
      <w:r>
        <w:rPr>
          <w:rFonts w:ascii="Times New Roman" w:hAnsi="Times New Roman"/>
          <w:b/>
          <w:lang w:val="sk-SK"/>
        </w:rPr>
        <w:tab/>
        <w:t>NÁZOV LIEKU</w:t>
      </w:r>
    </w:p>
    <w:p w14:paraId="6F27A636" w14:textId="77777777" w:rsidR="00582954" w:rsidRDefault="00582954">
      <w:pPr>
        <w:pStyle w:val="Odsekzoznamu"/>
        <w:widowControl w:val="0"/>
        <w:spacing w:after="0" w:line="240" w:lineRule="auto"/>
        <w:ind w:left="0"/>
        <w:rPr>
          <w:rFonts w:ascii="Times New Roman" w:hAnsi="Times New Roman"/>
          <w:b/>
          <w:lang w:val="sk-SK"/>
        </w:rPr>
      </w:pPr>
    </w:p>
    <w:p w14:paraId="5F205F73" w14:textId="77777777" w:rsidR="00582954" w:rsidRDefault="00645977">
      <w:pPr>
        <w:pStyle w:val="Odsekzoznamu"/>
        <w:widowControl w:val="0"/>
        <w:spacing w:after="0" w:line="240" w:lineRule="auto"/>
        <w:ind w:left="0"/>
        <w:rPr>
          <w:rFonts w:ascii="Times New Roman" w:hAnsi="Times New Roman"/>
          <w:noProof/>
          <w:lang w:val="sk-SK"/>
        </w:rPr>
      </w:pPr>
      <w:r>
        <w:rPr>
          <w:rFonts w:ascii="Times New Roman" w:hAnsi="Times New Roman"/>
          <w:lang w:val="sk-SK"/>
        </w:rPr>
        <w:t xml:space="preserve">Tolucombi </w:t>
      </w:r>
      <w:r>
        <w:rPr>
          <w:rFonts w:ascii="Times New Roman" w:hAnsi="Times New Roman"/>
          <w:noProof/>
          <w:lang w:val="sk-SK"/>
        </w:rPr>
        <w:t>40 mg/12,5 mg tablety</w:t>
      </w:r>
    </w:p>
    <w:p w14:paraId="77FAA61A" w14:textId="77777777" w:rsidR="00582954" w:rsidRDefault="00645977">
      <w:pPr>
        <w:pStyle w:val="Odsekzoznamu"/>
        <w:widowControl w:val="0"/>
        <w:spacing w:after="0" w:line="240" w:lineRule="auto"/>
        <w:ind w:left="0"/>
        <w:rPr>
          <w:rFonts w:ascii="Times New Roman" w:hAnsi="Times New Roman"/>
          <w:noProof/>
          <w:lang w:val="sk-SK"/>
        </w:rPr>
      </w:pPr>
      <w:r>
        <w:rPr>
          <w:rFonts w:ascii="Times New Roman" w:hAnsi="Times New Roman"/>
          <w:lang w:val="sk-SK"/>
        </w:rPr>
        <w:t xml:space="preserve">Tolucombi </w:t>
      </w:r>
      <w:r>
        <w:rPr>
          <w:rFonts w:ascii="Times New Roman" w:hAnsi="Times New Roman"/>
          <w:noProof/>
          <w:lang w:val="sk-SK"/>
        </w:rPr>
        <w:t>80 mg/12,5 mg tablety</w:t>
      </w:r>
    </w:p>
    <w:p w14:paraId="65C31FCA" w14:textId="77777777" w:rsidR="00582954" w:rsidRDefault="00582954">
      <w:pPr>
        <w:pStyle w:val="Odsekzoznamu"/>
        <w:widowControl w:val="0"/>
        <w:spacing w:after="0" w:line="240" w:lineRule="auto"/>
        <w:ind w:left="0"/>
        <w:rPr>
          <w:rFonts w:ascii="Times New Roman" w:hAnsi="Times New Roman"/>
          <w:noProof/>
          <w:lang w:val="sk-SK"/>
        </w:rPr>
      </w:pPr>
    </w:p>
    <w:p w14:paraId="09A77B67" w14:textId="77777777" w:rsidR="00582954" w:rsidRDefault="00582954">
      <w:pPr>
        <w:pStyle w:val="Odsekzoznamu"/>
        <w:widowControl w:val="0"/>
        <w:spacing w:after="0" w:line="240" w:lineRule="auto"/>
        <w:ind w:left="0"/>
        <w:rPr>
          <w:rFonts w:ascii="Times New Roman" w:hAnsi="Times New Roman"/>
          <w:noProof/>
          <w:lang w:val="sk-SK"/>
        </w:rPr>
      </w:pPr>
    </w:p>
    <w:p w14:paraId="7935CAEC" w14:textId="77777777" w:rsidR="00582954" w:rsidRDefault="00645977">
      <w:pPr>
        <w:pStyle w:val="Odsekzoznamu"/>
        <w:widowControl w:val="0"/>
        <w:tabs>
          <w:tab w:val="left" w:pos="567"/>
        </w:tabs>
        <w:spacing w:after="0" w:line="240" w:lineRule="auto"/>
        <w:ind w:left="0"/>
        <w:rPr>
          <w:rFonts w:ascii="Times New Roman" w:hAnsi="Times New Roman"/>
          <w:b/>
          <w:lang w:val="sk-SK"/>
        </w:rPr>
      </w:pPr>
      <w:r>
        <w:rPr>
          <w:rFonts w:ascii="Times New Roman" w:hAnsi="Times New Roman"/>
          <w:b/>
          <w:noProof/>
          <w:lang w:val="sk-SK"/>
        </w:rPr>
        <w:t>2.</w:t>
      </w:r>
      <w:r>
        <w:rPr>
          <w:rFonts w:ascii="Times New Roman" w:hAnsi="Times New Roman"/>
          <w:b/>
          <w:noProof/>
          <w:lang w:val="sk-SK"/>
        </w:rPr>
        <w:tab/>
        <w:t>KVALITATÍVNE A KVANTITATÍVNE ZLOŽENIE</w:t>
      </w:r>
    </w:p>
    <w:p w14:paraId="1FB6BBE5" w14:textId="77777777" w:rsidR="00582954" w:rsidRDefault="00582954">
      <w:pPr>
        <w:pStyle w:val="Odsekzoznamu"/>
        <w:widowControl w:val="0"/>
        <w:spacing w:after="0" w:line="240" w:lineRule="auto"/>
        <w:ind w:left="0"/>
        <w:rPr>
          <w:rFonts w:ascii="Times New Roman" w:hAnsi="Times New Roman"/>
          <w:b/>
          <w:noProof/>
          <w:lang w:val="sk-SK"/>
        </w:rPr>
      </w:pPr>
    </w:p>
    <w:p w14:paraId="4052F2EB" w14:textId="77777777" w:rsidR="00582954" w:rsidRDefault="00645977">
      <w:pPr>
        <w:pStyle w:val="Odsekzoznamu"/>
        <w:widowControl w:val="0"/>
        <w:spacing w:after="0" w:line="240" w:lineRule="auto"/>
        <w:ind w:left="0"/>
        <w:rPr>
          <w:rFonts w:ascii="Times New Roman" w:hAnsi="Times New Roman"/>
          <w:noProof/>
          <w:lang w:val="sk-SK"/>
        </w:rPr>
      </w:pPr>
      <w:r>
        <w:rPr>
          <w:rFonts w:ascii="Times New Roman" w:hAnsi="Times New Roman"/>
          <w:lang w:val="sk-SK"/>
        </w:rPr>
        <w:t xml:space="preserve">Tolucombi </w:t>
      </w:r>
      <w:r>
        <w:rPr>
          <w:rFonts w:ascii="Times New Roman" w:hAnsi="Times New Roman"/>
          <w:noProof/>
          <w:lang w:val="sk-SK"/>
        </w:rPr>
        <w:t>40 mg/12,5 mg tablety</w:t>
      </w:r>
    </w:p>
    <w:p w14:paraId="493DFA16"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 xml:space="preserve">Každá tableta obsahuje 40 mg telmisartanu (telmisartanum) a 12,5 mg hydrochlórtiazidu </w:t>
      </w:r>
      <w:r>
        <w:rPr>
          <w:rFonts w:ascii="Times New Roman" w:hAnsi="Times New Roman"/>
          <w:lang w:val="en-GB"/>
        </w:rPr>
        <w:t>(hydrochlorothiazidum)</w:t>
      </w:r>
      <w:r>
        <w:rPr>
          <w:rFonts w:ascii="Times New Roman" w:hAnsi="Times New Roman"/>
          <w:lang w:val="sk-SK"/>
        </w:rPr>
        <w:t>.</w:t>
      </w:r>
    </w:p>
    <w:p w14:paraId="69AFFA3A" w14:textId="77777777" w:rsidR="00582954" w:rsidRDefault="00582954">
      <w:pPr>
        <w:pStyle w:val="Odsekzoznamu"/>
        <w:widowControl w:val="0"/>
        <w:spacing w:after="0" w:line="240" w:lineRule="auto"/>
        <w:ind w:left="0"/>
        <w:rPr>
          <w:rFonts w:ascii="Times New Roman" w:hAnsi="Times New Roman"/>
          <w:lang w:val="sk-SK"/>
        </w:rPr>
      </w:pPr>
    </w:p>
    <w:p w14:paraId="1F1F73EA" w14:textId="77777777" w:rsidR="00582954" w:rsidRDefault="00645977">
      <w:pPr>
        <w:pStyle w:val="Odsekzoznamu"/>
        <w:widowControl w:val="0"/>
        <w:spacing w:after="0" w:line="240" w:lineRule="auto"/>
        <w:ind w:left="0"/>
        <w:rPr>
          <w:rFonts w:ascii="Times New Roman" w:hAnsi="Times New Roman"/>
          <w:noProof/>
          <w:lang w:val="sk-SK"/>
        </w:rPr>
      </w:pPr>
      <w:r>
        <w:rPr>
          <w:rFonts w:ascii="Times New Roman" w:hAnsi="Times New Roman"/>
          <w:lang w:val="sk-SK"/>
        </w:rPr>
        <w:t xml:space="preserve">Tolucombi </w:t>
      </w:r>
      <w:r>
        <w:rPr>
          <w:rFonts w:ascii="Times New Roman" w:hAnsi="Times New Roman"/>
          <w:noProof/>
          <w:lang w:val="sk-SK"/>
        </w:rPr>
        <w:t>80 mg/12,5 mg tablety</w:t>
      </w:r>
    </w:p>
    <w:p w14:paraId="14AEA09E"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 xml:space="preserve">Každá tableta obsahuje 80 mg telmisartanu (telmisartanum) a 12,5 mg hydrochlórtiazidu </w:t>
      </w:r>
      <w:r>
        <w:rPr>
          <w:rFonts w:ascii="Times New Roman" w:hAnsi="Times New Roman"/>
          <w:lang w:val="en-GB"/>
        </w:rPr>
        <w:t>(hydrochlorothiazidum)</w:t>
      </w:r>
      <w:r>
        <w:rPr>
          <w:rFonts w:ascii="Times New Roman" w:hAnsi="Times New Roman"/>
          <w:lang w:val="sk-SK"/>
        </w:rPr>
        <w:t>.</w:t>
      </w:r>
    </w:p>
    <w:p w14:paraId="0A548141" w14:textId="77777777" w:rsidR="00582954" w:rsidRDefault="00582954">
      <w:pPr>
        <w:pStyle w:val="Odsekzoznamu"/>
        <w:widowControl w:val="0"/>
        <w:spacing w:after="0" w:line="240" w:lineRule="auto"/>
        <w:ind w:left="0"/>
        <w:rPr>
          <w:rFonts w:ascii="Times New Roman" w:hAnsi="Times New Roman"/>
          <w:lang w:val="sk-SK"/>
        </w:rPr>
      </w:pPr>
    </w:p>
    <w:p w14:paraId="66EF4266"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Úplný zoznam pomocných látok, pozri časť 6.1.</w:t>
      </w:r>
    </w:p>
    <w:p w14:paraId="03D32E35" w14:textId="77777777" w:rsidR="00582954" w:rsidRDefault="00582954">
      <w:pPr>
        <w:pStyle w:val="Odsekzoznamu"/>
        <w:widowControl w:val="0"/>
        <w:spacing w:after="0" w:line="240" w:lineRule="auto"/>
        <w:ind w:left="0"/>
        <w:rPr>
          <w:rFonts w:ascii="Times New Roman" w:hAnsi="Times New Roman"/>
          <w:lang w:val="sk-SK"/>
        </w:rPr>
      </w:pPr>
    </w:p>
    <w:p w14:paraId="57A050FD" w14:textId="77777777" w:rsidR="00582954" w:rsidRDefault="00582954">
      <w:pPr>
        <w:pStyle w:val="Odsekzoznamu"/>
        <w:widowControl w:val="0"/>
        <w:spacing w:after="0" w:line="240" w:lineRule="auto"/>
        <w:ind w:left="0"/>
        <w:rPr>
          <w:rFonts w:ascii="Times New Roman" w:hAnsi="Times New Roman"/>
          <w:lang w:val="sk-SK"/>
        </w:rPr>
      </w:pPr>
    </w:p>
    <w:p w14:paraId="3C4FDA6B" w14:textId="77777777" w:rsidR="00582954" w:rsidRDefault="00645977">
      <w:pPr>
        <w:pStyle w:val="Odsekzoznamu"/>
        <w:widowControl w:val="0"/>
        <w:tabs>
          <w:tab w:val="left" w:pos="567"/>
        </w:tabs>
        <w:spacing w:after="0" w:line="240" w:lineRule="auto"/>
        <w:ind w:left="0"/>
        <w:rPr>
          <w:rFonts w:ascii="Times New Roman" w:hAnsi="Times New Roman"/>
          <w:b/>
          <w:lang w:val="sk-SK"/>
        </w:rPr>
      </w:pPr>
      <w:r>
        <w:rPr>
          <w:rFonts w:ascii="Times New Roman" w:hAnsi="Times New Roman"/>
          <w:b/>
          <w:lang w:val="sk-SK"/>
        </w:rPr>
        <w:t>3.</w:t>
      </w:r>
      <w:r>
        <w:rPr>
          <w:rFonts w:ascii="Times New Roman" w:hAnsi="Times New Roman"/>
          <w:b/>
          <w:lang w:val="sk-SK"/>
        </w:rPr>
        <w:tab/>
        <w:t>LIEKOVÁ FORMA</w:t>
      </w:r>
    </w:p>
    <w:p w14:paraId="5E7B12E9" w14:textId="77777777" w:rsidR="00582954" w:rsidRDefault="00582954">
      <w:pPr>
        <w:pStyle w:val="Odsekzoznamu"/>
        <w:widowControl w:val="0"/>
        <w:spacing w:after="0" w:line="240" w:lineRule="auto"/>
        <w:ind w:left="0"/>
        <w:rPr>
          <w:rFonts w:ascii="Times New Roman" w:hAnsi="Times New Roman"/>
          <w:lang w:val="sk-SK"/>
        </w:rPr>
      </w:pPr>
    </w:p>
    <w:p w14:paraId="32915EE5"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Tableta.</w:t>
      </w:r>
    </w:p>
    <w:p w14:paraId="0DF24066" w14:textId="77777777" w:rsidR="00582954" w:rsidRDefault="00582954">
      <w:pPr>
        <w:pStyle w:val="Odsekzoznamu"/>
        <w:widowControl w:val="0"/>
        <w:spacing w:after="0" w:line="240" w:lineRule="auto"/>
        <w:ind w:left="0"/>
        <w:rPr>
          <w:rFonts w:ascii="Times New Roman" w:hAnsi="Times New Roman"/>
          <w:lang w:val="sk-SK"/>
        </w:rPr>
      </w:pPr>
    </w:p>
    <w:p w14:paraId="219D4E4A" w14:textId="77777777" w:rsidR="00582954" w:rsidRDefault="00645977">
      <w:pPr>
        <w:pStyle w:val="Odsekzoznamu"/>
        <w:widowControl w:val="0"/>
        <w:spacing w:after="0" w:line="240" w:lineRule="auto"/>
        <w:ind w:left="0"/>
        <w:rPr>
          <w:rFonts w:ascii="Times New Roman" w:hAnsi="Times New Roman"/>
          <w:noProof/>
          <w:u w:val="single"/>
          <w:lang w:val="sk-SK"/>
        </w:rPr>
      </w:pPr>
      <w:r>
        <w:rPr>
          <w:rFonts w:ascii="Times New Roman" w:hAnsi="Times New Roman"/>
          <w:u w:val="single"/>
          <w:lang w:val="sk-SK"/>
        </w:rPr>
        <w:t xml:space="preserve">Tolucombi </w:t>
      </w:r>
      <w:r>
        <w:rPr>
          <w:rFonts w:ascii="Times New Roman" w:hAnsi="Times New Roman"/>
          <w:noProof/>
          <w:u w:val="single"/>
          <w:lang w:val="sk-SK"/>
        </w:rPr>
        <w:t>40 mg/12,5 mg tablety</w:t>
      </w:r>
    </w:p>
    <w:p w14:paraId="2AD1406E" w14:textId="77777777" w:rsidR="00582954" w:rsidRDefault="00645977">
      <w:pPr>
        <w:pStyle w:val="Odsekzoznamu"/>
        <w:widowControl w:val="0"/>
        <w:spacing w:after="0" w:line="240" w:lineRule="auto"/>
        <w:ind w:left="0" w:right="850"/>
        <w:rPr>
          <w:rFonts w:ascii="Times New Roman" w:hAnsi="Times New Roman"/>
          <w:lang w:val="sk-SK"/>
        </w:rPr>
      </w:pPr>
      <w:r>
        <w:rPr>
          <w:rFonts w:ascii="Times New Roman" w:hAnsi="Times New Roman"/>
          <w:lang w:val="sk-SK"/>
        </w:rPr>
        <w:t>Svetloružové, mramorované, oválne bikonvexné tablety s označením L1 na jednej strane, rozmery tablety: dĺžka približne 14 mm.</w:t>
      </w:r>
    </w:p>
    <w:p w14:paraId="38A183BE" w14:textId="77777777" w:rsidR="00582954" w:rsidRDefault="00582954">
      <w:pPr>
        <w:pStyle w:val="Odsekzoznamu"/>
        <w:widowControl w:val="0"/>
        <w:spacing w:after="0" w:line="240" w:lineRule="auto"/>
        <w:ind w:left="0"/>
        <w:rPr>
          <w:rFonts w:ascii="Times New Roman" w:hAnsi="Times New Roman"/>
          <w:lang w:val="sk-SK"/>
        </w:rPr>
      </w:pPr>
    </w:p>
    <w:p w14:paraId="2747EA50" w14:textId="77777777" w:rsidR="00582954" w:rsidRDefault="00645977">
      <w:pPr>
        <w:pStyle w:val="Odsekzoznamu"/>
        <w:widowControl w:val="0"/>
        <w:spacing w:after="0" w:line="240" w:lineRule="auto"/>
        <w:ind w:left="0"/>
        <w:rPr>
          <w:rFonts w:ascii="Times New Roman" w:hAnsi="Times New Roman"/>
          <w:noProof/>
          <w:u w:val="single"/>
          <w:lang w:val="sk-SK"/>
        </w:rPr>
      </w:pPr>
      <w:r>
        <w:rPr>
          <w:rFonts w:ascii="Times New Roman" w:hAnsi="Times New Roman"/>
          <w:u w:val="single"/>
          <w:lang w:val="sk-SK"/>
        </w:rPr>
        <w:t xml:space="preserve">Tolucombi </w:t>
      </w:r>
      <w:r>
        <w:rPr>
          <w:rFonts w:ascii="Times New Roman" w:hAnsi="Times New Roman"/>
          <w:noProof/>
          <w:u w:val="single"/>
          <w:lang w:val="sk-SK"/>
        </w:rPr>
        <w:t>80 mg/12,5 mg tablety</w:t>
      </w:r>
    </w:p>
    <w:p w14:paraId="0CF4D42F" w14:textId="77777777" w:rsidR="00582954" w:rsidRDefault="00645977">
      <w:pPr>
        <w:pStyle w:val="Odsekzoznamu"/>
        <w:widowControl w:val="0"/>
        <w:spacing w:after="0" w:line="240" w:lineRule="auto"/>
        <w:ind w:left="0" w:right="566"/>
        <w:rPr>
          <w:rFonts w:ascii="Times New Roman" w:hAnsi="Times New Roman"/>
          <w:lang w:val="sk-SK"/>
        </w:rPr>
      </w:pPr>
      <w:r>
        <w:rPr>
          <w:rFonts w:ascii="Times New Roman" w:hAnsi="Times New Roman"/>
          <w:lang w:val="sk-SK"/>
        </w:rPr>
        <w:t>Svetlooranžové, mramorované, oválne bikonvexné tablety s označením L2 na jednej strane, rozmery tablety: dĺžka približne 17 mm.</w:t>
      </w:r>
    </w:p>
    <w:p w14:paraId="277CCFBD" w14:textId="77777777" w:rsidR="00582954" w:rsidRDefault="00582954">
      <w:pPr>
        <w:pStyle w:val="Odsekzoznamu"/>
        <w:widowControl w:val="0"/>
        <w:spacing w:after="0" w:line="240" w:lineRule="auto"/>
        <w:ind w:left="0"/>
        <w:rPr>
          <w:rFonts w:ascii="Times New Roman" w:hAnsi="Times New Roman"/>
          <w:lang w:val="sk-SK"/>
        </w:rPr>
      </w:pPr>
    </w:p>
    <w:p w14:paraId="7A3A5621" w14:textId="77777777" w:rsidR="00582954" w:rsidRDefault="00582954">
      <w:pPr>
        <w:pStyle w:val="Odsekzoznamu"/>
        <w:widowControl w:val="0"/>
        <w:spacing w:after="0" w:line="240" w:lineRule="auto"/>
        <w:ind w:left="0"/>
        <w:rPr>
          <w:rFonts w:ascii="Times New Roman" w:hAnsi="Times New Roman"/>
          <w:lang w:val="sk-SK"/>
        </w:rPr>
      </w:pPr>
    </w:p>
    <w:p w14:paraId="2B073357" w14:textId="77777777" w:rsidR="00582954" w:rsidRDefault="00645977">
      <w:pPr>
        <w:pStyle w:val="Odsekzoznamu"/>
        <w:widowControl w:val="0"/>
        <w:tabs>
          <w:tab w:val="left" w:pos="567"/>
        </w:tabs>
        <w:spacing w:after="0" w:line="240" w:lineRule="auto"/>
        <w:ind w:left="0"/>
        <w:rPr>
          <w:rFonts w:ascii="Times New Roman" w:hAnsi="Times New Roman"/>
          <w:b/>
          <w:lang w:val="sk-SK"/>
        </w:rPr>
      </w:pPr>
      <w:r>
        <w:rPr>
          <w:rFonts w:ascii="Times New Roman" w:hAnsi="Times New Roman"/>
          <w:b/>
          <w:lang w:val="sk-SK"/>
        </w:rPr>
        <w:t>4.</w:t>
      </w:r>
      <w:r>
        <w:rPr>
          <w:rFonts w:ascii="Times New Roman" w:hAnsi="Times New Roman"/>
          <w:b/>
          <w:lang w:val="sk-SK"/>
        </w:rPr>
        <w:tab/>
        <w:t>KLINICKÉ ÚDAJE</w:t>
      </w:r>
    </w:p>
    <w:p w14:paraId="4E49541E" w14:textId="77777777" w:rsidR="00582954" w:rsidRDefault="00582954">
      <w:pPr>
        <w:pStyle w:val="Odsekzoznamu"/>
        <w:widowControl w:val="0"/>
        <w:spacing w:after="0" w:line="240" w:lineRule="auto"/>
        <w:ind w:left="0"/>
        <w:rPr>
          <w:rFonts w:ascii="Times New Roman" w:hAnsi="Times New Roman"/>
          <w:b/>
          <w:lang w:val="sk-SK"/>
        </w:rPr>
      </w:pPr>
    </w:p>
    <w:p w14:paraId="6E2CCF9F" w14:textId="77777777" w:rsidR="00582954" w:rsidRDefault="00645977">
      <w:pPr>
        <w:pStyle w:val="Odsekzoznamu"/>
        <w:widowControl w:val="0"/>
        <w:tabs>
          <w:tab w:val="left" w:pos="567"/>
        </w:tabs>
        <w:spacing w:after="0" w:line="240" w:lineRule="auto"/>
        <w:ind w:left="0" w:right="-143"/>
        <w:rPr>
          <w:rFonts w:ascii="Times New Roman" w:hAnsi="Times New Roman"/>
          <w:b/>
          <w:lang w:val="sk-SK"/>
        </w:rPr>
      </w:pPr>
      <w:r>
        <w:rPr>
          <w:rFonts w:ascii="Times New Roman" w:hAnsi="Times New Roman"/>
          <w:b/>
          <w:lang w:val="sk-SK"/>
        </w:rPr>
        <w:t>4.1</w:t>
      </w:r>
      <w:r>
        <w:rPr>
          <w:rFonts w:ascii="Times New Roman" w:hAnsi="Times New Roman"/>
          <w:b/>
          <w:lang w:val="sk-SK"/>
        </w:rPr>
        <w:tab/>
        <w:t>Terapeutické indikácie</w:t>
      </w:r>
    </w:p>
    <w:p w14:paraId="482606F7" w14:textId="77777777" w:rsidR="00582954" w:rsidRDefault="00582954">
      <w:pPr>
        <w:pStyle w:val="Odsekzoznamu"/>
        <w:widowControl w:val="0"/>
        <w:spacing w:after="0" w:line="240" w:lineRule="auto"/>
        <w:ind w:left="0"/>
        <w:rPr>
          <w:rFonts w:ascii="Times New Roman" w:hAnsi="Times New Roman"/>
          <w:b/>
          <w:lang w:val="sk-SK"/>
        </w:rPr>
      </w:pPr>
    </w:p>
    <w:p w14:paraId="75E60379"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Liečba esenciálnej hypertenzie.</w:t>
      </w:r>
    </w:p>
    <w:p w14:paraId="14203FAE" w14:textId="77777777" w:rsidR="00582954" w:rsidRDefault="00582954">
      <w:pPr>
        <w:pStyle w:val="Odsekzoznamu"/>
        <w:widowControl w:val="0"/>
        <w:spacing w:after="0" w:line="240" w:lineRule="auto"/>
        <w:ind w:left="0"/>
        <w:rPr>
          <w:rFonts w:ascii="Times New Roman" w:hAnsi="Times New Roman"/>
          <w:lang w:val="sk-SK"/>
        </w:rPr>
      </w:pPr>
    </w:p>
    <w:p w14:paraId="3437C077"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Tolucombi fixná kombinácia liečiv (40 mg telmisartanu/12,5 mg hydrochlórtiazidu a 80 mg telmisartanu/12,5 mg hydrochlórtiazidu) je indikovaná dospelým, ktorých krvný tlak nie je adekvátne kontrolovaný samotným telmisartanom.</w:t>
      </w:r>
    </w:p>
    <w:p w14:paraId="59DF6F4B" w14:textId="77777777" w:rsidR="00582954" w:rsidRDefault="00582954">
      <w:pPr>
        <w:pStyle w:val="Odsekzoznamu"/>
        <w:widowControl w:val="0"/>
        <w:spacing w:after="0" w:line="240" w:lineRule="auto"/>
        <w:ind w:left="0"/>
        <w:rPr>
          <w:rFonts w:ascii="Times New Roman" w:hAnsi="Times New Roman"/>
          <w:lang w:val="sk-SK"/>
        </w:rPr>
      </w:pPr>
    </w:p>
    <w:p w14:paraId="6BBD76D2" w14:textId="77777777" w:rsidR="00582954" w:rsidRDefault="00645977">
      <w:pPr>
        <w:pStyle w:val="Odsekzoznamu"/>
        <w:widowControl w:val="0"/>
        <w:tabs>
          <w:tab w:val="left" w:pos="567"/>
        </w:tabs>
        <w:spacing w:after="0" w:line="240" w:lineRule="auto"/>
        <w:ind w:left="0"/>
        <w:rPr>
          <w:rFonts w:ascii="Times New Roman" w:hAnsi="Times New Roman"/>
          <w:b/>
          <w:lang w:val="sk-SK"/>
        </w:rPr>
      </w:pPr>
      <w:r>
        <w:rPr>
          <w:rFonts w:ascii="Times New Roman" w:hAnsi="Times New Roman"/>
          <w:b/>
          <w:lang w:val="sk-SK"/>
        </w:rPr>
        <w:t>4.2</w:t>
      </w:r>
      <w:r>
        <w:rPr>
          <w:rFonts w:ascii="Times New Roman" w:hAnsi="Times New Roman"/>
          <w:b/>
          <w:lang w:val="sk-SK"/>
        </w:rPr>
        <w:tab/>
        <w:t>Dávkovanie a spôsob podávania</w:t>
      </w:r>
    </w:p>
    <w:p w14:paraId="5E8449AD" w14:textId="77777777" w:rsidR="00582954" w:rsidRDefault="00582954">
      <w:pPr>
        <w:pStyle w:val="Odsekzoznamu"/>
        <w:widowControl w:val="0"/>
        <w:spacing w:after="0" w:line="240" w:lineRule="auto"/>
        <w:ind w:left="0"/>
        <w:rPr>
          <w:rFonts w:ascii="Times New Roman" w:hAnsi="Times New Roman"/>
          <w:b/>
          <w:lang w:val="sk-SK"/>
        </w:rPr>
      </w:pPr>
    </w:p>
    <w:p w14:paraId="140B6790"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Dávkovanie</w:t>
      </w:r>
    </w:p>
    <w:p w14:paraId="1490C081" w14:textId="77777777" w:rsidR="00582954" w:rsidRDefault="00582954">
      <w:pPr>
        <w:pStyle w:val="Odsekzoznamu"/>
        <w:widowControl w:val="0"/>
        <w:spacing w:after="0" w:line="240" w:lineRule="auto"/>
        <w:ind w:left="0"/>
        <w:rPr>
          <w:rFonts w:ascii="Times New Roman" w:hAnsi="Times New Roman"/>
          <w:lang w:val="sk-SK"/>
        </w:rPr>
      </w:pPr>
    </w:p>
    <w:p w14:paraId="1035C964"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Táto fixná kombinácia liečiv sa má podávať pacientom, ktorých krvný tlak nie je adekvátne kontrolovaný samotným telmisartanom. Pred zmenou na fixnú kombináciu dávok sa odporúča individuálna titrácia dávky každej z dvoch zložiek. Keď je to klinicky vhodné, možno zvážiť priamy prechod z monoterapie na fixnú kombináciu.</w:t>
      </w:r>
    </w:p>
    <w:p w14:paraId="7A7BC177" w14:textId="77777777" w:rsidR="00582954" w:rsidRDefault="00582954">
      <w:pPr>
        <w:pStyle w:val="Odsekzoznamu"/>
        <w:widowControl w:val="0"/>
        <w:spacing w:after="0" w:line="240" w:lineRule="auto"/>
        <w:ind w:left="0"/>
        <w:rPr>
          <w:rFonts w:ascii="Times New Roman" w:hAnsi="Times New Roman"/>
          <w:lang w:val="sk-SK"/>
        </w:rPr>
      </w:pPr>
    </w:p>
    <w:p w14:paraId="78B9DEA6" w14:textId="77777777" w:rsidR="00582954" w:rsidRDefault="00645977">
      <w:pPr>
        <w:pStyle w:val="Odsekzoznamu"/>
        <w:widowControl w:val="0"/>
        <w:numPr>
          <w:ilvl w:val="0"/>
          <w:numId w:val="1"/>
        </w:numPr>
        <w:spacing w:after="0" w:line="240" w:lineRule="auto"/>
        <w:ind w:left="567" w:hanging="567"/>
        <w:rPr>
          <w:rFonts w:ascii="Times New Roman" w:hAnsi="Times New Roman"/>
          <w:lang w:val="sk-SK"/>
        </w:rPr>
      </w:pPr>
      <w:r>
        <w:rPr>
          <w:rFonts w:ascii="Times New Roman" w:hAnsi="Times New Roman"/>
          <w:lang w:val="sk-SK"/>
        </w:rPr>
        <w:t>Tolucombi 40 mg/12,5 mg sa môže podávať jedenkrát denne pacientom, ktorých krvný tlak nie je adekvátne kontrolovaný telmisartanom 40 mg.</w:t>
      </w:r>
    </w:p>
    <w:p w14:paraId="0D9F8037" w14:textId="77777777" w:rsidR="00582954" w:rsidRDefault="00645977">
      <w:pPr>
        <w:pStyle w:val="Odsekzoznamu"/>
        <w:widowControl w:val="0"/>
        <w:numPr>
          <w:ilvl w:val="0"/>
          <w:numId w:val="1"/>
        </w:numPr>
        <w:spacing w:after="0" w:line="240" w:lineRule="auto"/>
        <w:ind w:left="567" w:hanging="567"/>
        <w:rPr>
          <w:rFonts w:ascii="Times New Roman" w:hAnsi="Times New Roman"/>
          <w:lang w:val="sk-SK"/>
        </w:rPr>
      </w:pPr>
      <w:r>
        <w:rPr>
          <w:rFonts w:ascii="Times New Roman" w:hAnsi="Times New Roman"/>
          <w:lang w:val="sk-SK"/>
        </w:rPr>
        <w:t xml:space="preserve">Tolucombi 80 mg/12,5 mg sa môže podávať jedenkrát denne pacientom, ktorých krvný tlak nie je </w:t>
      </w:r>
      <w:r>
        <w:rPr>
          <w:rFonts w:ascii="Times New Roman" w:hAnsi="Times New Roman"/>
          <w:lang w:val="sk-SK"/>
        </w:rPr>
        <w:lastRenderedPageBreak/>
        <w:t>adekvátne kontrolovaný telmisartanom 80 mg.</w:t>
      </w:r>
    </w:p>
    <w:p w14:paraId="3B0685D6" w14:textId="77777777" w:rsidR="00582954" w:rsidRDefault="00582954">
      <w:pPr>
        <w:pStyle w:val="Odsekzoznamu"/>
        <w:widowControl w:val="0"/>
        <w:spacing w:after="0" w:line="240" w:lineRule="auto"/>
        <w:ind w:left="0"/>
        <w:rPr>
          <w:rFonts w:ascii="Times New Roman" w:hAnsi="Times New Roman"/>
          <w:lang w:val="sk-SK"/>
        </w:rPr>
      </w:pPr>
    </w:p>
    <w:p w14:paraId="04494401" w14:textId="77777777" w:rsidR="00582954" w:rsidRDefault="00645977">
      <w:pPr>
        <w:pStyle w:val="Odsekzoznamu"/>
        <w:widowControl w:val="0"/>
        <w:spacing w:after="0" w:line="240" w:lineRule="auto"/>
        <w:ind w:left="0"/>
        <w:rPr>
          <w:rFonts w:ascii="Times New Roman" w:hAnsi="Times New Roman"/>
          <w:i/>
          <w:lang w:val="sk-SK"/>
        </w:rPr>
      </w:pPr>
      <w:r>
        <w:rPr>
          <w:rFonts w:ascii="Times New Roman" w:hAnsi="Times New Roman"/>
          <w:i/>
          <w:lang w:val="sk-SK"/>
        </w:rPr>
        <w:t>Starší ľudia</w:t>
      </w:r>
    </w:p>
    <w:p w14:paraId="09C28500"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U starších pacientov nie je potrebná úprava dávky.</w:t>
      </w:r>
    </w:p>
    <w:p w14:paraId="0675120B" w14:textId="77777777" w:rsidR="00582954" w:rsidRDefault="00582954">
      <w:pPr>
        <w:pStyle w:val="Odsekzoznamu"/>
        <w:widowControl w:val="0"/>
        <w:spacing w:after="0" w:line="240" w:lineRule="auto"/>
        <w:ind w:left="0"/>
        <w:rPr>
          <w:rFonts w:ascii="Times New Roman" w:hAnsi="Times New Roman"/>
          <w:i/>
          <w:lang w:val="sk-SK"/>
        </w:rPr>
      </w:pPr>
    </w:p>
    <w:p w14:paraId="5441D695" w14:textId="77777777" w:rsidR="00582954" w:rsidRDefault="00645977">
      <w:pPr>
        <w:pStyle w:val="Odsekzoznamu"/>
        <w:widowControl w:val="0"/>
        <w:spacing w:after="0" w:line="240" w:lineRule="auto"/>
        <w:ind w:left="0"/>
        <w:rPr>
          <w:rFonts w:ascii="Times New Roman" w:hAnsi="Times New Roman"/>
          <w:i/>
          <w:lang w:val="sk-SK"/>
        </w:rPr>
      </w:pPr>
      <w:r>
        <w:rPr>
          <w:rFonts w:ascii="Times New Roman" w:hAnsi="Times New Roman"/>
          <w:i/>
          <w:lang w:val="sk-SK"/>
        </w:rPr>
        <w:t>Porucha funkcie obličiek</w:t>
      </w:r>
    </w:p>
    <w:p w14:paraId="7CD200DF" w14:textId="77777777" w:rsidR="00582954" w:rsidRDefault="00645977">
      <w:pPr>
        <w:spacing w:after="0" w:line="240" w:lineRule="auto"/>
        <w:rPr>
          <w:rFonts w:ascii="Times New Roman" w:hAnsi="Times New Roman"/>
          <w:lang w:val="sk-SK"/>
        </w:rPr>
      </w:pPr>
      <w:bookmarkStart w:id="0" w:name="_Hlk156176354"/>
      <w:r>
        <w:rPr>
          <w:rFonts w:ascii="Times New Roman" w:hAnsi="Times New Roman"/>
          <w:lang w:val="sk-SK"/>
        </w:rPr>
        <w:t>S</w:t>
      </w:r>
      <w:bookmarkStart w:id="1" w:name="_Hlk156176417"/>
      <w:r>
        <w:rPr>
          <w:rFonts w:ascii="Times New Roman" w:hAnsi="Times New Roman"/>
          <w:lang w:val="sk-SK"/>
        </w:rPr>
        <w:t>kúsenosti u pacientov s miernou až stredne závažnou poruchou funkcie obličiek sú obmedzené, ale nenaznačujú nežiaduce účinky na obličky a úprava dávky sa nepovažuje za potrebnú.</w:t>
      </w:r>
      <w:bookmarkEnd w:id="0"/>
      <w:bookmarkEnd w:id="1"/>
      <w:r>
        <w:rPr>
          <w:rFonts w:ascii="Times New Roman" w:hAnsi="Times New Roman"/>
          <w:lang w:val="sk-SK"/>
        </w:rPr>
        <w:t xml:space="preserve"> Odporúča sa pravidelné sledovanie funkcie obličiek (pozri časť 4.4). </w:t>
      </w:r>
      <w:bookmarkStart w:id="2" w:name="_Hlk156176524"/>
      <w:r>
        <w:rPr>
          <w:rFonts w:ascii="Times New Roman" w:hAnsi="Times New Roman"/>
          <w:lang w:val="sk-SK"/>
        </w:rPr>
        <w:t>Z dôvodu zložky hydrochlórtiazidu je táto fixná kombinácia liečiv kontraindikovaná u pacientov so závažnou poruchou funkcie obličiek (klírens kreatinínu &lt; 30 ml/min) (pozri časť 4.3).</w:t>
      </w:r>
      <w:bookmarkEnd w:id="2"/>
    </w:p>
    <w:p w14:paraId="1F7856B0" w14:textId="77777777" w:rsidR="00582954" w:rsidRDefault="00645977">
      <w:pPr>
        <w:spacing w:after="0" w:line="240" w:lineRule="auto"/>
        <w:rPr>
          <w:rFonts w:ascii="Times New Roman" w:hAnsi="Times New Roman"/>
          <w:lang w:val="sk-SK"/>
        </w:rPr>
      </w:pPr>
      <w:r>
        <w:rPr>
          <w:rFonts w:ascii="Times New Roman" w:hAnsi="Times New Roman"/>
          <w:lang w:val="sk-SK"/>
        </w:rPr>
        <w:t>Telmisartan sa z krvi neodstraňuje hemofiltráciou a nie je dialyzovateľný.</w:t>
      </w:r>
    </w:p>
    <w:p w14:paraId="66A25229" w14:textId="77777777" w:rsidR="00582954" w:rsidRDefault="00582954">
      <w:pPr>
        <w:pStyle w:val="Odsekzoznamu"/>
        <w:widowControl w:val="0"/>
        <w:spacing w:after="0" w:line="240" w:lineRule="auto"/>
        <w:ind w:left="0"/>
        <w:rPr>
          <w:rFonts w:ascii="Times New Roman" w:hAnsi="Times New Roman"/>
          <w:lang w:val="sk-SK"/>
        </w:rPr>
      </w:pPr>
    </w:p>
    <w:p w14:paraId="7C36DFE2" w14:textId="77777777" w:rsidR="00582954" w:rsidRDefault="00645977">
      <w:pPr>
        <w:pStyle w:val="Odsekzoznamu"/>
        <w:widowControl w:val="0"/>
        <w:spacing w:after="0" w:line="240" w:lineRule="auto"/>
        <w:ind w:left="0"/>
        <w:rPr>
          <w:rFonts w:ascii="Times New Roman" w:hAnsi="Times New Roman"/>
          <w:i/>
          <w:lang w:val="sk-SK"/>
        </w:rPr>
      </w:pPr>
      <w:r>
        <w:rPr>
          <w:rFonts w:ascii="Times New Roman" w:hAnsi="Times New Roman"/>
          <w:i/>
          <w:lang w:val="sk-SK"/>
        </w:rPr>
        <w:t>Porucha funkcie pečene</w:t>
      </w:r>
    </w:p>
    <w:p w14:paraId="6037DE01"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 xml:space="preserve">U pacientov s miernou až stredne závažnou poruchou funkcie pečene sa má Tolucombi podávať opatrne. </w:t>
      </w:r>
      <w:bookmarkStart w:id="3" w:name="_Hlk150844675"/>
      <w:r>
        <w:rPr>
          <w:rFonts w:ascii="Times New Roman" w:hAnsi="Times New Roman"/>
          <w:lang w:val="sk-SK"/>
        </w:rPr>
        <w:t xml:space="preserve">Dávkovanie telmisartanu nemá prekročiť 40 mg jedenkrát denne. </w:t>
      </w:r>
      <w:bookmarkEnd w:id="3"/>
      <w:r>
        <w:rPr>
          <w:rFonts w:ascii="Times New Roman" w:hAnsi="Times New Roman"/>
          <w:lang w:val="sk-SK"/>
        </w:rPr>
        <w:t>Fixná kombinácia liečiv je kontraindikovaná pacientom so závažnou poruchou funkcie pečene (pozri časť 4.3). Tiazidy sa u pacientov s poruchou funkcie pečene majú podávať s opatrnosťou (pozri časť 4.4).</w:t>
      </w:r>
    </w:p>
    <w:p w14:paraId="5A4CC4C6" w14:textId="77777777" w:rsidR="00582954" w:rsidRDefault="00582954">
      <w:pPr>
        <w:pStyle w:val="Odsekzoznamu"/>
        <w:widowControl w:val="0"/>
        <w:spacing w:after="0" w:line="240" w:lineRule="auto"/>
        <w:ind w:left="0"/>
        <w:rPr>
          <w:rFonts w:ascii="Times New Roman" w:hAnsi="Times New Roman"/>
          <w:lang w:val="sk-SK"/>
        </w:rPr>
      </w:pPr>
    </w:p>
    <w:p w14:paraId="4E25B5CC" w14:textId="77777777" w:rsidR="00582954" w:rsidRDefault="00645977">
      <w:pPr>
        <w:pStyle w:val="Odsekzoznamu"/>
        <w:widowControl w:val="0"/>
        <w:spacing w:after="0" w:line="240" w:lineRule="auto"/>
        <w:ind w:left="0"/>
        <w:rPr>
          <w:rFonts w:ascii="Times New Roman" w:hAnsi="Times New Roman"/>
          <w:i/>
          <w:lang w:val="sk-SK"/>
        </w:rPr>
      </w:pPr>
      <w:r>
        <w:rPr>
          <w:rFonts w:ascii="Times New Roman" w:hAnsi="Times New Roman"/>
          <w:i/>
          <w:lang w:val="sk-SK"/>
        </w:rPr>
        <w:t>Pediatrická populácia</w:t>
      </w:r>
    </w:p>
    <w:p w14:paraId="17BC3318"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 xml:space="preserve">Bezpečnosť a účinnosť Tolucombi </w:t>
      </w:r>
      <w:bookmarkStart w:id="4" w:name="_Hlk150844700"/>
      <w:r>
        <w:rPr>
          <w:rFonts w:ascii="Times New Roman" w:hAnsi="Times New Roman"/>
          <w:lang w:val="sk-SK"/>
        </w:rPr>
        <w:t>u pacientov vo veku menej ako</w:t>
      </w:r>
      <w:bookmarkEnd w:id="4"/>
      <w:r>
        <w:rPr>
          <w:rFonts w:ascii="Times New Roman" w:hAnsi="Times New Roman"/>
          <w:lang w:val="sk-SK"/>
        </w:rPr>
        <w:t xml:space="preserve"> 18 rokov neboli doteraz stanovené. Tolucombi sa neodporúča u detí a dospievajúcich.</w:t>
      </w:r>
    </w:p>
    <w:p w14:paraId="2A00ED59" w14:textId="77777777" w:rsidR="00582954" w:rsidRDefault="00582954">
      <w:pPr>
        <w:pStyle w:val="Odsekzoznamu"/>
        <w:widowControl w:val="0"/>
        <w:spacing w:after="0" w:line="240" w:lineRule="auto"/>
        <w:ind w:left="0"/>
        <w:rPr>
          <w:rFonts w:ascii="Times New Roman" w:hAnsi="Times New Roman"/>
          <w:lang w:val="sk-SK"/>
        </w:rPr>
      </w:pPr>
    </w:p>
    <w:p w14:paraId="009E29B5"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Spôsob podávania</w:t>
      </w:r>
    </w:p>
    <w:p w14:paraId="4EB2A4F9" w14:textId="77777777" w:rsidR="00582954" w:rsidRDefault="00645977">
      <w:pPr>
        <w:pStyle w:val="Odsekzoznamu"/>
        <w:widowControl w:val="0"/>
        <w:spacing w:after="0" w:line="240" w:lineRule="auto"/>
        <w:ind w:left="0"/>
        <w:rPr>
          <w:rFonts w:ascii="Times New Roman" w:hAnsi="Times New Roman"/>
        </w:rPr>
      </w:pPr>
      <w:r>
        <w:rPr>
          <w:rFonts w:ascii="Times New Roman" w:hAnsi="Times New Roman"/>
          <w:lang w:val="sk-SK"/>
        </w:rPr>
        <w:t>Tablety Tolucombi sa podávajú perorálne jedenkrát denne a majú sa prehltnúť celé s tekutinou. Tolucombi sa môže užívať s jedlom alebo bez jedla.</w:t>
      </w:r>
    </w:p>
    <w:p w14:paraId="366FC258" w14:textId="77777777" w:rsidR="00582954" w:rsidRDefault="00582954">
      <w:pPr>
        <w:pStyle w:val="Odsekzoznamu"/>
        <w:widowControl w:val="0"/>
        <w:spacing w:after="0" w:line="240" w:lineRule="auto"/>
        <w:ind w:left="0"/>
        <w:rPr>
          <w:rFonts w:ascii="Times New Roman" w:hAnsi="Times New Roman"/>
          <w:lang w:val="sk-SK"/>
        </w:rPr>
      </w:pPr>
    </w:p>
    <w:p w14:paraId="787F7FC2"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i/>
          <w:iCs/>
          <w:lang w:val="sk-SK"/>
        </w:rPr>
        <w:t>Opatrenia potrebné pri zaobchádzaní alebo podávaní lieku</w:t>
      </w:r>
    </w:p>
    <w:p w14:paraId="4E5534DB"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Tolucombi sa má uchovávať v uzavretom blistri kvôli hygroskopickým vlastnostiam tabliet. Tablety sa majú vyberať z blistra krátko pred podaním (pozri časť 6.6).</w:t>
      </w:r>
    </w:p>
    <w:p w14:paraId="35D9874E" w14:textId="77777777" w:rsidR="00582954" w:rsidRDefault="00582954">
      <w:pPr>
        <w:pStyle w:val="Odsekzoznamu"/>
        <w:widowControl w:val="0"/>
        <w:spacing w:after="0" w:line="240" w:lineRule="auto"/>
        <w:ind w:left="0"/>
        <w:rPr>
          <w:rFonts w:ascii="Times New Roman" w:hAnsi="Times New Roman"/>
          <w:lang w:val="sk-SK"/>
        </w:rPr>
      </w:pPr>
    </w:p>
    <w:p w14:paraId="75289BB1" w14:textId="77777777" w:rsidR="00582954" w:rsidRDefault="00645977">
      <w:pPr>
        <w:pStyle w:val="Odsekzoznamu"/>
        <w:widowControl w:val="0"/>
        <w:tabs>
          <w:tab w:val="left" w:pos="567"/>
        </w:tabs>
        <w:spacing w:after="0" w:line="240" w:lineRule="auto"/>
        <w:ind w:left="0"/>
        <w:rPr>
          <w:rFonts w:ascii="Times New Roman" w:hAnsi="Times New Roman"/>
          <w:b/>
          <w:lang w:val="sk-SK"/>
        </w:rPr>
      </w:pPr>
      <w:r>
        <w:rPr>
          <w:rFonts w:ascii="Times New Roman" w:hAnsi="Times New Roman"/>
          <w:b/>
          <w:lang w:val="sk-SK"/>
        </w:rPr>
        <w:t>4.3</w:t>
      </w:r>
      <w:r>
        <w:rPr>
          <w:rFonts w:ascii="Times New Roman" w:hAnsi="Times New Roman"/>
          <w:b/>
          <w:lang w:val="sk-SK"/>
        </w:rPr>
        <w:tab/>
        <w:t>Kontraindikácie</w:t>
      </w:r>
    </w:p>
    <w:p w14:paraId="31E9C5C5" w14:textId="77777777" w:rsidR="00582954" w:rsidRDefault="00582954">
      <w:pPr>
        <w:pStyle w:val="Odsekzoznamu"/>
        <w:widowControl w:val="0"/>
        <w:spacing w:after="0" w:line="240" w:lineRule="auto"/>
        <w:ind w:left="0"/>
        <w:rPr>
          <w:rFonts w:ascii="Times New Roman" w:hAnsi="Times New Roman"/>
          <w:b/>
          <w:lang w:val="sk-SK"/>
        </w:rPr>
      </w:pPr>
    </w:p>
    <w:p w14:paraId="7054E2C4" w14:textId="77777777" w:rsidR="00582954" w:rsidRDefault="00645977">
      <w:pPr>
        <w:pStyle w:val="Odsekzoznamu"/>
        <w:widowControl w:val="0"/>
        <w:numPr>
          <w:ilvl w:val="0"/>
          <w:numId w:val="1"/>
        </w:numPr>
        <w:tabs>
          <w:tab w:val="left" w:pos="567"/>
        </w:tabs>
        <w:spacing w:after="0" w:line="240" w:lineRule="auto"/>
        <w:ind w:left="0" w:firstLine="0"/>
        <w:rPr>
          <w:rFonts w:ascii="Times New Roman" w:hAnsi="Times New Roman"/>
          <w:lang w:val="sk-SK"/>
        </w:rPr>
      </w:pPr>
      <w:r>
        <w:rPr>
          <w:rFonts w:ascii="Times New Roman" w:hAnsi="Times New Roman"/>
          <w:lang w:val="sk-SK"/>
        </w:rPr>
        <w:t>Precitlivenosť na liečivá alebo na ktorúkoľvek z pomocných látok uvedených v časti 6.1.</w:t>
      </w:r>
    </w:p>
    <w:p w14:paraId="038C6EFF" w14:textId="77777777" w:rsidR="00582954" w:rsidRDefault="00645977">
      <w:pPr>
        <w:pStyle w:val="Odsekzoznamu"/>
        <w:widowControl w:val="0"/>
        <w:numPr>
          <w:ilvl w:val="0"/>
          <w:numId w:val="1"/>
        </w:numPr>
        <w:tabs>
          <w:tab w:val="left" w:pos="567"/>
        </w:tabs>
        <w:spacing w:after="0" w:line="240" w:lineRule="auto"/>
        <w:ind w:left="567" w:hanging="567"/>
        <w:rPr>
          <w:rFonts w:ascii="Times New Roman" w:hAnsi="Times New Roman"/>
          <w:lang w:val="sk-SK"/>
        </w:rPr>
      </w:pPr>
      <w:r>
        <w:rPr>
          <w:rFonts w:ascii="Times New Roman" w:hAnsi="Times New Roman"/>
          <w:lang w:val="sk-SK"/>
        </w:rPr>
        <w:t>Precitlivenosť na iné látky, odvodené od sulfónamidov (keďže hydrochlórtiazid je liečivo odvodené od sulfónamidov).</w:t>
      </w:r>
    </w:p>
    <w:p w14:paraId="3D8ACE6E" w14:textId="77777777" w:rsidR="00582954" w:rsidRDefault="00645977">
      <w:pPr>
        <w:pStyle w:val="Odsekzoznamu"/>
        <w:widowControl w:val="0"/>
        <w:numPr>
          <w:ilvl w:val="0"/>
          <w:numId w:val="1"/>
        </w:numPr>
        <w:tabs>
          <w:tab w:val="left" w:pos="567"/>
        </w:tabs>
        <w:spacing w:after="0" w:line="240" w:lineRule="auto"/>
        <w:ind w:left="0" w:firstLine="0"/>
        <w:rPr>
          <w:rFonts w:ascii="Times New Roman" w:hAnsi="Times New Roman"/>
          <w:lang w:val="sk-SK"/>
        </w:rPr>
      </w:pPr>
      <w:r>
        <w:rPr>
          <w:rFonts w:ascii="Times New Roman" w:hAnsi="Times New Roman"/>
          <w:lang w:val="sk-SK"/>
        </w:rPr>
        <w:t>Druhý a tretí trimester gravidity (pozri časti 4.4 a 4.6).</w:t>
      </w:r>
    </w:p>
    <w:p w14:paraId="111E28BB" w14:textId="77777777" w:rsidR="00582954" w:rsidRDefault="00645977">
      <w:pPr>
        <w:pStyle w:val="Odsekzoznamu"/>
        <w:widowControl w:val="0"/>
        <w:numPr>
          <w:ilvl w:val="0"/>
          <w:numId w:val="1"/>
        </w:numPr>
        <w:tabs>
          <w:tab w:val="left" w:pos="567"/>
        </w:tabs>
        <w:spacing w:after="0" w:line="240" w:lineRule="auto"/>
        <w:ind w:left="0" w:firstLine="0"/>
        <w:rPr>
          <w:rFonts w:ascii="Times New Roman" w:hAnsi="Times New Roman"/>
          <w:lang w:val="sk-SK"/>
        </w:rPr>
      </w:pPr>
      <w:r>
        <w:rPr>
          <w:rFonts w:ascii="Times New Roman" w:hAnsi="Times New Roman"/>
          <w:lang w:val="sk-SK"/>
        </w:rPr>
        <w:t>Cholestáza a obštrukčné choroby žlčových ciest.</w:t>
      </w:r>
    </w:p>
    <w:p w14:paraId="4D0D4E72" w14:textId="77777777" w:rsidR="00582954" w:rsidRDefault="00645977">
      <w:pPr>
        <w:pStyle w:val="Odsekzoznamu"/>
        <w:widowControl w:val="0"/>
        <w:numPr>
          <w:ilvl w:val="0"/>
          <w:numId w:val="1"/>
        </w:numPr>
        <w:tabs>
          <w:tab w:val="left" w:pos="567"/>
        </w:tabs>
        <w:spacing w:after="0" w:line="240" w:lineRule="auto"/>
        <w:ind w:left="0" w:firstLine="0"/>
        <w:rPr>
          <w:rFonts w:ascii="Times New Roman" w:hAnsi="Times New Roman"/>
          <w:lang w:val="sk-SK"/>
        </w:rPr>
      </w:pPr>
      <w:r>
        <w:rPr>
          <w:rFonts w:ascii="Times New Roman" w:hAnsi="Times New Roman"/>
          <w:lang w:val="sk-SK"/>
        </w:rPr>
        <w:t>Závažná porucha funkcie pečene.</w:t>
      </w:r>
    </w:p>
    <w:p w14:paraId="12875451" w14:textId="77777777" w:rsidR="00582954" w:rsidRDefault="00645977">
      <w:pPr>
        <w:pStyle w:val="Odsekzoznamu"/>
        <w:widowControl w:val="0"/>
        <w:numPr>
          <w:ilvl w:val="0"/>
          <w:numId w:val="1"/>
        </w:numPr>
        <w:tabs>
          <w:tab w:val="left" w:pos="567"/>
        </w:tabs>
        <w:spacing w:after="0" w:line="240" w:lineRule="auto"/>
        <w:ind w:left="0" w:firstLine="0"/>
        <w:rPr>
          <w:rFonts w:ascii="Times New Roman" w:hAnsi="Times New Roman"/>
          <w:lang w:val="sk-SK"/>
        </w:rPr>
      </w:pPr>
      <w:r>
        <w:rPr>
          <w:rFonts w:ascii="Times New Roman" w:hAnsi="Times New Roman"/>
          <w:lang w:val="sk-SK"/>
        </w:rPr>
        <w:t>Závažná porucha funkcie obličiek (klírens kreatinínu &lt; 30 ml/min, anúria).</w:t>
      </w:r>
    </w:p>
    <w:p w14:paraId="6CBA664A" w14:textId="77777777" w:rsidR="00582954" w:rsidRDefault="00645977">
      <w:pPr>
        <w:pStyle w:val="Odsekzoznamu"/>
        <w:widowControl w:val="0"/>
        <w:numPr>
          <w:ilvl w:val="0"/>
          <w:numId w:val="1"/>
        </w:numPr>
        <w:tabs>
          <w:tab w:val="left" w:pos="567"/>
        </w:tabs>
        <w:spacing w:after="0" w:line="240" w:lineRule="auto"/>
        <w:ind w:left="0" w:firstLine="0"/>
        <w:rPr>
          <w:rFonts w:ascii="Times New Roman" w:hAnsi="Times New Roman"/>
          <w:lang w:val="sk-SK"/>
        </w:rPr>
      </w:pPr>
      <w:r>
        <w:rPr>
          <w:rFonts w:ascii="Times New Roman" w:hAnsi="Times New Roman"/>
          <w:lang w:val="sk-SK"/>
        </w:rPr>
        <w:t>Refraktérna hypokaliémia, hyperkalciémia.</w:t>
      </w:r>
    </w:p>
    <w:p w14:paraId="45F30DEF" w14:textId="77777777" w:rsidR="00582954" w:rsidRDefault="00582954">
      <w:pPr>
        <w:pStyle w:val="Odsekzoznamu"/>
        <w:widowControl w:val="0"/>
        <w:tabs>
          <w:tab w:val="left" w:pos="567"/>
        </w:tabs>
        <w:spacing w:after="0" w:line="240" w:lineRule="auto"/>
        <w:ind w:left="0"/>
        <w:rPr>
          <w:rFonts w:ascii="Times New Roman" w:hAnsi="Times New Roman"/>
          <w:lang w:val="sk-SK"/>
        </w:rPr>
      </w:pPr>
    </w:p>
    <w:p w14:paraId="186A56C7"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bCs/>
          <w:lang w:val="sk-SK"/>
        </w:rPr>
        <w:t xml:space="preserve">Súbežné používanie </w:t>
      </w:r>
      <w:r>
        <w:rPr>
          <w:rFonts w:ascii="Times New Roman" w:hAnsi="Times New Roman"/>
          <w:bCs/>
        </w:rPr>
        <w:t>telmisartanu/</w:t>
      </w:r>
      <w:r>
        <w:rPr>
          <w:rFonts w:ascii="Times New Roman" w:hAnsi="Times New Roman"/>
          <w:lang w:val="sk-SK"/>
        </w:rPr>
        <w:t>hydrochlórtiazidu</w:t>
      </w:r>
      <w:r>
        <w:rPr>
          <w:rFonts w:ascii="Times New Roman" w:hAnsi="Times New Roman"/>
          <w:bCs/>
          <w:lang w:val="sk-SK"/>
        </w:rPr>
        <w:t xml:space="preserve"> s liekmi obsahujúcimi aliskirén je kontraindikované u pacientov s diabetom mellitus alebo poruchou funkcie obličiek</w:t>
      </w:r>
      <w:r>
        <w:rPr>
          <w:rFonts w:ascii="Times New Roman" w:hAnsi="Times New Roman"/>
          <w:lang w:val="sk-SK"/>
        </w:rPr>
        <w:t xml:space="preserve"> (GFR &lt; 60 ml/min/1,73 m</w:t>
      </w:r>
      <w:r>
        <w:rPr>
          <w:rFonts w:ascii="Times New Roman" w:hAnsi="Times New Roman"/>
          <w:vertAlign w:val="superscript"/>
          <w:lang w:val="sk-SK"/>
        </w:rPr>
        <w:t>2</w:t>
      </w:r>
      <w:r>
        <w:rPr>
          <w:rFonts w:ascii="Times New Roman" w:hAnsi="Times New Roman"/>
          <w:lang w:val="sk-SK"/>
        </w:rPr>
        <w:t>) (pozri časti 4.5 a 5.1).</w:t>
      </w:r>
    </w:p>
    <w:p w14:paraId="428FD8AD" w14:textId="77777777" w:rsidR="00582954" w:rsidRDefault="00582954">
      <w:pPr>
        <w:pStyle w:val="Odsekzoznamu"/>
        <w:widowControl w:val="0"/>
        <w:spacing w:after="0" w:line="240" w:lineRule="auto"/>
        <w:ind w:left="0"/>
        <w:rPr>
          <w:rFonts w:ascii="Times New Roman" w:hAnsi="Times New Roman"/>
          <w:lang w:val="sk-SK"/>
        </w:rPr>
      </w:pPr>
    </w:p>
    <w:p w14:paraId="23782A29" w14:textId="77777777" w:rsidR="00582954" w:rsidRDefault="00645977">
      <w:pPr>
        <w:pStyle w:val="Odsekzoznamu"/>
        <w:widowControl w:val="0"/>
        <w:tabs>
          <w:tab w:val="left" w:pos="567"/>
        </w:tabs>
        <w:spacing w:after="0" w:line="240" w:lineRule="auto"/>
        <w:ind w:left="0"/>
        <w:rPr>
          <w:rFonts w:ascii="Times New Roman" w:hAnsi="Times New Roman"/>
          <w:b/>
          <w:lang w:val="sk-SK"/>
        </w:rPr>
      </w:pPr>
      <w:r>
        <w:rPr>
          <w:rFonts w:ascii="Times New Roman" w:hAnsi="Times New Roman"/>
          <w:b/>
          <w:lang w:val="sk-SK"/>
        </w:rPr>
        <w:t>4.4</w:t>
      </w:r>
      <w:r>
        <w:rPr>
          <w:rFonts w:ascii="Times New Roman" w:hAnsi="Times New Roman"/>
          <w:b/>
          <w:lang w:val="sk-SK"/>
        </w:rPr>
        <w:tab/>
        <w:t>Osobitné upozornenia a opatrenia pri používaní</w:t>
      </w:r>
    </w:p>
    <w:p w14:paraId="53F61B0B" w14:textId="77777777" w:rsidR="00582954" w:rsidRDefault="00582954">
      <w:pPr>
        <w:pStyle w:val="Odsekzoznamu"/>
        <w:widowControl w:val="0"/>
        <w:spacing w:after="0" w:line="240" w:lineRule="auto"/>
        <w:ind w:left="0"/>
        <w:rPr>
          <w:rFonts w:ascii="Times New Roman" w:hAnsi="Times New Roman"/>
          <w:b/>
          <w:lang w:val="sk-SK"/>
        </w:rPr>
      </w:pPr>
    </w:p>
    <w:p w14:paraId="23785F06" w14:textId="77777777" w:rsidR="00582954" w:rsidRDefault="00645977">
      <w:pPr>
        <w:pStyle w:val="Odsekzoznamu"/>
        <w:widowControl w:val="0"/>
        <w:spacing w:after="0" w:line="240" w:lineRule="auto"/>
        <w:ind w:left="0" w:right="-94"/>
        <w:rPr>
          <w:rFonts w:ascii="Times New Roman" w:hAnsi="Times New Roman"/>
          <w:u w:val="single"/>
          <w:lang w:val="sk-SK"/>
        </w:rPr>
      </w:pPr>
      <w:r>
        <w:rPr>
          <w:rFonts w:ascii="Times New Roman" w:hAnsi="Times New Roman"/>
          <w:u w:val="single"/>
          <w:lang w:val="sk-SK"/>
        </w:rPr>
        <w:t>Gravidita</w:t>
      </w:r>
    </w:p>
    <w:p w14:paraId="5BE21D7A" w14:textId="77777777" w:rsidR="00582954" w:rsidRDefault="00645977">
      <w:pPr>
        <w:pStyle w:val="Odsekzoznamu"/>
        <w:widowControl w:val="0"/>
        <w:spacing w:after="0" w:line="240" w:lineRule="auto"/>
        <w:ind w:left="0" w:right="-94"/>
        <w:rPr>
          <w:rFonts w:ascii="Times New Roman" w:hAnsi="Times New Roman"/>
          <w:lang w:val="sk-SK"/>
        </w:rPr>
      </w:pPr>
      <w:r>
        <w:rPr>
          <w:rFonts w:ascii="Times New Roman" w:hAnsi="Times New Roman"/>
          <w:lang w:val="sk-SK"/>
        </w:rPr>
        <w:t>Blokátory receptorov angiotenzínu II sa nemajú začať podávať počas gravidity. Ak nie je pokračovanie liečby blokátormi receptorov angiotenzínu II považované za nevyhnutné, pacientky plánujúce graviditu majú prejsť na alternatívnu antihypertenznú liečbu, ktorá má preukázaný bezpečnostný profil pri používaní v gravidite. Ak sa gravidita potvrdí, liečba blokátormi receptorov angiotenzínu II sa musí okamžite ukončiť a ak je vhodné, má sa začať alternatívna liečba (pozri časť 4.3 a 4.6).</w:t>
      </w:r>
    </w:p>
    <w:p w14:paraId="0C91C949" w14:textId="77777777" w:rsidR="00582954" w:rsidRDefault="00582954">
      <w:pPr>
        <w:pStyle w:val="Odsekzoznamu"/>
        <w:widowControl w:val="0"/>
        <w:spacing w:after="0" w:line="240" w:lineRule="auto"/>
        <w:ind w:left="0"/>
        <w:rPr>
          <w:rFonts w:ascii="Times New Roman" w:hAnsi="Times New Roman"/>
          <w:lang w:val="sk-SK"/>
        </w:rPr>
      </w:pPr>
    </w:p>
    <w:p w14:paraId="4FE3A194" w14:textId="77777777" w:rsidR="00582954" w:rsidRDefault="00645977">
      <w:pPr>
        <w:pStyle w:val="Odsekzoznamu"/>
        <w:keepNext/>
        <w:widowControl w:val="0"/>
        <w:spacing w:after="0" w:line="240" w:lineRule="auto"/>
        <w:ind w:left="0"/>
        <w:rPr>
          <w:rFonts w:ascii="Times New Roman" w:hAnsi="Times New Roman"/>
          <w:u w:val="single"/>
          <w:lang w:val="sk-SK"/>
        </w:rPr>
      </w:pPr>
      <w:r>
        <w:rPr>
          <w:rFonts w:ascii="Times New Roman" w:hAnsi="Times New Roman"/>
          <w:u w:val="single"/>
          <w:lang w:val="sk-SK"/>
        </w:rPr>
        <w:t>Porucha funkcie pečene</w:t>
      </w:r>
    </w:p>
    <w:p w14:paraId="6ABA7D1C" w14:textId="77777777" w:rsidR="00582954" w:rsidRDefault="00645977">
      <w:pPr>
        <w:pStyle w:val="Odsekzoznamu"/>
        <w:keepNext/>
        <w:widowControl w:val="0"/>
        <w:spacing w:after="0" w:line="240" w:lineRule="auto"/>
        <w:ind w:left="0"/>
        <w:rPr>
          <w:rFonts w:ascii="Times New Roman" w:hAnsi="Times New Roman"/>
          <w:lang w:val="sk-SK"/>
        </w:rPr>
      </w:pPr>
      <w:r>
        <w:rPr>
          <w:rFonts w:ascii="Times New Roman" w:hAnsi="Times New Roman"/>
          <w:lang w:val="sk-SK"/>
        </w:rPr>
        <w:t>Telmisartan/hydrochlórtiazid sa nesmie podávať pacientom s cholestázou, obštrukčnými žlčovými poruchami alebo závažnou pečeňovou nedostatočnosťou (pozri časť 4.3), pretože telmisartan sa prevažne vylučuje žlčou. U týchto pacientov sa predpokladá znížený hepatálny klírens telmisartanu.</w:t>
      </w:r>
    </w:p>
    <w:p w14:paraId="0F5E8CEB" w14:textId="77777777" w:rsidR="00582954" w:rsidRDefault="00582954">
      <w:pPr>
        <w:pStyle w:val="Odsekzoznamu"/>
        <w:widowControl w:val="0"/>
        <w:spacing w:after="0" w:line="240" w:lineRule="auto"/>
        <w:ind w:left="0"/>
        <w:rPr>
          <w:rFonts w:ascii="Times New Roman" w:hAnsi="Times New Roman"/>
          <w:lang w:val="sk-SK"/>
        </w:rPr>
      </w:pPr>
    </w:p>
    <w:p w14:paraId="3950BC82"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Okrem toho sa má telmisartan/hydrochlórtiazid používať opatrne u pacientov s poruchou funkcie pečene alebo progresívnym pečeňovým ochorením, pretože menšie zmeny rovnováhy tekutín a elektrolytov môžu vyvolať hepatálnu kómu. U pacientov s poruchou funkcie pečene nie sú žiadne klinické skúsenosti s telmisartanom/hydrochlórtiazidom.</w:t>
      </w:r>
    </w:p>
    <w:p w14:paraId="695C9659" w14:textId="77777777" w:rsidR="00582954" w:rsidRDefault="00582954">
      <w:pPr>
        <w:pStyle w:val="Odsekzoznamu"/>
        <w:widowControl w:val="0"/>
        <w:spacing w:after="0" w:line="240" w:lineRule="auto"/>
        <w:ind w:left="0"/>
        <w:rPr>
          <w:rFonts w:ascii="Times New Roman" w:hAnsi="Times New Roman"/>
          <w:lang w:val="sk-SK"/>
        </w:rPr>
      </w:pPr>
    </w:p>
    <w:p w14:paraId="2000CD58"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Renovaskulárna hypertenzia</w:t>
      </w:r>
    </w:p>
    <w:p w14:paraId="59D269DB"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U pacientov s bilaterálnou stenózou artérie renalis alebo stenózou artérie jednej funkčnej obličky, ktorí sa liečia liekmi, ktoré pôsobia na systém renín-angiotenzín-aldosterón, je zvýšené riziko závažnej hypotenzie a renálnej insuficiencie.</w:t>
      </w:r>
    </w:p>
    <w:p w14:paraId="7833DBEF" w14:textId="77777777" w:rsidR="00582954" w:rsidRDefault="00582954">
      <w:pPr>
        <w:pStyle w:val="Odsekzoznamu"/>
        <w:widowControl w:val="0"/>
        <w:spacing w:after="0" w:line="240" w:lineRule="auto"/>
        <w:ind w:left="0"/>
        <w:rPr>
          <w:rFonts w:ascii="Times New Roman" w:hAnsi="Times New Roman"/>
          <w:lang w:val="sk-SK"/>
        </w:rPr>
      </w:pPr>
    </w:p>
    <w:p w14:paraId="788956CF"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Porucha funkcie obličiek a transplantovaná oblička</w:t>
      </w:r>
    </w:p>
    <w:p w14:paraId="47D42E1F"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Telmisartan/hydrochlórtiazid sa nesmie používať u pacientov so závažnou poruchou funkcie obličiek (klírens kreatinínu &lt; 30 ml/min) (pozri časť 4.3). Nie sú žiadne skúsenosti s podávaním telmisartanu/hydrochlórtiazidu pacientom s nedávnou transplantáciou obličky. Skúsenosti s telmisartanom/hydrochlórtiazidom sú u pacientov s miernou až stredne závažnou poruchou funkcie obličiek malé, preto sa odporúča pravidelné sledovanie sérových hladín draslíka, kreatinínu a kyseliny močovej. U pacientov s poruchou funkcie obličiek sa môže objaviť azotémia, súvisiaca s tiazidovými diuretikami.</w:t>
      </w:r>
    </w:p>
    <w:p w14:paraId="31FA3CE5" w14:textId="77777777" w:rsidR="00582954" w:rsidRDefault="00645977">
      <w:pPr>
        <w:pStyle w:val="Odsekzoznamu"/>
        <w:widowControl w:val="0"/>
        <w:spacing w:after="0" w:line="240" w:lineRule="auto"/>
        <w:ind w:left="0"/>
        <w:rPr>
          <w:rFonts w:ascii="Times New Roman" w:hAnsi="Times New Roman"/>
        </w:rPr>
      </w:pPr>
      <w:r>
        <w:rPr>
          <w:rFonts w:ascii="Times New Roman" w:hAnsi="Times New Roman"/>
        </w:rPr>
        <w:t>Telmisartan sa z krvi neodstraňuje hemofiltráciou a nie je dialyzovateľný.</w:t>
      </w:r>
    </w:p>
    <w:p w14:paraId="67FEEAAA" w14:textId="77777777" w:rsidR="00582954" w:rsidRDefault="00582954">
      <w:pPr>
        <w:pStyle w:val="Odsekzoznamu"/>
        <w:widowControl w:val="0"/>
        <w:spacing w:after="0" w:line="240" w:lineRule="auto"/>
        <w:ind w:left="0"/>
        <w:rPr>
          <w:rFonts w:ascii="Times New Roman" w:hAnsi="Times New Roman"/>
          <w:lang w:val="sk-SK"/>
        </w:rPr>
      </w:pPr>
    </w:p>
    <w:p w14:paraId="397D74EB" w14:textId="77777777" w:rsidR="00582954" w:rsidRDefault="00645977">
      <w:pPr>
        <w:pStyle w:val="Odsekzoznamu"/>
        <w:widowControl w:val="0"/>
        <w:spacing w:after="0" w:line="240" w:lineRule="auto"/>
        <w:ind w:left="0"/>
        <w:rPr>
          <w:rFonts w:ascii="Times New Roman" w:hAnsi="Times New Roman"/>
          <w:u w:val="single"/>
          <w:lang w:val="sk-SK"/>
        </w:rPr>
      </w:pPr>
      <w:bookmarkStart w:id="5" w:name="_Hlk150844831"/>
      <w:r>
        <w:rPr>
          <w:rFonts w:ascii="Times New Roman" w:hAnsi="Times New Roman"/>
          <w:u w:val="single"/>
          <w:lang w:val="sk-SK"/>
        </w:rPr>
        <w:t>Pacienti s depléciou objemu a/alebo sodíka</w:t>
      </w:r>
      <w:bookmarkEnd w:id="5"/>
    </w:p>
    <w:p w14:paraId="1CFB2A33"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U pacientov s depléciou objemu a/alebo sodíka následkom silnej diuretickej liečby, diétnym obmedzením soli, hnačkou alebo vracaním, sa najmä po prvej dávke môže vyskytnúť symptomatická hypotenzia. Takéto stavy</w:t>
      </w:r>
      <w:bookmarkStart w:id="6" w:name="_Hlk150844837"/>
      <w:r>
        <w:rPr>
          <w:rFonts w:ascii="Times New Roman" w:hAnsi="Times New Roman"/>
          <w:lang w:val="sk-SK"/>
        </w:rPr>
        <w:t>, najmä deplécia objemu a/alebo sodíka,</w:t>
      </w:r>
      <w:bookmarkEnd w:id="6"/>
      <w:r>
        <w:rPr>
          <w:rFonts w:ascii="Times New Roman" w:hAnsi="Times New Roman"/>
          <w:lang w:val="sk-SK"/>
        </w:rPr>
        <w:t xml:space="preserve"> sa pred podávaním Tolucombi majú upraviť.</w:t>
      </w:r>
    </w:p>
    <w:p w14:paraId="6A8E9D4C"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Pri používaní hydrochlórtiazidu sa pozorovali ojedinelé prípady hyponatriémie sprevádzanej neurologickými príznakmi (nauzea, progresívna dezorientácia, apatia).</w:t>
      </w:r>
    </w:p>
    <w:p w14:paraId="7C356457" w14:textId="77777777" w:rsidR="00582954" w:rsidRDefault="00582954">
      <w:pPr>
        <w:pStyle w:val="Odsekzoznamu"/>
        <w:widowControl w:val="0"/>
        <w:spacing w:after="0" w:line="240" w:lineRule="auto"/>
        <w:ind w:left="0"/>
        <w:rPr>
          <w:rFonts w:ascii="Times New Roman" w:hAnsi="Times New Roman"/>
          <w:lang w:val="sk-SK"/>
        </w:rPr>
      </w:pPr>
    </w:p>
    <w:p w14:paraId="275767DA"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 xml:space="preserve">Duálna inhibícia renín-angiotenzín-aldosterónového systému </w:t>
      </w:r>
      <w:r>
        <w:rPr>
          <w:rFonts w:ascii="Times New Roman" w:hAnsi="Times New Roman"/>
          <w:u w:val="single"/>
          <w:lang w:val="sk-SK" w:eastAsia="it-IT"/>
        </w:rPr>
        <w:t>(RAAS)</w:t>
      </w:r>
    </w:p>
    <w:p w14:paraId="5F37CE9D" w14:textId="77777777" w:rsidR="00582954" w:rsidRDefault="00645977">
      <w:pPr>
        <w:spacing w:after="0" w:line="240" w:lineRule="auto"/>
        <w:rPr>
          <w:rFonts w:ascii="Times New Roman" w:hAnsi="Times New Roman"/>
          <w:lang w:val="sk-SK" w:eastAsia="it-IT"/>
        </w:rPr>
      </w:pPr>
      <w:r>
        <w:rPr>
          <w:rFonts w:ascii="Times New Roman" w:hAnsi="Times New Roman"/>
          <w:lang w:val="sk-SK" w:eastAsia="it-IT"/>
        </w:rPr>
        <w:t>Preukázalo sa, že súbežné použitie inhibítorov ACE, blokátorov receptorov angiotenzínu II alebo aliskirénu zvyšuje riziko hypotenzie, hyperkaliémie a zníženia funkcie obličiek (vrátane akútneho zlyhania obličiek). Duálna inhibícia RAAS kombinovaným použitím inhibítorov ACE, blokátorov receptorov angiotenzínu II alebo aliskirénu sa preto neodporúča (pozri časti 4.5 a 5.1).</w:t>
      </w:r>
    </w:p>
    <w:p w14:paraId="7AFE549E" w14:textId="77777777" w:rsidR="00582954" w:rsidRDefault="00645977">
      <w:pPr>
        <w:spacing w:after="0" w:line="240" w:lineRule="auto"/>
        <w:rPr>
          <w:rFonts w:ascii="Times New Roman" w:hAnsi="Times New Roman"/>
          <w:lang w:val="sk-SK" w:eastAsia="it-IT"/>
        </w:rPr>
      </w:pPr>
      <w:r>
        <w:rPr>
          <w:rFonts w:ascii="Times New Roman" w:hAnsi="Times New Roman"/>
          <w:lang w:val="sk-SK" w:eastAsia="it-IT"/>
        </w:rPr>
        <w:t>Ak sa liečba duálnou inhibíciou považuje za absolútne nevyhnutnú, má sa podať iba pod dohľadom odborníka a u pacienta sa majú často a dôsledne kontrolovať funkcia obličiek, elektrolyty a krvný tlak.</w:t>
      </w:r>
    </w:p>
    <w:p w14:paraId="0A012DB5"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Inhibítory ACE a blokátory receptorov angiotenzínu II sa nemajú súbežne používať u pacientov s diabetickou nefropatiou.</w:t>
      </w:r>
    </w:p>
    <w:p w14:paraId="6A43396A" w14:textId="77777777" w:rsidR="00582954" w:rsidRDefault="00582954">
      <w:pPr>
        <w:pStyle w:val="Odsekzoznamu"/>
        <w:widowControl w:val="0"/>
        <w:spacing w:after="0" w:line="240" w:lineRule="auto"/>
        <w:ind w:left="0"/>
        <w:rPr>
          <w:rFonts w:ascii="Times New Roman" w:hAnsi="Times New Roman"/>
          <w:lang w:val="sk-SK"/>
        </w:rPr>
      </w:pPr>
    </w:p>
    <w:p w14:paraId="2FFE8E58"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Ostatné stavy so stimuláciou systému renín-angiotenzín-aldosterón</w:t>
      </w:r>
    </w:p>
    <w:p w14:paraId="53A7A2F4"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U pacientov, ktorých vaskulárny tonus a funkcia obličiek závisí predovšetkým od aktivity systému renín-angiotenzín-aldosterón (napr. pacienti so závažným kongestívnym zlyhávaním srdca alebo základným ochorením obličiek vrátane stenózy renálnej artérie), sa liečba liekmi ovplyvňujúcimi tento systém spájala s akútnou hypotenziou, hyperazotémiou, oligúriou alebo zriedkavo s akútnym zlyhaním obličiek (pozri časť 4.8).</w:t>
      </w:r>
    </w:p>
    <w:p w14:paraId="61235470" w14:textId="77777777" w:rsidR="00582954" w:rsidRDefault="00582954">
      <w:pPr>
        <w:pStyle w:val="Odsekzoznamu"/>
        <w:widowControl w:val="0"/>
        <w:spacing w:after="0" w:line="240" w:lineRule="auto"/>
        <w:ind w:left="0"/>
        <w:rPr>
          <w:rFonts w:ascii="Times New Roman" w:hAnsi="Times New Roman"/>
          <w:lang w:val="sk-SK"/>
        </w:rPr>
      </w:pPr>
    </w:p>
    <w:p w14:paraId="236B38D0" w14:textId="77777777" w:rsidR="00582954" w:rsidRDefault="00645977">
      <w:pPr>
        <w:pStyle w:val="Odsekzoznamu"/>
        <w:keepNext/>
        <w:widowControl w:val="0"/>
        <w:spacing w:after="0" w:line="240" w:lineRule="auto"/>
        <w:ind w:left="0"/>
        <w:rPr>
          <w:rFonts w:ascii="Times New Roman" w:hAnsi="Times New Roman"/>
          <w:u w:val="single"/>
          <w:lang w:val="sk-SK"/>
        </w:rPr>
      </w:pPr>
      <w:r>
        <w:rPr>
          <w:rFonts w:ascii="Times New Roman" w:hAnsi="Times New Roman"/>
          <w:u w:val="single"/>
          <w:lang w:val="sk-SK"/>
        </w:rPr>
        <w:t>Primárny aldosteronizmus</w:t>
      </w:r>
    </w:p>
    <w:p w14:paraId="636F3B28" w14:textId="77777777" w:rsidR="00582954" w:rsidRDefault="00645977">
      <w:pPr>
        <w:pStyle w:val="Odsekzoznamu"/>
        <w:keepNext/>
        <w:widowControl w:val="0"/>
        <w:spacing w:after="0" w:line="240" w:lineRule="auto"/>
        <w:ind w:left="0"/>
        <w:rPr>
          <w:rFonts w:ascii="Times New Roman" w:hAnsi="Times New Roman"/>
          <w:lang w:val="sk-SK"/>
        </w:rPr>
      </w:pPr>
      <w:r>
        <w:rPr>
          <w:rFonts w:ascii="Times New Roman" w:hAnsi="Times New Roman"/>
          <w:lang w:val="sk-SK"/>
        </w:rPr>
        <w:t xml:space="preserve">Pacienti s primárnym aldosteronizmom spravidla nereagujú na antihypertenzíva pôsobiace prostredníctvom inhibície systému renín-angiotenzín. Použitie telmisartanu/hydrochlórtiazidu sa preto </w:t>
      </w:r>
      <w:r>
        <w:rPr>
          <w:rFonts w:ascii="Times New Roman" w:hAnsi="Times New Roman"/>
          <w:lang w:val="sk-SK"/>
        </w:rPr>
        <w:lastRenderedPageBreak/>
        <w:t>neodporúča.</w:t>
      </w:r>
    </w:p>
    <w:p w14:paraId="3D3D6531" w14:textId="77777777" w:rsidR="00582954" w:rsidRDefault="00582954">
      <w:pPr>
        <w:pStyle w:val="Odsekzoznamu"/>
        <w:widowControl w:val="0"/>
        <w:spacing w:after="0" w:line="240" w:lineRule="auto"/>
        <w:ind w:left="0"/>
        <w:rPr>
          <w:rFonts w:ascii="Times New Roman" w:hAnsi="Times New Roman"/>
          <w:lang w:val="sk-SK"/>
        </w:rPr>
      </w:pPr>
    </w:p>
    <w:p w14:paraId="775FE5B5"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Stenóza aorty a mitrálnej srdcovej chlopne, obštrukčná hypertrofická kardiomyopatia</w:t>
      </w:r>
    </w:p>
    <w:p w14:paraId="34FC59F3"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Tak ako pri iných vazodilatanciách, osobitná pozornosť je potrebná u pacientov s aortálnou alebo mitrálnou stenózou alebo obštrukčnou hypertrofickou kardiomyopatiou.</w:t>
      </w:r>
    </w:p>
    <w:p w14:paraId="5013893B" w14:textId="77777777" w:rsidR="00582954" w:rsidRDefault="00582954">
      <w:pPr>
        <w:pStyle w:val="Odsekzoznamu"/>
        <w:widowControl w:val="0"/>
        <w:spacing w:after="0" w:line="240" w:lineRule="auto"/>
        <w:ind w:left="0"/>
        <w:rPr>
          <w:rFonts w:ascii="Times New Roman" w:hAnsi="Times New Roman"/>
          <w:lang w:val="sk-SK"/>
        </w:rPr>
      </w:pPr>
    </w:p>
    <w:p w14:paraId="188480FD"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Metabolické a endokrinné účinky</w:t>
      </w:r>
    </w:p>
    <w:p w14:paraId="2E553A9C"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Liečba tiazidmi môže zhoršiť toleranciu glukózy, pričom sa u diabetických pacientov na inzulíne alebo antidiabetickej liečbe pri liečbe telmisartanom môže objaviť hypoglykémia. Preto treba u týchto pacientov zvážiť sledovanie glukózy v krvi; môže byť potrebná úprava dávky inzulínu alebo antidiabetík, ak sú indikované. Počas terapie tiazidmi sa môže prejaviť latentný diabetes mellitus.</w:t>
      </w:r>
    </w:p>
    <w:p w14:paraId="16B63E34" w14:textId="77777777" w:rsidR="00582954" w:rsidRDefault="00582954">
      <w:pPr>
        <w:pStyle w:val="Odsekzoznamu"/>
        <w:widowControl w:val="0"/>
        <w:spacing w:after="0" w:line="240" w:lineRule="auto"/>
        <w:ind w:left="0"/>
        <w:rPr>
          <w:rFonts w:ascii="Times New Roman" w:hAnsi="Times New Roman"/>
          <w:lang w:val="sk-SK"/>
        </w:rPr>
      </w:pPr>
    </w:p>
    <w:p w14:paraId="687D07F6"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Zvýšenie hladín cholesterolu a triglyceridov sa spájalo s terapiou tiazidovými diuretikami; avšak pri dávke 12,5 mg obsiahnutej v tomto lieku sa nehlásili žiadne alebo len minimálne účinky. U niektorých pacientov liečených tiazidmi sa môže objaviť hyperurikémia alebo vyvolať dna.</w:t>
      </w:r>
    </w:p>
    <w:p w14:paraId="1FA7559D" w14:textId="77777777" w:rsidR="00582954" w:rsidRDefault="00582954">
      <w:pPr>
        <w:pStyle w:val="Odsekzoznamu"/>
        <w:widowControl w:val="0"/>
        <w:spacing w:after="0" w:line="240" w:lineRule="auto"/>
        <w:ind w:left="0"/>
        <w:rPr>
          <w:rFonts w:ascii="Times New Roman" w:hAnsi="Times New Roman"/>
          <w:lang w:val="sk-SK"/>
        </w:rPr>
      </w:pPr>
    </w:p>
    <w:p w14:paraId="718C3B6D"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Nerovnováha elektrolytov</w:t>
      </w:r>
    </w:p>
    <w:p w14:paraId="2BD0CB2C"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Tak ako u iných pacientov liečených diuretikami, má sa vo vhodných intervaloch uskutočniť pravidelné stanovenie sérových elektrolytov.</w:t>
      </w:r>
    </w:p>
    <w:p w14:paraId="040F1328" w14:textId="77777777" w:rsidR="00582954" w:rsidRDefault="00645977">
      <w:pPr>
        <w:pStyle w:val="Odsekzoznamu"/>
        <w:widowControl w:val="0"/>
        <w:spacing w:after="0" w:line="240" w:lineRule="auto"/>
        <w:ind w:left="0" w:right="-235"/>
        <w:rPr>
          <w:rFonts w:ascii="Times New Roman" w:hAnsi="Times New Roman"/>
          <w:lang w:val="sk-SK"/>
        </w:rPr>
      </w:pPr>
      <w:r>
        <w:rPr>
          <w:rFonts w:ascii="Times New Roman" w:hAnsi="Times New Roman"/>
          <w:lang w:val="sk-SK"/>
        </w:rPr>
        <w:t>Tiazidy vrátane hydrochlórtiazidu môžu spôsobiť nerovnováhu tekutín alebo elektrolytov (vrátane hypokaliémie, hyponatriémie a hypochloremickej alkalózy). Varovnými signálmi tejto nerovnováhy sú sucho v ústach, smäd, asténia, apatia, ospalosť, únava, bolesti svalov alebo kŕče, svalová únava, hypotenzia, oligúria, tachykardia a gastrointestinálne poruchy ako je nauzea alebo vracanie (pozri tiež časť 4.8).</w:t>
      </w:r>
    </w:p>
    <w:p w14:paraId="515E9389" w14:textId="77777777" w:rsidR="00582954" w:rsidRDefault="00582954">
      <w:pPr>
        <w:pStyle w:val="Odsekzoznamu"/>
        <w:widowControl w:val="0"/>
        <w:spacing w:after="0" w:line="240" w:lineRule="auto"/>
        <w:ind w:left="0"/>
        <w:rPr>
          <w:rFonts w:ascii="Times New Roman" w:hAnsi="Times New Roman"/>
          <w:lang w:val="sk-SK"/>
        </w:rPr>
      </w:pPr>
    </w:p>
    <w:p w14:paraId="344EDCD7" w14:textId="77777777" w:rsidR="00582954" w:rsidRDefault="00645977">
      <w:pPr>
        <w:pStyle w:val="Odsekzoznamu"/>
        <w:widowControl w:val="0"/>
        <w:numPr>
          <w:ilvl w:val="0"/>
          <w:numId w:val="1"/>
        </w:numPr>
        <w:tabs>
          <w:tab w:val="left" w:pos="567"/>
        </w:tabs>
        <w:spacing w:after="0" w:line="240" w:lineRule="auto"/>
        <w:ind w:left="0" w:firstLine="0"/>
        <w:rPr>
          <w:rFonts w:ascii="Times New Roman" w:hAnsi="Times New Roman"/>
          <w:lang w:val="sk-SK"/>
        </w:rPr>
      </w:pPr>
      <w:r>
        <w:rPr>
          <w:rFonts w:ascii="Times New Roman" w:hAnsi="Times New Roman"/>
          <w:lang w:val="sk-SK"/>
        </w:rPr>
        <w:t>Hypokaliémia</w:t>
      </w:r>
    </w:p>
    <w:p w14:paraId="507AF76D"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Hoci sa pri používaní tiazidových diuretík môže vyvinúť hypokaliémia, sprievodná liečba telmisartanom môže znížiť diuretikami vyvolanú hypokaliémiu. Riziko hypokaliémie je vyššie u pacientov s cirhózou pečene, pacientov s výraznou diurézou, pacientov s nedostatočným perorálnym príjmom elektrolytov a pacientov so súbežnou terapiou kortikosteroidmi alebo adrenokortikotropným hormónom (ACTH) (pozri časť 4.5).</w:t>
      </w:r>
    </w:p>
    <w:p w14:paraId="1872E9D7" w14:textId="77777777" w:rsidR="00582954" w:rsidRDefault="00582954">
      <w:pPr>
        <w:pStyle w:val="Odsekzoznamu"/>
        <w:widowControl w:val="0"/>
        <w:spacing w:after="0" w:line="240" w:lineRule="auto"/>
        <w:ind w:left="0"/>
        <w:rPr>
          <w:rFonts w:ascii="Times New Roman" w:hAnsi="Times New Roman"/>
          <w:lang w:val="sk-SK"/>
        </w:rPr>
      </w:pPr>
    </w:p>
    <w:p w14:paraId="0B819D66" w14:textId="77777777" w:rsidR="00582954" w:rsidRDefault="00645977">
      <w:pPr>
        <w:pStyle w:val="Odsekzoznamu"/>
        <w:widowControl w:val="0"/>
        <w:numPr>
          <w:ilvl w:val="0"/>
          <w:numId w:val="1"/>
        </w:numPr>
        <w:tabs>
          <w:tab w:val="left" w:pos="567"/>
        </w:tabs>
        <w:spacing w:after="0" w:line="240" w:lineRule="auto"/>
        <w:ind w:left="0" w:firstLine="0"/>
        <w:rPr>
          <w:rFonts w:ascii="Times New Roman" w:hAnsi="Times New Roman"/>
          <w:lang w:val="sk-SK"/>
        </w:rPr>
      </w:pPr>
      <w:r>
        <w:rPr>
          <w:rFonts w:ascii="Times New Roman" w:hAnsi="Times New Roman"/>
          <w:lang w:val="sk-SK"/>
        </w:rPr>
        <w:t>Hyperkaliémia</w:t>
      </w:r>
    </w:p>
    <w:p w14:paraId="067FFFB1"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Na druhej strane sa môže vyskytnúť hyperkaliémia následkom antagonizmu receptorov angiotenzínu II (AT</w:t>
      </w:r>
      <w:r>
        <w:rPr>
          <w:rFonts w:ascii="Times New Roman" w:hAnsi="Times New Roman"/>
          <w:vertAlign w:val="subscript"/>
          <w:lang w:val="sk-SK"/>
        </w:rPr>
        <w:t>1</w:t>
      </w:r>
      <w:r>
        <w:rPr>
          <w:rFonts w:ascii="Times New Roman" w:hAnsi="Times New Roman"/>
          <w:lang w:val="sk-SK"/>
        </w:rPr>
        <w:t>) telmisartanom, zložkou tohto lieku. Hoci sa pri telmisartane/hydrochlórtiazide nezaznamenala klinicky významná hyperkaliémia, rizikové faktory vzniku hyperkaliémie zahŕňajú renálnu insuficienciu a/alebo zlyhávanie srdca a diabetes mellitus. Draslík šetriace diuretiká, náhrady draslíka alebo náhrady soli s obsahom draslíka sa majú podávať opatrne spolu s telmisartanom/hydrochlórtiazidom (pozri časť 4.5).</w:t>
      </w:r>
    </w:p>
    <w:p w14:paraId="7780CE2A" w14:textId="77777777" w:rsidR="00582954" w:rsidRDefault="00582954">
      <w:pPr>
        <w:pStyle w:val="Odsekzoznamu"/>
        <w:widowControl w:val="0"/>
        <w:spacing w:after="0" w:line="240" w:lineRule="auto"/>
        <w:ind w:left="0"/>
        <w:rPr>
          <w:rFonts w:ascii="Times New Roman" w:hAnsi="Times New Roman"/>
          <w:lang w:val="sk-SK"/>
        </w:rPr>
      </w:pPr>
    </w:p>
    <w:p w14:paraId="2372092F" w14:textId="77777777" w:rsidR="00582954" w:rsidRDefault="00645977">
      <w:pPr>
        <w:pStyle w:val="Odsekzoznamu"/>
        <w:widowControl w:val="0"/>
        <w:numPr>
          <w:ilvl w:val="0"/>
          <w:numId w:val="1"/>
        </w:numPr>
        <w:tabs>
          <w:tab w:val="left" w:pos="567"/>
        </w:tabs>
        <w:spacing w:after="0" w:line="240" w:lineRule="auto"/>
        <w:ind w:left="0" w:firstLine="0"/>
        <w:rPr>
          <w:rFonts w:ascii="Times New Roman" w:hAnsi="Times New Roman"/>
          <w:lang w:val="sk-SK"/>
        </w:rPr>
      </w:pPr>
      <w:r>
        <w:rPr>
          <w:rFonts w:ascii="Times New Roman" w:hAnsi="Times New Roman"/>
          <w:lang w:val="sk-SK"/>
        </w:rPr>
        <w:t>Hypochloremická alkalóza</w:t>
      </w:r>
    </w:p>
    <w:p w14:paraId="68D72783"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Nedostatok chloridov je spravidla mierny a zvyčajne nevyžaduje liečbu.</w:t>
      </w:r>
    </w:p>
    <w:p w14:paraId="2113CBD2" w14:textId="77777777" w:rsidR="00582954" w:rsidRDefault="00582954">
      <w:pPr>
        <w:pStyle w:val="Odsekzoznamu"/>
        <w:widowControl w:val="0"/>
        <w:spacing w:after="0" w:line="240" w:lineRule="auto"/>
        <w:ind w:left="0"/>
        <w:rPr>
          <w:rFonts w:ascii="Times New Roman" w:hAnsi="Times New Roman"/>
          <w:lang w:val="sk-SK"/>
        </w:rPr>
      </w:pPr>
    </w:p>
    <w:p w14:paraId="0F7EFB1A" w14:textId="77777777" w:rsidR="00582954" w:rsidRDefault="00645977">
      <w:pPr>
        <w:pStyle w:val="Odsekzoznamu"/>
        <w:widowControl w:val="0"/>
        <w:numPr>
          <w:ilvl w:val="0"/>
          <w:numId w:val="1"/>
        </w:numPr>
        <w:tabs>
          <w:tab w:val="left" w:pos="567"/>
        </w:tabs>
        <w:spacing w:after="0" w:line="240" w:lineRule="auto"/>
        <w:ind w:left="0" w:firstLine="0"/>
        <w:rPr>
          <w:rFonts w:ascii="Times New Roman" w:hAnsi="Times New Roman"/>
          <w:lang w:val="sk-SK"/>
        </w:rPr>
      </w:pPr>
      <w:r>
        <w:rPr>
          <w:rFonts w:ascii="Times New Roman" w:hAnsi="Times New Roman"/>
          <w:lang w:val="sk-SK"/>
        </w:rPr>
        <w:t>Hyperkalciémia</w:t>
      </w:r>
    </w:p>
    <w:p w14:paraId="1573D6AF"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Tiazidy môžu znížiť vylučovanie vápnika močom a zapríčiniť občasné a mierne zvýšenie sérového vápnika pri absencii známych porúch metabolizmu vápnika. Stanovená hyperkalciémia môže byť dôkazom skrytého hyperparatyroidizmu. Pred vykonaním testov funkcií prištítnych teliesok sa tiazidy majú vysadiť.</w:t>
      </w:r>
    </w:p>
    <w:p w14:paraId="17FFC0EF" w14:textId="77777777" w:rsidR="00582954" w:rsidRDefault="00582954">
      <w:pPr>
        <w:pStyle w:val="Odsekzoznamu"/>
        <w:widowControl w:val="0"/>
        <w:spacing w:after="0" w:line="240" w:lineRule="auto"/>
        <w:ind w:left="0"/>
        <w:rPr>
          <w:rFonts w:ascii="Times New Roman" w:hAnsi="Times New Roman"/>
          <w:lang w:val="sk-SK"/>
        </w:rPr>
      </w:pPr>
    </w:p>
    <w:p w14:paraId="49993DA2" w14:textId="77777777" w:rsidR="00582954" w:rsidRDefault="00645977">
      <w:pPr>
        <w:pStyle w:val="Odsekzoznamu"/>
        <w:widowControl w:val="0"/>
        <w:numPr>
          <w:ilvl w:val="0"/>
          <w:numId w:val="1"/>
        </w:numPr>
        <w:tabs>
          <w:tab w:val="left" w:pos="567"/>
        </w:tabs>
        <w:spacing w:after="0" w:line="240" w:lineRule="auto"/>
        <w:ind w:left="0" w:firstLine="0"/>
        <w:rPr>
          <w:rFonts w:ascii="Times New Roman" w:hAnsi="Times New Roman"/>
          <w:lang w:val="sk-SK"/>
        </w:rPr>
      </w:pPr>
      <w:r>
        <w:rPr>
          <w:rFonts w:ascii="Times New Roman" w:hAnsi="Times New Roman"/>
          <w:lang w:val="sk-SK"/>
        </w:rPr>
        <w:t>Hypomagneziémia</w:t>
      </w:r>
    </w:p>
    <w:p w14:paraId="16DE3B28"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Ukázalo sa, že tiazidy zvyšujú vylučovanie horčíka močom, čo môže zapríčiniť hypomagneziémiu (pozri časť 4.5).</w:t>
      </w:r>
    </w:p>
    <w:p w14:paraId="6690360F" w14:textId="77777777" w:rsidR="00582954" w:rsidRDefault="00582954">
      <w:pPr>
        <w:pStyle w:val="Odsekzoznamu"/>
        <w:widowControl w:val="0"/>
        <w:spacing w:after="0" w:line="240" w:lineRule="auto"/>
        <w:ind w:left="0"/>
        <w:rPr>
          <w:rFonts w:ascii="Times New Roman" w:hAnsi="Times New Roman"/>
          <w:lang w:val="sk-SK"/>
        </w:rPr>
      </w:pPr>
    </w:p>
    <w:p w14:paraId="4576D70F"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Sodík</w:t>
      </w:r>
    </w:p>
    <w:p w14:paraId="7B252CB8" w14:textId="77777777" w:rsidR="00582954" w:rsidRDefault="00645977">
      <w:pPr>
        <w:spacing w:after="0" w:line="240" w:lineRule="auto"/>
        <w:rPr>
          <w:rFonts w:ascii="Times New Roman" w:eastAsia="Times New Roman" w:hAnsi="Times New Roman"/>
          <w:lang w:val="sk-SK" w:eastAsia="sk-SK"/>
        </w:rPr>
      </w:pPr>
      <w:r>
        <w:rPr>
          <w:rFonts w:ascii="Times New Roman" w:eastAsia="Times New Roman" w:hAnsi="Times New Roman"/>
          <w:lang w:val="sk-SK" w:eastAsia="sk-SK"/>
        </w:rPr>
        <w:lastRenderedPageBreak/>
        <w:t>Tento liek obsahuje menej ako 1 mmol sodíka (23 mg) v jednej tablete, t. j. je v podstate zanedbateľné množstvo sodíka.</w:t>
      </w:r>
    </w:p>
    <w:p w14:paraId="5C31799D" w14:textId="77777777" w:rsidR="00582954" w:rsidRDefault="00582954">
      <w:pPr>
        <w:pStyle w:val="Odsekzoznamu"/>
        <w:widowControl w:val="0"/>
        <w:spacing w:after="0" w:line="240" w:lineRule="auto"/>
        <w:ind w:left="0"/>
        <w:rPr>
          <w:rFonts w:ascii="Times New Roman" w:hAnsi="Times New Roman"/>
          <w:u w:val="single"/>
          <w:lang w:val="sk-SK"/>
        </w:rPr>
      </w:pPr>
    </w:p>
    <w:p w14:paraId="71137617"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Etnické rozdiely</w:t>
      </w:r>
    </w:p>
    <w:p w14:paraId="12A64C71"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Tak ako pri iných blokátoroch receptorov angiotenzínu II, telmisartan je zjavne menej účinný v znižovaní krvného tlaku u černošských pacientov ako u nečernochov, pravdepodobne pre vyšší výskyt nízkorenínových stavov v čiernej populácii s hypertenziou.</w:t>
      </w:r>
    </w:p>
    <w:p w14:paraId="10CF36BD" w14:textId="77777777" w:rsidR="00582954" w:rsidRDefault="00582954">
      <w:pPr>
        <w:pStyle w:val="Odsekzoznamu"/>
        <w:widowControl w:val="0"/>
        <w:spacing w:after="0" w:line="240" w:lineRule="auto"/>
        <w:ind w:left="0"/>
        <w:rPr>
          <w:rFonts w:ascii="Times New Roman" w:hAnsi="Times New Roman"/>
          <w:u w:val="single"/>
          <w:lang w:val="sk-SK"/>
        </w:rPr>
      </w:pPr>
    </w:p>
    <w:p w14:paraId="7873A029" w14:textId="77777777" w:rsidR="00582954" w:rsidRDefault="00645977">
      <w:pPr>
        <w:pStyle w:val="Odsekzoznamu"/>
        <w:widowControl w:val="0"/>
        <w:spacing w:after="0" w:line="240" w:lineRule="auto"/>
        <w:ind w:left="0"/>
        <w:rPr>
          <w:rFonts w:ascii="Times New Roman" w:hAnsi="Times New Roman"/>
          <w:u w:val="single"/>
          <w:lang w:val="sk-SK"/>
        </w:rPr>
      </w:pPr>
      <w:bookmarkStart w:id="7" w:name="_Hlk150844885"/>
      <w:r>
        <w:rPr>
          <w:rFonts w:ascii="Times New Roman" w:hAnsi="Times New Roman"/>
          <w:snapToGrid w:val="0"/>
          <w:u w:val="single"/>
          <w:lang w:eastAsia="cs-CZ"/>
        </w:rPr>
        <w:t>Ischemická choroba srdca</w:t>
      </w:r>
      <w:bookmarkEnd w:id="7"/>
    </w:p>
    <w:p w14:paraId="06D44B3F"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Tak ako pri iných antihypertenzívach, nadmerná redukcia tlaku krvi u pacientov s ischemickou kardiopatiou alebo ischemickou kardiovaskulárnou chorobou môže viesť k infarktu myokardu alebo cievnej mozgovej príhode.</w:t>
      </w:r>
    </w:p>
    <w:p w14:paraId="1957573A" w14:textId="77777777" w:rsidR="00582954" w:rsidRDefault="00582954">
      <w:pPr>
        <w:pStyle w:val="Odsekzoznamu"/>
        <w:widowControl w:val="0"/>
        <w:spacing w:after="0" w:line="240" w:lineRule="auto"/>
        <w:ind w:left="0"/>
        <w:rPr>
          <w:rFonts w:ascii="Times New Roman" w:hAnsi="Times New Roman"/>
          <w:u w:val="single"/>
          <w:lang w:val="sk-SK"/>
        </w:rPr>
      </w:pPr>
    </w:p>
    <w:p w14:paraId="46BA0D68"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Všeobecné</w:t>
      </w:r>
    </w:p>
    <w:p w14:paraId="6AA1379B"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Reakcie z precitlivenosti na hydrochlórtiazid sa môžu vyskytnúť u pacientov s anamnézou alergie alebo bronchiálnej astmy alebo bez nej, ale sú pravdepodobnejšie u pacientov s touto anamnézou.</w:t>
      </w:r>
    </w:p>
    <w:p w14:paraId="45DF1391"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Pri použití tiazidových diuretík, vrátane hydrochlórtiazidu, bola hlásená exacerbácia alebo aktivácia systémového lupus erythematosus.</w:t>
      </w:r>
    </w:p>
    <w:p w14:paraId="19FE8ED9"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Pri tiazidových diuretikách boli hlásené prípady fotosenzitívnych reakcií (pozri časť 4.8). Ak sa počas liečby vyskytne fotosenzitívna reakcia, odporúča sa liečbu ukončiť. Ak sa opätovné podávanie diuretík považuje za nevyhnutné, odporúča sa chrániť obnažené časti tela pred slnkom alebo umelým UVA žiarením.</w:t>
      </w:r>
    </w:p>
    <w:p w14:paraId="55BAE742" w14:textId="77777777" w:rsidR="00582954" w:rsidRDefault="00582954">
      <w:pPr>
        <w:pStyle w:val="Odsekzoznamu"/>
        <w:widowControl w:val="0"/>
        <w:spacing w:after="0" w:line="240" w:lineRule="auto"/>
        <w:ind w:left="0"/>
        <w:rPr>
          <w:rFonts w:ascii="Times New Roman" w:hAnsi="Times New Roman"/>
          <w:u w:val="single"/>
          <w:lang w:val="sk-SK"/>
        </w:rPr>
      </w:pPr>
    </w:p>
    <w:p w14:paraId="7E46B34D"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Choroidálna efúzia, akútna myopia a glaukóm s uzavretým uhlom</w:t>
      </w:r>
    </w:p>
    <w:p w14:paraId="7959997D"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 xml:space="preserve">Sulfónamid hydrochlórtiazid môže spôsobiť idiosynkratickú reakciu vedúcu k choroidálnej efúzii s poruchou zorného poľa, akútnej tranzientnej myopii a akútnemu glaukómu s uzavretým uhlom. Príznaky zahŕňajú nástup zníženej zrakovej ostrosti alebo bolesť oka a bežne sa vyskytujú v priebehu niekoľkých hodín až týždňov od začatia liečby. Neliečený akútny glaukóm s uzavretým uhlom môže viesť až k trvalej strate zraku. Primárnou liečbou je prerušenie podávania </w:t>
      </w:r>
      <w:bookmarkStart w:id="8" w:name="_Hlk188454193"/>
      <w:r>
        <w:rPr>
          <w:rFonts w:ascii="Times New Roman" w:hAnsi="Times New Roman"/>
          <w:lang w:val="sk-SK"/>
        </w:rPr>
        <w:t>hydrochlórtiazidu</w:t>
      </w:r>
      <w:bookmarkEnd w:id="8"/>
      <w:r>
        <w:rPr>
          <w:rFonts w:ascii="Times New Roman" w:hAnsi="Times New Roman"/>
          <w:lang w:val="sk-SK"/>
        </w:rPr>
        <w:t xml:space="preserve"> tak rýchlo, ako je to možné. V prípade, že vnútroočný tlak je aj naďalej nekontrolovaný, bude možno potrebné zvážiť okamžitý lekársky alebo chirurgický zásah. Rizikové faktory pre vývin akútneho glaukómu s uzavretým uhlom môžu zahŕňať predchádzajúcu alergiu na sulfónamid alebo penicilín.</w:t>
      </w:r>
    </w:p>
    <w:p w14:paraId="7D624ED0" w14:textId="77777777" w:rsidR="00582954" w:rsidRDefault="00582954">
      <w:pPr>
        <w:pStyle w:val="Odsekzoznamu"/>
        <w:widowControl w:val="0"/>
        <w:spacing w:after="0" w:line="240" w:lineRule="auto"/>
        <w:ind w:left="0"/>
        <w:rPr>
          <w:rFonts w:ascii="Times New Roman" w:hAnsi="Times New Roman"/>
          <w:lang w:val="sk-SK"/>
        </w:rPr>
      </w:pPr>
    </w:p>
    <w:p w14:paraId="3F766BE3" w14:textId="77777777" w:rsidR="00582954" w:rsidRDefault="00645977">
      <w:pPr>
        <w:keepNext/>
        <w:spacing w:after="0" w:line="240" w:lineRule="auto"/>
        <w:rPr>
          <w:rFonts w:ascii="Times New Roman" w:hAnsi="Times New Roman"/>
          <w:szCs w:val="23"/>
          <w:u w:val="single"/>
        </w:rPr>
      </w:pPr>
      <w:r>
        <w:rPr>
          <w:rFonts w:ascii="Times New Roman" w:hAnsi="Times New Roman"/>
          <w:szCs w:val="23"/>
          <w:u w:val="single"/>
        </w:rPr>
        <w:t>Nemelanómová rakovina kože</w:t>
      </w:r>
    </w:p>
    <w:p w14:paraId="3D15B3B7" w14:textId="77777777" w:rsidR="00582954" w:rsidRDefault="00645977">
      <w:pPr>
        <w:keepNext/>
        <w:spacing w:after="0" w:line="240" w:lineRule="auto"/>
        <w:rPr>
          <w:rFonts w:ascii="Times New Roman" w:hAnsi="Times New Roman"/>
          <w:szCs w:val="23"/>
        </w:rPr>
      </w:pPr>
      <w:r>
        <w:rPr>
          <w:rFonts w:ascii="Times New Roman" w:hAnsi="Times New Roman"/>
          <w:szCs w:val="23"/>
        </w:rPr>
        <w:t>V dvoch epidemiologických štúdiách vychádzajúcich z dánskeho národného onkologického registra (Danish National Cancer Registry) sa pozorovalo zvýšené riziko nemelanómovej rakoviny kože (non-melanoma skin cancer, NMSC) [bazocelulárneho karcinómu (basal cell carcinoma, BCC) a skvamocelulárneho karcinómu (squamous cell carcinoma, SCC)] pri zvyšujúcej sa expozícii kumulatívnej dávke hydrochlórtiazidu (HCTZ</w:t>
      </w:r>
      <w:bookmarkStart w:id="9" w:name="_Hlk188454260"/>
      <w:r>
        <w:rPr>
          <w:rFonts w:ascii="Times New Roman" w:hAnsi="Times New Roman"/>
          <w:szCs w:val="23"/>
        </w:rPr>
        <w:t>, pozri časť 4.8</w:t>
      </w:r>
      <w:bookmarkEnd w:id="9"/>
      <w:r>
        <w:rPr>
          <w:rFonts w:ascii="Times New Roman" w:hAnsi="Times New Roman"/>
          <w:szCs w:val="23"/>
        </w:rPr>
        <w:t xml:space="preserve">). Možným mechanizmom pre vznik NMSC môžu byť fotosenzibilizačné účinky </w:t>
      </w:r>
      <w:bookmarkStart w:id="10" w:name="_Hlk188454299"/>
      <w:r>
        <w:rPr>
          <w:rFonts w:ascii="Times New Roman" w:hAnsi="Times New Roman"/>
          <w:lang w:val="sk-SK"/>
        </w:rPr>
        <w:t>hydrochlórtiazidu (</w:t>
      </w:r>
      <w:bookmarkEnd w:id="10"/>
      <w:r>
        <w:rPr>
          <w:rFonts w:ascii="Times New Roman" w:hAnsi="Times New Roman"/>
          <w:szCs w:val="23"/>
        </w:rPr>
        <w:t xml:space="preserve">HCTZ). </w:t>
      </w:r>
    </w:p>
    <w:p w14:paraId="049C3B91" w14:textId="77777777" w:rsidR="00582954" w:rsidRDefault="00582954">
      <w:pPr>
        <w:spacing w:after="0" w:line="240" w:lineRule="auto"/>
        <w:rPr>
          <w:rFonts w:ascii="Times New Roman" w:hAnsi="Times New Roman"/>
          <w:szCs w:val="23"/>
        </w:rPr>
      </w:pPr>
    </w:p>
    <w:p w14:paraId="78A5D31C" w14:textId="77777777" w:rsidR="00582954" w:rsidRDefault="00645977">
      <w:pPr>
        <w:spacing w:after="0" w:line="240" w:lineRule="auto"/>
        <w:rPr>
          <w:rFonts w:ascii="Times New Roman" w:hAnsi="Times New Roman"/>
          <w:sz w:val="20"/>
        </w:rPr>
      </w:pPr>
      <w:r>
        <w:rPr>
          <w:rFonts w:ascii="Times New Roman" w:hAnsi="Times New Roman"/>
          <w:szCs w:val="23"/>
        </w:rPr>
        <w:t>Pacientov užívajúcich HCTZ je potrebné informovať o riziku NMSC a odporučiť im, aby si pravidelne kontrolovali kožu kvôli možnému vzniku akýchkoľvek nových lézií a aby urýchlene nahlásili akékoľvek podozrivé kožné lézie. Pacientom je potrebné odporučiť možné preventívne opatrenia, ako je obmedzené vystavovanie sa slnečnému svetlu a UV lúčom a aby v prípade vystavenia sa slnečnému žiareniu používali primeranú ochranu s cieľom minimalizovať riziko rakoviny kože. Podozrivé kožné lézie je potrebné urýchlene vyšetriť, potenciálne aj histologickým vyšetrením biopsií. Použitie HCTZ bude možno potrebné prehodnotiť aj v prípade pacientov, u ktorých sa v minulosti vyskytla NMSC (pozri tiež časť 4.8).</w:t>
      </w:r>
    </w:p>
    <w:p w14:paraId="0CA0C42C" w14:textId="77777777" w:rsidR="00582954" w:rsidRDefault="00582954">
      <w:pPr>
        <w:pStyle w:val="Odsekzoznamu"/>
        <w:widowControl w:val="0"/>
        <w:spacing w:after="0" w:line="240" w:lineRule="auto"/>
        <w:ind w:left="0"/>
        <w:rPr>
          <w:rFonts w:ascii="Times New Roman" w:hAnsi="Times New Roman"/>
          <w:lang w:val="sk-SK"/>
        </w:rPr>
      </w:pPr>
    </w:p>
    <w:p w14:paraId="0E928E26" w14:textId="77777777" w:rsidR="00582954" w:rsidRDefault="00645977">
      <w:pPr>
        <w:pStyle w:val="Default"/>
        <w:rPr>
          <w:rFonts w:ascii="Times New Roman" w:hAnsi="Times New Roman" w:cs="Times New Roman"/>
          <w:sz w:val="22"/>
          <w:szCs w:val="22"/>
          <w:u w:val="single"/>
        </w:rPr>
      </w:pPr>
      <w:r>
        <w:rPr>
          <w:rFonts w:ascii="Times New Roman" w:hAnsi="Times New Roman" w:cs="Times New Roman"/>
          <w:bCs/>
          <w:sz w:val="22"/>
          <w:szCs w:val="22"/>
          <w:u w:val="single"/>
        </w:rPr>
        <w:t xml:space="preserve">Akútna respiračná toxicita </w:t>
      </w:r>
    </w:p>
    <w:p w14:paraId="27640A31" w14:textId="77777777" w:rsidR="00582954" w:rsidRDefault="00645977">
      <w:pPr>
        <w:spacing w:after="0" w:line="240" w:lineRule="auto"/>
        <w:rPr>
          <w:rFonts w:ascii="Times New Roman" w:hAnsi="Times New Roman"/>
          <w:bCs/>
        </w:rPr>
      </w:pPr>
      <w:r>
        <w:rPr>
          <w:rFonts w:ascii="Times New Roman" w:hAnsi="Times New Roman"/>
          <w:bCs/>
        </w:rPr>
        <w:t xml:space="preserve">Po užití hydrochlórtiazidu boli hlásené veľmi zriedkavé závažné prípady akútnej respiračnej toxicity vrátane syndrómu akútnej respiračnej tiesne (acute respiratory distress syndrome, ARDS). Pľúcny edém sa zvyčajne rozvinie do niekoľkých minút až hodín po užití hydrochlórtiazidu. K začiatočným príznakom </w:t>
      </w:r>
      <w:r>
        <w:rPr>
          <w:rFonts w:ascii="Times New Roman" w:hAnsi="Times New Roman"/>
          <w:bCs/>
        </w:rPr>
        <w:lastRenderedPageBreak/>
        <w:t>patria dýchavičnosť, horúčka, zhoršenie funkcie pľúc a hypotenzia. Ak existuje podozrenie na diagnózu ARDS, Tolucombi sa má vysadiť a má sa poskytnúť vhodná liečba. Hydrochlórtiazid sa nemá podávaťpacientom, u ktorých sa v minulosti vyskytol ARDS po užití hydrochlórtiazidu.</w:t>
      </w:r>
    </w:p>
    <w:p w14:paraId="43E7D118" w14:textId="77777777" w:rsidR="00582954" w:rsidRDefault="00582954">
      <w:pPr>
        <w:pStyle w:val="Odsekzoznamu"/>
        <w:widowControl w:val="0"/>
        <w:spacing w:after="0" w:line="240" w:lineRule="auto"/>
        <w:ind w:left="0"/>
        <w:rPr>
          <w:rFonts w:ascii="Times New Roman" w:hAnsi="Times New Roman"/>
          <w:lang w:val="sk-SK"/>
        </w:rPr>
      </w:pPr>
    </w:p>
    <w:p w14:paraId="2F4D50A6" w14:textId="77777777" w:rsidR="00582954" w:rsidRDefault="00645977">
      <w:pPr>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 xml:space="preserve">Intestinálny angioedém </w:t>
      </w:r>
    </w:p>
    <w:p w14:paraId="441BBC5B"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U pacientov liečených blokátormi receptorov angiotenzínu II bol hlásený intestinálny angioedém (pozri časť 4.8). U týchto pacientov sa vyskytla bolesť brucha, nauzea, vracanie a hnačka. Príznaky ustúpili po prerušení liečby blokátorom receptorov angiotenzínu II. Ak je diagnostikovaný intestinálny angioedém, liečba telmisartanom sa má prerušiť a má sa začať primerané sledovanie pacienta až do úplného vymiznutia príznakov.</w:t>
      </w:r>
    </w:p>
    <w:p w14:paraId="7715D6E8" w14:textId="77777777" w:rsidR="00582954" w:rsidRDefault="00582954">
      <w:pPr>
        <w:pStyle w:val="Odsekzoznamu"/>
        <w:widowControl w:val="0"/>
        <w:spacing w:after="0" w:line="240" w:lineRule="auto"/>
        <w:ind w:left="0"/>
        <w:rPr>
          <w:rFonts w:ascii="Times New Roman" w:hAnsi="Times New Roman"/>
          <w:lang w:val="sk-SK"/>
        </w:rPr>
      </w:pPr>
    </w:p>
    <w:p w14:paraId="1BE2790C" w14:textId="77777777" w:rsidR="00582954" w:rsidRDefault="00645977">
      <w:pPr>
        <w:pStyle w:val="Odsekzoznamu"/>
        <w:widowControl w:val="0"/>
        <w:tabs>
          <w:tab w:val="left" w:pos="567"/>
        </w:tabs>
        <w:spacing w:after="0" w:line="240" w:lineRule="auto"/>
        <w:ind w:left="0"/>
        <w:rPr>
          <w:rFonts w:ascii="Times New Roman" w:hAnsi="Times New Roman"/>
          <w:b/>
          <w:lang w:val="sk-SK"/>
        </w:rPr>
      </w:pPr>
      <w:r>
        <w:rPr>
          <w:rFonts w:ascii="Times New Roman" w:hAnsi="Times New Roman"/>
          <w:b/>
          <w:lang w:val="sk-SK"/>
        </w:rPr>
        <w:t>4.5</w:t>
      </w:r>
      <w:r>
        <w:rPr>
          <w:rFonts w:ascii="Times New Roman" w:hAnsi="Times New Roman"/>
          <w:b/>
          <w:lang w:val="sk-SK"/>
        </w:rPr>
        <w:tab/>
        <w:t>Liekové a iné interakcie</w:t>
      </w:r>
    </w:p>
    <w:p w14:paraId="5A4A7116" w14:textId="77777777" w:rsidR="00582954" w:rsidRDefault="00582954">
      <w:pPr>
        <w:pStyle w:val="Odsekzoznamu"/>
        <w:widowControl w:val="0"/>
        <w:spacing w:after="0" w:line="240" w:lineRule="auto"/>
        <w:ind w:left="0"/>
        <w:rPr>
          <w:rFonts w:ascii="Times New Roman" w:hAnsi="Times New Roman"/>
          <w:u w:val="single"/>
          <w:lang w:val="sk-SK"/>
        </w:rPr>
      </w:pPr>
    </w:p>
    <w:p w14:paraId="74E14DE1"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Lítium</w:t>
      </w:r>
    </w:p>
    <w:p w14:paraId="0275985E"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Pri súbežnom podávaní lítia s inhibítormi enzýmu konvertujúceho angiotenzín sa hlásili reverzibilné zvýšenia koncentrácií lítia v sére a toxicita. Zriedkavo boli hlásené prípady s blokátormi receptorov angiotenzínu II (vrátane telmisartanu/hydrochlórtiazidu). Súbežné podávanie lítia a telmisartanu/hydrochlórtiazidu sa neodporúča (pozri časť 4.4). Ak je táto kombinácia nevyhnutná, odporúča sa dôkladné sledovanie sérových hladín lítia počas súbežného používania.</w:t>
      </w:r>
    </w:p>
    <w:p w14:paraId="746309B7" w14:textId="77777777" w:rsidR="00582954" w:rsidRDefault="00582954">
      <w:pPr>
        <w:pStyle w:val="Odsekzoznamu"/>
        <w:widowControl w:val="0"/>
        <w:spacing w:after="0" w:line="240" w:lineRule="auto"/>
        <w:ind w:left="0"/>
        <w:rPr>
          <w:rFonts w:ascii="Times New Roman" w:hAnsi="Times New Roman"/>
          <w:lang w:val="sk-SK"/>
        </w:rPr>
      </w:pPr>
    </w:p>
    <w:p w14:paraId="16789AD6"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u w:val="single"/>
          <w:lang w:val="sk-SK"/>
        </w:rPr>
        <w:t>Lieky súvisiace s úbytkom draslíka a hypokaliémiou</w:t>
      </w:r>
      <w:r>
        <w:rPr>
          <w:rFonts w:ascii="Times New Roman" w:hAnsi="Times New Roman"/>
          <w:lang w:val="sk-SK"/>
        </w:rPr>
        <w:t xml:space="preserve"> (napr. iné kaliuretické diuretiká, laxatíva, kortikosteroidy, ACTH, amfotericín, karbenoxolón, sodná soľ benzylpenicilínu, kyselina salicylová a jej deriváty)</w:t>
      </w:r>
    </w:p>
    <w:p w14:paraId="2BD8B6C5"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Ak sú tieto liečivá predpísané s kombináciou hydrochlórtiazid/telmisartan, odporúča sa sledovať plazmatické hladiny draslíka. Tieto liečivá môžu zosilniť účinok hydrochlórtiazidu na sérový draslík (pozri časť 4.4).</w:t>
      </w:r>
    </w:p>
    <w:p w14:paraId="33E871CB" w14:textId="77777777" w:rsidR="00582954" w:rsidRDefault="00582954">
      <w:pPr>
        <w:pStyle w:val="Odsekzoznamu"/>
        <w:widowControl w:val="0"/>
        <w:spacing w:after="0" w:line="240" w:lineRule="auto"/>
        <w:ind w:left="0"/>
        <w:rPr>
          <w:rFonts w:ascii="Times New Roman" w:hAnsi="Times New Roman"/>
          <w:lang w:val="sk-SK"/>
        </w:rPr>
      </w:pPr>
    </w:p>
    <w:p w14:paraId="7762447F" w14:textId="77777777" w:rsidR="00582954" w:rsidRDefault="00645977">
      <w:pPr>
        <w:keepNext/>
        <w:spacing w:after="0" w:line="240" w:lineRule="auto"/>
        <w:rPr>
          <w:rFonts w:ascii="Times New Roman" w:hAnsi="Times New Roman"/>
          <w:snapToGrid w:val="0"/>
          <w:u w:val="single"/>
          <w:lang w:eastAsia="cs-CZ"/>
        </w:rPr>
      </w:pPr>
      <w:bookmarkStart w:id="11" w:name="_Hlk188454895"/>
      <w:r>
        <w:rPr>
          <w:rFonts w:ascii="Times New Roman" w:hAnsi="Times New Roman"/>
          <w:snapToGrid w:val="0"/>
          <w:u w:val="single"/>
          <w:lang w:eastAsia="cs-CZ"/>
        </w:rPr>
        <w:t>Jódové kontrastné látky</w:t>
      </w:r>
    </w:p>
    <w:p w14:paraId="0FEAAE7B" w14:textId="77777777" w:rsidR="00582954" w:rsidRDefault="00645977">
      <w:pPr>
        <w:pStyle w:val="Odsekzoznamu"/>
        <w:widowControl w:val="0"/>
        <w:spacing w:after="0" w:line="240" w:lineRule="auto"/>
        <w:ind w:left="0"/>
        <w:rPr>
          <w:rFonts w:ascii="Times New Roman" w:hAnsi="Times New Roman"/>
          <w:snapToGrid w:val="0"/>
          <w:lang w:eastAsia="cs-CZ"/>
        </w:rPr>
      </w:pPr>
      <w:r>
        <w:rPr>
          <w:rFonts w:ascii="Times New Roman" w:hAnsi="Times New Roman"/>
          <w:snapToGrid w:val="0"/>
          <w:lang w:eastAsia="cs-CZ"/>
        </w:rPr>
        <w:t>V prípade dehydratácie spôsobenej diuretikami existuje zvýšené riziko akútneho funkčného zlyhania obličiek, a to najmä počas používania vysokých dávok jódových kontrastných látok. Pred podaním jódovej kontrastnej látky sa vyžaduje rehydratácia.</w:t>
      </w:r>
    </w:p>
    <w:bookmarkEnd w:id="11"/>
    <w:p w14:paraId="39345F5A" w14:textId="77777777" w:rsidR="00582954" w:rsidRDefault="00582954">
      <w:pPr>
        <w:pStyle w:val="Odsekzoznamu"/>
        <w:widowControl w:val="0"/>
        <w:spacing w:after="0" w:line="240" w:lineRule="auto"/>
        <w:ind w:left="0"/>
        <w:rPr>
          <w:rFonts w:ascii="Times New Roman" w:hAnsi="Times New Roman"/>
          <w:snapToGrid w:val="0"/>
          <w:lang w:eastAsia="cs-CZ"/>
        </w:rPr>
      </w:pPr>
    </w:p>
    <w:p w14:paraId="293AE227"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u w:val="single"/>
          <w:lang w:val="sk-SK"/>
        </w:rPr>
        <w:t>Lieky, ktoré môžu zvýšiť hladiny draslíka alebo vyvolať hyperkaliémiu</w:t>
      </w:r>
      <w:r>
        <w:rPr>
          <w:rFonts w:ascii="Times New Roman" w:hAnsi="Times New Roman"/>
          <w:lang w:val="sk-SK"/>
        </w:rPr>
        <w:t xml:space="preserve"> (napr. ACE inhibítory, draslík šetriace diuretiká, náhrady draslíka, náhrady soli obsahujúce draslík, cyklosporín alebo iné liečivá ako sodná soľ heparínu)</w:t>
      </w:r>
    </w:p>
    <w:p w14:paraId="5302BF91"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Ak sú tieto liečivá predpísané s kombináciou hydrochlórtiazid/telmisartan, odporúča sa sledovať plazmatické hladiny draslíka. Na základe skúseností z použitia iných liekov, ktoré tlmia systém renín</w:t>
      </w:r>
      <w:r>
        <w:rPr>
          <w:rFonts w:ascii="Times New Roman" w:hAnsi="Times New Roman"/>
          <w:lang w:val="sk-SK"/>
        </w:rPr>
        <w:noBreakHyphen/>
        <w:t>angiotenzín, súbežné použitie vyššie uvedených liekov môže viesť k zvýšeniu sérového draslíka, a preto sa neodporúča (pozri časť 4.4).</w:t>
      </w:r>
    </w:p>
    <w:p w14:paraId="2B7C0FDE" w14:textId="77777777" w:rsidR="00582954" w:rsidRDefault="00582954">
      <w:pPr>
        <w:pStyle w:val="Odsekzoznamu"/>
        <w:widowControl w:val="0"/>
        <w:spacing w:after="0" w:line="240" w:lineRule="auto"/>
        <w:ind w:left="0"/>
        <w:rPr>
          <w:rFonts w:ascii="Times New Roman" w:hAnsi="Times New Roman"/>
          <w:lang w:val="sk-SK"/>
        </w:rPr>
      </w:pPr>
    </w:p>
    <w:p w14:paraId="51798A98"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Lieky ovplyvnené poruchami sérového draslíka</w:t>
      </w:r>
    </w:p>
    <w:p w14:paraId="3EC6C5FB"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 xml:space="preserve">Ak sa telmisartan/hydrochlórtiazid podáva s liekmi, ktorých účinok je ovplyvňovaný zmenami sérového draslíka (náprstníkové glykozidy, antiarytmiká) a liekmi vyvolávajúcimi </w:t>
      </w:r>
      <w:r>
        <w:rPr>
          <w:rFonts w:ascii="Times New Roman" w:hAnsi="Times New Roman"/>
          <w:i/>
          <w:lang w:val="sk-SK"/>
        </w:rPr>
        <w:t>torsade de pointes</w:t>
      </w:r>
      <w:r>
        <w:rPr>
          <w:rFonts w:ascii="Times New Roman" w:hAnsi="Times New Roman"/>
          <w:lang w:val="sk-SK"/>
        </w:rPr>
        <w:t xml:space="preserve"> (čo zahŕňa niektoré antiarytmiká), odporúča sa pravidelné sledovanie sérového draslíka a EKG, hypokaliémia je predisponujúcim faktorom </w:t>
      </w:r>
      <w:r>
        <w:rPr>
          <w:rFonts w:ascii="Times New Roman" w:hAnsi="Times New Roman"/>
          <w:i/>
          <w:lang w:val="sk-SK"/>
        </w:rPr>
        <w:t>torsade de pointes</w:t>
      </w:r>
      <w:r>
        <w:rPr>
          <w:rFonts w:ascii="Times New Roman" w:hAnsi="Times New Roman"/>
          <w:lang w:val="sk-SK"/>
        </w:rPr>
        <w:t>.</w:t>
      </w:r>
    </w:p>
    <w:p w14:paraId="6AA60313" w14:textId="77777777" w:rsidR="00582954" w:rsidRDefault="00645977">
      <w:pPr>
        <w:pStyle w:val="Odsekzoznamu"/>
        <w:widowControl w:val="0"/>
        <w:numPr>
          <w:ilvl w:val="0"/>
          <w:numId w:val="1"/>
        </w:numPr>
        <w:tabs>
          <w:tab w:val="left" w:pos="567"/>
        </w:tabs>
        <w:spacing w:after="0" w:line="240" w:lineRule="auto"/>
        <w:ind w:left="567" w:hanging="567"/>
        <w:rPr>
          <w:rFonts w:ascii="Times New Roman" w:hAnsi="Times New Roman"/>
          <w:lang w:val="sk-SK"/>
        </w:rPr>
      </w:pPr>
      <w:r>
        <w:rPr>
          <w:rFonts w:ascii="Times New Roman" w:hAnsi="Times New Roman"/>
          <w:lang w:val="sk-SK"/>
        </w:rPr>
        <w:t>antiarytmiká triedy Ia (napr. chinidín, hydrochinidín, dizopyramid),</w:t>
      </w:r>
    </w:p>
    <w:p w14:paraId="7DD0E862" w14:textId="77777777" w:rsidR="00582954" w:rsidRDefault="00645977">
      <w:pPr>
        <w:pStyle w:val="Odsekzoznamu"/>
        <w:widowControl w:val="0"/>
        <w:numPr>
          <w:ilvl w:val="0"/>
          <w:numId w:val="1"/>
        </w:numPr>
        <w:tabs>
          <w:tab w:val="left" w:pos="567"/>
        </w:tabs>
        <w:spacing w:after="0" w:line="240" w:lineRule="auto"/>
        <w:ind w:left="567" w:hanging="567"/>
        <w:rPr>
          <w:rFonts w:ascii="Times New Roman" w:hAnsi="Times New Roman"/>
          <w:lang w:val="sk-SK"/>
        </w:rPr>
      </w:pPr>
      <w:r>
        <w:rPr>
          <w:rFonts w:ascii="Times New Roman" w:hAnsi="Times New Roman"/>
          <w:lang w:val="sk-SK"/>
        </w:rPr>
        <w:t>antiarytmiká triedy III (napr. amiodarón, sotalol, dofetilid, ibutilid),</w:t>
      </w:r>
    </w:p>
    <w:p w14:paraId="526FFACD" w14:textId="77777777" w:rsidR="00582954" w:rsidRDefault="00645977">
      <w:pPr>
        <w:pStyle w:val="Odsekzoznamu"/>
        <w:widowControl w:val="0"/>
        <w:numPr>
          <w:ilvl w:val="0"/>
          <w:numId w:val="1"/>
        </w:numPr>
        <w:tabs>
          <w:tab w:val="left" w:pos="567"/>
        </w:tabs>
        <w:spacing w:after="0" w:line="240" w:lineRule="auto"/>
        <w:ind w:left="567" w:hanging="567"/>
        <w:rPr>
          <w:rFonts w:ascii="Times New Roman" w:hAnsi="Times New Roman"/>
          <w:lang w:val="sk-SK"/>
        </w:rPr>
      </w:pPr>
      <w:r>
        <w:rPr>
          <w:rFonts w:ascii="Times New Roman" w:hAnsi="Times New Roman"/>
          <w:lang w:val="sk-SK"/>
        </w:rPr>
        <w:t>niektoré antipsychotiká (napr. tioridazín, chlórpromazín, levomepromazín, trifluoperazín, cyamemazín, sulpirid, sultoprid, amisulpirid, tiaprid, pimozid, haloperidol, droperidol),</w:t>
      </w:r>
    </w:p>
    <w:p w14:paraId="2CF56669" w14:textId="77777777" w:rsidR="00582954" w:rsidRDefault="00645977">
      <w:pPr>
        <w:pStyle w:val="Odsekzoznamu"/>
        <w:widowControl w:val="0"/>
        <w:numPr>
          <w:ilvl w:val="0"/>
          <w:numId w:val="1"/>
        </w:numPr>
        <w:tabs>
          <w:tab w:val="left" w:pos="567"/>
        </w:tabs>
        <w:spacing w:after="0" w:line="240" w:lineRule="auto"/>
        <w:ind w:left="567" w:hanging="567"/>
        <w:rPr>
          <w:rFonts w:ascii="Times New Roman" w:hAnsi="Times New Roman"/>
          <w:lang w:val="sk-SK"/>
        </w:rPr>
      </w:pPr>
      <w:r>
        <w:rPr>
          <w:rFonts w:ascii="Times New Roman" w:hAnsi="Times New Roman"/>
          <w:lang w:val="sk-SK"/>
        </w:rPr>
        <w:t>iné: (napr. bepridil, cisaprid, difemanil, erytromycín i.v., halofantrín, mizolastín, pentamidín, sparfloxacín, terfenadín, vinkamín i.v.).</w:t>
      </w:r>
    </w:p>
    <w:p w14:paraId="5D669F1D" w14:textId="77777777" w:rsidR="00582954" w:rsidRDefault="00582954">
      <w:pPr>
        <w:pStyle w:val="Odsekzoznamu"/>
        <w:widowControl w:val="0"/>
        <w:spacing w:after="0" w:line="240" w:lineRule="auto"/>
        <w:ind w:left="0"/>
        <w:rPr>
          <w:rFonts w:ascii="Times New Roman" w:hAnsi="Times New Roman"/>
          <w:lang w:val="sk-SK"/>
        </w:rPr>
      </w:pPr>
    </w:p>
    <w:p w14:paraId="44F2F4A0"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Náprstníkové glykozidy</w:t>
      </w:r>
    </w:p>
    <w:p w14:paraId="379F76D7"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 xml:space="preserve">Tiazidmi vyvolaná hypokaliémia alebo hypomagneziémia podporuje nástup arytmie indukovanej </w:t>
      </w:r>
      <w:r>
        <w:rPr>
          <w:rFonts w:ascii="Times New Roman" w:hAnsi="Times New Roman"/>
          <w:lang w:val="sk-SK"/>
        </w:rPr>
        <w:lastRenderedPageBreak/>
        <w:t>náprstníkovými glykozidmi (pozri časť 4.4).</w:t>
      </w:r>
    </w:p>
    <w:p w14:paraId="7B9EF257" w14:textId="77777777" w:rsidR="00582954" w:rsidRDefault="00582954">
      <w:pPr>
        <w:pStyle w:val="Odsekzoznamu"/>
        <w:widowControl w:val="0"/>
        <w:spacing w:after="0" w:line="240" w:lineRule="auto"/>
        <w:ind w:left="0"/>
        <w:contextualSpacing w:val="0"/>
        <w:rPr>
          <w:rFonts w:ascii="Times New Roman" w:hAnsi="Times New Roman"/>
          <w:lang w:val="sk-SK"/>
        </w:rPr>
      </w:pPr>
    </w:p>
    <w:p w14:paraId="1BC3E473" w14:textId="77777777" w:rsidR="00582954" w:rsidRDefault="00645977">
      <w:pPr>
        <w:widowControl w:val="0"/>
        <w:spacing w:after="0" w:line="240" w:lineRule="auto"/>
        <w:rPr>
          <w:rFonts w:ascii="Times New Roman" w:hAnsi="Times New Roman"/>
          <w:u w:val="single"/>
          <w:lang w:val="sk-SK"/>
        </w:rPr>
      </w:pPr>
      <w:r>
        <w:rPr>
          <w:rFonts w:ascii="Times New Roman" w:hAnsi="Times New Roman"/>
          <w:u w:val="single"/>
          <w:lang w:val="sk-SK"/>
        </w:rPr>
        <w:t>Digoxín</w:t>
      </w:r>
    </w:p>
    <w:p w14:paraId="451FD888"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Ak sa telmisartan súbežne podával s digoxínom, pozorovali sa zvýšenia mediánu maximálnej plazmatickej koncentrácie (49 %) a minimálnej koncentrácie (20 %) digoxínu. Pri začatí, úprave a prerušení liečby telmisartanom monitorujte hladiny digoxínu, aby sa udržali hladiny v terapeutickom rozsahu.</w:t>
      </w:r>
    </w:p>
    <w:p w14:paraId="71C2C18E" w14:textId="77777777" w:rsidR="00582954" w:rsidRDefault="00582954">
      <w:pPr>
        <w:pStyle w:val="Odsekzoznamu"/>
        <w:widowControl w:val="0"/>
        <w:spacing w:after="0" w:line="240" w:lineRule="auto"/>
        <w:ind w:left="0"/>
        <w:rPr>
          <w:rFonts w:ascii="Times New Roman" w:hAnsi="Times New Roman"/>
          <w:lang w:val="sk-SK"/>
        </w:rPr>
      </w:pPr>
    </w:p>
    <w:p w14:paraId="578850DB"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Iné antihypertenzíva</w:t>
      </w:r>
    </w:p>
    <w:p w14:paraId="2392CD88"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Telmisartan môže zvýšiť hypotenzný účinok iných antihypertenzív.</w:t>
      </w:r>
    </w:p>
    <w:p w14:paraId="51E3AA6E" w14:textId="77777777" w:rsidR="00582954" w:rsidRDefault="00582954">
      <w:pPr>
        <w:pStyle w:val="Odsekzoznamu"/>
        <w:widowControl w:val="0"/>
        <w:spacing w:after="0" w:line="240" w:lineRule="auto"/>
        <w:ind w:left="0"/>
        <w:rPr>
          <w:rFonts w:ascii="Times New Roman" w:hAnsi="Times New Roman"/>
          <w:lang w:val="sk-SK"/>
        </w:rPr>
      </w:pPr>
    </w:p>
    <w:p w14:paraId="260E1781" w14:textId="77777777" w:rsidR="00582954" w:rsidRDefault="00645977">
      <w:pPr>
        <w:pStyle w:val="Odsekzoznamu"/>
        <w:widowControl w:val="0"/>
        <w:spacing w:after="0" w:line="240" w:lineRule="auto"/>
        <w:ind w:left="0"/>
        <w:rPr>
          <w:rFonts w:ascii="Times New Roman" w:hAnsi="Times New Roman"/>
          <w:lang w:val="sk-SK" w:eastAsia="de-DE"/>
        </w:rPr>
      </w:pPr>
      <w:r>
        <w:rPr>
          <w:rFonts w:ascii="Times New Roman" w:hAnsi="Times New Roman"/>
          <w:lang w:val="sk-SK" w:eastAsia="it-IT"/>
        </w:rPr>
        <w:t>Údaje z klinických skúšaní ukázali, že duálna inhibícia systému renín-angiotenzín-aldosterón (RAAS) kombinovaným použitím inhibítorov ACE, blokátorov receptorov angiotenzínu II</w:t>
      </w:r>
      <w:r>
        <w:rPr>
          <w:rFonts w:ascii="Times New Roman" w:hAnsi="Times New Roman"/>
          <w:bCs/>
          <w:lang w:val="sk-SK"/>
        </w:rPr>
        <w:t xml:space="preserve"> </w:t>
      </w:r>
      <w:r>
        <w:rPr>
          <w:rFonts w:ascii="Times New Roman" w:hAnsi="Times New Roman"/>
          <w:lang w:val="sk-SK" w:eastAsia="it-IT"/>
        </w:rPr>
        <w:t xml:space="preserve">alebo aliskirénu sa spája s vyššou frekvenciou nežiaducich udalostí, ako sú hypotenzia, hyperkaliémia a znížená funkcia obličiek </w:t>
      </w:r>
      <w:r>
        <w:rPr>
          <w:rFonts w:ascii="Times New Roman" w:hAnsi="Times New Roman"/>
          <w:lang w:val="sk-SK" w:eastAsia="de-DE"/>
        </w:rPr>
        <w:t>(vrátane akútneho zlyhania obličiek), v porovnaní s použitím látky ovplyvňujúcej RAAS v monoterapii (pozri časti 4.3, 4.4 a 5.1).</w:t>
      </w:r>
    </w:p>
    <w:p w14:paraId="05A865AA" w14:textId="77777777" w:rsidR="00582954" w:rsidRDefault="00582954">
      <w:pPr>
        <w:pStyle w:val="Odsekzoznamu"/>
        <w:widowControl w:val="0"/>
        <w:spacing w:after="0" w:line="240" w:lineRule="auto"/>
        <w:ind w:left="0"/>
        <w:rPr>
          <w:rFonts w:ascii="Times New Roman" w:hAnsi="Times New Roman"/>
          <w:lang w:val="sk-SK"/>
        </w:rPr>
      </w:pPr>
    </w:p>
    <w:p w14:paraId="2850EE45"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Antidiabetiká (perorálne lieky a inzulín)</w:t>
      </w:r>
    </w:p>
    <w:p w14:paraId="43D199CB"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Môže byť potrebná úprava dávok antidiabetika (pozri časť 4.4).</w:t>
      </w:r>
    </w:p>
    <w:p w14:paraId="5B05DA95" w14:textId="77777777" w:rsidR="00582954" w:rsidRDefault="00582954">
      <w:pPr>
        <w:pStyle w:val="Odsekzoznamu"/>
        <w:widowControl w:val="0"/>
        <w:spacing w:after="0" w:line="240" w:lineRule="auto"/>
        <w:ind w:left="0"/>
        <w:rPr>
          <w:rFonts w:ascii="Times New Roman" w:hAnsi="Times New Roman"/>
          <w:lang w:val="sk-SK"/>
        </w:rPr>
      </w:pPr>
    </w:p>
    <w:p w14:paraId="0A9F7E2B"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Metformín</w:t>
      </w:r>
    </w:p>
    <w:p w14:paraId="23B7EAA6"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Metformín sa má používať s opatrnosťou: riziko laktátovej acidózy vyvolané možným funkčným zlyhaním obličiek má súvislosť s hydrochlórtiazidom.</w:t>
      </w:r>
    </w:p>
    <w:p w14:paraId="61B1B087" w14:textId="77777777" w:rsidR="00582954" w:rsidRDefault="00582954">
      <w:pPr>
        <w:pStyle w:val="Odsekzoznamu"/>
        <w:widowControl w:val="0"/>
        <w:spacing w:after="0" w:line="240" w:lineRule="auto"/>
        <w:ind w:left="0"/>
        <w:rPr>
          <w:rFonts w:ascii="Times New Roman" w:hAnsi="Times New Roman"/>
          <w:lang w:val="sk-SK"/>
        </w:rPr>
      </w:pPr>
    </w:p>
    <w:p w14:paraId="78CE1D28"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Cholestyramín a cholestipolové živice</w:t>
      </w:r>
    </w:p>
    <w:p w14:paraId="164179E0"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Absorpcia hydrochlórtiazidu je narušená prítomnosťou živíc na báze aniónových iónomeničov.</w:t>
      </w:r>
    </w:p>
    <w:p w14:paraId="68ED410B" w14:textId="77777777" w:rsidR="00582954" w:rsidRDefault="00582954">
      <w:pPr>
        <w:pStyle w:val="Odsekzoznamu"/>
        <w:widowControl w:val="0"/>
        <w:spacing w:after="0" w:line="240" w:lineRule="auto"/>
        <w:ind w:left="0"/>
        <w:rPr>
          <w:rFonts w:ascii="Times New Roman" w:hAnsi="Times New Roman"/>
          <w:lang w:val="sk-SK"/>
        </w:rPr>
      </w:pPr>
    </w:p>
    <w:p w14:paraId="70E52573"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Nesteroidové protizápalové lieky</w:t>
      </w:r>
    </w:p>
    <w:p w14:paraId="21DAA08B"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NSAID (t.j. acetylsalicylová kyselina v protizápalových dávkových režimoch, COX-2 inhibítory a neselektívne NSAID) môžu znížiť diuretické, natriuretické a antihypertenzné účinky tiazidových diuretík a antihypertenzné účinky blokátorov receptorov angiotenzínu II.</w:t>
      </w:r>
    </w:p>
    <w:p w14:paraId="5B4DC066"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U niektorých pacientov so zníženou funkciou obličiek (napr. dehydratovaní pacienti alebo starší pacienti so zníženou funkciou obličiek) súbežné podávanie blokátorov receptorov angiotenzínu II a liečiv inhibujúcich cyklooxygenázu môže viesť k ďalšiemu zhoršeniu funkcie obličiek, vrátane možného akútneho zlyhania obličiek, ktoré je zvyčajne reverzibilné. A preto sa táto kombinácia má podávať veľmi opatrne obzvlášť u starších ľudí. Pacienti majú byť dostatočne hydratovaní, má sa zvážiť monitorovanie obličkových funkcií po začatí súbežnej liečby a pravidelne počas nej.</w:t>
      </w:r>
    </w:p>
    <w:p w14:paraId="50DAE2F8" w14:textId="77777777" w:rsidR="00582954" w:rsidRDefault="00582954">
      <w:pPr>
        <w:pStyle w:val="Odsekzoznamu"/>
        <w:widowControl w:val="0"/>
        <w:spacing w:after="0" w:line="240" w:lineRule="auto"/>
        <w:ind w:left="0"/>
        <w:rPr>
          <w:rFonts w:ascii="Times New Roman" w:hAnsi="Times New Roman"/>
          <w:lang w:val="sk-SK"/>
        </w:rPr>
      </w:pPr>
    </w:p>
    <w:p w14:paraId="78421CBB"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V jednej štúdii viedlo súbežné podávanie telmisartanu a ramiprilu k 2,5-násobnému zvýšeniu AUC</w:t>
      </w:r>
      <w:r>
        <w:rPr>
          <w:rFonts w:ascii="Times New Roman" w:hAnsi="Times New Roman"/>
          <w:vertAlign w:val="subscript"/>
          <w:lang w:val="sk-SK"/>
        </w:rPr>
        <w:t>0-24</w:t>
      </w:r>
      <w:r>
        <w:rPr>
          <w:rFonts w:ascii="Times New Roman" w:hAnsi="Times New Roman"/>
          <w:lang w:val="sk-SK"/>
        </w:rPr>
        <w:t xml:space="preserve"> a C</w:t>
      </w:r>
      <w:r>
        <w:rPr>
          <w:rFonts w:ascii="Times New Roman" w:hAnsi="Times New Roman"/>
          <w:vertAlign w:val="subscript"/>
          <w:lang w:val="sk-SK"/>
        </w:rPr>
        <w:t>max</w:t>
      </w:r>
      <w:r>
        <w:rPr>
          <w:rFonts w:ascii="Times New Roman" w:hAnsi="Times New Roman"/>
          <w:lang w:val="sk-SK"/>
        </w:rPr>
        <w:t xml:space="preserve"> ramiprilu a ramiprilátu. Klinický význam tohto pozorovania nie je známy.</w:t>
      </w:r>
    </w:p>
    <w:p w14:paraId="1B552D91" w14:textId="77777777" w:rsidR="00582954" w:rsidRDefault="00582954">
      <w:pPr>
        <w:pStyle w:val="Odsekzoznamu"/>
        <w:widowControl w:val="0"/>
        <w:spacing w:after="0" w:line="240" w:lineRule="auto"/>
        <w:ind w:left="0"/>
        <w:rPr>
          <w:rFonts w:ascii="Times New Roman" w:hAnsi="Times New Roman"/>
          <w:lang w:val="sk-SK"/>
        </w:rPr>
      </w:pPr>
    </w:p>
    <w:p w14:paraId="2DC1E26D"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Presorické amíny (napr. noradrenalín)</w:t>
      </w:r>
    </w:p>
    <w:p w14:paraId="021845C5"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Účinok presorických amínov môže byť znížený.</w:t>
      </w:r>
    </w:p>
    <w:p w14:paraId="783945B1" w14:textId="77777777" w:rsidR="00582954" w:rsidRDefault="00582954">
      <w:pPr>
        <w:pStyle w:val="Odsekzoznamu"/>
        <w:widowControl w:val="0"/>
        <w:spacing w:after="0" w:line="240" w:lineRule="auto"/>
        <w:ind w:left="0"/>
        <w:rPr>
          <w:rFonts w:ascii="Times New Roman" w:hAnsi="Times New Roman"/>
          <w:lang w:val="sk-SK"/>
        </w:rPr>
      </w:pPr>
    </w:p>
    <w:p w14:paraId="4833A12C"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Nedepolarizujúce relaxanciá kostrového svalstva (napr. tubokurarín)</w:t>
      </w:r>
    </w:p>
    <w:p w14:paraId="7FBAE7ED"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Účinok nedepolarizujúcich relaxancií kostrového svalstva môže byť hydrochlórtiazidom zosilnený.</w:t>
      </w:r>
    </w:p>
    <w:p w14:paraId="40607239" w14:textId="77777777" w:rsidR="00582954" w:rsidRDefault="00582954">
      <w:pPr>
        <w:pStyle w:val="Odsekzoznamu"/>
        <w:widowControl w:val="0"/>
        <w:spacing w:after="0" w:line="240" w:lineRule="auto"/>
        <w:ind w:left="0"/>
        <w:rPr>
          <w:rFonts w:ascii="Times New Roman" w:hAnsi="Times New Roman"/>
          <w:lang w:val="sk-SK"/>
        </w:rPr>
      </w:pPr>
    </w:p>
    <w:p w14:paraId="4F0AC9C0"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Lieky používané pri liečbe dny (napr. probenecid, sulfínpyrazón, alopurinol)</w:t>
      </w:r>
    </w:p>
    <w:p w14:paraId="6BEAAACE"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Môže byť potrebná úprava dávkovania urikozurík, pretože hydrochlórtiazid môže zvyšovať hladinu kyseliny močovej v sére. Môže byť potrebné zvýšenie dávky probenecidu alebo sulfínpyrazónu. Súbežné podávanie tiazidu môže zvýšiť výskyt reakcií z precitlivenosti na alopurinol.</w:t>
      </w:r>
    </w:p>
    <w:p w14:paraId="24A79BCC" w14:textId="77777777" w:rsidR="00582954" w:rsidRDefault="00582954">
      <w:pPr>
        <w:pStyle w:val="Odsekzoznamu"/>
        <w:widowControl w:val="0"/>
        <w:spacing w:after="0" w:line="240" w:lineRule="auto"/>
        <w:ind w:left="0"/>
        <w:rPr>
          <w:rFonts w:ascii="Times New Roman" w:hAnsi="Times New Roman"/>
          <w:lang w:val="sk-SK"/>
        </w:rPr>
      </w:pPr>
    </w:p>
    <w:p w14:paraId="4D10976F"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Soli vápnika</w:t>
      </w:r>
    </w:p>
    <w:p w14:paraId="108E4B41"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 xml:space="preserve">Tiazidové diuretiká môžu zvýšiť hladinu sérového vápnika z dôvodu zníženého vylučovania. Ak sa musia </w:t>
      </w:r>
      <w:r>
        <w:rPr>
          <w:rFonts w:ascii="Times New Roman" w:hAnsi="Times New Roman"/>
          <w:lang w:val="sk-SK"/>
        </w:rPr>
        <w:lastRenderedPageBreak/>
        <w:t>predpísať náhrady vápnika alebo lieky šetriace vápnik (napr. liečba vitamínom D), musia sa sledovať hladiny sérového vápnika a podľa toho upraviť dávku vápnika.</w:t>
      </w:r>
    </w:p>
    <w:p w14:paraId="3DE9AC7E" w14:textId="77777777" w:rsidR="00582954" w:rsidRDefault="00582954">
      <w:pPr>
        <w:pStyle w:val="Odsekzoznamu"/>
        <w:widowControl w:val="0"/>
        <w:spacing w:after="0" w:line="240" w:lineRule="auto"/>
        <w:ind w:left="0"/>
        <w:rPr>
          <w:rFonts w:ascii="Times New Roman" w:hAnsi="Times New Roman"/>
          <w:lang w:val="sk-SK"/>
        </w:rPr>
      </w:pPr>
    </w:p>
    <w:p w14:paraId="488B3A3C"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Betablokátory a diazoxid</w:t>
      </w:r>
    </w:p>
    <w:p w14:paraId="2045EF2F"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Hyperglykemizujúci účinok betablokátorov a diazoxidu môže byť tiazidmi zosilnený.</w:t>
      </w:r>
    </w:p>
    <w:p w14:paraId="35F59A51" w14:textId="77777777" w:rsidR="00582954" w:rsidRDefault="00582954">
      <w:pPr>
        <w:pStyle w:val="Odsekzoznamu"/>
        <w:widowControl w:val="0"/>
        <w:spacing w:after="0" w:line="240" w:lineRule="auto"/>
        <w:ind w:left="0"/>
        <w:rPr>
          <w:rFonts w:ascii="Times New Roman" w:hAnsi="Times New Roman"/>
          <w:lang w:val="sk-SK"/>
        </w:rPr>
      </w:pPr>
    </w:p>
    <w:p w14:paraId="2A2DF0C4"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u w:val="single"/>
          <w:lang w:val="sk-SK"/>
        </w:rPr>
        <w:t>Anticholínergné látky</w:t>
      </w:r>
      <w:r>
        <w:rPr>
          <w:rFonts w:ascii="Times New Roman" w:hAnsi="Times New Roman"/>
          <w:lang w:val="sk-SK"/>
        </w:rPr>
        <w:t xml:space="preserve"> (napr. atropín, biperidén) môžu zvýšiť biologickú dostupnosť diuretík tiazidového typu znížením gastrointestinálnej motility a rýchlosti vyprázdnenia žalúdka.</w:t>
      </w:r>
    </w:p>
    <w:p w14:paraId="3F7A52CA" w14:textId="77777777" w:rsidR="00582954" w:rsidRDefault="00582954">
      <w:pPr>
        <w:pStyle w:val="Odsekzoznamu"/>
        <w:widowControl w:val="0"/>
        <w:spacing w:after="0" w:line="240" w:lineRule="auto"/>
        <w:ind w:left="0"/>
        <w:rPr>
          <w:rFonts w:ascii="Times New Roman" w:hAnsi="Times New Roman"/>
          <w:lang w:val="sk-SK"/>
        </w:rPr>
      </w:pPr>
    </w:p>
    <w:p w14:paraId="52C6E314"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Amantadín</w:t>
      </w:r>
    </w:p>
    <w:p w14:paraId="33024BFC"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 xml:space="preserve">Tiazidy môžu zvýšiť riziko nežiaducich </w:t>
      </w:r>
      <w:bookmarkStart w:id="12" w:name="_Hlk188455310"/>
      <w:r>
        <w:rPr>
          <w:rFonts w:ascii="Times New Roman" w:hAnsi="Times New Roman"/>
          <w:lang w:val="sk-SK"/>
        </w:rPr>
        <w:t>účinkov</w:t>
      </w:r>
      <w:bookmarkEnd w:id="12"/>
      <w:r>
        <w:rPr>
          <w:rFonts w:ascii="Times New Roman" w:hAnsi="Times New Roman"/>
          <w:lang w:val="sk-SK"/>
        </w:rPr>
        <w:t xml:space="preserve"> zapríčinených amantadínom.</w:t>
      </w:r>
    </w:p>
    <w:p w14:paraId="7A29D497" w14:textId="77777777" w:rsidR="00582954" w:rsidRDefault="00582954">
      <w:pPr>
        <w:pStyle w:val="Odsekzoznamu"/>
        <w:widowControl w:val="0"/>
        <w:spacing w:after="0" w:line="240" w:lineRule="auto"/>
        <w:ind w:left="0"/>
        <w:rPr>
          <w:rFonts w:ascii="Times New Roman" w:hAnsi="Times New Roman"/>
          <w:lang w:val="sk-SK"/>
        </w:rPr>
      </w:pPr>
    </w:p>
    <w:p w14:paraId="31CDA116"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u w:val="single"/>
          <w:lang w:val="sk-SK"/>
        </w:rPr>
        <w:t>Cytotoxické látky</w:t>
      </w:r>
      <w:r>
        <w:rPr>
          <w:rFonts w:ascii="Times New Roman" w:hAnsi="Times New Roman"/>
          <w:lang w:val="sk-SK"/>
        </w:rPr>
        <w:t xml:space="preserve"> (napr. cyklofosfamid, metotrexát)</w:t>
      </w:r>
    </w:p>
    <w:p w14:paraId="38A9A920"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Tiazidy môžu znížiť renálne vylučovanie cytotoxických liekov a potenciovať ich myelosupresívne účinky.</w:t>
      </w:r>
    </w:p>
    <w:p w14:paraId="5FCA0C30" w14:textId="77777777" w:rsidR="00582954" w:rsidRDefault="00582954">
      <w:pPr>
        <w:pStyle w:val="Odsekzoznamu"/>
        <w:widowControl w:val="0"/>
        <w:spacing w:after="0" w:line="240" w:lineRule="auto"/>
        <w:ind w:left="0"/>
        <w:rPr>
          <w:rFonts w:ascii="Times New Roman" w:hAnsi="Times New Roman"/>
          <w:lang w:val="sk-SK"/>
        </w:rPr>
      </w:pPr>
    </w:p>
    <w:p w14:paraId="654265ED" w14:textId="77777777" w:rsidR="00582954" w:rsidRDefault="00645977">
      <w:pPr>
        <w:pStyle w:val="Odsekzoznamu"/>
        <w:widowControl w:val="0"/>
        <w:spacing w:after="0" w:line="240" w:lineRule="auto"/>
        <w:ind w:left="0" w:right="-94"/>
        <w:rPr>
          <w:rFonts w:ascii="Times New Roman" w:hAnsi="Times New Roman"/>
          <w:lang w:val="sk-SK"/>
        </w:rPr>
      </w:pPr>
      <w:r>
        <w:rPr>
          <w:rFonts w:ascii="Times New Roman" w:hAnsi="Times New Roman"/>
          <w:lang w:val="sk-SK"/>
        </w:rPr>
        <w:t>Na základe ich farmakologických vlastností sa dá očakávať, že nasledovné lieky môžu zosilniť hypotenzné účinky všetkých antihypertenzív vrátane telmisartanu: baklofén, amiostín.</w:t>
      </w:r>
    </w:p>
    <w:p w14:paraId="3F4D22CB" w14:textId="77777777" w:rsidR="00582954" w:rsidRDefault="00645977">
      <w:pPr>
        <w:pStyle w:val="Odsekzoznamu"/>
        <w:widowControl w:val="0"/>
        <w:spacing w:after="0" w:line="240" w:lineRule="auto"/>
        <w:ind w:left="0" w:right="-235"/>
        <w:rPr>
          <w:rFonts w:ascii="Times New Roman" w:hAnsi="Times New Roman"/>
          <w:lang w:val="sk-SK"/>
        </w:rPr>
      </w:pPr>
      <w:r>
        <w:rPr>
          <w:rFonts w:ascii="Times New Roman" w:hAnsi="Times New Roman"/>
          <w:lang w:val="sk-SK"/>
        </w:rPr>
        <w:t>Navyše, ortostatická hypotenzia môže byť zhoršená alkoholom, barbiturátmi narkotikami alebo antidepresívami.</w:t>
      </w:r>
    </w:p>
    <w:p w14:paraId="0D3C9C97" w14:textId="77777777" w:rsidR="00582954" w:rsidRDefault="00582954">
      <w:pPr>
        <w:pStyle w:val="Odsekzoznamu"/>
        <w:widowControl w:val="0"/>
        <w:spacing w:after="0" w:line="240" w:lineRule="auto"/>
        <w:ind w:left="0"/>
        <w:rPr>
          <w:rFonts w:ascii="Times New Roman" w:hAnsi="Times New Roman"/>
          <w:lang w:val="sk-SK"/>
        </w:rPr>
      </w:pPr>
    </w:p>
    <w:p w14:paraId="69501456" w14:textId="77777777" w:rsidR="00582954" w:rsidRDefault="00645977">
      <w:pPr>
        <w:pStyle w:val="Odsekzoznamu"/>
        <w:widowControl w:val="0"/>
        <w:tabs>
          <w:tab w:val="left" w:pos="567"/>
        </w:tabs>
        <w:spacing w:after="0" w:line="240" w:lineRule="auto"/>
        <w:ind w:left="0"/>
        <w:rPr>
          <w:rFonts w:ascii="Times New Roman" w:hAnsi="Times New Roman"/>
          <w:b/>
          <w:lang w:val="sk-SK"/>
        </w:rPr>
      </w:pPr>
      <w:r>
        <w:rPr>
          <w:rFonts w:ascii="Times New Roman" w:hAnsi="Times New Roman"/>
          <w:b/>
          <w:lang w:val="sk-SK"/>
        </w:rPr>
        <w:t>4.6</w:t>
      </w:r>
      <w:r>
        <w:rPr>
          <w:rFonts w:ascii="Times New Roman" w:hAnsi="Times New Roman"/>
          <w:b/>
          <w:lang w:val="sk-SK"/>
        </w:rPr>
        <w:tab/>
        <w:t>Fertilita, gravidita a laktácia</w:t>
      </w:r>
    </w:p>
    <w:p w14:paraId="40290C05" w14:textId="77777777" w:rsidR="00582954" w:rsidRDefault="00582954">
      <w:pPr>
        <w:pStyle w:val="Odsekzoznamu"/>
        <w:widowControl w:val="0"/>
        <w:spacing w:after="0" w:line="240" w:lineRule="auto"/>
        <w:ind w:left="0"/>
        <w:rPr>
          <w:rFonts w:ascii="Times New Roman" w:hAnsi="Times New Roman"/>
          <w:b/>
          <w:lang w:val="sk-SK"/>
        </w:rPr>
      </w:pPr>
    </w:p>
    <w:p w14:paraId="01BF016C"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Gravidita</w:t>
      </w:r>
    </w:p>
    <w:p w14:paraId="17A64B67" w14:textId="77777777" w:rsidR="00582954" w:rsidRDefault="00582954">
      <w:pPr>
        <w:pStyle w:val="Odsekzoznamu"/>
        <w:widowControl w:val="0"/>
        <w:spacing w:after="0" w:line="240" w:lineRule="auto"/>
        <w:ind w:left="0"/>
        <w:rPr>
          <w:rFonts w:ascii="Times New Roman" w:hAnsi="Times New Roman"/>
          <w:u w:val="single"/>
          <w:lang w:val="sk-SK"/>
        </w:rPr>
      </w:pPr>
    </w:p>
    <w:p w14:paraId="61A7669D" w14:textId="77777777" w:rsidR="00582954" w:rsidRDefault="00645977">
      <w:pPr>
        <w:pStyle w:val="Odsekzoznamu"/>
        <w:widowControl w:val="0"/>
        <w:pBdr>
          <w:top w:val="single" w:sz="4" w:space="1" w:color="auto"/>
          <w:left w:val="single" w:sz="4" w:space="4" w:color="auto"/>
          <w:bottom w:val="single" w:sz="4" w:space="1" w:color="auto"/>
          <w:right w:val="single" w:sz="4" w:space="4" w:color="auto"/>
        </w:pBdr>
        <w:spacing w:after="0" w:line="240" w:lineRule="auto"/>
        <w:ind w:left="0" w:right="-802"/>
        <w:rPr>
          <w:rFonts w:ascii="Times New Roman" w:hAnsi="Times New Roman"/>
          <w:lang w:val="sk-SK"/>
        </w:rPr>
      </w:pPr>
      <w:r>
        <w:rPr>
          <w:rFonts w:ascii="Times New Roman" w:hAnsi="Times New Roman"/>
          <w:lang w:val="sk-SK"/>
        </w:rPr>
        <w:t>Použitie blokátorov receptorov angiotenzínu II sa neodporúča počas prvého trimestra gravidity (pozri časť 4.4). Použitie blokátorov receptorov angiotenzínu II je kontraindikované počas druhého a tretieho trimestra gravidity (pozri časti 4.3 a 4.4).</w:t>
      </w:r>
    </w:p>
    <w:p w14:paraId="6E188EB7" w14:textId="77777777" w:rsidR="00582954" w:rsidRDefault="00582954">
      <w:pPr>
        <w:pStyle w:val="Odsekzoznamu"/>
        <w:widowControl w:val="0"/>
        <w:spacing w:after="0" w:line="240" w:lineRule="auto"/>
        <w:ind w:left="0"/>
        <w:rPr>
          <w:rFonts w:ascii="Times New Roman" w:hAnsi="Times New Roman"/>
          <w:u w:val="single"/>
          <w:lang w:val="sk-SK"/>
        </w:rPr>
      </w:pPr>
    </w:p>
    <w:p w14:paraId="3F280215" w14:textId="77777777" w:rsidR="00582954" w:rsidRDefault="00645977">
      <w:pPr>
        <w:pStyle w:val="Odsekzoznamu"/>
        <w:keepNext/>
        <w:widowControl w:val="0"/>
        <w:spacing w:after="0" w:line="240" w:lineRule="auto"/>
        <w:ind w:left="0"/>
        <w:rPr>
          <w:rFonts w:ascii="Times New Roman" w:hAnsi="Times New Roman"/>
          <w:lang w:val="sk-SK"/>
        </w:rPr>
      </w:pPr>
      <w:r>
        <w:rPr>
          <w:rFonts w:ascii="Times New Roman" w:hAnsi="Times New Roman"/>
          <w:lang w:val="sk-SK"/>
        </w:rPr>
        <w:t xml:space="preserve">Nie sú k dispozícii dostatočné údaje o použití </w:t>
      </w:r>
      <w:bookmarkStart w:id="13" w:name="_Hlk45109166"/>
      <w:r>
        <w:rPr>
          <w:rFonts w:ascii="Times New Roman" w:hAnsi="Times New Roman"/>
          <w:snapToGrid w:val="0"/>
          <w:lang w:eastAsia="cs-CZ"/>
        </w:rPr>
        <w:t>telmisartanu/</w:t>
      </w:r>
      <w:bookmarkEnd w:id="13"/>
      <w:r>
        <w:rPr>
          <w:rFonts w:ascii="Times New Roman" w:hAnsi="Times New Roman"/>
          <w:lang w:val="sk-SK"/>
        </w:rPr>
        <w:t>hydrochlórtiazidu u gravidných žien. Štúdie na zvieratách preukázali reprodukčnú toxicitu (pozri časť 5.3).</w:t>
      </w:r>
    </w:p>
    <w:p w14:paraId="7CE4C65A" w14:textId="77777777" w:rsidR="00582954" w:rsidRDefault="00582954">
      <w:pPr>
        <w:pStyle w:val="Odsekzoznamu"/>
        <w:keepNext/>
        <w:widowControl w:val="0"/>
        <w:spacing w:after="0" w:line="240" w:lineRule="auto"/>
        <w:ind w:left="0"/>
        <w:rPr>
          <w:rFonts w:ascii="Times New Roman" w:hAnsi="Times New Roman"/>
          <w:lang w:val="sk-SK"/>
        </w:rPr>
      </w:pPr>
    </w:p>
    <w:p w14:paraId="6F9A6C05" w14:textId="77777777" w:rsidR="00582954" w:rsidRDefault="00645977">
      <w:pPr>
        <w:pStyle w:val="Odsekzoznamu"/>
        <w:keepNext/>
        <w:widowControl w:val="0"/>
        <w:spacing w:after="0" w:line="240" w:lineRule="auto"/>
        <w:ind w:left="0" w:right="-235"/>
        <w:rPr>
          <w:rFonts w:ascii="Times New Roman" w:hAnsi="Times New Roman"/>
          <w:lang w:val="sk-SK"/>
        </w:rPr>
      </w:pPr>
      <w:r>
        <w:rPr>
          <w:rFonts w:ascii="Times New Roman" w:hAnsi="Times New Roman"/>
          <w:lang w:val="sk-SK"/>
        </w:rPr>
        <w:t>Epidemiologické dôkazy týkajúce sa rizika teratogenity po vystavení účinku ACE inhibítorov počas prvého trimestra gravidity nie sú preukázané; malé zvýšenie rizika však nemožno vylúčiť. Keďže nie sú k dispozícii žiadne kontrolované epidemiologické údaje o riziku pri blokátoroch receptorov angiotenzínu II, pre túto triedu liečiv môžu existovať podobné riziká. Ak nie je pokračovanie liečby blokátormi receptorov angiotenzínu II považované za nevyhnutné, pacientky plánujúce graviditu majú prejsť na alternatívnu antihypertenznú liečbu, ktorá má preukázaný bezpečnostný profil pri použití v gravidite. Ak sa gravidita potvrdí, liečba blokátormi receptorov angiotenzínu II sa musí okamžite ukončiť a ak je vhodné, má sa začať alternatívna liečba.</w:t>
      </w:r>
    </w:p>
    <w:p w14:paraId="122EE971" w14:textId="77777777" w:rsidR="00582954" w:rsidRDefault="00582954">
      <w:pPr>
        <w:pStyle w:val="Odsekzoznamu"/>
        <w:widowControl w:val="0"/>
        <w:spacing w:after="0" w:line="240" w:lineRule="auto"/>
        <w:ind w:left="0"/>
        <w:rPr>
          <w:rFonts w:ascii="Times New Roman" w:hAnsi="Times New Roman"/>
          <w:lang w:val="sk-SK"/>
        </w:rPr>
      </w:pPr>
    </w:p>
    <w:p w14:paraId="2CBE3DA3"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Expozícia liečbe blokátormi receptorov angiotenzínu II počas druhého a tretieho trimestra je známa tým, že indukuje fetotoxicitu u ľudí (znížená funkcia obličiek, oligohydramnión, retardácia osifikácie lebky) a neonatálnu toxicitu (renálne zlyhanie, hypotenzia, hyperkaliémia) (pozri časť 5.3). Ak došlo od druhého trimestra gravidity k vystaveniu účinkom blokátorov receptorov angiotenzínu II, odporúča sa ultrazvukové vyšetrenie funkcie obličiek a lebky.</w:t>
      </w:r>
    </w:p>
    <w:p w14:paraId="194F68CA" w14:textId="77777777" w:rsidR="00582954" w:rsidRDefault="00645977">
      <w:pPr>
        <w:pStyle w:val="Odsekzoznamu"/>
        <w:widowControl w:val="0"/>
        <w:spacing w:after="0" w:line="240" w:lineRule="auto"/>
        <w:ind w:left="0" w:right="-235"/>
        <w:rPr>
          <w:rFonts w:ascii="Times New Roman" w:hAnsi="Times New Roman"/>
          <w:lang w:val="sk-SK"/>
        </w:rPr>
      </w:pPr>
      <w:r>
        <w:rPr>
          <w:rFonts w:ascii="Times New Roman" w:hAnsi="Times New Roman"/>
          <w:lang w:val="sk-SK"/>
        </w:rPr>
        <w:t>Novorodenci, ktorých matky užívali blokátory receptorov angiotenzínu II, majú byť starostlivo sledovaní z dôvodu hypotenzie (pozri časti 4.3 a 4.4).</w:t>
      </w:r>
    </w:p>
    <w:p w14:paraId="1673C74E" w14:textId="77777777" w:rsidR="00582954" w:rsidRDefault="00582954">
      <w:pPr>
        <w:pStyle w:val="Odsekzoznamu"/>
        <w:widowControl w:val="0"/>
        <w:spacing w:after="0" w:line="240" w:lineRule="auto"/>
        <w:ind w:left="0"/>
        <w:rPr>
          <w:rFonts w:ascii="Times New Roman" w:hAnsi="Times New Roman"/>
          <w:lang w:val="sk-SK"/>
        </w:rPr>
      </w:pPr>
    </w:p>
    <w:p w14:paraId="72B1BE78"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S užívaním hydrochlórtiazidu počas gravidity sú len obmedzené skúsenosti, obzvlášť počas prvého trimestra. Štúdie na zvieratách sú nedostatočné. Hydrochlórtiazid prechádza placentou. Vychádzajúc z farmakologického mechanizmu účinku hydrochlórtiazidu môže jeho užívanie počas druhého a tretieho trimestra znížiť fetálnu a placentárnu perfúziu a môže mať následky na plod a novorodenca ako je ikterus, porucha elektrolytickej rovnováhy a trombocytopénia.</w:t>
      </w:r>
    </w:p>
    <w:p w14:paraId="27E4F835"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lastRenderedPageBreak/>
        <w:t>Hydrochlórtiazid sa nemá používať pri gestačnom edéme, gestačnej hypertenzii alebo preeklampsii kvôli riziku zníženého objemu plazmy a hypoperfúzii placenty, bez pozitívneho účinku na priebeh ochorenia.</w:t>
      </w:r>
    </w:p>
    <w:p w14:paraId="1612D16A" w14:textId="77777777" w:rsidR="00582954" w:rsidRDefault="00582954">
      <w:pPr>
        <w:pStyle w:val="Odsekzoznamu"/>
        <w:widowControl w:val="0"/>
        <w:spacing w:after="0" w:line="240" w:lineRule="auto"/>
        <w:ind w:left="0"/>
        <w:rPr>
          <w:rFonts w:ascii="Times New Roman" w:hAnsi="Times New Roman"/>
          <w:lang w:val="sk-SK"/>
        </w:rPr>
      </w:pPr>
    </w:p>
    <w:p w14:paraId="6AF87FE9"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Hydrochlórtiazid sa nemá užívať pri esenciálnej hypertenzii u tehotných žien s výnimkou zriedkavých prípadov, kedy sa nedá použiť žiadna iná liečba.</w:t>
      </w:r>
    </w:p>
    <w:p w14:paraId="5A4FF485" w14:textId="77777777" w:rsidR="00582954" w:rsidRDefault="00582954">
      <w:pPr>
        <w:pStyle w:val="Odsekzoznamu"/>
        <w:widowControl w:val="0"/>
        <w:spacing w:after="0" w:line="240" w:lineRule="auto"/>
        <w:ind w:left="0"/>
        <w:rPr>
          <w:rFonts w:ascii="Times New Roman" w:hAnsi="Times New Roman"/>
          <w:lang w:val="sk-SK"/>
        </w:rPr>
      </w:pPr>
    </w:p>
    <w:p w14:paraId="48647B4A"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Dojčenie</w:t>
      </w:r>
    </w:p>
    <w:p w14:paraId="51DAB214"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Keďže nie sú dostupné informácie o používaní telmisartanu/hydrochlórtiazidu počas dojčenia, telmisartan/hydrochlórtiazid sa neodporúča a má sa použiť alternatívna liečba s vhodnejším bezpečnostným profilom pre obdobie dojčenia, zvlášť pri dojčení novorodencov a predčasne narodených detí.</w:t>
      </w:r>
    </w:p>
    <w:p w14:paraId="4DEE8E32" w14:textId="77777777" w:rsidR="00582954" w:rsidRDefault="00582954">
      <w:pPr>
        <w:pStyle w:val="Odsekzoznamu"/>
        <w:widowControl w:val="0"/>
        <w:spacing w:after="0" w:line="240" w:lineRule="auto"/>
        <w:ind w:left="0"/>
        <w:rPr>
          <w:rFonts w:ascii="Times New Roman" w:hAnsi="Times New Roman"/>
          <w:lang w:val="sk-SK"/>
        </w:rPr>
      </w:pPr>
    </w:p>
    <w:p w14:paraId="53D1E157"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Hydrochlórtiazid sa v malých množstvách vylučuje do ľudského materského mlieka. Tiazidy, ktoré vo vysokých dávkach spôsobujú intenzívnu diurézu, môžu utlmiť tvorbu mlieka.</w:t>
      </w:r>
    </w:p>
    <w:p w14:paraId="35BEA3E4"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Užívanie telmisartanu/hydrochlórtiazidu sa počas dojčenia neodporúča. Ak sa telmisartan/hydrochlórtiazid užíva počas dojčenia, dávky majú byť čo najnižšie.</w:t>
      </w:r>
    </w:p>
    <w:p w14:paraId="6DA24122" w14:textId="77777777" w:rsidR="00582954" w:rsidRDefault="00582954">
      <w:pPr>
        <w:pStyle w:val="Odsekzoznamu"/>
        <w:widowControl w:val="0"/>
        <w:spacing w:after="0" w:line="240" w:lineRule="auto"/>
        <w:ind w:left="0"/>
        <w:rPr>
          <w:rFonts w:ascii="Times New Roman" w:hAnsi="Times New Roman"/>
          <w:lang w:val="sk-SK"/>
        </w:rPr>
      </w:pPr>
    </w:p>
    <w:p w14:paraId="04A9B75B"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Fertilita</w:t>
      </w:r>
    </w:p>
    <w:p w14:paraId="7DEBD73A" w14:textId="77777777" w:rsidR="00582954" w:rsidRDefault="00645977">
      <w:pPr>
        <w:pStyle w:val="Odsekzoznamu"/>
        <w:widowControl w:val="0"/>
        <w:spacing w:after="0" w:line="240" w:lineRule="auto"/>
        <w:ind w:left="0"/>
        <w:rPr>
          <w:rFonts w:ascii="Times New Roman" w:hAnsi="Times New Roman"/>
          <w:lang w:val="sk-SK"/>
        </w:rPr>
      </w:pPr>
      <w:bookmarkStart w:id="14" w:name="_Hlk188456049"/>
      <w:r>
        <w:rPr>
          <w:rFonts w:ascii="Times New Roman" w:hAnsi="Times New Roman"/>
          <w:lang w:val="sk-SK"/>
        </w:rPr>
        <w:t>Nevykonali sa žiadne štúdie fertility u ľudí s fixnou kombináciou dávok ani s jednotlivými zložkami.</w:t>
      </w:r>
      <w:bookmarkEnd w:id="14"/>
    </w:p>
    <w:p w14:paraId="5BACBC9C"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V predklinických štúdiách sa nepozorovali žiadne účinky telmisartanu a hydrochlórtiazidu na fertilitu samcov a samíc.</w:t>
      </w:r>
    </w:p>
    <w:p w14:paraId="0CCCA649" w14:textId="77777777" w:rsidR="00582954" w:rsidRDefault="00582954">
      <w:pPr>
        <w:pStyle w:val="Odsekzoznamu"/>
        <w:widowControl w:val="0"/>
        <w:spacing w:after="0" w:line="240" w:lineRule="auto"/>
        <w:ind w:left="0"/>
        <w:rPr>
          <w:rFonts w:ascii="Times New Roman" w:hAnsi="Times New Roman"/>
          <w:lang w:val="sk-SK"/>
        </w:rPr>
      </w:pPr>
    </w:p>
    <w:p w14:paraId="2213EA6E" w14:textId="77777777" w:rsidR="00582954" w:rsidRDefault="00645977">
      <w:pPr>
        <w:pStyle w:val="Odsekzoznamu"/>
        <w:widowControl w:val="0"/>
        <w:tabs>
          <w:tab w:val="left" w:pos="567"/>
        </w:tabs>
        <w:spacing w:after="0" w:line="240" w:lineRule="auto"/>
        <w:ind w:left="0"/>
        <w:rPr>
          <w:rFonts w:ascii="Times New Roman" w:hAnsi="Times New Roman"/>
          <w:b/>
          <w:lang w:val="sk-SK"/>
        </w:rPr>
      </w:pPr>
      <w:r>
        <w:rPr>
          <w:rFonts w:ascii="Times New Roman" w:hAnsi="Times New Roman"/>
          <w:b/>
          <w:lang w:val="sk-SK"/>
        </w:rPr>
        <w:t>4.7</w:t>
      </w:r>
      <w:r>
        <w:rPr>
          <w:rFonts w:ascii="Times New Roman" w:hAnsi="Times New Roman"/>
          <w:b/>
          <w:lang w:val="sk-SK"/>
        </w:rPr>
        <w:tab/>
        <w:t>Ovplyvnenie schopnosti viesť vozidlá a obsluhovať stroje</w:t>
      </w:r>
    </w:p>
    <w:p w14:paraId="7115425E" w14:textId="77777777" w:rsidR="00582954" w:rsidRDefault="00582954">
      <w:pPr>
        <w:pStyle w:val="Odsekzoznamu"/>
        <w:widowControl w:val="0"/>
        <w:spacing w:after="0" w:line="240" w:lineRule="auto"/>
        <w:ind w:left="0"/>
        <w:rPr>
          <w:rFonts w:ascii="Times New Roman" w:hAnsi="Times New Roman"/>
          <w:lang w:val="sk-SK"/>
        </w:rPr>
      </w:pPr>
    </w:p>
    <w:p w14:paraId="57A00A21"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 xml:space="preserve">Tolucombi môže mať vplyv na schopnosť viesť vozidlá a obsluhovať stroje. Pri užívaní </w:t>
      </w:r>
      <w:bookmarkStart w:id="15" w:name="_Hlk150844938"/>
      <w:r>
        <w:rPr>
          <w:rFonts w:ascii="Times New Roman" w:hAnsi="Times New Roman"/>
        </w:rPr>
        <w:t>antihypertenznej liečby, ako je</w:t>
      </w:r>
      <w:bookmarkEnd w:id="15"/>
      <w:r>
        <w:rPr>
          <w:rFonts w:ascii="Times New Roman" w:hAnsi="Times New Roman"/>
        </w:rPr>
        <w:t xml:space="preserve"> </w:t>
      </w:r>
      <w:r>
        <w:rPr>
          <w:rFonts w:ascii="Times New Roman" w:hAnsi="Times New Roman"/>
          <w:lang w:val="sk-SK"/>
        </w:rPr>
        <w:t>telmisartan/hydrochlórtiazid sa občas môže vyskytnúť závrat, synkopa alebo vertigo.</w:t>
      </w:r>
    </w:p>
    <w:p w14:paraId="31B1891A"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snapToGrid w:val="0"/>
          <w:lang w:eastAsia="cs-CZ"/>
        </w:rPr>
        <w:t>Ak sa u pacientov vyskytnú tieto nežiaduce udalosti, majú sa vyhnúť potenciálne nebezpečným úlohám, ako je vedenie vozidiel alebo obsluha strojov.</w:t>
      </w:r>
    </w:p>
    <w:p w14:paraId="02E5809E" w14:textId="77777777" w:rsidR="00582954" w:rsidRDefault="00582954">
      <w:pPr>
        <w:pStyle w:val="Odsekzoznamu"/>
        <w:widowControl w:val="0"/>
        <w:spacing w:after="0" w:line="240" w:lineRule="auto"/>
        <w:ind w:left="0"/>
        <w:rPr>
          <w:rFonts w:ascii="Times New Roman" w:hAnsi="Times New Roman"/>
          <w:lang w:val="sk-SK"/>
        </w:rPr>
      </w:pPr>
    </w:p>
    <w:p w14:paraId="3983DC87" w14:textId="77777777" w:rsidR="00582954" w:rsidRDefault="00645977">
      <w:pPr>
        <w:pStyle w:val="Odsekzoznamu"/>
        <w:widowControl w:val="0"/>
        <w:tabs>
          <w:tab w:val="left" w:pos="567"/>
        </w:tabs>
        <w:spacing w:after="0" w:line="240" w:lineRule="auto"/>
        <w:ind w:left="0"/>
        <w:rPr>
          <w:rFonts w:ascii="Times New Roman" w:hAnsi="Times New Roman"/>
          <w:b/>
          <w:lang w:val="sk-SK"/>
        </w:rPr>
      </w:pPr>
      <w:r>
        <w:rPr>
          <w:rFonts w:ascii="Times New Roman" w:hAnsi="Times New Roman"/>
          <w:b/>
          <w:lang w:val="sk-SK"/>
        </w:rPr>
        <w:t>4.8</w:t>
      </w:r>
      <w:r>
        <w:rPr>
          <w:rFonts w:ascii="Times New Roman" w:hAnsi="Times New Roman"/>
          <w:b/>
          <w:lang w:val="sk-SK"/>
        </w:rPr>
        <w:tab/>
        <w:t>Nežiaduce účinky</w:t>
      </w:r>
    </w:p>
    <w:p w14:paraId="12B00A8E" w14:textId="77777777" w:rsidR="00582954" w:rsidRDefault="00582954">
      <w:pPr>
        <w:pStyle w:val="Odsekzoznamu"/>
        <w:widowControl w:val="0"/>
        <w:spacing w:after="0" w:line="240" w:lineRule="auto"/>
        <w:ind w:left="0"/>
        <w:rPr>
          <w:rFonts w:ascii="Times New Roman" w:hAnsi="Times New Roman"/>
          <w:lang w:val="sk-SK"/>
        </w:rPr>
      </w:pPr>
    </w:p>
    <w:p w14:paraId="06919619"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Súhrn profilu bezpečnosti</w:t>
      </w:r>
    </w:p>
    <w:p w14:paraId="1A37EC84"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Najčastejšie hlásenou nežiaducou reakciou je závrat. Závažný angioedém sa môže vyskytnúť zriedkavo (≥ 1/10 000 až ≤ 1/1 000).</w:t>
      </w:r>
    </w:p>
    <w:p w14:paraId="6E79369A" w14:textId="77777777" w:rsidR="00582954" w:rsidRDefault="00582954">
      <w:pPr>
        <w:pStyle w:val="Odsekzoznamu"/>
        <w:widowControl w:val="0"/>
        <w:spacing w:after="0" w:line="240" w:lineRule="auto"/>
        <w:ind w:left="0"/>
        <w:rPr>
          <w:rFonts w:ascii="Times New Roman" w:hAnsi="Times New Roman"/>
          <w:lang w:val="sk-SK"/>
        </w:rPr>
      </w:pPr>
    </w:p>
    <w:p w14:paraId="3B30AA0E"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Celkový výskyt nežiaducich reakcií hlásených pri telmisartane/hydrochlórtiazide bol porovnateľný s hlásenými pri telmisartane samotnom v randomizovaných kontrolovaných skúšaniach zahrňujúcich 1 471 pacientov, ktorí užívali telmisartan plus hydrochlórtiazid (835) alebo telmisartan samotný (636). Nebola stanovená závislosť nežiaducich reakcií od dávky a nebola preukázaná súvislosť s pohlavím, vekom alebo rasou pacientov.</w:t>
      </w:r>
    </w:p>
    <w:p w14:paraId="54F8BB85" w14:textId="77777777" w:rsidR="00582954" w:rsidRDefault="00582954">
      <w:pPr>
        <w:pStyle w:val="Odsekzoznamu"/>
        <w:widowControl w:val="0"/>
        <w:spacing w:after="0" w:line="240" w:lineRule="auto"/>
        <w:ind w:left="0"/>
        <w:rPr>
          <w:rFonts w:ascii="Times New Roman" w:hAnsi="Times New Roman"/>
          <w:lang w:val="sk-SK"/>
        </w:rPr>
      </w:pPr>
    </w:p>
    <w:p w14:paraId="653EAE63"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Tabuľkový zoznam nežiaducich reakcií</w:t>
      </w:r>
    </w:p>
    <w:p w14:paraId="30B4FA56"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Nežiaduce reakcie hlásené vo všetkých klinických skúšaniach a vyskytujúce sa častejšie (p ≤ 0,05) pri kombinácii telmisartanu/hydrochlórtiazidu ako pri placebe, sú uvedené nižšie podľa triedy orgánových systémov. Nežiaduce reakcie, o ktorých je známe, že sa vyskytli pri každej zložke lieku podávanej samostatne, ale neboli pozorované v klinických skúšaniach, sa môžu vyskytnúť počas liečby telmisartanom/hydrochlórtiazidom.</w:t>
      </w:r>
    </w:p>
    <w:p w14:paraId="29F47E13"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Nežiaduce reakcie, ktoré boli predtým hlásené pri jednotlivých zložkách, môžu byť potenciálne nežiaducimi reakciami pri Tolucombi, a to aj keď sa nepozorovali v klinických skúšaniach s týmto liekom.</w:t>
      </w:r>
    </w:p>
    <w:p w14:paraId="239567A9" w14:textId="77777777" w:rsidR="00582954" w:rsidRDefault="00582954">
      <w:pPr>
        <w:pStyle w:val="Odsekzoznamu"/>
        <w:widowControl w:val="0"/>
        <w:spacing w:after="0" w:line="240" w:lineRule="auto"/>
        <w:ind w:left="0"/>
        <w:rPr>
          <w:rFonts w:ascii="Times New Roman" w:hAnsi="Times New Roman"/>
          <w:lang w:val="sk-SK"/>
        </w:rPr>
      </w:pPr>
    </w:p>
    <w:p w14:paraId="35B6802F" w14:textId="77777777" w:rsidR="00582954" w:rsidRDefault="00645977">
      <w:pPr>
        <w:pStyle w:val="Odsekzoznamu"/>
        <w:keepNext/>
        <w:widowControl w:val="0"/>
        <w:spacing w:after="0" w:line="240" w:lineRule="auto"/>
        <w:ind w:left="0"/>
        <w:rPr>
          <w:rFonts w:ascii="Times New Roman" w:hAnsi="Times New Roman"/>
          <w:lang w:val="sk-SK"/>
        </w:rPr>
      </w:pPr>
      <w:r>
        <w:rPr>
          <w:rFonts w:ascii="Times New Roman" w:hAnsi="Times New Roman"/>
          <w:lang w:val="sk-SK"/>
        </w:rPr>
        <w:t xml:space="preserve">Nežiaduce reakcie sú zoradené podľa frekvencie výskytu s použitím nasledujúcej konvencie: veľmi časté (≥ 1/10); časté (≥ 1/100 až &lt; 1/10); menej časté (≥ 1/1 000 až &lt; 1/100); zriedkavé (≥ 1/10 000 až </w:t>
      </w:r>
      <w:r>
        <w:rPr>
          <w:rFonts w:ascii="Times New Roman" w:hAnsi="Times New Roman"/>
          <w:lang w:val="sk-SK"/>
        </w:rPr>
        <w:lastRenderedPageBreak/>
        <w:t>&lt; 1/1 000); veľmi zriedkavé (&lt; 1/10 000), neznáme (z dostupných údajov).</w:t>
      </w:r>
    </w:p>
    <w:p w14:paraId="356050FC" w14:textId="77777777" w:rsidR="00582954" w:rsidRDefault="00582954">
      <w:pPr>
        <w:pStyle w:val="Odsekzoznamu"/>
        <w:widowControl w:val="0"/>
        <w:spacing w:after="0" w:line="240" w:lineRule="auto"/>
        <w:ind w:left="0"/>
        <w:rPr>
          <w:rFonts w:ascii="Times New Roman" w:hAnsi="Times New Roman"/>
          <w:lang w:val="sk-SK"/>
        </w:rPr>
      </w:pPr>
    </w:p>
    <w:p w14:paraId="4B0F9914"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V rámci jednotlivých skupín frekvencií výskytu sú nežiaduce reakcie usporiadané v poradí klesajúcej závažnosti.</w:t>
      </w:r>
    </w:p>
    <w:p w14:paraId="307083AF" w14:textId="77777777" w:rsidR="00582954" w:rsidRDefault="00582954">
      <w:pPr>
        <w:pStyle w:val="Odsekzoznamu"/>
        <w:widowControl w:val="0"/>
        <w:spacing w:after="0" w:line="240" w:lineRule="auto"/>
        <w:ind w:left="0"/>
        <w:rPr>
          <w:rFonts w:ascii="Times New Roman" w:hAnsi="Times New Roman"/>
          <w:lang w:val="sk-SK"/>
        </w:rPr>
      </w:pPr>
    </w:p>
    <w:p w14:paraId="6778AE3C" w14:textId="77777777" w:rsidR="00582954" w:rsidRDefault="00645977">
      <w:pPr>
        <w:pStyle w:val="Odsekzoznamu"/>
        <w:widowControl w:val="0"/>
        <w:spacing w:after="0" w:line="240" w:lineRule="auto"/>
        <w:ind w:left="993" w:hanging="993"/>
        <w:rPr>
          <w:rFonts w:ascii="Times New Roman" w:hAnsi="Times New Roman"/>
          <w:lang w:val="sk-SK"/>
        </w:rPr>
      </w:pPr>
      <w:r>
        <w:rPr>
          <w:rFonts w:ascii="Times New Roman" w:hAnsi="Times New Roman"/>
          <w:u w:val="single"/>
          <w:lang w:val="sk-SK"/>
        </w:rPr>
        <w:t>Tabuľka 1</w:t>
      </w:r>
      <w:r>
        <w:rPr>
          <w:rFonts w:ascii="Times New Roman" w:hAnsi="Times New Roman"/>
          <w:lang w:val="sk-SK"/>
        </w:rPr>
        <w:t>: Tabuľkový zoznam nežiaducich reakcií (MedDRA) z placebom kontrolovaných skúšaní a skúseností po uvedení lieku na trh</w:t>
      </w:r>
    </w:p>
    <w:tbl>
      <w:tblPr>
        <w:tblW w:w="5203" w:type="pct"/>
        <w:jc w:val="center"/>
        <w:tblLayout w:type="fixed"/>
        <w:tblLook w:val="04A0" w:firstRow="1" w:lastRow="0" w:firstColumn="1" w:lastColumn="0" w:noHBand="0" w:noVBand="1"/>
      </w:tblPr>
      <w:tblGrid>
        <w:gridCol w:w="2479"/>
        <w:gridCol w:w="2311"/>
        <w:gridCol w:w="1668"/>
        <w:gridCol w:w="1609"/>
        <w:gridCol w:w="1657"/>
      </w:tblGrid>
      <w:tr w:rsidR="00582954" w14:paraId="6AB2FD0E" w14:textId="77777777">
        <w:trPr>
          <w:trHeight w:val="290"/>
          <w:jc w:val="center"/>
        </w:trPr>
        <w:tc>
          <w:tcPr>
            <w:tcW w:w="2492" w:type="dxa"/>
            <w:vMerge w:val="restart"/>
            <w:tcBorders>
              <w:top w:val="single" w:sz="4" w:space="0" w:color="auto"/>
              <w:left w:val="single" w:sz="4" w:space="0" w:color="auto"/>
              <w:bottom w:val="single" w:sz="4" w:space="0" w:color="auto"/>
              <w:right w:val="single" w:sz="4" w:space="0" w:color="auto"/>
            </w:tcBorders>
            <w:hideMark/>
          </w:tcPr>
          <w:p w14:paraId="1BC10F96" w14:textId="77777777" w:rsidR="00582954" w:rsidRDefault="00645977">
            <w:pPr>
              <w:keepNext/>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MedDRA triedy orgánových systémov</w:t>
            </w:r>
          </w:p>
        </w:tc>
        <w:tc>
          <w:tcPr>
            <w:tcW w:w="2324" w:type="dxa"/>
            <w:vMerge w:val="restart"/>
            <w:tcBorders>
              <w:top w:val="single" w:sz="4" w:space="0" w:color="auto"/>
              <w:left w:val="single" w:sz="4" w:space="0" w:color="auto"/>
              <w:bottom w:val="single" w:sz="4" w:space="0" w:color="auto"/>
              <w:right w:val="single" w:sz="4" w:space="0" w:color="auto"/>
            </w:tcBorders>
            <w:hideMark/>
          </w:tcPr>
          <w:p w14:paraId="587FB486" w14:textId="77777777" w:rsidR="00582954" w:rsidRDefault="00645977">
            <w:pPr>
              <w:keepNext/>
              <w:spacing w:after="0" w:line="240" w:lineRule="auto"/>
              <w:rPr>
                <w:rFonts w:ascii="Times New Roman" w:hAnsi="Times New Roman"/>
                <w:b/>
                <w:bCs/>
                <w:snapToGrid w:val="0"/>
                <w:lang w:eastAsia="cs-CZ"/>
              </w:rPr>
            </w:pPr>
            <w:r>
              <w:rPr>
                <w:rFonts w:ascii="Times New Roman" w:hAnsi="Times New Roman"/>
                <w:b/>
                <w:bCs/>
                <w:snapToGrid w:val="0"/>
                <w:lang w:eastAsia="cs-CZ"/>
              </w:rPr>
              <w:t>Nežiaduca reakcia</w:t>
            </w:r>
          </w:p>
        </w:tc>
        <w:tc>
          <w:tcPr>
            <w:tcW w:w="4960" w:type="dxa"/>
            <w:gridSpan w:val="3"/>
            <w:tcBorders>
              <w:top w:val="single" w:sz="4" w:space="0" w:color="auto"/>
              <w:left w:val="single" w:sz="4" w:space="0" w:color="auto"/>
              <w:bottom w:val="single" w:sz="4" w:space="0" w:color="auto"/>
              <w:right w:val="single" w:sz="4" w:space="0" w:color="auto"/>
            </w:tcBorders>
            <w:vAlign w:val="bottom"/>
            <w:hideMark/>
          </w:tcPr>
          <w:p w14:paraId="363D5A03" w14:textId="77777777" w:rsidR="00582954" w:rsidRDefault="00645977">
            <w:pPr>
              <w:keepNext/>
              <w:spacing w:after="0" w:line="240" w:lineRule="auto"/>
              <w:jc w:val="center"/>
              <w:rPr>
                <w:rFonts w:ascii="Times New Roman" w:hAnsi="Times New Roman"/>
                <w:b/>
                <w:bCs/>
                <w:snapToGrid w:val="0"/>
                <w:lang w:eastAsia="cs-CZ"/>
              </w:rPr>
            </w:pPr>
            <w:r>
              <w:rPr>
                <w:rFonts w:ascii="Times New Roman" w:hAnsi="Times New Roman"/>
                <w:b/>
                <w:bCs/>
                <w:snapToGrid w:val="0"/>
                <w:lang w:eastAsia="cs-CZ"/>
              </w:rPr>
              <w:t>Frekvencia</w:t>
            </w:r>
          </w:p>
        </w:tc>
      </w:tr>
      <w:tr w:rsidR="00582954" w14:paraId="1B0E89A1" w14:textId="77777777">
        <w:trPr>
          <w:trHeight w:val="290"/>
          <w:jc w:val="center"/>
        </w:trPr>
        <w:tc>
          <w:tcPr>
            <w:tcW w:w="2492" w:type="dxa"/>
            <w:vMerge/>
            <w:tcBorders>
              <w:top w:val="single" w:sz="4" w:space="0" w:color="auto"/>
              <w:left w:val="single" w:sz="4" w:space="0" w:color="auto"/>
              <w:bottom w:val="single" w:sz="4" w:space="0" w:color="auto"/>
              <w:right w:val="single" w:sz="4" w:space="0" w:color="auto"/>
            </w:tcBorders>
            <w:hideMark/>
          </w:tcPr>
          <w:p w14:paraId="6FA2E55D" w14:textId="77777777" w:rsidR="00582954" w:rsidRDefault="00582954">
            <w:pPr>
              <w:keepNext/>
              <w:spacing w:after="0" w:line="240" w:lineRule="auto"/>
              <w:ind w:right="-162"/>
              <w:rPr>
                <w:rFonts w:ascii="Times New Roman" w:hAnsi="Times New Roman"/>
                <w:b/>
                <w:bCs/>
                <w:snapToGrid w:val="0"/>
                <w:lang w:eastAsia="cs-CZ"/>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14:paraId="57461479" w14:textId="77777777" w:rsidR="00582954" w:rsidRDefault="00582954">
            <w:pPr>
              <w:keepNext/>
              <w:spacing w:after="0" w:line="240" w:lineRule="auto"/>
              <w:rPr>
                <w:rFonts w:ascii="Times New Roman" w:hAnsi="Times New Roman"/>
                <w:b/>
                <w:bCs/>
                <w:snapToGrid w:val="0"/>
                <w:lang w:eastAsia="cs-CZ"/>
              </w:rPr>
            </w:pPr>
          </w:p>
        </w:tc>
        <w:tc>
          <w:tcPr>
            <w:tcW w:w="1677" w:type="dxa"/>
            <w:tcBorders>
              <w:top w:val="single" w:sz="4" w:space="0" w:color="auto"/>
              <w:left w:val="single" w:sz="4" w:space="0" w:color="auto"/>
              <w:bottom w:val="single" w:sz="4" w:space="0" w:color="auto"/>
              <w:right w:val="single" w:sz="4" w:space="0" w:color="auto"/>
            </w:tcBorders>
            <w:vAlign w:val="bottom"/>
            <w:hideMark/>
          </w:tcPr>
          <w:p w14:paraId="368C512E" w14:textId="77777777" w:rsidR="00582954" w:rsidRDefault="00645977">
            <w:pPr>
              <w:keepNext/>
              <w:spacing w:after="0" w:line="240" w:lineRule="auto"/>
              <w:ind w:left="-88" w:right="-251"/>
              <w:rPr>
                <w:rFonts w:ascii="Times New Roman" w:hAnsi="Times New Roman"/>
                <w:b/>
                <w:bCs/>
                <w:snapToGrid w:val="0"/>
                <w:lang w:eastAsia="cs-CZ"/>
              </w:rPr>
            </w:pPr>
            <w:r>
              <w:rPr>
                <w:rFonts w:ascii="Times New Roman" w:hAnsi="Times New Roman"/>
                <w:b/>
                <w:bCs/>
                <w:snapToGrid w:val="0"/>
                <w:lang w:eastAsia="cs-CZ"/>
              </w:rPr>
              <w:t>Telmisartan/ hydrochlórtiazid</w:t>
            </w:r>
          </w:p>
        </w:tc>
        <w:tc>
          <w:tcPr>
            <w:tcW w:w="1617" w:type="dxa"/>
            <w:tcBorders>
              <w:top w:val="single" w:sz="4" w:space="0" w:color="auto"/>
              <w:left w:val="single" w:sz="4" w:space="0" w:color="auto"/>
              <w:bottom w:val="single" w:sz="4" w:space="0" w:color="auto"/>
              <w:right w:val="single" w:sz="4" w:space="0" w:color="auto"/>
            </w:tcBorders>
            <w:vAlign w:val="bottom"/>
            <w:hideMark/>
          </w:tcPr>
          <w:p w14:paraId="401328C7" w14:textId="77777777" w:rsidR="00582954" w:rsidRDefault="00645977">
            <w:pPr>
              <w:keepNext/>
              <w:spacing w:after="0" w:line="240" w:lineRule="auto"/>
              <w:rPr>
                <w:rFonts w:ascii="Times New Roman" w:hAnsi="Times New Roman"/>
                <w:b/>
                <w:bCs/>
                <w:snapToGrid w:val="0"/>
                <w:lang w:eastAsia="cs-CZ"/>
              </w:rPr>
            </w:pPr>
            <w:r>
              <w:rPr>
                <w:rFonts w:ascii="Times New Roman" w:hAnsi="Times New Roman"/>
                <w:b/>
                <w:bCs/>
                <w:snapToGrid w:val="0"/>
                <w:lang w:eastAsia="cs-CZ"/>
              </w:rPr>
              <w:t>Telmisartan</w:t>
            </w:r>
            <w:r>
              <w:rPr>
                <w:rFonts w:ascii="Times New Roman" w:hAnsi="Times New Roman"/>
                <w:b/>
                <w:bCs/>
                <w:snapToGrid w:val="0"/>
                <w:vertAlign w:val="superscript"/>
                <w:lang w:eastAsia="cs-CZ"/>
              </w:rPr>
              <w:t>a</w:t>
            </w:r>
          </w:p>
        </w:tc>
        <w:tc>
          <w:tcPr>
            <w:tcW w:w="1666" w:type="dxa"/>
            <w:tcBorders>
              <w:top w:val="single" w:sz="4" w:space="0" w:color="auto"/>
              <w:left w:val="single" w:sz="4" w:space="0" w:color="auto"/>
              <w:bottom w:val="single" w:sz="4" w:space="0" w:color="auto"/>
              <w:right w:val="single" w:sz="4" w:space="0" w:color="auto"/>
            </w:tcBorders>
            <w:vAlign w:val="bottom"/>
            <w:hideMark/>
          </w:tcPr>
          <w:p w14:paraId="3A1036AE" w14:textId="77777777" w:rsidR="00582954" w:rsidRDefault="00645977">
            <w:pPr>
              <w:keepNext/>
              <w:spacing w:after="0" w:line="240" w:lineRule="auto"/>
              <w:ind w:right="-111" w:hanging="112"/>
              <w:rPr>
                <w:rFonts w:ascii="Times New Roman" w:hAnsi="Times New Roman"/>
                <w:b/>
                <w:bCs/>
                <w:snapToGrid w:val="0"/>
                <w:lang w:eastAsia="cs-CZ"/>
              </w:rPr>
            </w:pPr>
            <w:r>
              <w:rPr>
                <w:rFonts w:ascii="Times New Roman" w:hAnsi="Times New Roman"/>
                <w:b/>
                <w:bCs/>
                <w:snapToGrid w:val="0"/>
                <w:lang w:eastAsia="cs-CZ"/>
              </w:rPr>
              <w:t>Hydrochlórtiazid</w:t>
            </w:r>
          </w:p>
        </w:tc>
      </w:tr>
      <w:tr w:rsidR="00582954" w14:paraId="186FE995" w14:textId="77777777">
        <w:trPr>
          <w:trHeight w:val="289"/>
          <w:jc w:val="center"/>
        </w:trPr>
        <w:tc>
          <w:tcPr>
            <w:tcW w:w="2492" w:type="dxa"/>
            <w:vMerge w:val="restart"/>
            <w:tcBorders>
              <w:top w:val="single" w:sz="4" w:space="0" w:color="auto"/>
              <w:left w:val="single" w:sz="4" w:space="0" w:color="auto"/>
              <w:right w:val="single" w:sz="4" w:space="0" w:color="auto"/>
            </w:tcBorders>
            <w:hideMark/>
          </w:tcPr>
          <w:p w14:paraId="17C2A5DB" w14:textId="77777777" w:rsidR="00582954" w:rsidRDefault="00645977">
            <w:pPr>
              <w:keepNext/>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Infekcie a nákazy</w:t>
            </w:r>
          </w:p>
        </w:tc>
        <w:tc>
          <w:tcPr>
            <w:tcW w:w="2324" w:type="dxa"/>
            <w:tcBorders>
              <w:top w:val="single" w:sz="4" w:space="0" w:color="auto"/>
              <w:left w:val="single" w:sz="4" w:space="0" w:color="auto"/>
              <w:bottom w:val="single" w:sz="4" w:space="0" w:color="auto"/>
              <w:right w:val="single" w:sz="4" w:space="0" w:color="auto"/>
            </w:tcBorders>
            <w:vAlign w:val="bottom"/>
            <w:hideMark/>
          </w:tcPr>
          <w:p w14:paraId="21617729" w14:textId="77777777" w:rsidR="00582954" w:rsidRDefault="00645977">
            <w:pPr>
              <w:keepNext/>
              <w:spacing w:after="0" w:line="240" w:lineRule="auto"/>
              <w:rPr>
                <w:rFonts w:ascii="Times New Roman" w:hAnsi="Times New Roman"/>
                <w:snapToGrid w:val="0"/>
                <w:lang w:eastAsia="cs-CZ"/>
              </w:rPr>
            </w:pPr>
            <w:r>
              <w:rPr>
                <w:rFonts w:ascii="Times New Roman" w:hAnsi="Times New Roman"/>
                <w:snapToGrid w:val="0"/>
                <w:lang w:eastAsia="cs-CZ"/>
              </w:rPr>
              <w:t>sepsa vrátane smrteľných následkov</w:t>
            </w:r>
          </w:p>
        </w:tc>
        <w:tc>
          <w:tcPr>
            <w:tcW w:w="1677" w:type="dxa"/>
            <w:tcBorders>
              <w:top w:val="single" w:sz="4" w:space="0" w:color="auto"/>
              <w:left w:val="single" w:sz="4" w:space="0" w:color="auto"/>
              <w:bottom w:val="single" w:sz="4" w:space="0" w:color="auto"/>
              <w:right w:val="single" w:sz="4" w:space="0" w:color="auto"/>
            </w:tcBorders>
            <w:vAlign w:val="bottom"/>
            <w:hideMark/>
          </w:tcPr>
          <w:p w14:paraId="33252701" w14:textId="77777777" w:rsidR="00582954" w:rsidRDefault="00582954">
            <w:pPr>
              <w:keepNext/>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3356134D" w14:textId="77777777" w:rsidR="00582954" w:rsidRDefault="00645977">
            <w:pPr>
              <w:keepNext/>
              <w:spacing w:after="0" w:line="240" w:lineRule="auto"/>
              <w:rPr>
                <w:rFonts w:ascii="Times New Roman" w:hAnsi="Times New Roman"/>
                <w:snapToGrid w:val="0"/>
                <w:lang w:eastAsia="cs-CZ"/>
              </w:rPr>
            </w:pPr>
            <w:r>
              <w:rPr>
                <w:rFonts w:ascii="Times New Roman" w:hAnsi="Times New Roman"/>
                <w:snapToGrid w:val="0"/>
                <w:lang w:eastAsia="cs-CZ"/>
              </w:rPr>
              <w:t>zriedkavé</w:t>
            </w:r>
            <w:r>
              <w:rPr>
                <w:rFonts w:ascii="Times New Roman" w:hAnsi="Times New Roman"/>
                <w:snapToGrid w:val="0"/>
                <w:vertAlign w:val="superscript"/>
                <w:lang w:eastAsia="cs-CZ"/>
              </w:rPr>
              <w:t>2</w:t>
            </w:r>
          </w:p>
        </w:tc>
        <w:tc>
          <w:tcPr>
            <w:tcW w:w="1666" w:type="dxa"/>
            <w:tcBorders>
              <w:top w:val="single" w:sz="4" w:space="0" w:color="auto"/>
              <w:left w:val="single" w:sz="4" w:space="0" w:color="auto"/>
              <w:bottom w:val="single" w:sz="4" w:space="0" w:color="auto"/>
              <w:right w:val="single" w:sz="4" w:space="0" w:color="auto"/>
            </w:tcBorders>
            <w:vAlign w:val="bottom"/>
            <w:hideMark/>
          </w:tcPr>
          <w:p w14:paraId="082F44D2" w14:textId="77777777" w:rsidR="00582954" w:rsidRDefault="00582954">
            <w:pPr>
              <w:keepNext/>
              <w:spacing w:after="0" w:line="240" w:lineRule="auto"/>
              <w:rPr>
                <w:rFonts w:ascii="Times New Roman" w:hAnsi="Times New Roman"/>
                <w:snapToGrid w:val="0"/>
                <w:lang w:eastAsia="cs-CZ"/>
              </w:rPr>
            </w:pPr>
          </w:p>
        </w:tc>
      </w:tr>
      <w:tr w:rsidR="00582954" w14:paraId="6101769E" w14:textId="77777777">
        <w:trPr>
          <w:trHeight w:val="289"/>
          <w:jc w:val="center"/>
        </w:trPr>
        <w:tc>
          <w:tcPr>
            <w:tcW w:w="2492" w:type="dxa"/>
            <w:vMerge/>
            <w:tcBorders>
              <w:left w:val="single" w:sz="4" w:space="0" w:color="auto"/>
              <w:right w:val="single" w:sz="4" w:space="0" w:color="auto"/>
            </w:tcBorders>
            <w:hideMark/>
          </w:tcPr>
          <w:p w14:paraId="1860C2F0"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53232171"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bronchitída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05C6C4F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35800F0E"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0CCE4A34" w14:textId="77777777" w:rsidR="00582954" w:rsidRDefault="00582954">
            <w:pPr>
              <w:spacing w:after="0" w:line="240" w:lineRule="auto"/>
              <w:rPr>
                <w:rFonts w:ascii="Times New Roman" w:hAnsi="Times New Roman"/>
                <w:snapToGrid w:val="0"/>
                <w:lang w:eastAsia="cs-CZ"/>
              </w:rPr>
            </w:pPr>
          </w:p>
        </w:tc>
      </w:tr>
      <w:tr w:rsidR="00582954" w14:paraId="072ABF4E" w14:textId="77777777">
        <w:trPr>
          <w:trHeight w:val="289"/>
          <w:jc w:val="center"/>
        </w:trPr>
        <w:tc>
          <w:tcPr>
            <w:tcW w:w="2492" w:type="dxa"/>
            <w:vMerge/>
            <w:tcBorders>
              <w:left w:val="single" w:sz="4" w:space="0" w:color="auto"/>
              <w:right w:val="single" w:sz="4" w:space="0" w:color="auto"/>
            </w:tcBorders>
            <w:hideMark/>
          </w:tcPr>
          <w:p w14:paraId="1030816A"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2FE17635"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faryngitída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778099A8"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1B93AA09"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0AEED33F" w14:textId="77777777" w:rsidR="00582954" w:rsidRDefault="00582954">
            <w:pPr>
              <w:spacing w:after="0" w:line="240" w:lineRule="auto"/>
              <w:rPr>
                <w:rFonts w:ascii="Times New Roman" w:hAnsi="Times New Roman"/>
                <w:snapToGrid w:val="0"/>
                <w:lang w:eastAsia="cs-CZ"/>
              </w:rPr>
            </w:pPr>
          </w:p>
        </w:tc>
      </w:tr>
      <w:tr w:rsidR="00582954" w14:paraId="7F809B75" w14:textId="77777777">
        <w:trPr>
          <w:trHeight w:val="289"/>
          <w:jc w:val="center"/>
        </w:trPr>
        <w:tc>
          <w:tcPr>
            <w:tcW w:w="2492" w:type="dxa"/>
            <w:vMerge/>
            <w:tcBorders>
              <w:left w:val="single" w:sz="4" w:space="0" w:color="auto"/>
              <w:right w:val="single" w:sz="4" w:space="0" w:color="auto"/>
            </w:tcBorders>
            <w:hideMark/>
          </w:tcPr>
          <w:p w14:paraId="0DF9B548"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3FAC497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sinusitída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4F8C6BC5"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590F4E37"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3B38722A" w14:textId="77777777" w:rsidR="00582954" w:rsidRDefault="00582954">
            <w:pPr>
              <w:spacing w:after="0" w:line="240" w:lineRule="auto"/>
              <w:rPr>
                <w:rFonts w:ascii="Times New Roman" w:hAnsi="Times New Roman"/>
                <w:snapToGrid w:val="0"/>
                <w:lang w:eastAsia="cs-CZ"/>
              </w:rPr>
            </w:pPr>
          </w:p>
        </w:tc>
      </w:tr>
      <w:tr w:rsidR="00582954" w14:paraId="32A30E15" w14:textId="77777777">
        <w:trPr>
          <w:trHeight w:val="289"/>
          <w:jc w:val="center"/>
        </w:trPr>
        <w:tc>
          <w:tcPr>
            <w:tcW w:w="2492" w:type="dxa"/>
            <w:vMerge/>
            <w:tcBorders>
              <w:left w:val="single" w:sz="4" w:space="0" w:color="auto"/>
              <w:right w:val="single" w:sz="4" w:space="0" w:color="auto"/>
            </w:tcBorders>
            <w:hideMark/>
          </w:tcPr>
          <w:p w14:paraId="03D8CE6B"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2F739C8A"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infekcia horných dýchacích ciest</w:t>
            </w:r>
          </w:p>
        </w:tc>
        <w:tc>
          <w:tcPr>
            <w:tcW w:w="1677" w:type="dxa"/>
            <w:tcBorders>
              <w:top w:val="single" w:sz="4" w:space="0" w:color="auto"/>
              <w:left w:val="single" w:sz="4" w:space="0" w:color="auto"/>
              <w:bottom w:val="single" w:sz="4" w:space="0" w:color="auto"/>
              <w:right w:val="single" w:sz="4" w:space="0" w:color="auto"/>
            </w:tcBorders>
            <w:vAlign w:val="bottom"/>
            <w:hideMark/>
          </w:tcPr>
          <w:p w14:paraId="0149206B"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6D6D6AE1"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19AA3AEB" w14:textId="77777777" w:rsidR="00582954" w:rsidRDefault="00582954">
            <w:pPr>
              <w:spacing w:after="0" w:line="240" w:lineRule="auto"/>
              <w:rPr>
                <w:rFonts w:ascii="Times New Roman" w:hAnsi="Times New Roman"/>
                <w:snapToGrid w:val="0"/>
                <w:lang w:eastAsia="cs-CZ"/>
              </w:rPr>
            </w:pPr>
          </w:p>
        </w:tc>
      </w:tr>
      <w:tr w:rsidR="00582954" w14:paraId="688FACF6" w14:textId="77777777">
        <w:trPr>
          <w:trHeight w:val="289"/>
          <w:jc w:val="center"/>
        </w:trPr>
        <w:tc>
          <w:tcPr>
            <w:tcW w:w="2492" w:type="dxa"/>
            <w:vMerge/>
            <w:tcBorders>
              <w:left w:val="single" w:sz="4" w:space="0" w:color="auto"/>
              <w:right w:val="single" w:sz="4" w:space="0" w:color="auto"/>
            </w:tcBorders>
          </w:tcPr>
          <w:p w14:paraId="346004C3"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tcPr>
          <w:p w14:paraId="62A36B1A"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infekcia močových ciest</w:t>
            </w:r>
          </w:p>
        </w:tc>
        <w:tc>
          <w:tcPr>
            <w:tcW w:w="1677" w:type="dxa"/>
            <w:tcBorders>
              <w:top w:val="single" w:sz="4" w:space="0" w:color="auto"/>
              <w:left w:val="single" w:sz="4" w:space="0" w:color="auto"/>
              <w:bottom w:val="single" w:sz="4" w:space="0" w:color="auto"/>
              <w:right w:val="single" w:sz="4" w:space="0" w:color="auto"/>
            </w:tcBorders>
            <w:vAlign w:val="bottom"/>
          </w:tcPr>
          <w:p w14:paraId="3250C27A"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tcPr>
          <w:p w14:paraId="5F4189BA"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tcPr>
          <w:p w14:paraId="704D8261" w14:textId="77777777" w:rsidR="00582954" w:rsidRDefault="00582954">
            <w:pPr>
              <w:spacing w:after="0" w:line="240" w:lineRule="auto"/>
              <w:ind w:left="-112" w:right="-111"/>
              <w:rPr>
                <w:rFonts w:ascii="Times New Roman" w:hAnsi="Times New Roman"/>
                <w:snapToGrid w:val="0"/>
                <w:lang w:eastAsia="cs-CZ"/>
              </w:rPr>
            </w:pPr>
          </w:p>
        </w:tc>
      </w:tr>
      <w:tr w:rsidR="00582954" w14:paraId="590BA341" w14:textId="77777777">
        <w:trPr>
          <w:trHeight w:val="289"/>
          <w:jc w:val="center"/>
        </w:trPr>
        <w:tc>
          <w:tcPr>
            <w:tcW w:w="2492" w:type="dxa"/>
            <w:vMerge/>
            <w:tcBorders>
              <w:left w:val="single" w:sz="4" w:space="0" w:color="auto"/>
              <w:bottom w:val="single" w:sz="4" w:space="0" w:color="auto"/>
              <w:right w:val="single" w:sz="4" w:space="0" w:color="auto"/>
            </w:tcBorders>
            <w:hideMark/>
          </w:tcPr>
          <w:p w14:paraId="6AEB3E98"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5DCD3644"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cystitída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24A7C205"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52CB0232"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512023D6" w14:textId="77777777" w:rsidR="00582954" w:rsidRDefault="00582954">
            <w:pPr>
              <w:spacing w:after="0" w:line="240" w:lineRule="auto"/>
              <w:rPr>
                <w:rFonts w:ascii="Times New Roman" w:hAnsi="Times New Roman"/>
                <w:snapToGrid w:val="0"/>
                <w:lang w:eastAsia="cs-CZ"/>
              </w:rPr>
            </w:pPr>
          </w:p>
        </w:tc>
      </w:tr>
      <w:tr w:rsidR="00582954" w14:paraId="47792414" w14:textId="77777777">
        <w:trPr>
          <w:trHeight w:val="289"/>
          <w:jc w:val="center"/>
        </w:trPr>
        <w:tc>
          <w:tcPr>
            <w:tcW w:w="2492" w:type="dxa"/>
            <w:tcBorders>
              <w:top w:val="single" w:sz="4" w:space="0" w:color="auto"/>
              <w:left w:val="single" w:sz="4" w:space="0" w:color="auto"/>
              <w:bottom w:val="single" w:sz="4" w:space="0" w:color="auto"/>
              <w:right w:val="single" w:sz="4" w:space="0" w:color="auto"/>
            </w:tcBorders>
            <w:hideMark/>
          </w:tcPr>
          <w:p w14:paraId="2E82DEA3"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Benígne a malígne nádory, vrátane nešpecifikovaných novotvarov (cysty a polypy)</w:t>
            </w:r>
          </w:p>
        </w:tc>
        <w:tc>
          <w:tcPr>
            <w:tcW w:w="2324" w:type="dxa"/>
            <w:tcBorders>
              <w:top w:val="single" w:sz="4" w:space="0" w:color="auto"/>
              <w:left w:val="single" w:sz="4" w:space="0" w:color="auto"/>
              <w:bottom w:val="single" w:sz="4" w:space="0" w:color="auto"/>
              <w:right w:val="single" w:sz="4" w:space="0" w:color="auto"/>
            </w:tcBorders>
            <w:vAlign w:val="bottom"/>
            <w:hideMark/>
          </w:tcPr>
          <w:p w14:paraId="6DA3EDE0" w14:textId="77777777" w:rsidR="00582954" w:rsidRDefault="00645977">
            <w:pPr>
              <w:spacing w:after="0" w:line="240" w:lineRule="auto"/>
              <w:ind w:right="-110"/>
              <w:rPr>
                <w:rFonts w:ascii="Times New Roman" w:hAnsi="Times New Roman"/>
                <w:snapToGrid w:val="0"/>
                <w:lang w:eastAsia="cs-CZ"/>
              </w:rPr>
            </w:pPr>
            <w:r>
              <w:rPr>
                <w:rFonts w:ascii="Times New Roman" w:hAnsi="Times New Roman"/>
              </w:rPr>
              <w:t>nemelanómová rakovina kože (bazocelulárny karcinóm a skvamocelulárny karcinóm)</w:t>
            </w:r>
          </w:p>
        </w:tc>
        <w:tc>
          <w:tcPr>
            <w:tcW w:w="1677" w:type="dxa"/>
            <w:tcBorders>
              <w:top w:val="single" w:sz="4" w:space="0" w:color="auto"/>
              <w:left w:val="single" w:sz="4" w:space="0" w:color="auto"/>
              <w:bottom w:val="single" w:sz="4" w:space="0" w:color="auto"/>
              <w:right w:val="single" w:sz="4" w:space="0" w:color="auto"/>
            </w:tcBorders>
            <w:vAlign w:val="bottom"/>
            <w:hideMark/>
          </w:tcPr>
          <w:p w14:paraId="44E9A256"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52058FBD"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3A681EFA"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neznáme</w:t>
            </w:r>
            <w:r>
              <w:rPr>
                <w:rFonts w:ascii="Times New Roman" w:hAnsi="Times New Roman"/>
                <w:snapToGrid w:val="0"/>
                <w:vertAlign w:val="superscript"/>
                <w:lang w:eastAsia="cs-CZ"/>
              </w:rPr>
              <w:t>2</w:t>
            </w:r>
          </w:p>
        </w:tc>
      </w:tr>
      <w:tr w:rsidR="00582954" w14:paraId="78C58871" w14:textId="77777777">
        <w:trPr>
          <w:trHeight w:val="289"/>
          <w:jc w:val="center"/>
        </w:trPr>
        <w:tc>
          <w:tcPr>
            <w:tcW w:w="2492" w:type="dxa"/>
            <w:vMerge w:val="restart"/>
            <w:tcBorders>
              <w:top w:val="single" w:sz="4" w:space="0" w:color="auto"/>
              <w:left w:val="single" w:sz="4" w:space="0" w:color="auto"/>
              <w:right w:val="single" w:sz="4" w:space="0" w:color="auto"/>
            </w:tcBorders>
            <w:hideMark/>
          </w:tcPr>
          <w:p w14:paraId="0D69E325" w14:textId="77777777" w:rsidR="00582954" w:rsidRDefault="00645977">
            <w:pPr>
              <w:keepNext/>
              <w:keepLines/>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Poruchy krvi a lymfatického systému</w:t>
            </w:r>
          </w:p>
        </w:tc>
        <w:tc>
          <w:tcPr>
            <w:tcW w:w="2324" w:type="dxa"/>
            <w:tcBorders>
              <w:top w:val="single" w:sz="4" w:space="0" w:color="auto"/>
              <w:left w:val="single" w:sz="4" w:space="0" w:color="auto"/>
              <w:bottom w:val="single" w:sz="4" w:space="0" w:color="auto"/>
              <w:right w:val="single" w:sz="4" w:space="0" w:color="auto"/>
            </w:tcBorders>
            <w:vAlign w:val="bottom"/>
            <w:hideMark/>
          </w:tcPr>
          <w:p w14:paraId="323BA7AF" w14:textId="77777777" w:rsidR="00582954" w:rsidRDefault="00645977">
            <w:pPr>
              <w:keepNext/>
              <w:keepLines/>
              <w:spacing w:after="0" w:line="240" w:lineRule="auto"/>
              <w:rPr>
                <w:rFonts w:ascii="Times New Roman" w:hAnsi="Times New Roman"/>
              </w:rPr>
            </w:pPr>
            <w:r>
              <w:rPr>
                <w:rFonts w:ascii="Times New Roman" w:hAnsi="Times New Roman"/>
              </w:rPr>
              <w:t>anémia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359CA29E" w14:textId="77777777" w:rsidR="00582954" w:rsidRDefault="00582954">
            <w:pPr>
              <w:keepNext/>
              <w:keepLines/>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55174A29"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7984DAA9" w14:textId="77777777" w:rsidR="00582954" w:rsidRDefault="00582954">
            <w:pPr>
              <w:keepNext/>
              <w:keepLines/>
              <w:spacing w:after="0" w:line="240" w:lineRule="auto"/>
              <w:rPr>
                <w:rFonts w:ascii="Times New Roman" w:hAnsi="Times New Roman"/>
                <w:snapToGrid w:val="0"/>
                <w:lang w:eastAsia="cs-CZ"/>
              </w:rPr>
            </w:pPr>
          </w:p>
        </w:tc>
      </w:tr>
      <w:tr w:rsidR="00582954" w14:paraId="5C42047B" w14:textId="77777777">
        <w:trPr>
          <w:trHeight w:val="289"/>
          <w:jc w:val="center"/>
        </w:trPr>
        <w:tc>
          <w:tcPr>
            <w:tcW w:w="2492" w:type="dxa"/>
            <w:vMerge/>
            <w:tcBorders>
              <w:left w:val="single" w:sz="4" w:space="0" w:color="auto"/>
              <w:right w:val="single" w:sz="4" w:space="0" w:color="auto"/>
            </w:tcBorders>
            <w:hideMark/>
          </w:tcPr>
          <w:p w14:paraId="4D104B6A" w14:textId="77777777" w:rsidR="00582954" w:rsidRDefault="00582954">
            <w:pPr>
              <w:keepNext/>
              <w:keepLines/>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0529FECC"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rPr>
              <w:t>eozinofília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3720910E" w14:textId="77777777" w:rsidR="00582954" w:rsidRDefault="00582954">
            <w:pPr>
              <w:keepNext/>
              <w:keepLines/>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7769A1B8"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2A6E15AB" w14:textId="77777777" w:rsidR="00582954" w:rsidRDefault="00582954">
            <w:pPr>
              <w:keepNext/>
              <w:keepLines/>
              <w:spacing w:after="0" w:line="240" w:lineRule="auto"/>
              <w:rPr>
                <w:rFonts w:ascii="Times New Roman" w:hAnsi="Times New Roman"/>
                <w:snapToGrid w:val="0"/>
                <w:lang w:eastAsia="cs-CZ"/>
              </w:rPr>
            </w:pPr>
          </w:p>
        </w:tc>
      </w:tr>
      <w:tr w:rsidR="00582954" w14:paraId="34F8AC23" w14:textId="77777777">
        <w:trPr>
          <w:trHeight w:val="289"/>
          <w:jc w:val="center"/>
        </w:trPr>
        <w:tc>
          <w:tcPr>
            <w:tcW w:w="2492" w:type="dxa"/>
            <w:vMerge/>
            <w:tcBorders>
              <w:left w:val="single" w:sz="4" w:space="0" w:color="auto"/>
              <w:right w:val="single" w:sz="4" w:space="0" w:color="auto"/>
            </w:tcBorders>
            <w:hideMark/>
          </w:tcPr>
          <w:p w14:paraId="6BB2C7D6" w14:textId="77777777" w:rsidR="00582954" w:rsidRDefault="00582954">
            <w:pPr>
              <w:keepNext/>
              <w:keepLines/>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44A93ED3"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rPr>
              <w:t>trombocytopénia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2BDBF5A7" w14:textId="77777777" w:rsidR="00582954" w:rsidRDefault="00582954">
            <w:pPr>
              <w:keepNext/>
              <w:keepLines/>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306BC8B5"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31FF94B5"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0C3E281B" w14:textId="77777777">
        <w:trPr>
          <w:trHeight w:val="289"/>
          <w:jc w:val="center"/>
        </w:trPr>
        <w:tc>
          <w:tcPr>
            <w:tcW w:w="2492" w:type="dxa"/>
            <w:vMerge/>
            <w:tcBorders>
              <w:left w:val="single" w:sz="4" w:space="0" w:color="auto"/>
              <w:right w:val="single" w:sz="4" w:space="0" w:color="auto"/>
            </w:tcBorders>
            <w:hideMark/>
          </w:tcPr>
          <w:p w14:paraId="42F08006" w14:textId="77777777" w:rsidR="00582954" w:rsidRDefault="00582954">
            <w:pPr>
              <w:keepNext/>
              <w:keepLines/>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1F6C40B2"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trombocytopenická purpura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16FAB054" w14:textId="77777777" w:rsidR="00582954" w:rsidRDefault="00582954">
            <w:pPr>
              <w:keepNext/>
              <w:keepLines/>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2A4B3AD1" w14:textId="77777777" w:rsidR="00582954" w:rsidRDefault="00582954">
            <w:pPr>
              <w:keepNext/>
              <w:keepLines/>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231C3586"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77946CF1" w14:textId="77777777">
        <w:trPr>
          <w:trHeight w:val="289"/>
          <w:jc w:val="center"/>
        </w:trPr>
        <w:tc>
          <w:tcPr>
            <w:tcW w:w="2492" w:type="dxa"/>
            <w:vMerge/>
            <w:tcBorders>
              <w:left w:val="single" w:sz="4" w:space="0" w:color="auto"/>
              <w:right w:val="single" w:sz="4" w:space="0" w:color="auto"/>
            </w:tcBorders>
            <w:hideMark/>
          </w:tcPr>
          <w:p w14:paraId="47953FCB" w14:textId="77777777" w:rsidR="00582954" w:rsidRDefault="00582954">
            <w:pPr>
              <w:keepNext/>
              <w:keepLines/>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43BD1A20"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rPr>
              <w:t>aplastická anémia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48A00D20" w14:textId="77777777" w:rsidR="00582954" w:rsidRDefault="00582954">
            <w:pPr>
              <w:keepNext/>
              <w:keepLines/>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3F2453C0" w14:textId="77777777" w:rsidR="00582954" w:rsidRDefault="00582954">
            <w:pPr>
              <w:keepNext/>
              <w:keepLines/>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6FADBF65"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neznáme</w:t>
            </w:r>
          </w:p>
        </w:tc>
      </w:tr>
      <w:tr w:rsidR="00582954" w14:paraId="0F86955C" w14:textId="77777777">
        <w:trPr>
          <w:trHeight w:val="289"/>
          <w:jc w:val="center"/>
        </w:trPr>
        <w:tc>
          <w:tcPr>
            <w:tcW w:w="2492" w:type="dxa"/>
            <w:vMerge/>
            <w:tcBorders>
              <w:left w:val="single" w:sz="4" w:space="0" w:color="auto"/>
              <w:right w:val="single" w:sz="4" w:space="0" w:color="auto"/>
            </w:tcBorders>
            <w:hideMark/>
          </w:tcPr>
          <w:p w14:paraId="14243F15" w14:textId="77777777" w:rsidR="00582954" w:rsidRDefault="00582954">
            <w:pPr>
              <w:keepNext/>
              <w:keepLines/>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4D94C0E6"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rPr>
              <w:t>hemolytická anémia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5EB92134" w14:textId="77777777" w:rsidR="00582954" w:rsidRDefault="00582954">
            <w:pPr>
              <w:keepNext/>
              <w:keepLines/>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7F3BA612" w14:textId="77777777" w:rsidR="00582954" w:rsidRDefault="00582954">
            <w:pPr>
              <w:keepNext/>
              <w:keepLines/>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2E5F0D1B"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veľmi zriedkavé</w:t>
            </w:r>
          </w:p>
        </w:tc>
      </w:tr>
      <w:tr w:rsidR="00582954" w14:paraId="27105375" w14:textId="77777777">
        <w:trPr>
          <w:trHeight w:val="289"/>
          <w:jc w:val="center"/>
        </w:trPr>
        <w:tc>
          <w:tcPr>
            <w:tcW w:w="2492" w:type="dxa"/>
            <w:vMerge/>
            <w:tcBorders>
              <w:left w:val="single" w:sz="4" w:space="0" w:color="auto"/>
              <w:right w:val="single" w:sz="4" w:space="0" w:color="auto"/>
            </w:tcBorders>
            <w:hideMark/>
          </w:tcPr>
          <w:p w14:paraId="391CA804" w14:textId="77777777" w:rsidR="00582954" w:rsidRDefault="00582954">
            <w:pPr>
              <w:keepNext/>
              <w:keepLines/>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1B6660C5"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rPr>
              <w:t>zlyhanie kostnej drene</w:t>
            </w:r>
          </w:p>
        </w:tc>
        <w:tc>
          <w:tcPr>
            <w:tcW w:w="1677" w:type="dxa"/>
            <w:tcBorders>
              <w:top w:val="single" w:sz="4" w:space="0" w:color="auto"/>
              <w:left w:val="single" w:sz="4" w:space="0" w:color="auto"/>
              <w:bottom w:val="single" w:sz="4" w:space="0" w:color="auto"/>
              <w:right w:val="single" w:sz="4" w:space="0" w:color="auto"/>
            </w:tcBorders>
            <w:vAlign w:val="bottom"/>
            <w:hideMark/>
          </w:tcPr>
          <w:p w14:paraId="419B2BB3" w14:textId="77777777" w:rsidR="00582954" w:rsidRDefault="00582954">
            <w:pPr>
              <w:keepNext/>
              <w:keepLines/>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78E84C76" w14:textId="77777777" w:rsidR="00582954" w:rsidRDefault="00582954">
            <w:pPr>
              <w:keepNext/>
              <w:keepLines/>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02CA544A"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veľmi zriedkavé</w:t>
            </w:r>
          </w:p>
        </w:tc>
      </w:tr>
      <w:tr w:rsidR="00582954" w14:paraId="6646C003" w14:textId="77777777">
        <w:trPr>
          <w:trHeight w:val="289"/>
          <w:jc w:val="center"/>
        </w:trPr>
        <w:tc>
          <w:tcPr>
            <w:tcW w:w="2492" w:type="dxa"/>
            <w:vMerge/>
            <w:tcBorders>
              <w:left w:val="single" w:sz="4" w:space="0" w:color="auto"/>
              <w:right w:val="single" w:sz="4" w:space="0" w:color="auto"/>
            </w:tcBorders>
            <w:hideMark/>
          </w:tcPr>
          <w:p w14:paraId="385E684D" w14:textId="77777777" w:rsidR="00582954" w:rsidRDefault="00582954">
            <w:pPr>
              <w:keepNext/>
              <w:keepLines/>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18D436AE"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rPr>
              <w:t>leukopénia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2042697C" w14:textId="77777777" w:rsidR="00582954" w:rsidRDefault="00582954">
            <w:pPr>
              <w:keepNext/>
              <w:keepLines/>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2ED57D55" w14:textId="77777777" w:rsidR="00582954" w:rsidRDefault="00582954">
            <w:pPr>
              <w:keepNext/>
              <w:keepLines/>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4F360410"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veľmi zriedkavé</w:t>
            </w:r>
          </w:p>
        </w:tc>
      </w:tr>
      <w:tr w:rsidR="00582954" w14:paraId="58D51D0A" w14:textId="77777777">
        <w:trPr>
          <w:trHeight w:val="289"/>
          <w:jc w:val="center"/>
        </w:trPr>
        <w:tc>
          <w:tcPr>
            <w:tcW w:w="2492" w:type="dxa"/>
            <w:vMerge/>
            <w:tcBorders>
              <w:left w:val="single" w:sz="4" w:space="0" w:color="auto"/>
              <w:bottom w:val="single" w:sz="4" w:space="0" w:color="auto"/>
              <w:right w:val="single" w:sz="4" w:space="0" w:color="auto"/>
            </w:tcBorders>
            <w:hideMark/>
          </w:tcPr>
          <w:p w14:paraId="43412A00" w14:textId="77777777" w:rsidR="00582954" w:rsidRDefault="00582954">
            <w:pPr>
              <w:keepNext/>
              <w:keepLines/>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35F525F5"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rPr>
              <w:t>agranulocytóza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18BDE752" w14:textId="77777777" w:rsidR="00582954" w:rsidRDefault="00582954">
            <w:pPr>
              <w:keepNext/>
              <w:keepLines/>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485FFAEC" w14:textId="77777777" w:rsidR="00582954" w:rsidRDefault="00582954">
            <w:pPr>
              <w:keepNext/>
              <w:keepLines/>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252A0A2D"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veľmi zriedkavé</w:t>
            </w:r>
          </w:p>
        </w:tc>
      </w:tr>
      <w:tr w:rsidR="00582954" w14:paraId="4AC5B748" w14:textId="77777777">
        <w:trPr>
          <w:trHeight w:val="289"/>
          <w:jc w:val="center"/>
        </w:trPr>
        <w:tc>
          <w:tcPr>
            <w:tcW w:w="2492" w:type="dxa"/>
            <w:vMerge w:val="restart"/>
            <w:tcBorders>
              <w:top w:val="single" w:sz="4" w:space="0" w:color="auto"/>
              <w:left w:val="single" w:sz="4" w:space="0" w:color="auto"/>
              <w:right w:val="single" w:sz="4" w:space="0" w:color="auto"/>
            </w:tcBorders>
            <w:hideMark/>
          </w:tcPr>
          <w:p w14:paraId="02C7E76C"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Poruchy imunitného systému</w:t>
            </w:r>
          </w:p>
        </w:tc>
        <w:tc>
          <w:tcPr>
            <w:tcW w:w="2324" w:type="dxa"/>
            <w:tcBorders>
              <w:top w:val="single" w:sz="4" w:space="0" w:color="auto"/>
              <w:left w:val="single" w:sz="4" w:space="0" w:color="auto"/>
              <w:bottom w:val="single" w:sz="4" w:space="0" w:color="auto"/>
              <w:right w:val="single" w:sz="4" w:space="0" w:color="auto"/>
            </w:tcBorders>
            <w:vAlign w:val="bottom"/>
          </w:tcPr>
          <w:p w14:paraId="4A05C518" w14:textId="77777777" w:rsidR="00582954" w:rsidRDefault="00645977">
            <w:pPr>
              <w:spacing w:after="0" w:line="240" w:lineRule="auto"/>
              <w:rPr>
                <w:rFonts w:ascii="Times New Roman" w:hAnsi="Times New Roman"/>
                <w:snapToGrid w:val="0"/>
                <w:lang w:eastAsia="cs-CZ"/>
              </w:rPr>
            </w:pPr>
            <w:r>
              <w:rPr>
                <w:rFonts w:ascii="Times New Roman" w:hAnsi="Times New Roman"/>
              </w:rPr>
              <w:t>anafylaktická reakcia</w:t>
            </w:r>
          </w:p>
        </w:tc>
        <w:tc>
          <w:tcPr>
            <w:tcW w:w="1677" w:type="dxa"/>
            <w:tcBorders>
              <w:top w:val="single" w:sz="4" w:space="0" w:color="auto"/>
              <w:left w:val="single" w:sz="4" w:space="0" w:color="auto"/>
              <w:bottom w:val="single" w:sz="4" w:space="0" w:color="auto"/>
              <w:right w:val="single" w:sz="4" w:space="0" w:color="auto"/>
            </w:tcBorders>
            <w:vAlign w:val="bottom"/>
          </w:tcPr>
          <w:p w14:paraId="5A66FFAA"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tcPr>
          <w:p w14:paraId="3C6AF459"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tcPr>
          <w:p w14:paraId="6E2CE122" w14:textId="77777777" w:rsidR="00582954" w:rsidRDefault="00582954">
            <w:pPr>
              <w:spacing w:after="0" w:line="240" w:lineRule="auto"/>
              <w:rPr>
                <w:rFonts w:ascii="Times New Roman" w:hAnsi="Times New Roman"/>
                <w:snapToGrid w:val="0"/>
                <w:lang w:eastAsia="cs-CZ"/>
              </w:rPr>
            </w:pPr>
          </w:p>
        </w:tc>
      </w:tr>
      <w:tr w:rsidR="00582954" w14:paraId="5D15479E" w14:textId="77777777">
        <w:trPr>
          <w:trHeight w:val="289"/>
          <w:jc w:val="center"/>
        </w:trPr>
        <w:tc>
          <w:tcPr>
            <w:tcW w:w="2492" w:type="dxa"/>
            <w:vMerge/>
            <w:tcBorders>
              <w:left w:val="single" w:sz="4" w:space="0" w:color="auto"/>
              <w:right w:val="single" w:sz="4" w:space="0" w:color="auto"/>
            </w:tcBorders>
          </w:tcPr>
          <w:p w14:paraId="1E152E95" w14:textId="77777777" w:rsidR="00582954" w:rsidRDefault="00582954">
            <w:pPr>
              <w:spacing w:after="0" w:line="240" w:lineRule="auto"/>
              <w:ind w:right="-162"/>
              <w:rPr>
                <w:rFonts w:ascii="Times New Roman" w:hAnsi="Times New Roman"/>
                <w:b/>
                <w:bCs/>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tcPr>
          <w:p w14:paraId="2DA8D369" w14:textId="77777777" w:rsidR="00582954" w:rsidRDefault="00645977">
            <w:pPr>
              <w:spacing w:after="0" w:line="240" w:lineRule="auto"/>
              <w:rPr>
                <w:rFonts w:ascii="Times New Roman" w:hAnsi="Times New Roman"/>
                <w:snapToGrid w:val="0"/>
                <w:lang w:eastAsia="cs-CZ"/>
              </w:rPr>
            </w:pPr>
            <w:r>
              <w:rPr>
                <w:rFonts w:ascii="Times New Roman" w:hAnsi="Times New Roman"/>
              </w:rPr>
              <w:t>precitlivenosť</w:t>
            </w:r>
          </w:p>
        </w:tc>
        <w:tc>
          <w:tcPr>
            <w:tcW w:w="1677" w:type="dxa"/>
            <w:tcBorders>
              <w:top w:val="single" w:sz="4" w:space="0" w:color="auto"/>
              <w:left w:val="single" w:sz="4" w:space="0" w:color="auto"/>
              <w:bottom w:val="single" w:sz="4" w:space="0" w:color="auto"/>
              <w:right w:val="single" w:sz="4" w:space="0" w:color="auto"/>
            </w:tcBorders>
            <w:vAlign w:val="bottom"/>
          </w:tcPr>
          <w:p w14:paraId="40C32F59"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tcPr>
          <w:p w14:paraId="1AFC38C2"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tcPr>
          <w:p w14:paraId="591A32A2"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veľmi zriedkavé</w:t>
            </w:r>
          </w:p>
        </w:tc>
      </w:tr>
      <w:tr w:rsidR="00582954" w14:paraId="33395D33" w14:textId="77777777">
        <w:trPr>
          <w:trHeight w:val="289"/>
          <w:jc w:val="center"/>
        </w:trPr>
        <w:tc>
          <w:tcPr>
            <w:tcW w:w="2492" w:type="dxa"/>
            <w:vMerge w:val="restart"/>
            <w:tcBorders>
              <w:top w:val="single" w:sz="4" w:space="0" w:color="auto"/>
              <w:left w:val="single" w:sz="4" w:space="0" w:color="auto"/>
              <w:right w:val="single" w:sz="4" w:space="0" w:color="auto"/>
            </w:tcBorders>
            <w:hideMark/>
          </w:tcPr>
          <w:p w14:paraId="14695F47"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Poruchy metabolizmu a výživy</w:t>
            </w:r>
          </w:p>
        </w:tc>
        <w:tc>
          <w:tcPr>
            <w:tcW w:w="2324" w:type="dxa"/>
            <w:tcBorders>
              <w:top w:val="single" w:sz="4" w:space="0" w:color="auto"/>
              <w:left w:val="single" w:sz="4" w:space="0" w:color="auto"/>
              <w:bottom w:val="single" w:sz="4" w:space="0" w:color="auto"/>
              <w:right w:val="single" w:sz="4" w:space="0" w:color="auto"/>
            </w:tcBorders>
            <w:vAlign w:val="bottom"/>
            <w:hideMark/>
          </w:tcPr>
          <w:p w14:paraId="2978E955" w14:textId="77777777" w:rsidR="00582954" w:rsidRDefault="00645977">
            <w:pPr>
              <w:spacing w:after="0" w:line="240" w:lineRule="auto"/>
              <w:rPr>
                <w:rFonts w:ascii="Times New Roman" w:hAnsi="Times New Roman"/>
                <w:snapToGrid w:val="0"/>
                <w:lang w:eastAsia="cs-CZ"/>
              </w:rPr>
            </w:pPr>
            <w:r>
              <w:rPr>
                <w:rFonts w:ascii="Times New Roman" w:hAnsi="Times New Roman"/>
              </w:rPr>
              <w:t>hypokaliémia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1E9C20B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66A10212"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49D95FB4" w14:textId="77777777" w:rsidR="00582954" w:rsidRDefault="00645977">
            <w:pPr>
              <w:spacing w:after="0" w:line="240" w:lineRule="auto"/>
              <w:ind w:left="-530" w:firstLine="530"/>
              <w:rPr>
                <w:rFonts w:ascii="Times New Roman" w:hAnsi="Times New Roman"/>
                <w:snapToGrid w:val="0"/>
                <w:lang w:eastAsia="cs-CZ"/>
              </w:rPr>
            </w:pPr>
            <w:r>
              <w:rPr>
                <w:rFonts w:ascii="Times New Roman" w:hAnsi="Times New Roman"/>
                <w:snapToGrid w:val="0"/>
                <w:lang w:eastAsia="cs-CZ"/>
              </w:rPr>
              <w:t>veľmi časté</w:t>
            </w:r>
          </w:p>
        </w:tc>
      </w:tr>
      <w:tr w:rsidR="00582954" w14:paraId="37F39C43" w14:textId="77777777">
        <w:trPr>
          <w:trHeight w:val="289"/>
          <w:jc w:val="center"/>
        </w:trPr>
        <w:tc>
          <w:tcPr>
            <w:tcW w:w="2492" w:type="dxa"/>
            <w:vMerge/>
            <w:tcBorders>
              <w:left w:val="single" w:sz="4" w:space="0" w:color="auto"/>
              <w:right w:val="single" w:sz="4" w:space="0" w:color="auto"/>
            </w:tcBorders>
            <w:hideMark/>
          </w:tcPr>
          <w:p w14:paraId="3AB93B14"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6F1C4807" w14:textId="77777777" w:rsidR="00582954" w:rsidRDefault="00645977">
            <w:pPr>
              <w:spacing w:after="0" w:line="240" w:lineRule="auto"/>
              <w:rPr>
                <w:rFonts w:ascii="Times New Roman" w:hAnsi="Times New Roman"/>
                <w:snapToGrid w:val="0"/>
                <w:lang w:eastAsia="cs-CZ"/>
              </w:rPr>
            </w:pPr>
            <w:r>
              <w:rPr>
                <w:rFonts w:ascii="Times New Roman" w:hAnsi="Times New Roman"/>
              </w:rPr>
              <w:t>hyperurikémia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2B04259D"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5923AF42"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49074BCC"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časté</w:t>
            </w:r>
          </w:p>
        </w:tc>
      </w:tr>
      <w:tr w:rsidR="00582954" w14:paraId="55E00BB4" w14:textId="77777777">
        <w:trPr>
          <w:trHeight w:val="289"/>
          <w:jc w:val="center"/>
        </w:trPr>
        <w:tc>
          <w:tcPr>
            <w:tcW w:w="2492" w:type="dxa"/>
            <w:vMerge/>
            <w:tcBorders>
              <w:left w:val="single" w:sz="4" w:space="0" w:color="auto"/>
              <w:right w:val="single" w:sz="4" w:space="0" w:color="auto"/>
            </w:tcBorders>
            <w:hideMark/>
          </w:tcPr>
          <w:p w14:paraId="17BE974D"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05BF1A1A" w14:textId="77777777" w:rsidR="00582954" w:rsidRDefault="00645977">
            <w:pPr>
              <w:spacing w:after="0" w:line="240" w:lineRule="auto"/>
              <w:rPr>
                <w:rFonts w:ascii="Times New Roman" w:hAnsi="Times New Roman"/>
                <w:snapToGrid w:val="0"/>
                <w:lang w:eastAsia="cs-CZ"/>
              </w:rPr>
            </w:pPr>
            <w:r>
              <w:rPr>
                <w:rFonts w:ascii="Times New Roman" w:hAnsi="Times New Roman"/>
              </w:rPr>
              <w:t>hyponatriémia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0F59029B"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64C5BFC2"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115A724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časté</w:t>
            </w:r>
          </w:p>
        </w:tc>
      </w:tr>
      <w:tr w:rsidR="00582954" w14:paraId="1077F4ED" w14:textId="77777777">
        <w:trPr>
          <w:trHeight w:val="289"/>
          <w:jc w:val="center"/>
        </w:trPr>
        <w:tc>
          <w:tcPr>
            <w:tcW w:w="2492" w:type="dxa"/>
            <w:vMerge/>
            <w:tcBorders>
              <w:left w:val="single" w:sz="4" w:space="0" w:color="auto"/>
              <w:right w:val="single" w:sz="4" w:space="0" w:color="auto"/>
            </w:tcBorders>
            <w:hideMark/>
          </w:tcPr>
          <w:p w14:paraId="0F2DCB6A"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6AE15ED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hyper</w:t>
            </w:r>
            <w:r>
              <w:rPr>
                <w:rFonts w:ascii="Times New Roman" w:hAnsi="Times New Roman"/>
              </w:rPr>
              <w:t>kaliémia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63018825"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4CD0EC73"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060BDF08" w14:textId="77777777" w:rsidR="00582954" w:rsidRDefault="00582954">
            <w:pPr>
              <w:spacing w:after="0" w:line="240" w:lineRule="auto"/>
              <w:rPr>
                <w:rFonts w:ascii="Times New Roman" w:hAnsi="Times New Roman"/>
                <w:snapToGrid w:val="0"/>
                <w:lang w:eastAsia="cs-CZ"/>
              </w:rPr>
            </w:pPr>
          </w:p>
        </w:tc>
      </w:tr>
      <w:tr w:rsidR="00582954" w14:paraId="178E0A9B" w14:textId="77777777">
        <w:trPr>
          <w:trHeight w:val="289"/>
          <w:jc w:val="center"/>
        </w:trPr>
        <w:tc>
          <w:tcPr>
            <w:tcW w:w="2492" w:type="dxa"/>
            <w:vMerge/>
            <w:tcBorders>
              <w:left w:val="single" w:sz="4" w:space="0" w:color="auto"/>
              <w:right w:val="single" w:sz="4" w:space="0" w:color="auto"/>
            </w:tcBorders>
            <w:hideMark/>
          </w:tcPr>
          <w:p w14:paraId="64FBD25B"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2BC1D7FC" w14:textId="77777777" w:rsidR="00582954" w:rsidRDefault="00645977">
            <w:pPr>
              <w:spacing w:after="0" w:line="240" w:lineRule="auto"/>
              <w:rPr>
                <w:rFonts w:ascii="Times New Roman" w:hAnsi="Times New Roman"/>
                <w:snapToGrid w:val="0"/>
                <w:lang w:eastAsia="cs-CZ"/>
              </w:rPr>
            </w:pPr>
            <w:r>
              <w:rPr>
                <w:rFonts w:ascii="Times New Roman" w:hAnsi="Times New Roman"/>
              </w:rPr>
              <w:t>hypoglykémia (u diabetikov)</w:t>
            </w:r>
          </w:p>
        </w:tc>
        <w:tc>
          <w:tcPr>
            <w:tcW w:w="1677" w:type="dxa"/>
            <w:tcBorders>
              <w:top w:val="single" w:sz="4" w:space="0" w:color="auto"/>
              <w:left w:val="single" w:sz="4" w:space="0" w:color="auto"/>
              <w:bottom w:val="single" w:sz="4" w:space="0" w:color="auto"/>
              <w:right w:val="single" w:sz="4" w:space="0" w:color="auto"/>
            </w:tcBorders>
            <w:vAlign w:val="bottom"/>
            <w:hideMark/>
          </w:tcPr>
          <w:p w14:paraId="468799BD"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5B21D488"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3BE33C53" w14:textId="77777777" w:rsidR="00582954" w:rsidRDefault="00582954">
            <w:pPr>
              <w:spacing w:after="0" w:line="240" w:lineRule="auto"/>
              <w:rPr>
                <w:rFonts w:ascii="Times New Roman" w:hAnsi="Times New Roman"/>
                <w:snapToGrid w:val="0"/>
                <w:lang w:eastAsia="cs-CZ"/>
              </w:rPr>
            </w:pPr>
          </w:p>
        </w:tc>
      </w:tr>
      <w:tr w:rsidR="00582954" w14:paraId="2B357693" w14:textId="77777777">
        <w:trPr>
          <w:trHeight w:val="289"/>
          <w:jc w:val="center"/>
        </w:trPr>
        <w:tc>
          <w:tcPr>
            <w:tcW w:w="2492" w:type="dxa"/>
            <w:vMerge/>
            <w:tcBorders>
              <w:left w:val="single" w:sz="4" w:space="0" w:color="auto"/>
              <w:right w:val="single" w:sz="4" w:space="0" w:color="auto"/>
            </w:tcBorders>
            <w:hideMark/>
          </w:tcPr>
          <w:p w14:paraId="3F39969A"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1F5377ED" w14:textId="77777777" w:rsidR="00582954" w:rsidRDefault="00645977">
            <w:pPr>
              <w:spacing w:after="0" w:line="240" w:lineRule="auto"/>
              <w:rPr>
                <w:rFonts w:ascii="Times New Roman" w:hAnsi="Times New Roman"/>
                <w:snapToGrid w:val="0"/>
                <w:lang w:eastAsia="cs-CZ"/>
              </w:rPr>
            </w:pPr>
            <w:r>
              <w:rPr>
                <w:rFonts w:ascii="Times New Roman" w:hAnsi="Times New Roman"/>
              </w:rPr>
              <w:t>hypomagneziémia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602C7ABD"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256D94FB"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77F91F5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časté</w:t>
            </w:r>
          </w:p>
        </w:tc>
      </w:tr>
      <w:tr w:rsidR="00582954" w14:paraId="2A66E12E" w14:textId="77777777">
        <w:trPr>
          <w:trHeight w:val="289"/>
          <w:jc w:val="center"/>
        </w:trPr>
        <w:tc>
          <w:tcPr>
            <w:tcW w:w="2492" w:type="dxa"/>
            <w:vMerge/>
            <w:tcBorders>
              <w:left w:val="single" w:sz="4" w:space="0" w:color="auto"/>
              <w:right w:val="single" w:sz="4" w:space="0" w:color="auto"/>
            </w:tcBorders>
            <w:hideMark/>
          </w:tcPr>
          <w:p w14:paraId="3D12B101"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111D57C5" w14:textId="77777777" w:rsidR="00582954" w:rsidRDefault="00645977">
            <w:pPr>
              <w:spacing w:after="0" w:line="240" w:lineRule="auto"/>
              <w:rPr>
                <w:rFonts w:ascii="Times New Roman" w:hAnsi="Times New Roman"/>
                <w:snapToGrid w:val="0"/>
                <w:lang w:eastAsia="cs-CZ"/>
              </w:rPr>
            </w:pPr>
            <w:r>
              <w:rPr>
                <w:rFonts w:ascii="Times New Roman" w:hAnsi="Times New Roman"/>
              </w:rPr>
              <w:t>hyperkalciémia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2DBCE354"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4269E149"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72F48A34"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3A5EC0EC" w14:textId="77777777">
        <w:trPr>
          <w:trHeight w:val="289"/>
          <w:jc w:val="center"/>
        </w:trPr>
        <w:tc>
          <w:tcPr>
            <w:tcW w:w="2492" w:type="dxa"/>
            <w:vMerge/>
            <w:tcBorders>
              <w:left w:val="single" w:sz="4" w:space="0" w:color="auto"/>
              <w:right w:val="single" w:sz="4" w:space="0" w:color="auto"/>
            </w:tcBorders>
            <w:hideMark/>
          </w:tcPr>
          <w:p w14:paraId="47D977F4"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7CDBA819" w14:textId="77777777" w:rsidR="00582954" w:rsidRDefault="00645977">
            <w:pPr>
              <w:spacing w:after="0" w:line="240" w:lineRule="auto"/>
              <w:rPr>
                <w:rFonts w:ascii="Times New Roman" w:hAnsi="Times New Roman"/>
                <w:snapToGrid w:val="0"/>
                <w:lang w:eastAsia="cs-CZ"/>
              </w:rPr>
            </w:pPr>
            <w:r>
              <w:rPr>
                <w:rFonts w:ascii="Times New Roman" w:hAnsi="Times New Roman"/>
              </w:rPr>
              <w:t>hypochloremická alkalóza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11CCCCD5"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78DAC3B1"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7B9265F7"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veľmi zriedkavé</w:t>
            </w:r>
          </w:p>
        </w:tc>
      </w:tr>
      <w:tr w:rsidR="00582954" w14:paraId="7B9E3F34" w14:textId="77777777">
        <w:trPr>
          <w:trHeight w:val="289"/>
          <w:jc w:val="center"/>
        </w:trPr>
        <w:tc>
          <w:tcPr>
            <w:tcW w:w="2492" w:type="dxa"/>
            <w:vMerge/>
            <w:tcBorders>
              <w:left w:val="single" w:sz="4" w:space="0" w:color="auto"/>
              <w:right w:val="single" w:sz="4" w:space="0" w:color="auto"/>
            </w:tcBorders>
            <w:hideMark/>
          </w:tcPr>
          <w:p w14:paraId="601BF1E1"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2B1B1DE8" w14:textId="77777777" w:rsidR="00582954" w:rsidRDefault="00645977">
            <w:pPr>
              <w:spacing w:after="0" w:line="240" w:lineRule="auto"/>
              <w:rPr>
                <w:rFonts w:ascii="Times New Roman" w:hAnsi="Times New Roman"/>
                <w:snapToGrid w:val="0"/>
                <w:lang w:eastAsia="cs-CZ"/>
              </w:rPr>
            </w:pPr>
            <w:r>
              <w:rPr>
                <w:rFonts w:ascii="Times New Roman" w:hAnsi="Times New Roman"/>
              </w:rPr>
              <w:t>znížená chuť do jedla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4A57069A"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07A51A11"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63E5A2AA"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časté</w:t>
            </w:r>
          </w:p>
        </w:tc>
      </w:tr>
      <w:tr w:rsidR="00582954" w14:paraId="4A915120" w14:textId="77777777">
        <w:trPr>
          <w:trHeight w:val="289"/>
          <w:jc w:val="center"/>
        </w:trPr>
        <w:tc>
          <w:tcPr>
            <w:tcW w:w="2492" w:type="dxa"/>
            <w:vMerge/>
            <w:tcBorders>
              <w:left w:val="single" w:sz="4" w:space="0" w:color="auto"/>
              <w:right w:val="single" w:sz="4" w:space="0" w:color="auto"/>
            </w:tcBorders>
            <w:hideMark/>
          </w:tcPr>
          <w:p w14:paraId="00EB99DE"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697A8362"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hyperlipidémia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1C0F271D"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0C5C40AE"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4A2A0F14"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veľmi časté</w:t>
            </w:r>
          </w:p>
        </w:tc>
      </w:tr>
      <w:tr w:rsidR="00582954" w14:paraId="464EB13B" w14:textId="77777777">
        <w:trPr>
          <w:trHeight w:val="289"/>
          <w:jc w:val="center"/>
        </w:trPr>
        <w:tc>
          <w:tcPr>
            <w:tcW w:w="2492" w:type="dxa"/>
            <w:vMerge/>
            <w:tcBorders>
              <w:left w:val="single" w:sz="4" w:space="0" w:color="auto"/>
              <w:right w:val="single" w:sz="4" w:space="0" w:color="auto"/>
            </w:tcBorders>
            <w:hideMark/>
          </w:tcPr>
          <w:p w14:paraId="43E210D1"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52ABF3BF" w14:textId="77777777" w:rsidR="00582954" w:rsidRDefault="00645977">
            <w:pPr>
              <w:spacing w:after="0" w:line="240" w:lineRule="auto"/>
              <w:rPr>
                <w:rFonts w:ascii="Times New Roman" w:hAnsi="Times New Roman"/>
                <w:snapToGrid w:val="0"/>
                <w:lang w:eastAsia="cs-CZ"/>
              </w:rPr>
            </w:pPr>
            <w:r>
              <w:rPr>
                <w:rFonts w:ascii="Times New Roman" w:hAnsi="Times New Roman"/>
              </w:rPr>
              <w:t>hyperglykémia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29B2CDB7"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4B8AAB77"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21E0C0BC"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3B126692" w14:textId="77777777">
        <w:trPr>
          <w:trHeight w:val="289"/>
          <w:jc w:val="center"/>
        </w:trPr>
        <w:tc>
          <w:tcPr>
            <w:tcW w:w="2492" w:type="dxa"/>
            <w:vMerge/>
            <w:tcBorders>
              <w:left w:val="single" w:sz="4" w:space="0" w:color="auto"/>
              <w:bottom w:val="single" w:sz="4" w:space="0" w:color="auto"/>
              <w:right w:val="single" w:sz="4" w:space="0" w:color="auto"/>
            </w:tcBorders>
          </w:tcPr>
          <w:p w14:paraId="53F20278"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tcPr>
          <w:p w14:paraId="06558DDD" w14:textId="77777777" w:rsidR="00582954" w:rsidRDefault="00645977">
            <w:pPr>
              <w:spacing w:after="0" w:line="240" w:lineRule="auto"/>
              <w:ind w:right="-110"/>
              <w:rPr>
                <w:rFonts w:ascii="Times New Roman" w:hAnsi="Times New Roman"/>
                <w:snapToGrid w:val="0"/>
                <w:lang w:eastAsia="cs-CZ"/>
              </w:rPr>
            </w:pPr>
            <w:r>
              <w:rPr>
                <w:rFonts w:ascii="Times New Roman" w:hAnsi="Times New Roman"/>
              </w:rPr>
              <w:t>diabetes mellitus nedostatočná kontrola</w:t>
            </w:r>
          </w:p>
        </w:tc>
        <w:tc>
          <w:tcPr>
            <w:tcW w:w="1677" w:type="dxa"/>
            <w:tcBorders>
              <w:top w:val="single" w:sz="4" w:space="0" w:color="auto"/>
              <w:left w:val="single" w:sz="4" w:space="0" w:color="auto"/>
              <w:bottom w:val="single" w:sz="4" w:space="0" w:color="auto"/>
              <w:right w:val="single" w:sz="4" w:space="0" w:color="auto"/>
            </w:tcBorders>
            <w:vAlign w:val="bottom"/>
          </w:tcPr>
          <w:p w14:paraId="1B3009B7"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tcPr>
          <w:p w14:paraId="1CF16E53"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tcPr>
          <w:p w14:paraId="75222C82"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095FB520" w14:textId="77777777">
        <w:trPr>
          <w:trHeight w:val="289"/>
          <w:jc w:val="center"/>
        </w:trPr>
        <w:tc>
          <w:tcPr>
            <w:tcW w:w="2492" w:type="dxa"/>
            <w:vMerge w:val="restart"/>
            <w:tcBorders>
              <w:top w:val="single" w:sz="4" w:space="0" w:color="auto"/>
              <w:left w:val="single" w:sz="4" w:space="0" w:color="auto"/>
              <w:right w:val="single" w:sz="4" w:space="0" w:color="auto"/>
            </w:tcBorders>
            <w:hideMark/>
          </w:tcPr>
          <w:p w14:paraId="4BF5C5E1"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Psychické poruchy</w:t>
            </w:r>
          </w:p>
        </w:tc>
        <w:tc>
          <w:tcPr>
            <w:tcW w:w="2324" w:type="dxa"/>
            <w:tcBorders>
              <w:top w:val="single" w:sz="4" w:space="0" w:color="auto"/>
              <w:left w:val="single" w:sz="4" w:space="0" w:color="auto"/>
              <w:bottom w:val="single" w:sz="4" w:space="0" w:color="auto"/>
              <w:right w:val="single" w:sz="4" w:space="0" w:color="auto"/>
            </w:tcBorders>
            <w:vAlign w:val="bottom"/>
            <w:hideMark/>
          </w:tcPr>
          <w:p w14:paraId="2EB53696" w14:textId="77777777" w:rsidR="00582954" w:rsidRDefault="00645977">
            <w:pPr>
              <w:spacing w:after="0" w:line="240" w:lineRule="auto"/>
              <w:rPr>
                <w:rFonts w:ascii="Times New Roman" w:hAnsi="Times New Roman"/>
                <w:snapToGrid w:val="0"/>
                <w:lang w:eastAsia="cs-CZ"/>
              </w:rPr>
            </w:pPr>
            <w:r>
              <w:rPr>
                <w:rFonts w:ascii="Times New Roman" w:hAnsi="Times New Roman"/>
              </w:rPr>
              <w:t>úzkosť</w:t>
            </w:r>
          </w:p>
        </w:tc>
        <w:tc>
          <w:tcPr>
            <w:tcW w:w="1677" w:type="dxa"/>
            <w:tcBorders>
              <w:top w:val="single" w:sz="4" w:space="0" w:color="auto"/>
              <w:left w:val="single" w:sz="4" w:space="0" w:color="auto"/>
              <w:bottom w:val="single" w:sz="4" w:space="0" w:color="auto"/>
              <w:right w:val="single" w:sz="4" w:space="0" w:color="auto"/>
            </w:tcBorders>
            <w:vAlign w:val="bottom"/>
            <w:hideMark/>
          </w:tcPr>
          <w:p w14:paraId="78FBD6E8"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707067E2"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234E2EA2" w14:textId="77777777" w:rsidR="00582954" w:rsidRDefault="00582954">
            <w:pPr>
              <w:spacing w:after="0" w:line="240" w:lineRule="auto"/>
              <w:rPr>
                <w:rFonts w:ascii="Times New Roman" w:hAnsi="Times New Roman"/>
                <w:snapToGrid w:val="0"/>
                <w:lang w:eastAsia="cs-CZ"/>
              </w:rPr>
            </w:pPr>
          </w:p>
        </w:tc>
      </w:tr>
      <w:tr w:rsidR="00582954" w14:paraId="26438A56" w14:textId="77777777">
        <w:trPr>
          <w:trHeight w:val="289"/>
          <w:jc w:val="center"/>
        </w:trPr>
        <w:tc>
          <w:tcPr>
            <w:tcW w:w="2492" w:type="dxa"/>
            <w:vMerge/>
            <w:tcBorders>
              <w:left w:val="single" w:sz="4" w:space="0" w:color="auto"/>
              <w:right w:val="single" w:sz="4" w:space="0" w:color="auto"/>
            </w:tcBorders>
            <w:hideMark/>
          </w:tcPr>
          <w:p w14:paraId="37B44FE9"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1B6A7BD5" w14:textId="77777777" w:rsidR="00582954" w:rsidRDefault="00645977">
            <w:pPr>
              <w:spacing w:after="0" w:line="240" w:lineRule="auto"/>
              <w:rPr>
                <w:rFonts w:ascii="Times New Roman" w:hAnsi="Times New Roman"/>
                <w:snapToGrid w:val="0"/>
                <w:lang w:eastAsia="cs-CZ"/>
              </w:rPr>
            </w:pPr>
            <w:r>
              <w:rPr>
                <w:rFonts w:ascii="Times New Roman" w:hAnsi="Times New Roman"/>
              </w:rPr>
              <w:t>depresia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5F1D5A37"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041AE6E5"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17189CC9"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21FB2B0E" w14:textId="77777777">
        <w:trPr>
          <w:trHeight w:val="289"/>
          <w:jc w:val="center"/>
        </w:trPr>
        <w:tc>
          <w:tcPr>
            <w:tcW w:w="2492" w:type="dxa"/>
            <w:vMerge/>
            <w:tcBorders>
              <w:left w:val="single" w:sz="4" w:space="0" w:color="auto"/>
              <w:right w:val="single" w:sz="4" w:space="0" w:color="auto"/>
            </w:tcBorders>
          </w:tcPr>
          <w:p w14:paraId="081ECB61"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tcPr>
          <w:p w14:paraId="206CFC51" w14:textId="77777777" w:rsidR="00582954" w:rsidRDefault="00645977">
            <w:pPr>
              <w:spacing w:after="0" w:line="240" w:lineRule="auto"/>
              <w:rPr>
                <w:rFonts w:ascii="Times New Roman" w:hAnsi="Times New Roman"/>
                <w:snapToGrid w:val="0"/>
                <w:lang w:eastAsia="cs-CZ"/>
              </w:rPr>
            </w:pPr>
            <w:r>
              <w:rPr>
                <w:rFonts w:ascii="Times New Roman" w:hAnsi="Times New Roman"/>
              </w:rPr>
              <w:t>nespavosť</w:t>
            </w:r>
          </w:p>
        </w:tc>
        <w:tc>
          <w:tcPr>
            <w:tcW w:w="1677" w:type="dxa"/>
            <w:tcBorders>
              <w:top w:val="single" w:sz="4" w:space="0" w:color="auto"/>
              <w:left w:val="single" w:sz="4" w:space="0" w:color="auto"/>
              <w:bottom w:val="single" w:sz="4" w:space="0" w:color="auto"/>
              <w:right w:val="single" w:sz="4" w:space="0" w:color="auto"/>
            </w:tcBorders>
            <w:vAlign w:val="bottom"/>
          </w:tcPr>
          <w:p w14:paraId="10186C1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tcPr>
          <w:p w14:paraId="13F899B0"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tcPr>
          <w:p w14:paraId="432C9FCC" w14:textId="77777777" w:rsidR="00582954" w:rsidRDefault="00582954">
            <w:pPr>
              <w:spacing w:after="0" w:line="240" w:lineRule="auto"/>
              <w:rPr>
                <w:rFonts w:ascii="Times New Roman" w:hAnsi="Times New Roman"/>
                <w:snapToGrid w:val="0"/>
                <w:lang w:eastAsia="cs-CZ"/>
              </w:rPr>
            </w:pPr>
          </w:p>
        </w:tc>
      </w:tr>
      <w:tr w:rsidR="00582954" w14:paraId="1B8805F2" w14:textId="77777777">
        <w:trPr>
          <w:trHeight w:val="289"/>
          <w:jc w:val="center"/>
        </w:trPr>
        <w:tc>
          <w:tcPr>
            <w:tcW w:w="2492" w:type="dxa"/>
            <w:vMerge/>
            <w:tcBorders>
              <w:left w:val="single" w:sz="4" w:space="0" w:color="auto"/>
              <w:bottom w:val="single" w:sz="4" w:space="0" w:color="auto"/>
              <w:right w:val="single" w:sz="4" w:space="0" w:color="auto"/>
            </w:tcBorders>
          </w:tcPr>
          <w:p w14:paraId="3BAF78AD"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tcPr>
          <w:p w14:paraId="55B54E5A" w14:textId="77777777" w:rsidR="00582954" w:rsidRDefault="00645977">
            <w:pPr>
              <w:spacing w:after="0" w:line="240" w:lineRule="auto"/>
              <w:rPr>
                <w:rFonts w:ascii="Times New Roman" w:hAnsi="Times New Roman"/>
                <w:snapToGrid w:val="0"/>
                <w:lang w:eastAsia="cs-CZ"/>
              </w:rPr>
            </w:pPr>
            <w:r>
              <w:rPr>
                <w:rFonts w:ascii="Times New Roman" w:hAnsi="Times New Roman"/>
              </w:rPr>
              <w:t>poruchy spánku</w:t>
            </w:r>
          </w:p>
        </w:tc>
        <w:tc>
          <w:tcPr>
            <w:tcW w:w="1677" w:type="dxa"/>
            <w:tcBorders>
              <w:top w:val="single" w:sz="4" w:space="0" w:color="auto"/>
              <w:left w:val="single" w:sz="4" w:space="0" w:color="auto"/>
              <w:bottom w:val="single" w:sz="4" w:space="0" w:color="auto"/>
              <w:right w:val="single" w:sz="4" w:space="0" w:color="auto"/>
            </w:tcBorders>
            <w:vAlign w:val="bottom"/>
          </w:tcPr>
          <w:p w14:paraId="278BB3CE"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tcPr>
          <w:p w14:paraId="357DA8E6"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tcPr>
          <w:p w14:paraId="30C548D6"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53B1458E" w14:textId="77777777">
        <w:trPr>
          <w:trHeight w:val="289"/>
          <w:jc w:val="center"/>
        </w:trPr>
        <w:tc>
          <w:tcPr>
            <w:tcW w:w="2492" w:type="dxa"/>
            <w:vMerge w:val="restart"/>
            <w:tcBorders>
              <w:top w:val="single" w:sz="4" w:space="0" w:color="auto"/>
              <w:left w:val="single" w:sz="4" w:space="0" w:color="auto"/>
              <w:right w:val="single" w:sz="4" w:space="0" w:color="auto"/>
            </w:tcBorders>
            <w:hideMark/>
          </w:tcPr>
          <w:p w14:paraId="4C58E456"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Poruchy nervového systému</w:t>
            </w:r>
          </w:p>
        </w:tc>
        <w:tc>
          <w:tcPr>
            <w:tcW w:w="2324" w:type="dxa"/>
            <w:tcBorders>
              <w:top w:val="single" w:sz="4" w:space="0" w:color="auto"/>
              <w:left w:val="single" w:sz="4" w:space="0" w:color="auto"/>
              <w:bottom w:val="single" w:sz="4" w:space="0" w:color="auto"/>
              <w:right w:val="single" w:sz="4" w:space="0" w:color="auto"/>
            </w:tcBorders>
            <w:vAlign w:val="bottom"/>
            <w:hideMark/>
          </w:tcPr>
          <w:p w14:paraId="093CA5C4" w14:textId="77777777" w:rsidR="00582954" w:rsidRDefault="00645977">
            <w:pPr>
              <w:spacing w:after="0" w:line="240" w:lineRule="auto"/>
              <w:rPr>
                <w:rFonts w:ascii="Times New Roman" w:hAnsi="Times New Roman"/>
                <w:snapToGrid w:val="0"/>
                <w:lang w:eastAsia="cs-CZ"/>
              </w:rPr>
            </w:pPr>
            <w:r>
              <w:rPr>
                <w:rFonts w:ascii="Times New Roman" w:hAnsi="Times New Roman"/>
              </w:rPr>
              <w:t>závrat</w:t>
            </w:r>
          </w:p>
        </w:tc>
        <w:tc>
          <w:tcPr>
            <w:tcW w:w="1677" w:type="dxa"/>
            <w:tcBorders>
              <w:top w:val="single" w:sz="4" w:space="0" w:color="auto"/>
              <w:left w:val="single" w:sz="4" w:space="0" w:color="auto"/>
              <w:bottom w:val="single" w:sz="4" w:space="0" w:color="auto"/>
              <w:right w:val="single" w:sz="4" w:space="0" w:color="auto"/>
            </w:tcBorders>
            <w:vAlign w:val="bottom"/>
            <w:hideMark/>
          </w:tcPr>
          <w:p w14:paraId="76B0009B"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5914212F"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7449F10C"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5A155E11" w14:textId="77777777">
        <w:trPr>
          <w:trHeight w:val="289"/>
          <w:jc w:val="center"/>
        </w:trPr>
        <w:tc>
          <w:tcPr>
            <w:tcW w:w="2492" w:type="dxa"/>
            <w:vMerge/>
            <w:tcBorders>
              <w:left w:val="single" w:sz="4" w:space="0" w:color="auto"/>
              <w:right w:val="single" w:sz="4" w:space="0" w:color="auto"/>
            </w:tcBorders>
            <w:hideMark/>
          </w:tcPr>
          <w:p w14:paraId="52C63D83"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1A32BE22" w14:textId="77777777" w:rsidR="00582954" w:rsidRDefault="00645977">
            <w:pPr>
              <w:spacing w:after="0" w:line="240" w:lineRule="auto"/>
              <w:rPr>
                <w:rFonts w:ascii="Times New Roman" w:hAnsi="Times New Roman"/>
                <w:snapToGrid w:val="0"/>
                <w:lang w:eastAsia="cs-CZ"/>
              </w:rPr>
            </w:pPr>
            <w:r>
              <w:rPr>
                <w:rFonts w:ascii="Times New Roman" w:hAnsi="Times New Roman"/>
              </w:rPr>
              <w:t>synkopa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27B4D547"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5F66BDBD"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0389D74D" w14:textId="77777777" w:rsidR="00582954" w:rsidRDefault="00582954">
            <w:pPr>
              <w:spacing w:after="0" w:line="240" w:lineRule="auto"/>
              <w:rPr>
                <w:rFonts w:ascii="Times New Roman" w:hAnsi="Times New Roman"/>
                <w:snapToGrid w:val="0"/>
                <w:lang w:eastAsia="cs-CZ"/>
              </w:rPr>
            </w:pPr>
          </w:p>
        </w:tc>
      </w:tr>
      <w:tr w:rsidR="00582954" w14:paraId="5EAEB055" w14:textId="77777777">
        <w:trPr>
          <w:trHeight w:val="289"/>
          <w:jc w:val="center"/>
        </w:trPr>
        <w:tc>
          <w:tcPr>
            <w:tcW w:w="2492" w:type="dxa"/>
            <w:vMerge/>
            <w:tcBorders>
              <w:left w:val="single" w:sz="4" w:space="0" w:color="auto"/>
              <w:right w:val="single" w:sz="4" w:space="0" w:color="auto"/>
            </w:tcBorders>
            <w:hideMark/>
          </w:tcPr>
          <w:p w14:paraId="00C69BC1"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5E51EBF7" w14:textId="77777777" w:rsidR="00582954" w:rsidRDefault="00645977">
            <w:pPr>
              <w:spacing w:after="0" w:line="240" w:lineRule="auto"/>
              <w:rPr>
                <w:rFonts w:ascii="Times New Roman" w:hAnsi="Times New Roman"/>
                <w:snapToGrid w:val="0"/>
                <w:lang w:eastAsia="cs-CZ"/>
              </w:rPr>
            </w:pPr>
            <w:r>
              <w:rPr>
                <w:rFonts w:ascii="Times New Roman" w:hAnsi="Times New Roman"/>
              </w:rPr>
              <w:t>parestézia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07D64D0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4356EDB9"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78EAB1AA"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6845EA87" w14:textId="77777777">
        <w:trPr>
          <w:trHeight w:val="289"/>
          <w:jc w:val="center"/>
        </w:trPr>
        <w:tc>
          <w:tcPr>
            <w:tcW w:w="2492" w:type="dxa"/>
            <w:vMerge/>
            <w:tcBorders>
              <w:left w:val="single" w:sz="4" w:space="0" w:color="auto"/>
              <w:right w:val="single" w:sz="4" w:space="0" w:color="auto"/>
            </w:tcBorders>
            <w:hideMark/>
          </w:tcPr>
          <w:p w14:paraId="6EAF842B"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5E6E56E9" w14:textId="77777777" w:rsidR="00582954" w:rsidRDefault="00645977">
            <w:pPr>
              <w:spacing w:after="0" w:line="240" w:lineRule="auto"/>
              <w:rPr>
                <w:rFonts w:ascii="Times New Roman" w:hAnsi="Times New Roman"/>
              </w:rPr>
            </w:pPr>
            <w:r>
              <w:rPr>
                <w:rFonts w:ascii="Times New Roman" w:hAnsi="Times New Roman"/>
              </w:rPr>
              <w:t>somnolencia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4A091B0F"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5A5FF64C"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2E78B85F" w14:textId="77777777" w:rsidR="00582954" w:rsidRDefault="00582954">
            <w:pPr>
              <w:spacing w:after="0" w:line="240" w:lineRule="auto"/>
              <w:rPr>
                <w:rFonts w:ascii="Times New Roman" w:hAnsi="Times New Roman"/>
                <w:snapToGrid w:val="0"/>
                <w:lang w:eastAsia="cs-CZ"/>
              </w:rPr>
            </w:pPr>
          </w:p>
        </w:tc>
      </w:tr>
      <w:tr w:rsidR="00582954" w14:paraId="2236910D" w14:textId="77777777">
        <w:trPr>
          <w:trHeight w:val="289"/>
          <w:jc w:val="center"/>
        </w:trPr>
        <w:tc>
          <w:tcPr>
            <w:tcW w:w="2492" w:type="dxa"/>
            <w:vMerge/>
            <w:tcBorders>
              <w:left w:val="single" w:sz="4" w:space="0" w:color="auto"/>
              <w:bottom w:val="single" w:sz="4" w:space="0" w:color="auto"/>
              <w:right w:val="single" w:sz="4" w:space="0" w:color="auto"/>
            </w:tcBorders>
            <w:hideMark/>
          </w:tcPr>
          <w:p w14:paraId="5D432AF6"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74D40B1C"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bolesť hlavy</w:t>
            </w:r>
          </w:p>
        </w:tc>
        <w:tc>
          <w:tcPr>
            <w:tcW w:w="1677" w:type="dxa"/>
            <w:tcBorders>
              <w:top w:val="single" w:sz="4" w:space="0" w:color="auto"/>
              <w:left w:val="single" w:sz="4" w:space="0" w:color="auto"/>
              <w:bottom w:val="single" w:sz="4" w:space="0" w:color="auto"/>
              <w:right w:val="single" w:sz="4" w:space="0" w:color="auto"/>
            </w:tcBorders>
            <w:vAlign w:val="bottom"/>
            <w:hideMark/>
          </w:tcPr>
          <w:p w14:paraId="05BB3905"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7A87346D"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2FF341F8"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08E6CED8" w14:textId="77777777">
        <w:trPr>
          <w:trHeight w:val="289"/>
          <w:jc w:val="center"/>
        </w:trPr>
        <w:tc>
          <w:tcPr>
            <w:tcW w:w="2492" w:type="dxa"/>
            <w:vMerge w:val="restart"/>
            <w:tcBorders>
              <w:top w:val="single" w:sz="4" w:space="0" w:color="auto"/>
              <w:left w:val="single" w:sz="4" w:space="0" w:color="auto"/>
              <w:right w:val="single" w:sz="4" w:space="0" w:color="auto"/>
            </w:tcBorders>
            <w:hideMark/>
          </w:tcPr>
          <w:p w14:paraId="22675DEA"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Poruchy oka</w:t>
            </w:r>
          </w:p>
        </w:tc>
        <w:tc>
          <w:tcPr>
            <w:tcW w:w="2324" w:type="dxa"/>
            <w:tcBorders>
              <w:top w:val="single" w:sz="4" w:space="0" w:color="auto"/>
              <w:left w:val="single" w:sz="4" w:space="0" w:color="auto"/>
              <w:bottom w:val="single" w:sz="4" w:space="0" w:color="auto"/>
              <w:right w:val="single" w:sz="4" w:space="0" w:color="auto"/>
            </w:tcBorders>
            <w:vAlign w:val="bottom"/>
            <w:hideMark/>
          </w:tcPr>
          <w:p w14:paraId="728AAAB4" w14:textId="77777777" w:rsidR="00582954" w:rsidRDefault="00645977">
            <w:pPr>
              <w:spacing w:after="0" w:line="240" w:lineRule="auto"/>
              <w:rPr>
                <w:rFonts w:ascii="Times New Roman" w:hAnsi="Times New Roman"/>
                <w:snapToGrid w:val="0"/>
                <w:lang w:eastAsia="cs-CZ"/>
              </w:rPr>
            </w:pPr>
            <w:r>
              <w:rPr>
                <w:rFonts w:ascii="Times New Roman" w:hAnsi="Times New Roman"/>
              </w:rPr>
              <w:t>porucha zraku</w:t>
            </w:r>
          </w:p>
        </w:tc>
        <w:tc>
          <w:tcPr>
            <w:tcW w:w="1677" w:type="dxa"/>
            <w:tcBorders>
              <w:top w:val="single" w:sz="4" w:space="0" w:color="auto"/>
              <w:left w:val="single" w:sz="4" w:space="0" w:color="auto"/>
              <w:bottom w:val="single" w:sz="4" w:space="0" w:color="auto"/>
              <w:right w:val="single" w:sz="4" w:space="0" w:color="auto"/>
            </w:tcBorders>
            <w:vAlign w:val="bottom"/>
            <w:hideMark/>
          </w:tcPr>
          <w:p w14:paraId="4CC3AD48"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09DB8098"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44E10E1A"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39A07EF6" w14:textId="77777777">
        <w:trPr>
          <w:trHeight w:val="289"/>
          <w:jc w:val="center"/>
        </w:trPr>
        <w:tc>
          <w:tcPr>
            <w:tcW w:w="2492" w:type="dxa"/>
            <w:vMerge/>
            <w:tcBorders>
              <w:left w:val="single" w:sz="4" w:space="0" w:color="auto"/>
              <w:right w:val="single" w:sz="4" w:space="0" w:color="auto"/>
            </w:tcBorders>
            <w:hideMark/>
          </w:tcPr>
          <w:p w14:paraId="1999EE51"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41585598" w14:textId="77777777" w:rsidR="00582954" w:rsidRDefault="00645977">
            <w:pPr>
              <w:spacing w:after="0" w:line="240" w:lineRule="auto"/>
              <w:rPr>
                <w:rFonts w:ascii="Times New Roman" w:hAnsi="Times New Roman"/>
                <w:snapToGrid w:val="0"/>
                <w:lang w:eastAsia="cs-CZ"/>
              </w:rPr>
            </w:pPr>
            <w:r>
              <w:rPr>
                <w:rFonts w:ascii="Times New Roman" w:hAnsi="Times New Roman"/>
              </w:rPr>
              <w:t>rozmazané videnie</w:t>
            </w:r>
          </w:p>
        </w:tc>
        <w:tc>
          <w:tcPr>
            <w:tcW w:w="1677" w:type="dxa"/>
            <w:tcBorders>
              <w:top w:val="single" w:sz="4" w:space="0" w:color="auto"/>
              <w:left w:val="single" w:sz="4" w:space="0" w:color="auto"/>
              <w:bottom w:val="single" w:sz="4" w:space="0" w:color="auto"/>
              <w:right w:val="single" w:sz="4" w:space="0" w:color="auto"/>
            </w:tcBorders>
            <w:vAlign w:val="bottom"/>
            <w:hideMark/>
          </w:tcPr>
          <w:p w14:paraId="74D87C96"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30307490"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4DF48BB5" w14:textId="77777777" w:rsidR="00582954" w:rsidRDefault="00582954">
            <w:pPr>
              <w:spacing w:after="0" w:line="240" w:lineRule="auto"/>
              <w:rPr>
                <w:rFonts w:ascii="Times New Roman" w:hAnsi="Times New Roman"/>
                <w:snapToGrid w:val="0"/>
                <w:lang w:eastAsia="cs-CZ"/>
              </w:rPr>
            </w:pPr>
          </w:p>
        </w:tc>
      </w:tr>
      <w:tr w:rsidR="00582954" w14:paraId="53561C38" w14:textId="77777777">
        <w:trPr>
          <w:trHeight w:val="289"/>
          <w:jc w:val="center"/>
        </w:trPr>
        <w:tc>
          <w:tcPr>
            <w:tcW w:w="2492" w:type="dxa"/>
            <w:vMerge/>
            <w:tcBorders>
              <w:left w:val="single" w:sz="4" w:space="0" w:color="auto"/>
              <w:right w:val="single" w:sz="4" w:space="0" w:color="auto"/>
            </w:tcBorders>
            <w:hideMark/>
          </w:tcPr>
          <w:p w14:paraId="5D3385E5"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1CA49CED"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akútny glaukóm s uzavretým uhlom</w:t>
            </w:r>
          </w:p>
        </w:tc>
        <w:tc>
          <w:tcPr>
            <w:tcW w:w="1677" w:type="dxa"/>
            <w:tcBorders>
              <w:top w:val="single" w:sz="4" w:space="0" w:color="auto"/>
              <w:left w:val="single" w:sz="4" w:space="0" w:color="auto"/>
              <w:bottom w:val="single" w:sz="4" w:space="0" w:color="auto"/>
              <w:right w:val="single" w:sz="4" w:space="0" w:color="auto"/>
            </w:tcBorders>
            <w:vAlign w:val="bottom"/>
            <w:hideMark/>
          </w:tcPr>
          <w:p w14:paraId="7224F7CD"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0F436D29"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28BF70C6"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neznáme</w:t>
            </w:r>
          </w:p>
        </w:tc>
      </w:tr>
      <w:tr w:rsidR="00582954" w14:paraId="41ECAD93" w14:textId="77777777">
        <w:trPr>
          <w:trHeight w:val="289"/>
          <w:jc w:val="center"/>
        </w:trPr>
        <w:tc>
          <w:tcPr>
            <w:tcW w:w="2492" w:type="dxa"/>
            <w:vMerge/>
            <w:tcBorders>
              <w:left w:val="single" w:sz="4" w:space="0" w:color="auto"/>
              <w:bottom w:val="single" w:sz="4" w:space="0" w:color="auto"/>
              <w:right w:val="single" w:sz="4" w:space="0" w:color="auto"/>
            </w:tcBorders>
            <w:hideMark/>
          </w:tcPr>
          <w:p w14:paraId="29856457"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7D6728D4"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choroidálna efúzia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79965B4D"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183996C8"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745A293B"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neznáme</w:t>
            </w:r>
          </w:p>
        </w:tc>
      </w:tr>
      <w:tr w:rsidR="00582954" w14:paraId="47668AEE" w14:textId="77777777">
        <w:trPr>
          <w:trHeight w:val="289"/>
          <w:jc w:val="center"/>
        </w:trPr>
        <w:tc>
          <w:tcPr>
            <w:tcW w:w="2492" w:type="dxa"/>
            <w:tcBorders>
              <w:top w:val="single" w:sz="4" w:space="0" w:color="auto"/>
              <w:left w:val="single" w:sz="4" w:space="0" w:color="auto"/>
              <w:bottom w:val="single" w:sz="4" w:space="0" w:color="auto"/>
              <w:right w:val="single" w:sz="4" w:space="0" w:color="auto"/>
            </w:tcBorders>
            <w:hideMark/>
          </w:tcPr>
          <w:p w14:paraId="2FCBC508"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Poruchy ucha a labyrintu</w:t>
            </w:r>
          </w:p>
        </w:tc>
        <w:tc>
          <w:tcPr>
            <w:tcW w:w="2324" w:type="dxa"/>
            <w:tcBorders>
              <w:top w:val="single" w:sz="4" w:space="0" w:color="auto"/>
              <w:left w:val="single" w:sz="4" w:space="0" w:color="auto"/>
              <w:bottom w:val="single" w:sz="4" w:space="0" w:color="auto"/>
              <w:right w:val="single" w:sz="4" w:space="0" w:color="auto"/>
            </w:tcBorders>
            <w:vAlign w:val="bottom"/>
            <w:hideMark/>
          </w:tcPr>
          <w:p w14:paraId="37529B93"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vertigo</w:t>
            </w:r>
          </w:p>
        </w:tc>
        <w:tc>
          <w:tcPr>
            <w:tcW w:w="1677" w:type="dxa"/>
            <w:tcBorders>
              <w:top w:val="single" w:sz="4" w:space="0" w:color="auto"/>
              <w:left w:val="single" w:sz="4" w:space="0" w:color="auto"/>
              <w:bottom w:val="single" w:sz="4" w:space="0" w:color="auto"/>
              <w:right w:val="single" w:sz="4" w:space="0" w:color="auto"/>
            </w:tcBorders>
            <w:vAlign w:val="bottom"/>
            <w:hideMark/>
          </w:tcPr>
          <w:p w14:paraId="77271DCE"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32AF6C03"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0ECF7274" w14:textId="77777777" w:rsidR="00582954" w:rsidRDefault="00582954">
            <w:pPr>
              <w:spacing w:after="0" w:line="240" w:lineRule="auto"/>
              <w:rPr>
                <w:rFonts w:ascii="Times New Roman" w:hAnsi="Times New Roman"/>
                <w:snapToGrid w:val="0"/>
                <w:lang w:eastAsia="cs-CZ"/>
              </w:rPr>
            </w:pPr>
          </w:p>
        </w:tc>
      </w:tr>
      <w:tr w:rsidR="00582954" w14:paraId="3AD93600" w14:textId="77777777">
        <w:trPr>
          <w:trHeight w:val="289"/>
          <w:jc w:val="center"/>
        </w:trPr>
        <w:tc>
          <w:tcPr>
            <w:tcW w:w="2492" w:type="dxa"/>
            <w:vMerge w:val="restart"/>
            <w:tcBorders>
              <w:top w:val="single" w:sz="4" w:space="0" w:color="auto"/>
              <w:left w:val="single" w:sz="4" w:space="0" w:color="auto"/>
              <w:right w:val="single" w:sz="4" w:space="0" w:color="auto"/>
            </w:tcBorders>
            <w:hideMark/>
          </w:tcPr>
          <w:p w14:paraId="43ECAE8B"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Poruchy srdca a srdcovej činnosti</w:t>
            </w:r>
          </w:p>
        </w:tc>
        <w:tc>
          <w:tcPr>
            <w:tcW w:w="2324" w:type="dxa"/>
            <w:tcBorders>
              <w:top w:val="single" w:sz="4" w:space="0" w:color="auto"/>
              <w:left w:val="single" w:sz="4" w:space="0" w:color="auto"/>
              <w:bottom w:val="single" w:sz="4" w:space="0" w:color="auto"/>
              <w:right w:val="single" w:sz="4" w:space="0" w:color="auto"/>
            </w:tcBorders>
            <w:vAlign w:val="bottom"/>
            <w:hideMark/>
          </w:tcPr>
          <w:p w14:paraId="69F0DB6B"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tachykardia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581E784D"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23FA1969"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4CAD9926" w14:textId="77777777" w:rsidR="00582954" w:rsidRDefault="00582954">
            <w:pPr>
              <w:spacing w:after="0" w:line="240" w:lineRule="auto"/>
              <w:rPr>
                <w:rFonts w:ascii="Times New Roman" w:hAnsi="Times New Roman"/>
                <w:snapToGrid w:val="0"/>
                <w:lang w:eastAsia="cs-CZ"/>
              </w:rPr>
            </w:pPr>
          </w:p>
        </w:tc>
      </w:tr>
      <w:tr w:rsidR="00582954" w14:paraId="4D603461" w14:textId="77777777">
        <w:trPr>
          <w:trHeight w:val="289"/>
          <w:jc w:val="center"/>
        </w:trPr>
        <w:tc>
          <w:tcPr>
            <w:tcW w:w="2492" w:type="dxa"/>
            <w:vMerge/>
            <w:tcBorders>
              <w:left w:val="single" w:sz="4" w:space="0" w:color="auto"/>
              <w:right w:val="single" w:sz="4" w:space="0" w:color="auto"/>
            </w:tcBorders>
            <w:hideMark/>
          </w:tcPr>
          <w:p w14:paraId="39F966C2"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2FE7E244" w14:textId="77777777" w:rsidR="00582954" w:rsidRDefault="00645977">
            <w:pPr>
              <w:spacing w:after="0" w:line="240" w:lineRule="auto"/>
              <w:rPr>
                <w:rFonts w:ascii="Times New Roman" w:hAnsi="Times New Roman"/>
                <w:snapToGrid w:val="0"/>
                <w:lang w:eastAsia="cs-CZ"/>
              </w:rPr>
            </w:pPr>
            <w:r>
              <w:rPr>
                <w:rFonts w:ascii="Times New Roman" w:hAnsi="Times New Roman"/>
              </w:rPr>
              <w:t>arytmie</w:t>
            </w:r>
          </w:p>
        </w:tc>
        <w:tc>
          <w:tcPr>
            <w:tcW w:w="1677" w:type="dxa"/>
            <w:tcBorders>
              <w:top w:val="single" w:sz="4" w:space="0" w:color="auto"/>
              <w:left w:val="single" w:sz="4" w:space="0" w:color="auto"/>
              <w:bottom w:val="single" w:sz="4" w:space="0" w:color="auto"/>
              <w:right w:val="single" w:sz="4" w:space="0" w:color="auto"/>
            </w:tcBorders>
            <w:vAlign w:val="bottom"/>
            <w:hideMark/>
          </w:tcPr>
          <w:p w14:paraId="6DE0109C"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47EA1C92"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7B56D617"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2C7E644F" w14:textId="77777777">
        <w:trPr>
          <w:trHeight w:val="289"/>
          <w:jc w:val="center"/>
        </w:trPr>
        <w:tc>
          <w:tcPr>
            <w:tcW w:w="2492" w:type="dxa"/>
            <w:vMerge/>
            <w:tcBorders>
              <w:left w:val="single" w:sz="4" w:space="0" w:color="auto"/>
              <w:bottom w:val="single" w:sz="4" w:space="0" w:color="auto"/>
              <w:right w:val="single" w:sz="4" w:space="0" w:color="auto"/>
            </w:tcBorders>
            <w:hideMark/>
          </w:tcPr>
          <w:p w14:paraId="7EC6492C"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17F21852"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bradykardia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3D9BB4AA"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 xml:space="preserve"> </w:t>
            </w:r>
          </w:p>
        </w:tc>
        <w:tc>
          <w:tcPr>
            <w:tcW w:w="1617" w:type="dxa"/>
            <w:tcBorders>
              <w:top w:val="single" w:sz="4" w:space="0" w:color="auto"/>
              <w:left w:val="single" w:sz="4" w:space="0" w:color="auto"/>
              <w:bottom w:val="single" w:sz="4" w:space="0" w:color="auto"/>
              <w:right w:val="single" w:sz="4" w:space="0" w:color="auto"/>
            </w:tcBorders>
            <w:vAlign w:val="bottom"/>
            <w:hideMark/>
          </w:tcPr>
          <w:p w14:paraId="196EC46A"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4971C424" w14:textId="77777777" w:rsidR="00582954" w:rsidRDefault="00582954">
            <w:pPr>
              <w:spacing w:after="0" w:line="240" w:lineRule="auto"/>
              <w:rPr>
                <w:rFonts w:ascii="Times New Roman" w:hAnsi="Times New Roman"/>
                <w:snapToGrid w:val="0"/>
                <w:lang w:eastAsia="cs-CZ"/>
              </w:rPr>
            </w:pPr>
          </w:p>
        </w:tc>
      </w:tr>
      <w:tr w:rsidR="00582954" w14:paraId="671A3CF7" w14:textId="77777777">
        <w:trPr>
          <w:trHeight w:val="289"/>
          <w:jc w:val="center"/>
        </w:trPr>
        <w:tc>
          <w:tcPr>
            <w:tcW w:w="2492" w:type="dxa"/>
            <w:vMerge w:val="restart"/>
            <w:tcBorders>
              <w:top w:val="single" w:sz="4" w:space="0" w:color="auto"/>
              <w:left w:val="single" w:sz="4" w:space="0" w:color="auto"/>
              <w:right w:val="single" w:sz="4" w:space="0" w:color="auto"/>
            </w:tcBorders>
            <w:hideMark/>
          </w:tcPr>
          <w:p w14:paraId="07DAEC44" w14:textId="77777777" w:rsidR="00582954" w:rsidRDefault="00645977">
            <w:pPr>
              <w:keepNext/>
              <w:keepLines/>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Poruchy ciev</w:t>
            </w:r>
          </w:p>
        </w:tc>
        <w:tc>
          <w:tcPr>
            <w:tcW w:w="2324" w:type="dxa"/>
            <w:tcBorders>
              <w:top w:val="single" w:sz="4" w:space="0" w:color="auto"/>
              <w:left w:val="single" w:sz="4" w:space="0" w:color="auto"/>
              <w:bottom w:val="single" w:sz="4" w:space="0" w:color="auto"/>
              <w:right w:val="single" w:sz="4" w:space="0" w:color="auto"/>
            </w:tcBorders>
            <w:vAlign w:val="bottom"/>
            <w:hideMark/>
          </w:tcPr>
          <w:p w14:paraId="74A69DB4"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rPr>
              <w:t>hypotenzia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36FCFAA7"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2228A0AD"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0BA8D5AE" w14:textId="77777777" w:rsidR="00582954" w:rsidRDefault="00582954">
            <w:pPr>
              <w:keepNext/>
              <w:keepLines/>
              <w:spacing w:after="0" w:line="240" w:lineRule="auto"/>
              <w:rPr>
                <w:rFonts w:ascii="Times New Roman" w:hAnsi="Times New Roman"/>
                <w:snapToGrid w:val="0"/>
                <w:lang w:eastAsia="cs-CZ"/>
              </w:rPr>
            </w:pPr>
          </w:p>
        </w:tc>
      </w:tr>
      <w:tr w:rsidR="00582954" w14:paraId="58A7CE64" w14:textId="77777777">
        <w:trPr>
          <w:trHeight w:val="289"/>
          <w:jc w:val="center"/>
        </w:trPr>
        <w:tc>
          <w:tcPr>
            <w:tcW w:w="2492" w:type="dxa"/>
            <w:vMerge/>
            <w:tcBorders>
              <w:left w:val="single" w:sz="4" w:space="0" w:color="auto"/>
              <w:right w:val="single" w:sz="4" w:space="0" w:color="auto"/>
            </w:tcBorders>
            <w:hideMark/>
          </w:tcPr>
          <w:p w14:paraId="74A1B7E1" w14:textId="77777777" w:rsidR="00582954" w:rsidRDefault="00582954">
            <w:pPr>
              <w:keepNext/>
              <w:keepLines/>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7B181F02"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rPr>
              <w:t>ortostatická hypotenzia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676A7BB2"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7B18521F"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6F137621"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časté</w:t>
            </w:r>
          </w:p>
        </w:tc>
      </w:tr>
      <w:tr w:rsidR="00582954" w14:paraId="21476C3B" w14:textId="77777777">
        <w:trPr>
          <w:trHeight w:val="289"/>
          <w:jc w:val="center"/>
        </w:trPr>
        <w:tc>
          <w:tcPr>
            <w:tcW w:w="2492" w:type="dxa"/>
            <w:vMerge/>
            <w:tcBorders>
              <w:left w:val="single" w:sz="4" w:space="0" w:color="auto"/>
              <w:bottom w:val="single" w:sz="4" w:space="0" w:color="auto"/>
              <w:right w:val="single" w:sz="4" w:space="0" w:color="auto"/>
            </w:tcBorders>
            <w:hideMark/>
          </w:tcPr>
          <w:p w14:paraId="38A5BCA7" w14:textId="77777777" w:rsidR="00582954" w:rsidRDefault="00582954">
            <w:pPr>
              <w:keepNext/>
              <w:keepLines/>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494322D7" w14:textId="77777777" w:rsidR="00582954" w:rsidRDefault="00645977">
            <w:pPr>
              <w:keepNext/>
              <w:keepLines/>
              <w:spacing w:after="0" w:line="240" w:lineRule="auto"/>
              <w:ind w:right="-110"/>
              <w:rPr>
                <w:rFonts w:ascii="Times New Roman" w:hAnsi="Times New Roman"/>
                <w:snapToGrid w:val="0"/>
                <w:lang w:eastAsia="cs-CZ"/>
              </w:rPr>
            </w:pPr>
            <w:r>
              <w:rPr>
                <w:rFonts w:ascii="Times New Roman" w:hAnsi="Times New Roman"/>
              </w:rPr>
              <w:t>nekrotizujúca vaskulitída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2F9C7995" w14:textId="77777777" w:rsidR="00582954" w:rsidRDefault="00582954">
            <w:pPr>
              <w:keepNext/>
              <w:keepLines/>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20F11D0D" w14:textId="77777777" w:rsidR="00582954" w:rsidRDefault="00582954">
            <w:pPr>
              <w:keepNext/>
              <w:keepLines/>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5CF43FFB"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veľmi zriedkavé</w:t>
            </w:r>
          </w:p>
        </w:tc>
      </w:tr>
      <w:tr w:rsidR="00582954" w14:paraId="46C0185D" w14:textId="77777777">
        <w:trPr>
          <w:trHeight w:val="289"/>
          <w:jc w:val="center"/>
        </w:trPr>
        <w:tc>
          <w:tcPr>
            <w:tcW w:w="2492" w:type="dxa"/>
            <w:vMerge w:val="restart"/>
            <w:tcBorders>
              <w:top w:val="single" w:sz="4" w:space="0" w:color="auto"/>
              <w:left w:val="single" w:sz="4" w:space="0" w:color="auto"/>
              <w:right w:val="single" w:sz="4" w:space="0" w:color="auto"/>
            </w:tcBorders>
            <w:hideMark/>
          </w:tcPr>
          <w:p w14:paraId="4C0FEA6D"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Poruchy dýchacej sústavy, hrudníka a mediastína</w:t>
            </w:r>
          </w:p>
        </w:tc>
        <w:tc>
          <w:tcPr>
            <w:tcW w:w="2324" w:type="dxa"/>
            <w:tcBorders>
              <w:top w:val="single" w:sz="4" w:space="0" w:color="auto"/>
              <w:left w:val="single" w:sz="4" w:space="0" w:color="auto"/>
              <w:bottom w:val="single" w:sz="4" w:space="0" w:color="auto"/>
              <w:right w:val="single" w:sz="4" w:space="0" w:color="auto"/>
            </w:tcBorders>
            <w:vAlign w:val="bottom"/>
            <w:hideMark/>
          </w:tcPr>
          <w:p w14:paraId="19A12D05"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dyspnoe</w:t>
            </w:r>
          </w:p>
        </w:tc>
        <w:tc>
          <w:tcPr>
            <w:tcW w:w="1677" w:type="dxa"/>
            <w:tcBorders>
              <w:top w:val="single" w:sz="4" w:space="0" w:color="auto"/>
              <w:left w:val="single" w:sz="4" w:space="0" w:color="auto"/>
              <w:bottom w:val="single" w:sz="4" w:space="0" w:color="auto"/>
              <w:right w:val="single" w:sz="4" w:space="0" w:color="auto"/>
            </w:tcBorders>
            <w:vAlign w:val="bottom"/>
            <w:hideMark/>
          </w:tcPr>
          <w:p w14:paraId="5748CEFD"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1F39A644"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01AC36D4" w14:textId="77777777" w:rsidR="00582954" w:rsidRDefault="00582954">
            <w:pPr>
              <w:spacing w:after="0" w:line="240" w:lineRule="auto"/>
              <w:rPr>
                <w:rFonts w:ascii="Times New Roman" w:hAnsi="Times New Roman"/>
                <w:snapToGrid w:val="0"/>
                <w:lang w:eastAsia="cs-CZ"/>
              </w:rPr>
            </w:pPr>
          </w:p>
        </w:tc>
      </w:tr>
      <w:tr w:rsidR="00582954" w14:paraId="363AA4D8" w14:textId="77777777">
        <w:trPr>
          <w:trHeight w:val="289"/>
          <w:jc w:val="center"/>
        </w:trPr>
        <w:tc>
          <w:tcPr>
            <w:tcW w:w="2492" w:type="dxa"/>
            <w:vMerge/>
            <w:tcBorders>
              <w:left w:val="single" w:sz="4" w:space="0" w:color="auto"/>
              <w:right w:val="single" w:sz="4" w:space="0" w:color="auto"/>
            </w:tcBorders>
            <w:hideMark/>
          </w:tcPr>
          <w:p w14:paraId="52738E37"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3623AA13" w14:textId="77777777" w:rsidR="00582954" w:rsidRDefault="00645977">
            <w:pPr>
              <w:spacing w:after="0" w:line="240" w:lineRule="auto"/>
              <w:rPr>
                <w:rFonts w:ascii="Times New Roman" w:hAnsi="Times New Roman"/>
                <w:snapToGrid w:val="0"/>
                <w:lang w:eastAsia="cs-CZ"/>
              </w:rPr>
            </w:pPr>
            <w:r>
              <w:rPr>
                <w:rFonts w:ascii="Times New Roman" w:hAnsi="Times New Roman"/>
              </w:rPr>
              <w:t>ťažkosti s dýchaním</w:t>
            </w:r>
          </w:p>
        </w:tc>
        <w:tc>
          <w:tcPr>
            <w:tcW w:w="1677" w:type="dxa"/>
            <w:tcBorders>
              <w:top w:val="single" w:sz="4" w:space="0" w:color="auto"/>
              <w:left w:val="single" w:sz="4" w:space="0" w:color="auto"/>
              <w:bottom w:val="single" w:sz="4" w:space="0" w:color="auto"/>
              <w:right w:val="single" w:sz="4" w:space="0" w:color="auto"/>
            </w:tcBorders>
            <w:vAlign w:val="bottom"/>
            <w:hideMark/>
          </w:tcPr>
          <w:p w14:paraId="1140696E"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6F196239"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3BDA0690"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veľmi zriedkavé</w:t>
            </w:r>
          </w:p>
        </w:tc>
      </w:tr>
      <w:tr w:rsidR="00582954" w14:paraId="3CCD704C" w14:textId="77777777">
        <w:trPr>
          <w:trHeight w:val="289"/>
          <w:jc w:val="center"/>
        </w:trPr>
        <w:tc>
          <w:tcPr>
            <w:tcW w:w="2492" w:type="dxa"/>
            <w:vMerge/>
            <w:tcBorders>
              <w:left w:val="single" w:sz="4" w:space="0" w:color="auto"/>
              <w:right w:val="single" w:sz="4" w:space="0" w:color="auto"/>
            </w:tcBorders>
          </w:tcPr>
          <w:p w14:paraId="02D2C6D8"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tcPr>
          <w:p w14:paraId="6B22EDCF" w14:textId="77777777" w:rsidR="00582954" w:rsidRDefault="00645977">
            <w:pPr>
              <w:spacing w:after="0" w:line="240" w:lineRule="auto"/>
              <w:rPr>
                <w:rFonts w:ascii="Times New Roman" w:hAnsi="Times New Roman"/>
                <w:snapToGrid w:val="0"/>
                <w:lang w:eastAsia="cs-CZ"/>
              </w:rPr>
            </w:pPr>
            <w:r>
              <w:rPr>
                <w:rFonts w:ascii="Times New Roman" w:hAnsi="Times New Roman"/>
              </w:rPr>
              <w:t>pneumonitída</w:t>
            </w:r>
          </w:p>
        </w:tc>
        <w:tc>
          <w:tcPr>
            <w:tcW w:w="1677" w:type="dxa"/>
            <w:tcBorders>
              <w:top w:val="single" w:sz="4" w:space="0" w:color="auto"/>
              <w:left w:val="single" w:sz="4" w:space="0" w:color="auto"/>
              <w:bottom w:val="single" w:sz="4" w:space="0" w:color="auto"/>
              <w:right w:val="single" w:sz="4" w:space="0" w:color="auto"/>
            </w:tcBorders>
            <w:vAlign w:val="bottom"/>
          </w:tcPr>
          <w:p w14:paraId="360A17E3"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tcPr>
          <w:p w14:paraId="3C43296B"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tcPr>
          <w:p w14:paraId="7798D26C"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veľmi zriedkavé</w:t>
            </w:r>
          </w:p>
        </w:tc>
      </w:tr>
      <w:tr w:rsidR="00582954" w14:paraId="09B40C8C" w14:textId="77777777">
        <w:trPr>
          <w:trHeight w:val="289"/>
          <w:jc w:val="center"/>
        </w:trPr>
        <w:tc>
          <w:tcPr>
            <w:tcW w:w="2492" w:type="dxa"/>
            <w:vMerge/>
            <w:tcBorders>
              <w:left w:val="single" w:sz="4" w:space="0" w:color="auto"/>
              <w:right w:val="single" w:sz="4" w:space="0" w:color="auto"/>
            </w:tcBorders>
          </w:tcPr>
          <w:p w14:paraId="3059DF37"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tcPr>
          <w:p w14:paraId="02D4FF06" w14:textId="77777777" w:rsidR="00582954" w:rsidRDefault="00645977">
            <w:pPr>
              <w:spacing w:after="0" w:line="240" w:lineRule="auto"/>
              <w:rPr>
                <w:rFonts w:ascii="Times New Roman" w:hAnsi="Times New Roman"/>
                <w:snapToGrid w:val="0"/>
                <w:lang w:eastAsia="cs-CZ"/>
              </w:rPr>
            </w:pPr>
            <w:r>
              <w:rPr>
                <w:rFonts w:ascii="Times New Roman" w:hAnsi="Times New Roman"/>
              </w:rPr>
              <w:t>pľúcny edém</w:t>
            </w:r>
          </w:p>
        </w:tc>
        <w:tc>
          <w:tcPr>
            <w:tcW w:w="1677" w:type="dxa"/>
            <w:tcBorders>
              <w:top w:val="single" w:sz="4" w:space="0" w:color="auto"/>
              <w:left w:val="single" w:sz="4" w:space="0" w:color="auto"/>
              <w:bottom w:val="single" w:sz="4" w:space="0" w:color="auto"/>
              <w:right w:val="single" w:sz="4" w:space="0" w:color="auto"/>
            </w:tcBorders>
            <w:vAlign w:val="bottom"/>
          </w:tcPr>
          <w:p w14:paraId="40484BF1"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tcPr>
          <w:p w14:paraId="30963053"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tcPr>
          <w:p w14:paraId="0CC8AD7B"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veľmi zriedkavé</w:t>
            </w:r>
          </w:p>
        </w:tc>
      </w:tr>
      <w:tr w:rsidR="00582954" w14:paraId="0D930316" w14:textId="77777777">
        <w:trPr>
          <w:trHeight w:val="289"/>
          <w:jc w:val="center"/>
        </w:trPr>
        <w:tc>
          <w:tcPr>
            <w:tcW w:w="2492" w:type="dxa"/>
            <w:vMerge/>
            <w:tcBorders>
              <w:left w:val="single" w:sz="4" w:space="0" w:color="auto"/>
              <w:right w:val="single" w:sz="4" w:space="0" w:color="auto"/>
            </w:tcBorders>
            <w:hideMark/>
          </w:tcPr>
          <w:p w14:paraId="5B520790"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74F8FBB2" w14:textId="77777777" w:rsidR="00582954" w:rsidRDefault="00645977">
            <w:pPr>
              <w:spacing w:after="0" w:line="240" w:lineRule="auto"/>
              <w:rPr>
                <w:rFonts w:ascii="Times New Roman" w:hAnsi="Times New Roman"/>
              </w:rPr>
            </w:pPr>
            <w:r>
              <w:rPr>
                <w:rFonts w:ascii="Times New Roman" w:hAnsi="Times New Roman"/>
                <w:snapToGrid w:val="0"/>
                <w:lang w:eastAsia="cs-CZ"/>
              </w:rPr>
              <w:t>k</w:t>
            </w:r>
            <w:r>
              <w:rPr>
                <w:rFonts w:ascii="Times New Roman" w:hAnsi="Times New Roman"/>
              </w:rPr>
              <w:t>ašeľ</w:t>
            </w:r>
          </w:p>
        </w:tc>
        <w:tc>
          <w:tcPr>
            <w:tcW w:w="1677" w:type="dxa"/>
            <w:tcBorders>
              <w:top w:val="single" w:sz="4" w:space="0" w:color="auto"/>
              <w:left w:val="single" w:sz="4" w:space="0" w:color="auto"/>
              <w:bottom w:val="single" w:sz="4" w:space="0" w:color="auto"/>
              <w:right w:val="single" w:sz="4" w:space="0" w:color="auto"/>
            </w:tcBorders>
            <w:vAlign w:val="bottom"/>
            <w:hideMark/>
          </w:tcPr>
          <w:p w14:paraId="0EDCDA72"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49B507C7"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40F83842" w14:textId="77777777" w:rsidR="00582954" w:rsidRDefault="00582954">
            <w:pPr>
              <w:spacing w:after="0" w:line="240" w:lineRule="auto"/>
              <w:rPr>
                <w:rFonts w:ascii="Times New Roman" w:hAnsi="Times New Roman"/>
                <w:snapToGrid w:val="0"/>
                <w:lang w:eastAsia="cs-CZ"/>
              </w:rPr>
            </w:pPr>
          </w:p>
        </w:tc>
      </w:tr>
      <w:tr w:rsidR="00582954" w14:paraId="303B530B" w14:textId="77777777">
        <w:trPr>
          <w:trHeight w:val="289"/>
          <w:jc w:val="center"/>
        </w:trPr>
        <w:tc>
          <w:tcPr>
            <w:tcW w:w="2492" w:type="dxa"/>
            <w:vMerge/>
            <w:tcBorders>
              <w:left w:val="single" w:sz="4" w:space="0" w:color="auto"/>
              <w:right w:val="single" w:sz="4" w:space="0" w:color="auto"/>
            </w:tcBorders>
            <w:hideMark/>
          </w:tcPr>
          <w:p w14:paraId="5BEA24ED"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4097924E" w14:textId="77777777" w:rsidR="00582954" w:rsidRDefault="00645977">
            <w:pPr>
              <w:spacing w:after="0" w:line="240" w:lineRule="auto"/>
              <w:rPr>
                <w:rFonts w:ascii="Times New Roman" w:hAnsi="Times New Roman"/>
                <w:snapToGrid w:val="0"/>
                <w:lang w:eastAsia="cs-CZ"/>
              </w:rPr>
            </w:pPr>
            <w:r>
              <w:rPr>
                <w:rFonts w:ascii="Times New Roman" w:hAnsi="Times New Roman"/>
              </w:rPr>
              <w:t>intersticiálne ochorenie pľúc</w:t>
            </w:r>
          </w:p>
        </w:tc>
        <w:tc>
          <w:tcPr>
            <w:tcW w:w="1677" w:type="dxa"/>
            <w:tcBorders>
              <w:top w:val="single" w:sz="4" w:space="0" w:color="auto"/>
              <w:left w:val="single" w:sz="4" w:space="0" w:color="auto"/>
              <w:bottom w:val="single" w:sz="4" w:space="0" w:color="auto"/>
              <w:right w:val="single" w:sz="4" w:space="0" w:color="auto"/>
            </w:tcBorders>
            <w:vAlign w:val="bottom"/>
            <w:hideMark/>
          </w:tcPr>
          <w:p w14:paraId="11D49DFE"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24BDE314"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veľmi zriedkavé</w:t>
            </w:r>
            <w:r>
              <w:rPr>
                <w:rFonts w:ascii="Times New Roman" w:hAnsi="Times New Roman"/>
                <w:snapToGrid w:val="0"/>
                <w:vertAlign w:val="superscript"/>
                <w:lang w:eastAsia="cs-CZ"/>
              </w:rPr>
              <w:t>1,2</w:t>
            </w:r>
          </w:p>
        </w:tc>
        <w:tc>
          <w:tcPr>
            <w:tcW w:w="1666" w:type="dxa"/>
            <w:tcBorders>
              <w:top w:val="single" w:sz="4" w:space="0" w:color="auto"/>
              <w:left w:val="single" w:sz="4" w:space="0" w:color="auto"/>
              <w:bottom w:val="single" w:sz="4" w:space="0" w:color="auto"/>
              <w:right w:val="single" w:sz="4" w:space="0" w:color="auto"/>
            </w:tcBorders>
            <w:vAlign w:val="bottom"/>
            <w:hideMark/>
          </w:tcPr>
          <w:p w14:paraId="23BD4CE3" w14:textId="77777777" w:rsidR="00582954" w:rsidRDefault="00582954">
            <w:pPr>
              <w:spacing w:after="0" w:line="240" w:lineRule="auto"/>
              <w:rPr>
                <w:rFonts w:ascii="Times New Roman" w:hAnsi="Times New Roman"/>
                <w:snapToGrid w:val="0"/>
                <w:lang w:eastAsia="cs-CZ"/>
              </w:rPr>
            </w:pPr>
          </w:p>
        </w:tc>
      </w:tr>
      <w:tr w:rsidR="00582954" w14:paraId="7C5A5920" w14:textId="77777777">
        <w:trPr>
          <w:trHeight w:val="289"/>
          <w:jc w:val="center"/>
        </w:trPr>
        <w:tc>
          <w:tcPr>
            <w:tcW w:w="2492" w:type="dxa"/>
            <w:vMerge/>
            <w:tcBorders>
              <w:left w:val="single" w:sz="4" w:space="0" w:color="auto"/>
              <w:bottom w:val="single" w:sz="4" w:space="0" w:color="auto"/>
              <w:right w:val="single" w:sz="4" w:space="0" w:color="auto"/>
            </w:tcBorders>
            <w:hideMark/>
          </w:tcPr>
          <w:p w14:paraId="6EED97C6"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2BE46B69" w14:textId="77777777" w:rsidR="00582954" w:rsidRDefault="00645977">
            <w:pPr>
              <w:spacing w:after="0" w:line="240" w:lineRule="auto"/>
              <w:ind w:right="-110"/>
              <w:rPr>
                <w:rFonts w:ascii="Times New Roman" w:hAnsi="Times New Roman"/>
                <w:snapToGrid w:val="0"/>
                <w:lang w:eastAsia="cs-CZ"/>
              </w:rPr>
            </w:pPr>
            <w:r>
              <w:rPr>
                <w:rFonts w:ascii="Times New Roman" w:hAnsi="Times New Roman"/>
              </w:rPr>
              <w:t>syndróm akútnej respiračnej tiesne (ARDS) (pozri časť 4.4)</w:t>
            </w:r>
          </w:p>
        </w:tc>
        <w:tc>
          <w:tcPr>
            <w:tcW w:w="1677" w:type="dxa"/>
            <w:tcBorders>
              <w:top w:val="single" w:sz="4" w:space="0" w:color="auto"/>
              <w:left w:val="single" w:sz="4" w:space="0" w:color="auto"/>
              <w:bottom w:val="single" w:sz="4" w:space="0" w:color="auto"/>
              <w:right w:val="single" w:sz="4" w:space="0" w:color="auto"/>
            </w:tcBorders>
            <w:vAlign w:val="bottom"/>
            <w:hideMark/>
          </w:tcPr>
          <w:p w14:paraId="74F964F2"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1EA294E6"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5E36EE21"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veľmi zriedkavé</w:t>
            </w:r>
          </w:p>
        </w:tc>
      </w:tr>
      <w:tr w:rsidR="00582954" w14:paraId="561CDD4C" w14:textId="77777777">
        <w:trPr>
          <w:trHeight w:val="289"/>
          <w:jc w:val="center"/>
        </w:trPr>
        <w:tc>
          <w:tcPr>
            <w:tcW w:w="2492" w:type="dxa"/>
            <w:vMerge w:val="restart"/>
            <w:tcBorders>
              <w:top w:val="single" w:sz="4" w:space="0" w:color="auto"/>
              <w:left w:val="single" w:sz="4" w:space="0" w:color="auto"/>
              <w:right w:val="single" w:sz="4" w:space="0" w:color="auto"/>
            </w:tcBorders>
            <w:hideMark/>
          </w:tcPr>
          <w:p w14:paraId="311A2B78"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Poruchy gastrointestinálneho traktu</w:t>
            </w:r>
          </w:p>
        </w:tc>
        <w:tc>
          <w:tcPr>
            <w:tcW w:w="2324" w:type="dxa"/>
            <w:tcBorders>
              <w:top w:val="single" w:sz="4" w:space="0" w:color="auto"/>
              <w:left w:val="single" w:sz="4" w:space="0" w:color="auto"/>
              <w:bottom w:val="single" w:sz="4" w:space="0" w:color="auto"/>
              <w:right w:val="single" w:sz="4" w:space="0" w:color="auto"/>
            </w:tcBorders>
            <w:vAlign w:val="bottom"/>
            <w:hideMark/>
          </w:tcPr>
          <w:p w14:paraId="54026466" w14:textId="77777777" w:rsidR="00582954" w:rsidRDefault="00645977">
            <w:pPr>
              <w:spacing w:after="0" w:line="240" w:lineRule="auto"/>
              <w:rPr>
                <w:rFonts w:ascii="Times New Roman" w:hAnsi="Times New Roman"/>
                <w:snapToGrid w:val="0"/>
                <w:lang w:eastAsia="cs-CZ"/>
              </w:rPr>
            </w:pPr>
            <w:r>
              <w:rPr>
                <w:rFonts w:ascii="Times New Roman" w:hAnsi="Times New Roman"/>
              </w:rPr>
              <w:t>hnačka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7AD273AB"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76AC666C"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4EE22E73"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časté</w:t>
            </w:r>
          </w:p>
        </w:tc>
      </w:tr>
      <w:tr w:rsidR="00582954" w14:paraId="224A6F21" w14:textId="77777777">
        <w:trPr>
          <w:trHeight w:val="289"/>
          <w:jc w:val="center"/>
        </w:trPr>
        <w:tc>
          <w:tcPr>
            <w:tcW w:w="2492" w:type="dxa"/>
            <w:vMerge/>
            <w:tcBorders>
              <w:left w:val="single" w:sz="4" w:space="0" w:color="auto"/>
              <w:right w:val="single" w:sz="4" w:space="0" w:color="auto"/>
            </w:tcBorders>
            <w:hideMark/>
          </w:tcPr>
          <w:p w14:paraId="2C629F8D"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5E8FB020" w14:textId="77777777" w:rsidR="00582954" w:rsidRDefault="00645977">
            <w:pPr>
              <w:spacing w:after="0" w:line="240" w:lineRule="auto"/>
              <w:rPr>
                <w:rFonts w:ascii="Times New Roman" w:hAnsi="Times New Roman"/>
                <w:snapToGrid w:val="0"/>
                <w:lang w:eastAsia="cs-CZ"/>
              </w:rPr>
            </w:pPr>
            <w:r>
              <w:rPr>
                <w:rFonts w:ascii="Times New Roman" w:hAnsi="Times New Roman"/>
              </w:rPr>
              <w:t>sucho v ústach</w:t>
            </w:r>
          </w:p>
        </w:tc>
        <w:tc>
          <w:tcPr>
            <w:tcW w:w="1677" w:type="dxa"/>
            <w:tcBorders>
              <w:top w:val="single" w:sz="4" w:space="0" w:color="auto"/>
              <w:left w:val="single" w:sz="4" w:space="0" w:color="auto"/>
              <w:bottom w:val="single" w:sz="4" w:space="0" w:color="auto"/>
              <w:right w:val="single" w:sz="4" w:space="0" w:color="auto"/>
            </w:tcBorders>
            <w:vAlign w:val="bottom"/>
            <w:hideMark/>
          </w:tcPr>
          <w:p w14:paraId="4964958A"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32C9A7C6"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7D362C32" w14:textId="77777777" w:rsidR="00582954" w:rsidRDefault="00582954">
            <w:pPr>
              <w:spacing w:after="0" w:line="240" w:lineRule="auto"/>
              <w:rPr>
                <w:rFonts w:ascii="Times New Roman" w:hAnsi="Times New Roman"/>
                <w:snapToGrid w:val="0"/>
                <w:lang w:eastAsia="cs-CZ"/>
              </w:rPr>
            </w:pPr>
          </w:p>
        </w:tc>
      </w:tr>
      <w:tr w:rsidR="00582954" w14:paraId="2D9EC6E9" w14:textId="77777777">
        <w:trPr>
          <w:trHeight w:val="289"/>
          <w:jc w:val="center"/>
        </w:trPr>
        <w:tc>
          <w:tcPr>
            <w:tcW w:w="2492" w:type="dxa"/>
            <w:vMerge/>
            <w:tcBorders>
              <w:left w:val="single" w:sz="4" w:space="0" w:color="auto"/>
              <w:right w:val="single" w:sz="4" w:space="0" w:color="auto"/>
            </w:tcBorders>
            <w:hideMark/>
          </w:tcPr>
          <w:p w14:paraId="1C960D4C"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4388DAF3" w14:textId="77777777" w:rsidR="00582954" w:rsidRDefault="00645977">
            <w:pPr>
              <w:spacing w:after="0" w:line="240" w:lineRule="auto"/>
              <w:rPr>
                <w:rFonts w:ascii="Times New Roman" w:hAnsi="Times New Roman"/>
                <w:snapToGrid w:val="0"/>
                <w:lang w:eastAsia="cs-CZ"/>
              </w:rPr>
            </w:pPr>
            <w:r>
              <w:rPr>
                <w:rFonts w:ascii="Times New Roman" w:hAnsi="Times New Roman"/>
              </w:rPr>
              <w:t>plynatosť</w:t>
            </w:r>
          </w:p>
        </w:tc>
        <w:tc>
          <w:tcPr>
            <w:tcW w:w="1677" w:type="dxa"/>
            <w:tcBorders>
              <w:top w:val="single" w:sz="4" w:space="0" w:color="auto"/>
              <w:left w:val="single" w:sz="4" w:space="0" w:color="auto"/>
              <w:bottom w:val="single" w:sz="4" w:space="0" w:color="auto"/>
              <w:right w:val="single" w:sz="4" w:space="0" w:color="auto"/>
            </w:tcBorders>
            <w:vAlign w:val="bottom"/>
            <w:hideMark/>
          </w:tcPr>
          <w:p w14:paraId="74447AE9"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022C264C"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72C5E994" w14:textId="77777777" w:rsidR="00582954" w:rsidRDefault="00582954">
            <w:pPr>
              <w:spacing w:after="0" w:line="240" w:lineRule="auto"/>
              <w:rPr>
                <w:rFonts w:ascii="Times New Roman" w:hAnsi="Times New Roman"/>
                <w:snapToGrid w:val="0"/>
                <w:lang w:eastAsia="cs-CZ"/>
              </w:rPr>
            </w:pPr>
          </w:p>
        </w:tc>
      </w:tr>
      <w:tr w:rsidR="00582954" w14:paraId="19988886" w14:textId="77777777">
        <w:trPr>
          <w:trHeight w:val="289"/>
          <w:jc w:val="center"/>
        </w:trPr>
        <w:tc>
          <w:tcPr>
            <w:tcW w:w="2492" w:type="dxa"/>
            <w:vMerge/>
            <w:tcBorders>
              <w:left w:val="single" w:sz="4" w:space="0" w:color="auto"/>
              <w:right w:val="single" w:sz="4" w:space="0" w:color="auto"/>
            </w:tcBorders>
            <w:hideMark/>
          </w:tcPr>
          <w:p w14:paraId="3F4191AA"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517E095D" w14:textId="77777777" w:rsidR="00582954" w:rsidRDefault="00645977">
            <w:pPr>
              <w:spacing w:after="0" w:line="240" w:lineRule="auto"/>
              <w:rPr>
                <w:rFonts w:ascii="Times New Roman" w:hAnsi="Times New Roman"/>
                <w:snapToGrid w:val="0"/>
                <w:lang w:eastAsia="cs-CZ"/>
              </w:rPr>
            </w:pPr>
            <w:r>
              <w:rPr>
                <w:rFonts w:ascii="Times New Roman" w:hAnsi="Times New Roman"/>
              </w:rPr>
              <w:t>bolesť brucha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6B3A101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2D895F36"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0A166E77" w14:textId="77777777" w:rsidR="00582954" w:rsidRDefault="00582954">
            <w:pPr>
              <w:spacing w:after="0" w:line="240" w:lineRule="auto"/>
              <w:rPr>
                <w:rFonts w:ascii="Times New Roman" w:hAnsi="Times New Roman"/>
                <w:snapToGrid w:val="0"/>
                <w:lang w:eastAsia="cs-CZ"/>
              </w:rPr>
            </w:pPr>
          </w:p>
        </w:tc>
      </w:tr>
      <w:tr w:rsidR="00582954" w14:paraId="1E51CC3C" w14:textId="77777777">
        <w:trPr>
          <w:trHeight w:val="289"/>
          <w:jc w:val="center"/>
        </w:trPr>
        <w:tc>
          <w:tcPr>
            <w:tcW w:w="2492" w:type="dxa"/>
            <w:vMerge/>
            <w:tcBorders>
              <w:left w:val="single" w:sz="4" w:space="0" w:color="auto"/>
              <w:right w:val="single" w:sz="4" w:space="0" w:color="auto"/>
            </w:tcBorders>
            <w:hideMark/>
          </w:tcPr>
          <w:p w14:paraId="0BBA467D"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042ED9AB" w14:textId="77777777" w:rsidR="00582954" w:rsidRDefault="00645977">
            <w:pPr>
              <w:spacing w:after="0" w:line="240" w:lineRule="auto"/>
              <w:rPr>
                <w:rFonts w:ascii="Times New Roman" w:hAnsi="Times New Roman"/>
                <w:snapToGrid w:val="0"/>
                <w:lang w:eastAsia="cs-CZ"/>
              </w:rPr>
            </w:pPr>
            <w:r>
              <w:rPr>
                <w:rFonts w:ascii="Times New Roman" w:hAnsi="Times New Roman"/>
              </w:rPr>
              <w:t>zápcha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146127B3"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6E3CC8CE"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2CF06B51"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60C429D5" w14:textId="77777777">
        <w:trPr>
          <w:trHeight w:val="289"/>
          <w:jc w:val="center"/>
        </w:trPr>
        <w:tc>
          <w:tcPr>
            <w:tcW w:w="2492" w:type="dxa"/>
            <w:vMerge/>
            <w:tcBorders>
              <w:left w:val="single" w:sz="4" w:space="0" w:color="auto"/>
              <w:right w:val="single" w:sz="4" w:space="0" w:color="auto"/>
            </w:tcBorders>
            <w:hideMark/>
          </w:tcPr>
          <w:p w14:paraId="4314CA0D"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0F982DAA"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dyspepsia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5C1C9D89"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50D4753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01A2E1FC" w14:textId="77777777" w:rsidR="00582954" w:rsidRDefault="00582954">
            <w:pPr>
              <w:spacing w:after="0" w:line="240" w:lineRule="auto"/>
              <w:rPr>
                <w:rFonts w:ascii="Times New Roman" w:hAnsi="Times New Roman"/>
                <w:snapToGrid w:val="0"/>
                <w:lang w:eastAsia="cs-CZ"/>
              </w:rPr>
            </w:pPr>
          </w:p>
        </w:tc>
      </w:tr>
      <w:tr w:rsidR="00582954" w14:paraId="6B799F48" w14:textId="77777777">
        <w:trPr>
          <w:trHeight w:val="289"/>
          <w:jc w:val="center"/>
        </w:trPr>
        <w:tc>
          <w:tcPr>
            <w:tcW w:w="2492" w:type="dxa"/>
            <w:vMerge/>
            <w:tcBorders>
              <w:left w:val="single" w:sz="4" w:space="0" w:color="auto"/>
              <w:right w:val="single" w:sz="4" w:space="0" w:color="auto"/>
            </w:tcBorders>
            <w:hideMark/>
          </w:tcPr>
          <w:p w14:paraId="6085AD70"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035B9DEC" w14:textId="77777777" w:rsidR="00582954" w:rsidRDefault="00645977">
            <w:pPr>
              <w:spacing w:after="0" w:line="240" w:lineRule="auto"/>
              <w:rPr>
                <w:rFonts w:ascii="Times New Roman" w:hAnsi="Times New Roman"/>
                <w:snapToGrid w:val="0"/>
                <w:lang w:eastAsia="cs-CZ"/>
              </w:rPr>
            </w:pPr>
            <w:r>
              <w:rPr>
                <w:rFonts w:ascii="Times New Roman" w:hAnsi="Times New Roman"/>
              </w:rPr>
              <w:t>vracanie</w:t>
            </w:r>
          </w:p>
        </w:tc>
        <w:tc>
          <w:tcPr>
            <w:tcW w:w="1677" w:type="dxa"/>
            <w:tcBorders>
              <w:top w:val="single" w:sz="4" w:space="0" w:color="auto"/>
              <w:left w:val="single" w:sz="4" w:space="0" w:color="auto"/>
              <w:bottom w:val="single" w:sz="4" w:space="0" w:color="auto"/>
              <w:right w:val="single" w:sz="4" w:space="0" w:color="auto"/>
            </w:tcBorders>
            <w:vAlign w:val="bottom"/>
            <w:hideMark/>
          </w:tcPr>
          <w:p w14:paraId="6CC6205A"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07D410B0"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6D90EA4E"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časté</w:t>
            </w:r>
          </w:p>
        </w:tc>
      </w:tr>
      <w:tr w:rsidR="00582954" w14:paraId="4D100D35" w14:textId="77777777">
        <w:trPr>
          <w:trHeight w:val="289"/>
          <w:jc w:val="center"/>
        </w:trPr>
        <w:tc>
          <w:tcPr>
            <w:tcW w:w="2492" w:type="dxa"/>
            <w:vMerge/>
            <w:tcBorders>
              <w:left w:val="single" w:sz="4" w:space="0" w:color="auto"/>
              <w:right w:val="single" w:sz="4" w:space="0" w:color="auto"/>
            </w:tcBorders>
            <w:hideMark/>
          </w:tcPr>
          <w:p w14:paraId="33E06B31"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437D0F24" w14:textId="77777777" w:rsidR="00582954" w:rsidRDefault="00645977">
            <w:pPr>
              <w:spacing w:after="0" w:line="240" w:lineRule="auto"/>
              <w:rPr>
                <w:rFonts w:ascii="Times New Roman" w:hAnsi="Times New Roman"/>
                <w:snapToGrid w:val="0"/>
                <w:lang w:eastAsia="cs-CZ"/>
              </w:rPr>
            </w:pPr>
            <w:r>
              <w:rPr>
                <w:rFonts w:ascii="Times New Roman" w:hAnsi="Times New Roman"/>
              </w:rPr>
              <w:t>gastritída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2FBAB7D6"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292B6BD4"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01D46AC1" w14:textId="77777777" w:rsidR="00582954" w:rsidRDefault="00582954">
            <w:pPr>
              <w:spacing w:after="0" w:line="240" w:lineRule="auto"/>
              <w:rPr>
                <w:rFonts w:ascii="Times New Roman" w:hAnsi="Times New Roman"/>
                <w:snapToGrid w:val="0"/>
                <w:lang w:eastAsia="cs-CZ"/>
              </w:rPr>
            </w:pPr>
          </w:p>
        </w:tc>
      </w:tr>
      <w:tr w:rsidR="00582954" w14:paraId="41FA1C43" w14:textId="77777777">
        <w:trPr>
          <w:trHeight w:val="289"/>
          <w:jc w:val="center"/>
        </w:trPr>
        <w:tc>
          <w:tcPr>
            <w:tcW w:w="2492" w:type="dxa"/>
            <w:vMerge/>
            <w:tcBorders>
              <w:left w:val="single" w:sz="4" w:space="0" w:color="auto"/>
              <w:right w:val="single" w:sz="4" w:space="0" w:color="auto"/>
            </w:tcBorders>
            <w:hideMark/>
          </w:tcPr>
          <w:p w14:paraId="7BD792B4"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1823FC2E" w14:textId="77777777" w:rsidR="00582954" w:rsidRDefault="00645977">
            <w:pPr>
              <w:spacing w:after="0" w:line="240" w:lineRule="auto"/>
              <w:ind w:right="-110"/>
              <w:rPr>
                <w:rFonts w:ascii="Times New Roman" w:hAnsi="Times New Roman"/>
                <w:snapToGrid w:val="0"/>
                <w:lang w:eastAsia="cs-CZ"/>
              </w:rPr>
            </w:pPr>
            <w:r>
              <w:rPr>
                <w:rFonts w:ascii="Times New Roman" w:hAnsi="Times New Roman"/>
                <w:snapToGrid w:val="0"/>
                <w:lang w:eastAsia="cs-CZ"/>
              </w:rPr>
              <w:t>abdominálny diskomfort</w:t>
            </w:r>
          </w:p>
        </w:tc>
        <w:tc>
          <w:tcPr>
            <w:tcW w:w="1677" w:type="dxa"/>
            <w:tcBorders>
              <w:top w:val="single" w:sz="4" w:space="0" w:color="auto"/>
              <w:left w:val="single" w:sz="4" w:space="0" w:color="auto"/>
              <w:bottom w:val="single" w:sz="4" w:space="0" w:color="auto"/>
              <w:right w:val="single" w:sz="4" w:space="0" w:color="auto"/>
            </w:tcBorders>
            <w:vAlign w:val="bottom"/>
            <w:hideMark/>
          </w:tcPr>
          <w:p w14:paraId="378E1CB2"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61EFA40A"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4175097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1436A093" w14:textId="77777777">
        <w:trPr>
          <w:trHeight w:val="289"/>
          <w:jc w:val="center"/>
        </w:trPr>
        <w:tc>
          <w:tcPr>
            <w:tcW w:w="2492" w:type="dxa"/>
            <w:vMerge/>
            <w:tcBorders>
              <w:left w:val="single" w:sz="4" w:space="0" w:color="auto"/>
              <w:right w:val="single" w:sz="4" w:space="0" w:color="auto"/>
            </w:tcBorders>
            <w:hideMark/>
          </w:tcPr>
          <w:p w14:paraId="331B08FD"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2F3492CD"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nauzea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0EF0817E"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3BA46909"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2D5E42D5"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časté</w:t>
            </w:r>
          </w:p>
        </w:tc>
      </w:tr>
      <w:tr w:rsidR="00582954" w14:paraId="747FF548" w14:textId="77777777">
        <w:trPr>
          <w:trHeight w:val="289"/>
          <w:jc w:val="center"/>
        </w:trPr>
        <w:tc>
          <w:tcPr>
            <w:tcW w:w="2492" w:type="dxa"/>
            <w:vMerge/>
            <w:tcBorders>
              <w:left w:val="single" w:sz="4" w:space="0" w:color="auto"/>
              <w:bottom w:val="single" w:sz="4" w:space="0" w:color="auto"/>
              <w:right w:val="single" w:sz="4" w:space="0" w:color="auto"/>
            </w:tcBorders>
            <w:hideMark/>
          </w:tcPr>
          <w:p w14:paraId="0EBAEDEA"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3445DA90"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pankreatitída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76DE94C2"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53FDDD7F"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4D273743"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veľmi zriedkavé</w:t>
            </w:r>
          </w:p>
        </w:tc>
      </w:tr>
      <w:tr w:rsidR="00582954" w14:paraId="6B61C8DF" w14:textId="77777777">
        <w:trPr>
          <w:trHeight w:val="289"/>
          <w:jc w:val="center"/>
        </w:trPr>
        <w:tc>
          <w:tcPr>
            <w:tcW w:w="2492" w:type="dxa"/>
            <w:vMerge w:val="restart"/>
            <w:tcBorders>
              <w:top w:val="single" w:sz="4" w:space="0" w:color="auto"/>
              <w:left w:val="single" w:sz="4" w:space="0" w:color="auto"/>
              <w:right w:val="single" w:sz="4" w:space="0" w:color="auto"/>
            </w:tcBorders>
            <w:hideMark/>
          </w:tcPr>
          <w:p w14:paraId="6BF1B33B"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lastRenderedPageBreak/>
              <w:t>Poruchy pečene a žlčových ciest</w:t>
            </w:r>
          </w:p>
        </w:tc>
        <w:tc>
          <w:tcPr>
            <w:tcW w:w="2324" w:type="dxa"/>
            <w:tcBorders>
              <w:top w:val="single" w:sz="4" w:space="0" w:color="auto"/>
              <w:left w:val="single" w:sz="4" w:space="0" w:color="auto"/>
              <w:bottom w:val="single" w:sz="4" w:space="0" w:color="auto"/>
              <w:right w:val="single" w:sz="4" w:space="0" w:color="auto"/>
            </w:tcBorders>
            <w:vAlign w:val="bottom"/>
            <w:hideMark/>
          </w:tcPr>
          <w:p w14:paraId="3275C3D0" w14:textId="77777777" w:rsidR="00582954" w:rsidRDefault="00645977">
            <w:pPr>
              <w:spacing w:after="0" w:line="240" w:lineRule="auto"/>
              <w:ind w:right="-110"/>
              <w:rPr>
                <w:rFonts w:ascii="Times New Roman" w:hAnsi="Times New Roman"/>
                <w:snapToGrid w:val="0"/>
                <w:lang w:eastAsia="cs-CZ"/>
              </w:rPr>
            </w:pPr>
            <w:r>
              <w:rPr>
                <w:rFonts w:ascii="Times New Roman" w:hAnsi="Times New Roman"/>
              </w:rPr>
              <w:t>abnormálna funkcia pečene/ochorenie pečene</w:t>
            </w:r>
          </w:p>
        </w:tc>
        <w:tc>
          <w:tcPr>
            <w:tcW w:w="1677" w:type="dxa"/>
            <w:tcBorders>
              <w:top w:val="single" w:sz="4" w:space="0" w:color="auto"/>
              <w:left w:val="single" w:sz="4" w:space="0" w:color="auto"/>
              <w:bottom w:val="single" w:sz="4" w:space="0" w:color="auto"/>
              <w:right w:val="single" w:sz="4" w:space="0" w:color="auto"/>
            </w:tcBorders>
            <w:vAlign w:val="bottom"/>
            <w:hideMark/>
          </w:tcPr>
          <w:p w14:paraId="6AE5D342"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r>
              <w:rPr>
                <w:rFonts w:ascii="Times New Roman" w:hAnsi="Times New Roman"/>
                <w:snapToGrid w:val="0"/>
                <w:vertAlign w:val="superscript"/>
                <w:lang w:eastAsia="cs-CZ"/>
              </w:rPr>
              <w:t>2</w:t>
            </w:r>
          </w:p>
        </w:tc>
        <w:tc>
          <w:tcPr>
            <w:tcW w:w="1617" w:type="dxa"/>
            <w:tcBorders>
              <w:top w:val="single" w:sz="4" w:space="0" w:color="auto"/>
              <w:left w:val="single" w:sz="4" w:space="0" w:color="auto"/>
              <w:bottom w:val="single" w:sz="4" w:space="0" w:color="auto"/>
              <w:right w:val="single" w:sz="4" w:space="0" w:color="auto"/>
            </w:tcBorders>
            <w:vAlign w:val="bottom"/>
            <w:hideMark/>
          </w:tcPr>
          <w:p w14:paraId="0DE67CD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r>
              <w:rPr>
                <w:rFonts w:ascii="Times New Roman" w:hAnsi="Times New Roman"/>
                <w:snapToGrid w:val="0"/>
                <w:vertAlign w:val="superscript"/>
                <w:lang w:eastAsia="cs-CZ"/>
              </w:rPr>
              <w:t>2</w:t>
            </w:r>
          </w:p>
        </w:tc>
        <w:tc>
          <w:tcPr>
            <w:tcW w:w="1666" w:type="dxa"/>
            <w:tcBorders>
              <w:top w:val="single" w:sz="4" w:space="0" w:color="auto"/>
              <w:left w:val="single" w:sz="4" w:space="0" w:color="auto"/>
              <w:bottom w:val="single" w:sz="4" w:space="0" w:color="auto"/>
              <w:right w:val="single" w:sz="4" w:space="0" w:color="auto"/>
            </w:tcBorders>
            <w:vAlign w:val="bottom"/>
            <w:hideMark/>
          </w:tcPr>
          <w:p w14:paraId="5E512E15" w14:textId="77777777" w:rsidR="00582954" w:rsidRDefault="00582954">
            <w:pPr>
              <w:spacing w:after="0" w:line="240" w:lineRule="auto"/>
              <w:rPr>
                <w:rFonts w:ascii="Times New Roman" w:hAnsi="Times New Roman"/>
                <w:snapToGrid w:val="0"/>
                <w:lang w:eastAsia="cs-CZ"/>
              </w:rPr>
            </w:pPr>
          </w:p>
        </w:tc>
      </w:tr>
      <w:tr w:rsidR="00582954" w14:paraId="7FC68056" w14:textId="77777777">
        <w:trPr>
          <w:trHeight w:val="289"/>
          <w:jc w:val="center"/>
        </w:trPr>
        <w:tc>
          <w:tcPr>
            <w:tcW w:w="2492" w:type="dxa"/>
            <w:vMerge/>
            <w:tcBorders>
              <w:left w:val="single" w:sz="4" w:space="0" w:color="auto"/>
              <w:right w:val="single" w:sz="4" w:space="0" w:color="auto"/>
            </w:tcBorders>
            <w:hideMark/>
          </w:tcPr>
          <w:p w14:paraId="21640CC6"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164AC1DA"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žltačka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4CFB8B55"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691D0C20"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1A671612"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3D7A174D" w14:textId="77777777">
        <w:trPr>
          <w:trHeight w:val="289"/>
          <w:jc w:val="center"/>
        </w:trPr>
        <w:tc>
          <w:tcPr>
            <w:tcW w:w="2492" w:type="dxa"/>
            <w:vMerge/>
            <w:tcBorders>
              <w:left w:val="single" w:sz="4" w:space="0" w:color="auto"/>
              <w:bottom w:val="single" w:sz="4" w:space="0" w:color="auto"/>
              <w:right w:val="single" w:sz="4" w:space="0" w:color="auto"/>
            </w:tcBorders>
            <w:hideMark/>
          </w:tcPr>
          <w:p w14:paraId="7D364E3D"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276462B0"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cholestáza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512ABC66"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6F8A7350"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2D76B13C"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42C67C2C" w14:textId="77777777">
        <w:trPr>
          <w:trHeight w:val="289"/>
          <w:jc w:val="center"/>
        </w:trPr>
        <w:tc>
          <w:tcPr>
            <w:tcW w:w="2492" w:type="dxa"/>
            <w:vMerge w:val="restart"/>
            <w:tcBorders>
              <w:top w:val="single" w:sz="4" w:space="0" w:color="auto"/>
              <w:left w:val="single" w:sz="4" w:space="0" w:color="auto"/>
              <w:right w:val="single" w:sz="4" w:space="0" w:color="auto"/>
            </w:tcBorders>
            <w:hideMark/>
          </w:tcPr>
          <w:p w14:paraId="0FDCA9E9"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Poruchy kože a podkožného tkaniva</w:t>
            </w:r>
          </w:p>
        </w:tc>
        <w:tc>
          <w:tcPr>
            <w:tcW w:w="2324" w:type="dxa"/>
            <w:tcBorders>
              <w:top w:val="single" w:sz="4" w:space="0" w:color="auto"/>
              <w:left w:val="single" w:sz="4" w:space="0" w:color="auto"/>
              <w:bottom w:val="single" w:sz="4" w:space="0" w:color="auto"/>
              <w:right w:val="single" w:sz="4" w:space="0" w:color="auto"/>
            </w:tcBorders>
            <w:vAlign w:val="bottom"/>
            <w:hideMark/>
          </w:tcPr>
          <w:p w14:paraId="1F6F0752" w14:textId="77777777" w:rsidR="00582954" w:rsidRDefault="00645977">
            <w:pPr>
              <w:spacing w:after="0" w:line="240" w:lineRule="auto"/>
              <w:rPr>
                <w:rFonts w:ascii="Times New Roman" w:hAnsi="Times New Roman"/>
                <w:snapToGrid w:val="0"/>
                <w:lang w:eastAsia="cs-CZ"/>
              </w:rPr>
            </w:pPr>
            <w:r>
              <w:rPr>
                <w:rFonts w:ascii="Times New Roman" w:hAnsi="Times New Roman"/>
              </w:rPr>
              <w:t>angioedém (vrátane smrteľných následkov)</w:t>
            </w:r>
          </w:p>
        </w:tc>
        <w:tc>
          <w:tcPr>
            <w:tcW w:w="1677" w:type="dxa"/>
            <w:tcBorders>
              <w:top w:val="single" w:sz="4" w:space="0" w:color="auto"/>
              <w:left w:val="single" w:sz="4" w:space="0" w:color="auto"/>
              <w:bottom w:val="single" w:sz="4" w:space="0" w:color="auto"/>
              <w:right w:val="single" w:sz="4" w:space="0" w:color="auto"/>
            </w:tcBorders>
            <w:vAlign w:val="bottom"/>
            <w:hideMark/>
          </w:tcPr>
          <w:p w14:paraId="017886B2"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07D40D18"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6D070E8F" w14:textId="77777777" w:rsidR="00582954" w:rsidRDefault="00582954">
            <w:pPr>
              <w:spacing w:after="0" w:line="240" w:lineRule="auto"/>
              <w:rPr>
                <w:rFonts w:ascii="Times New Roman" w:hAnsi="Times New Roman"/>
                <w:snapToGrid w:val="0"/>
                <w:lang w:eastAsia="cs-CZ"/>
              </w:rPr>
            </w:pPr>
          </w:p>
        </w:tc>
      </w:tr>
      <w:tr w:rsidR="00582954" w14:paraId="71501F6D" w14:textId="77777777">
        <w:trPr>
          <w:trHeight w:val="289"/>
          <w:jc w:val="center"/>
        </w:trPr>
        <w:tc>
          <w:tcPr>
            <w:tcW w:w="2492" w:type="dxa"/>
            <w:vMerge/>
            <w:tcBorders>
              <w:left w:val="single" w:sz="4" w:space="0" w:color="auto"/>
              <w:right w:val="single" w:sz="4" w:space="0" w:color="auto"/>
            </w:tcBorders>
            <w:hideMark/>
          </w:tcPr>
          <w:p w14:paraId="53967BB9"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4F155CF2" w14:textId="77777777" w:rsidR="00582954" w:rsidRDefault="00645977">
            <w:pPr>
              <w:spacing w:after="0" w:line="240" w:lineRule="auto"/>
              <w:rPr>
                <w:rFonts w:ascii="Times New Roman" w:hAnsi="Times New Roman"/>
                <w:snapToGrid w:val="0"/>
                <w:lang w:eastAsia="cs-CZ"/>
              </w:rPr>
            </w:pPr>
            <w:r>
              <w:rPr>
                <w:rFonts w:ascii="Times New Roman" w:hAnsi="Times New Roman"/>
              </w:rPr>
              <w:t>erytém</w:t>
            </w:r>
          </w:p>
        </w:tc>
        <w:tc>
          <w:tcPr>
            <w:tcW w:w="1677" w:type="dxa"/>
            <w:tcBorders>
              <w:top w:val="single" w:sz="4" w:space="0" w:color="auto"/>
              <w:left w:val="single" w:sz="4" w:space="0" w:color="auto"/>
              <w:bottom w:val="single" w:sz="4" w:space="0" w:color="auto"/>
              <w:right w:val="single" w:sz="4" w:space="0" w:color="auto"/>
            </w:tcBorders>
            <w:vAlign w:val="bottom"/>
            <w:hideMark/>
          </w:tcPr>
          <w:p w14:paraId="019B899B"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46FAC30B"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1D195EA2" w14:textId="77777777" w:rsidR="00582954" w:rsidRDefault="00582954">
            <w:pPr>
              <w:spacing w:after="0" w:line="240" w:lineRule="auto"/>
              <w:rPr>
                <w:rFonts w:ascii="Times New Roman" w:hAnsi="Times New Roman"/>
                <w:snapToGrid w:val="0"/>
                <w:lang w:eastAsia="cs-CZ"/>
              </w:rPr>
            </w:pPr>
          </w:p>
        </w:tc>
      </w:tr>
      <w:tr w:rsidR="00582954" w14:paraId="5AD71D55" w14:textId="77777777">
        <w:trPr>
          <w:trHeight w:val="289"/>
          <w:jc w:val="center"/>
        </w:trPr>
        <w:tc>
          <w:tcPr>
            <w:tcW w:w="2492" w:type="dxa"/>
            <w:vMerge/>
            <w:tcBorders>
              <w:left w:val="single" w:sz="4" w:space="0" w:color="auto"/>
              <w:right w:val="single" w:sz="4" w:space="0" w:color="auto"/>
            </w:tcBorders>
            <w:hideMark/>
          </w:tcPr>
          <w:p w14:paraId="29D289BE"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0CFAFC4B"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pruritus</w:t>
            </w:r>
          </w:p>
        </w:tc>
        <w:tc>
          <w:tcPr>
            <w:tcW w:w="1677" w:type="dxa"/>
            <w:tcBorders>
              <w:top w:val="single" w:sz="4" w:space="0" w:color="auto"/>
              <w:left w:val="single" w:sz="4" w:space="0" w:color="auto"/>
              <w:bottom w:val="single" w:sz="4" w:space="0" w:color="auto"/>
              <w:right w:val="single" w:sz="4" w:space="0" w:color="auto"/>
            </w:tcBorders>
            <w:vAlign w:val="bottom"/>
            <w:hideMark/>
          </w:tcPr>
          <w:p w14:paraId="13AD7A8D"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01433AA2"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0B2D104D" w14:textId="77777777" w:rsidR="00582954" w:rsidRDefault="00582954">
            <w:pPr>
              <w:spacing w:after="0" w:line="240" w:lineRule="auto"/>
              <w:rPr>
                <w:rFonts w:ascii="Times New Roman" w:hAnsi="Times New Roman"/>
                <w:snapToGrid w:val="0"/>
                <w:lang w:eastAsia="cs-CZ"/>
              </w:rPr>
            </w:pPr>
          </w:p>
        </w:tc>
      </w:tr>
      <w:tr w:rsidR="00582954" w14:paraId="39B55B6B" w14:textId="77777777">
        <w:trPr>
          <w:trHeight w:val="289"/>
          <w:jc w:val="center"/>
        </w:trPr>
        <w:tc>
          <w:tcPr>
            <w:tcW w:w="2492" w:type="dxa"/>
            <w:vMerge/>
            <w:tcBorders>
              <w:left w:val="single" w:sz="4" w:space="0" w:color="auto"/>
              <w:right w:val="single" w:sz="4" w:space="0" w:color="auto"/>
            </w:tcBorders>
            <w:hideMark/>
          </w:tcPr>
          <w:p w14:paraId="098D368A"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0971F01A" w14:textId="77777777" w:rsidR="00582954" w:rsidRDefault="00645977">
            <w:pPr>
              <w:spacing w:after="0" w:line="240" w:lineRule="auto"/>
              <w:rPr>
                <w:rFonts w:ascii="Times New Roman" w:hAnsi="Times New Roman"/>
                <w:snapToGrid w:val="0"/>
                <w:lang w:eastAsia="cs-CZ"/>
              </w:rPr>
            </w:pPr>
            <w:r>
              <w:rPr>
                <w:rFonts w:ascii="Times New Roman" w:hAnsi="Times New Roman"/>
              </w:rPr>
              <w:t>vyrážka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7314D01D"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0080CAF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67F83FD2"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časté</w:t>
            </w:r>
          </w:p>
        </w:tc>
      </w:tr>
      <w:tr w:rsidR="00582954" w14:paraId="66AAE448" w14:textId="77777777">
        <w:trPr>
          <w:trHeight w:val="289"/>
          <w:jc w:val="center"/>
        </w:trPr>
        <w:tc>
          <w:tcPr>
            <w:tcW w:w="2492" w:type="dxa"/>
            <w:vMerge/>
            <w:tcBorders>
              <w:left w:val="single" w:sz="4" w:space="0" w:color="auto"/>
              <w:right w:val="single" w:sz="4" w:space="0" w:color="auto"/>
            </w:tcBorders>
            <w:hideMark/>
          </w:tcPr>
          <w:p w14:paraId="7D80EE09"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5638CB20" w14:textId="77777777" w:rsidR="00582954" w:rsidRDefault="00645977">
            <w:pPr>
              <w:spacing w:after="0" w:line="240" w:lineRule="auto"/>
              <w:rPr>
                <w:rFonts w:ascii="Times New Roman" w:hAnsi="Times New Roman"/>
                <w:snapToGrid w:val="0"/>
                <w:lang w:eastAsia="cs-CZ"/>
              </w:rPr>
            </w:pPr>
            <w:r>
              <w:rPr>
                <w:rFonts w:ascii="Times New Roman" w:hAnsi="Times New Roman"/>
              </w:rPr>
              <w:t>nadmerné potenie</w:t>
            </w:r>
          </w:p>
        </w:tc>
        <w:tc>
          <w:tcPr>
            <w:tcW w:w="1677" w:type="dxa"/>
            <w:tcBorders>
              <w:top w:val="single" w:sz="4" w:space="0" w:color="auto"/>
              <w:left w:val="single" w:sz="4" w:space="0" w:color="auto"/>
              <w:bottom w:val="single" w:sz="4" w:space="0" w:color="auto"/>
              <w:right w:val="single" w:sz="4" w:space="0" w:color="auto"/>
            </w:tcBorders>
            <w:vAlign w:val="bottom"/>
            <w:hideMark/>
          </w:tcPr>
          <w:p w14:paraId="5BD56E34"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25F1AA18"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43170F18" w14:textId="77777777" w:rsidR="00582954" w:rsidRDefault="00582954">
            <w:pPr>
              <w:spacing w:after="0" w:line="240" w:lineRule="auto"/>
              <w:rPr>
                <w:rFonts w:ascii="Times New Roman" w:hAnsi="Times New Roman"/>
                <w:snapToGrid w:val="0"/>
                <w:lang w:eastAsia="cs-CZ"/>
              </w:rPr>
            </w:pPr>
          </w:p>
        </w:tc>
      </w:tr>
      <w:tr w:rsidR="00582954" w14:paraId="17F1E096" w14:textId="77777777">
        <w:trPr>
          <w:trHeight w:val="289"/>
          <w:jc w:val="center"/>
        </w:trPr>
        <w:tc>
          <w:tcPr>
            <w:tcW w:w="2492" w:type="dxa"/>
            <w:vMerge/>
            <w:tcBorders>
              <w:left w:val="single" w:sz="4" w:space="0" w:color="auto"/>
              <w:right w:val="single" w:sz="4" w:space="0" w:color="auto"/>
            </w:tcBorders>
            <w:hideMark/>
          </w:tcPr>
          <w:p w14:paraId="450492D2"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5B815502" w14:textId="77777777" w:rsidR="00582954" w:rsidRDefault="00645977">
            <w:pPr>
              <w:spacing w:after="0" w:line="240" w:lineRule="auto"/>
              <w:rPr>
                <w:rFonts w:ascii="Times New Roman" w:hAnsi="Times New Roman"/>
                <w:snapToGrid w:val="0"/>
                <w:lang w:eastAsia="cs-CZ"/>
              </w:rPr>
            </w:pPr>
            <w:r>
              <w:rPr>
                <w:rFonts w:ascii="Times New Roman" w:hAnsi="Times New Roman"/>
              </w:rPr>
              <w:t>urtikária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0BA71BF3"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24E7F42C"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718F0CFB"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časté</w:t>
            </w:r>
          </w:p>
        </w:tc>
      </w:tr>
      <w:tr w:rsidR="00582954" w14:paraId="6DAF5FC9" w14:textId="77777777">
        <w:trPr>
          <w:trHeight w:val="289"/>
          <w:jc w:val="center"/>
        </w:trPr>
        <w:tc>
          <w:tcPr>
            <w:tcW w:w="2492" w:type="dxa"/>
            <w:vMerge/>
            <w:tcBorders>
              <w:left w:val="single" w:sz="4" w:space="0" w:color="auto"/>
              <w:right w:val="single" w:sz="4" w:space="0" w:color="auto"/>
            </w:tcBorders>
            <w:hideMark/>
          </w:tcPr>
          <w:p w14:paraId="3541A772"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32C188CC"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ekzém</w:t>
            </w:r>
          </w:p>
        </w:tc>
        <w:tc>
          <w:tcPr>
            <w:tcW w:w="1677" w:type="dxa"/>
            <w:tcBorders>
              <w:top w:val="single" w:sz="4" w:space="0" w:color="auto"/>
              <w:left w:val="single" w:sz="4" w:space="0" w:color="auto"/>
              <w:bottom w:val="single" w:sz="4" w:space="0" w:color="auto"/>
              <w:right w:val="single" w:sz="4" w:space="0" w:color="auto"/>
            </w:tcBorders>
            <w:vAlign w:val="bottom"/>
            <w:hideMark/>
          </w:tcPr>
          <w:p w14:paraId="45A9BF6B"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1C214663"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439607A0" w14:textId="77777777" w:rsidR="00582954" w:rsidRDefault="00582954">
            <w:pPr>
              <w:spacing w:after="0" w:line="240" w:lineRule="auto"/>
              <w:rPr>
                <w:rFonts w:ascii="Times New Roman" w:hAnsi="Times New Roman"/>
                <w:snapToGrid w:val="0"/>
                <w:lang w:eastAsia="cs-CZ"/>
              </w:rPr>
            </w:pPr>
          </w:p>
        </w:tc>
      </w:tr>
      <w:tr w:rsidR="00582954" w14:paraId="5D4067B6" w14:textId="77777777">
        <w:trPr>
          <w:trHeight w:val="289"/>
          <w:jc w:val="center"/>
        </w:trPr>
        <w:tc>
          <w:tcPr>
            <w:tcW w:w="2492" w:type="dxa"/>
            <w:vMerge/>
            <w:tcBorders>
              <w:left w:val="single" w:sz="4" w:space="0" w:color="auto"/>
              <w:right w:val="single" w:sz="4" w:space="0" w:color="auto"/>
            </w:tcBorders>
            <w:hideMark/>
          </w:tcPr>
          <w:p w14:paraId="7BFA99FA"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57F204AE"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lieková vyrážka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7AAA6099"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7548C22B"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034DDDBE" w14:textId="77777777" w:rsidR="00582954" w:rsidRDefault="00582954">
            <w:pPr>
              <w:spacing w:after="0" w:line="240" w:lineRule="auto"/>
              <w:rPr>
                <w:rFonts w:ascii="Times New Roman" w:hAnsi="Times New Roman"/>
                <w:snapToGrid w:val="0"/>
                <w:lang w:eastAsia="cs-CZ"/>
              </w:rPr>
            </w:pPr>
          </w:p>
        </w:tc>
      </w:tr>
      <w:tr w:rsidR="00582954" w14:paraId="2E0EB71C" w14:textId="77777777">
        <w:trPr>
          <w:trHeight w:val="289"/>
          <w:jc w:val="center"/>
        </w:trPr>
        <w:tc>
          <w:tcPr>
            <w:tcW w:w="2492" w:type="dxa"/>
            <w:vMerge/>
            <w:tcBorders>
              <w:left w:val="single" w:sz="4" w:space="0" w:color="auto"/>
              <w:right w:val="single" w:sz="4" w:space="0" w:color="auto"/>
            </w:tcBorders>
            <w:hideMark/>
          </w:tcPr>
          <w:p w14:paraId="0AD798F9"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0C144980" w14:textId="77777777" w:rsidR="00582954" w:rsidRDefault="00645977">
            <w:pPr>
              <w:spacing w:after="0" w:line="240" w:lineRule="auto"/>
              <w:rPr>
                <w:rFonts w:ascii="Times New Roman" w:hAnsi="Times New Roman"/>
                <w:snapToGrid w:val="0"/>
                <w:lang w:eastAsia="cs-CZ"/>
              </w:rPr>
            </w:pPr>
            <w:r>
              <w:rPr>
                <w:rFonts w:ascii="Times New Roman" w:hAnsi="Times New Roman"/>
              </w:rPr>
              <w:t>toxická kožná vyrážka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01545A18"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1C10ECBD"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5056D3F8" w14:textId="77777777" w:rsidR="00582954" w:rsidRDefault="00582954">
            <w:pPr>
              <w:spacing w:after="0" w:line="240" w:lineRule="auto"/>
              <w:rPr>
                <w:rFonts w:ascii="Times New Roman" w:hAnsi="Times New Roman"/>
                <w:snapToGrid w:val="0"/>
                <w:lang w:eastAsia="cs-CZ"/>
              </w:rPr>
            </w:pPr>
          </w:p>
        </w:tc>
      </w:tr>
      <w:tr w:rsidR="00582954" w14:paraId="54C7C13B" w14:textId="77777777">
        <w:trPr>
          <w:trHeight w:val="289"/>
          <w:jc w:val="center"/>
        </w:trPr>
        <w:tc>
          <w:tcPr>
            <w:tcW w:w="2492" w:type="dxa"/>
            <w:vMerge/>
            <w:tcBorders>
              <w:left w:val="single" w:sz="4" w:space="0" w:color="auto"/>
              <w:right w:val="single" w:sz="4" w:space="0" w:color="auto"/>
            </w:tcBorders>
            <w:hideMark/>
          </w:tcPr>
          <w:p w14:paraId="05937F72"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068CFCD4" w14:textId="77777777" w:rsidR="00582954" w:rsidRDefault="00645977">
            <w:pPr>
              <w:spacing w:after="0" w:line="240" w:lineRule="auto"/>
              <w:ind w:right="-110"/>
              <w:rPr>
                <w:rFonts w:ascii="Times New Roman" w:hAnsi="Times New Roman"/>
                <w:snapToGrid w:val="0"/>
                <w:lang w:eastAsia="cs-CZ"/>
              </w:rPr>
            </w:pPr>
            <w:r>
              <w:rPr>
                <w:rFonts w:ascii="Times New Roman" w:hAnsi="Times New Roman"/>
                <w:snapToGrid w:val="0"/>
                <w:lang w:eastAsia="cs-CZ"/>
              </w:rPr>
              <w:t>syndróm podobný lupusu</w:t>
            </w:r>
          </w:p>
        </w:tc>
        <w:tc>
          <w:tcPr>
            <w:tcW w:w="1677" w:type="dxa"/>
            <w:tcBorders>
              <w:top w:val="single" w:sz="4" w:space="0" w:color="auto"/>
              <w:left w:val="single" w:sz="4" w:space="0" w:color="auto"/>
              <w:bottom w:val="single" w:sz="4" w:space="0" w:color="auto"/>
              <w:right w:val="single" w:sz="4" w:space="0" w:color="auto"/>
            </w:tcBorders>
            <w:vAlign w:val="bottom"/>
            <w:hideMark/>
          </w:tcPr>
          <w:p w14:paraId="69CBFE45"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51E6922E"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1582C4E2"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veľmi zriedkavé</w:t>
            </w:r>
          </w:p>
        </w:tc>
      </w:tr>
      <w:tr w:rsidR="00582954" w14:paraId="770E0ABD" w14:textId="77777777">
        <w:trPr>
          <w:trHeight w:val="289"/>
          <w:jc w:val="center"/>
        </w:trPr>
        <w:tc>
          <w:tcPr>
            <w:tcW w:w="2492" w:type="dxa"/>
            <w:vMerge/>
            <w:tcBorders>
              <w:left w:val="single" w:sz="4" w:space="0" w:color="auto"/>
              <w:right w:val="single" w:sz="4" w:space="0" w:color="auto"/>
            </w:tcBorders>
            <w:hideMark/>
          </w:tcPr>
          <w:p w14:paraId="0E4CD7F1"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3504F46B"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fotosenzitívna reakcia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1A218BBC"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13FA5D21"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06D36673"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23DFAE57" w14:textId="77777777">
        <w:trPr>
          <w:trHeight w:val="289"/>
          <w:jc w:val="center"/>
        </w:trPr>
        <w:tc>
          <w:tcPr>
            <w:tcW w:w="2492" w:type="dxa"/>
            <w:vMerge/>
            <w:tcBorders>
              <w:left w:val="single" w:sz="4" w:space="0" w:color="auto"/>
              <w:right w:val="single" w:sz="4" w:space="0" w:color="auto"/>
            </w:tcBorders>
            <w:hideMark/>
          </w:tcPr>
          <w:p w14:paraId="70BEE101"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65CAD660"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toxická epidermálna nekrolýza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318F1A2F"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59EC59D6"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5B3F3BA2"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veľmi zriedkavé</w:t>
            </w:r>
          </w:p>
        </w:tc>
      </w:tr>
      <w:tr w:rsidR="00582954" w14:paraId="2883DFB5" w14:textId="77777777">
        <w:trPr>
          <w:trHeight w:val="289"/>
          <w:jc w:val="center"/>
        </w:trPr>
        <w:tc>
          <w:tcPr>
            <w:tcW w:w="2492" w:type="dxa"/>
            <w:vMerge/>
            <w:tcBorders>
              <w:left w:val="single" w:sz="4" w:space="0" w:color="auto"/>
              <w:bottom w:val="single" w:sz="4" w:space="0" w:color="auto"/>
              <w:right w:val="single" w:sz="4" w:space="0" w:color="auto"/>
            </w:tcBorders>
            <w:hideMark/>
          </w:tcPr>
          <w:p w14:paraId="572FF614"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66003920"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multiformný erytém</w:t>
            </w:r>
          </w:p>
        </w:tc>
        <w:tc>
          <w:tcPr>
            <w:tcW w:w="1677" w:type="dxa"/>
            <w:tcBorders>
              <w:top w:val="single" w:sz="4" w:space="0" w:color="auto"/>
              <w:left w:val="single" w:sz="4" w:space="0" w:color="auto"/>
              <w:bottom w:val="single" w:sz="4" w:space="0" w:color="auto"/>
              <w:right w:val="single" w:sz="4" w:space="0" w:color="auto"/>
            </w:tcBorders>
            <w:vAlign w:val="bottom"/>
            <w:hideMark/>
          </w:tcPr>
          <w:p w14:paraId="319C74FD"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5A40EB1F"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0788DC9B"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neznáme</w:t>
            </w:r>
          </w:p>
        </w:tc>
      </w:tr>
      <w:tr w:rsidR="00582954" w14:paraId="7CC152F7" w14:textId="77777777">
        <w:trPr>
          <w:trHeight w:val="289"/>
          <w:jc w:val="center"/>
        </w:trPr>
        <w:tc>
          <w:tcPr>
            <w:tcW w:w="2492" w:type="dxa"/>
            <w:vMerge w:val="restart"/>
            <w:tcBorders>
              <w:top w:val="single" w:sz="4" w:space="0" w:color="auto"/>
              <w:left w:val="single" w:sz="4" w:space="0" w:color="auto"/>
              <w:right w:val="single" w:sz="4" w:space="0" w:color="auto"/>
            </w:tcBorders>
            <w:hideMark/>
          </w:tcPr>
          <w:p w14:paraId="6629DB79"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Poruchy kostrovej a svalovej sústavy a spojivového tkaniva</w:t>
            </w:r>
          </w:p>
        </w:tc>
        <w:tc>
          <w:tcPr>
            <w:tcW w:w="2324" w:type="dxa"/>
            <w:tcBorders>
              <w:top w:val="single" w:sz="4" w:space="0" w:color="auto"/>
              <w:left w:val="single" w:sz="4" w:space="0" w:color="auto"/>
              <w:bottom w:val="single" w:sz="4" w:space="0" w:color="auto"/>
              <w:right w:val="single" w:sz="4" w:space="0" w:color="auto"/>
            </w:tcBorders>
            <w:vAlign w:val="bottom"/>
            <w:hideMark/>
          </w:tcPr>
          <w:p w14:paraId="6ED59E0D"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b</w:t>
            </w:r>
            <w:r>
              <w:rPr>
                <w:rFonts w:ascii="Times New Roman" w:hAnsi="Times New Roman"/>
              </w:rPr>
              <w:t>olesť chrbta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141D448C"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41DB7105"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1A8BB592" w14:textId="77777777" w:rsidR="00582954" w:rsidRDefault="00582954">
            <w:pPr>
              <w:spacing w:after="0" w:line="240" w:lineRule="auto"/>
              <w:rPr>
                <w:rFonts w:ascii="Times New Roman" w:hAnsi="Times New Roman"/>
                <w:snapToGrid w:val="0"/>
                <w:lang w:eastAsia="cs-CZ"/>
              </w:rPr>
            </w:pPr>
          </w:p>
        </w:tc>
      </w:tr>
      <w:tr w:rsidR="00582954" w14:paraId="35021CE3" w14:textId="77777777">
        <w:trPr>
          <w:trHeight w:val="289"/>
          <w:jc w:val="center"/>
        </w:trPr>
        <w:tc>
          <w:tcPr>
            <w:tcW w:w="2492" w:type="dxa"/>
            <w:vMerge/>
            <w:tcBorders>
              <w:left w:val="single" w:sz="4" w:space="0" w:color="auto"/>
              <w:right w:val="single" w:sz="4" w:space="0" w:color="auto"/>
            </w:tcBorders>
            <w:hideMark/>
          </w:tcPr>
          <w:p w14:paraId="1F98BF06"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41E5153B" w14:textId="77777777" w:rsidR="00582954" w:rsidRDefault="00645977">
            <w:pPr>
              <w:spacing w:after="0" w:line="240" w:lineRule="auto"/>
              <w:rPr>
                <w:rFonts w:ascii="Times New Roman" w:hAnsi="Times New Roman"/>
                <w:snapToGrid w:val="0"/>
                <w:lang w:eastAsia="cs-CZ"/>
              </w:rPr>
            </w:pPr>
            <w:r>
              <w:rPr>
                <w:rFonts w:ascii="Times New Roman" w:hAnsi="Times New Roman"/>
              </w:rPr>
              <w:t xml:space="preserve">svalové kŕče </w:t>
            </w:r>
            <w:r>
              <w:rPr>
                <w:rFonts w:ascii="Times New Roman" w:hAnsi="Times New Roman"/>
                <w:snapToGrid w:val="0"/>
                <w:lang w:eastAsia="cs-CZ"/>
              </w:rPr>
              <w:t>(kŕče v nohách)</w:t>
            </w:r>
          </w:p>
        </w:tc>
        <w:tc>
          <w:tcPr>
            <w:tcW w:w="1677" w:type="dxa"/>
            <w:tcBorders>
              <w:top w:val="single" w:sz="4" w:space="0" w:color="auto"/>
              <w:left w:val="single" w:sz="4" w:space="0" w:color="auto"/>
              <w:bottom w:val="single" w:sz="4" w:space="0" w:color="auto"/>
              <w:right w:val="single" w:sz="4" w:space="0" w:color="auto"/>
            </w:tcBorders>
            <w:vAlign w:val="bottom"/>
            <w:hideMark/>
          </w:tcPr>
          <w:p w14:paraId="0C6C604A"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34B6A0EB"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5D482D63"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neznáme</w:t>
            </w:r>
          </w:p>
        </w:tc>
      </w:tr>
      <w:tr w:rsidR="00582954" w14:paraId="14EC6DE9" w14:textId="77777777">
        <w:trPr>
          <w:trHeight w:val="289"/>
          <w:jc w:val="center"/>
        </w:trPr>
        <w:tc>
          <w:tcPr>
            <w:tcW w:w="2492" w:type="dxa"/>
            <w:vMerge/>
            <w:tcBorders>
              <w:left w:val="single" w:sz="4" w:space="0" w:color="auto"/>
              <w:right w:val="single" w:sz="4" w:space="0" w:color="auto"/>
            </w:tcBorders>
            <w:hideMark/>
          </w:tcPr>
          <w:p w14:paraId="2D1AF5DA"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7E56674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myalgia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53C64DF7"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79A9D7C4"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03C76EA5" w14:textId="77777777" w:rsidR="00582954" w:rsidRDefault="00582954">
            <w:pPr>
              <w:spacing w:after="0" w:line="240" w:lineRule="auto"/>
              <w:rPr>
                <w:rFonts w:ascii="Times New Roman" w:hAnsi="Times New Roman"/>
                <w:snapToGrid w:val="0"/>
                <w:lang w:eastAsia="cs-CZ"/>
              </w:rPr>
            </w:pPr>
          </w:p>
        </w:tc>
      </w:tr>
      <w:tr w:rsidR="00582954" w14:paraId="019FC353" w14:textId="77777777">
        <w:trPr>
          <w:trHeight w:val="289"/>
          <w:jc w:val="center"/>
        </w:trPr>
        <w:tc>
          <w:tcPr>
            <w:tcW w:w="2492" w:type="dxa"/>
            <w:vMerge/>
            <w:tcBorders>
              <w:left w:val="single" w:sz="4" w:space="0" w:color="auto"/>
              <w:right w:val="single" w:sz="4" w:space="0" w:color="auto"/>
            </w:tcBorders>
            <w:hideMark/>
          </w:tcPr>
          <w:p w14:paraId="4D413F70"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5B2B8394" w14:textId="77777777" w:rsidR="00582954" w:rsidRDefault="00645977">
            <w:pPr>
              <w:spacing w:after="0" w:line="240" w:lineRule="auto"/>
              <w:rPr>
                <w:rFonts w:ascii="Times New Roman" w:hAnsi="Times New Roman"/>
                <w:snapToGrid w:val="0"/>
                <w:lang w:eastAsia="cs-CZ"/>
              </w:rPr>
            </w:pPr>
            <w:r>
              <w:rPr>
                <w:rFonts w:ascii="Times New Roman" w:hAnsi="Times New Roman"/>
              </w:rPr>
              <w:t>artralgia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2F63A114"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1C274DB7"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2ADD29F7" w14:textId="77777777" w:rsidR="00582954" w:rsidRDefault="00582954">
            <w:pPr>
              <w:spacing w:after="0" w:line="240" w:lineRule="auto"/>
              <w:rPr>
                <w:rFonts w:ascii="Times New Roman" w:hAnsi="Times New Roman"/>
                <w:snapToGrid w:val="0"/>
                <w:lang w:eastAsia="cs-CZ"/>
              </w:rPr>
            </w:pPr>
          </w:p>
        </w:tc>
      </w:tr>
      <w:tr w:rsidR="00582954" w14:paraId="57C91912" w14:textId="77777777">
        <w:trPr>
          <w:trHeight w:val="289"/>
          <w:jc w:val="center"/>
        </w:trPr>
        <w:tc>
          <w:tcPr>
            <w:tcW w:w="2492" w:type="dxa"/>
            <w:vMerge/>
            <w:tcBorders>
              <w:left w:val="single" w:sz="4" w:space="0" w:color="auto"/>
              <w:right w:val="single" w:sz="4" w:space="0" w:color="auto"/>
            </w:tcBorders>
            <w:hideMark/>
          </w:tcPr>
          <w:p w14:paraId="6914EB6A"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62983E6A" w14:textId="77777777" w:rsidR="00582954" w:rsidRDefault="00645977">
            <w:pPr>
              <w:spacing w:after="0" w:line="240" w:lineRule="auto"/>
              <w:rPr>
                <w:rFonts w:ascii="Times New Roman" w:hAnsi="Times New Roman"/>
                <w:snapToGrid w:val="0"/>
                <w:lang w:eastAsia="cs-CZ"/>
              </w:rPr>
            </w:pPr>
            <w:r>
              <w:rPr>
                <w:rFonts w:ascii="Times New Roman" w:hAnsi="Times New Roman"/>
              </w:rPr>
              <w:t>bolesť v končatinách</w:t>
            </w:r>
            <w:r>
              <w:rPr>
                <w:rFonts w:ascii="Times New Roman" w:hAnsi="Times New Roman"/>
                <w:snapToGrid w:val="0"/>
                <w:lang w:eastAsia="cs-CZ"/>
              </w:rPr>
              <w:t xml:space="preserve"> (bolesť nôh)</w:t>
            </w:r>
          </w:p>
        </w:tc>
        <w:tc>
          <w:tcPr>
            <w:tcW w:w="1677" w:type="dxa"/>
            <w:tcBorders>
              <w:top w:val="single" w:sz="4" w:space="0" w:color="auto"/>
              <w:left w:val="single" w:sz="4" w:space="0" w:color="auto"/>
              <w:bottom w:val="single" w:sz="4" w:space="0" w:color="auto"/>
              <w:right w:val="single" w:sz="4" w:space="0" w:color="auto"/>
            </w:tcBorders>
            <w:vAlign w:val="bottom"/>
            <w:hideMark/>
          </w:tcPr>
          <w:p w14:paraId="059F45F3"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4A4B1BCC"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3E763481" w14:textId="77777777" w:rsidR="00582954" w:rsidRDefault="00582954">
            <w:pPr>
              <w:spacing w:after="0" w:line="240" w:lineRule="auto"/>
              <w:rPr>
                <w:rFonts w:ascii="Times New Roman" w:hAnsi="Times New Roman"/>
                <w:snapToGrid w:val="0"/>
                <w:lang w:eastAsia="cs-CZ"/>
              </w:rPr>
            </w:pPr>
          </w:p>
        </w:tc>
      </w:tr>
      <w:tr w:rsidR="00582954" w14:paraId="230FE908" w14:textId="77777777">
        <w:trPr>
          <w:trHeight w:val="289"/>
          <w:jc w:val="center"/>
        </w:trPr>
        <w:tc>
          <w:tcPr>
            <w:tcW w:w="2492" w:type="dxa"/>
            <w:vMerge/>
            <w:tcBorders>
              <w:left w:val="single" w:sz="4" w:space="0" w:color="auto"/>
              <w:right w:val="single" w:sz="4" w:space="0" w:color="auto"/>
            </w:tcBorders>
            <w:hideMark/>
          </w:tcPr>
          <w:p w14:paraId="58D3AA12"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4B3048E8" w14:textId="77777777" w:rsidR="00582954" w:rsidRDefault="00645977">
            <w:pPr>
              <w:spacing w:after="0" w:line="240" w:lineRule="auto"/>
              <w:rPr>
                <w:rFonts w:ascii="Times New Roman" w:hAnsi="Times New Roman"/>
                <w:snapToGrid w:val="0"/>
                <w:lang w:eastAsia="cs-CZ"/>
              </w:rPr>
            </w:pPr>
            <w:r>
              <w:rPr>
                <w:rFonts w:ascii="Times New Roman" w:hAnsi="Times New Roman"/>
              </w:rPr>
              <w:t>bolesť šliach</w:t>
            </w:r>
            <w:r>
              <w:rPr>
                <w:rFonts w:ascii="Times New Roman" w:hAnsi="Times New Roman"/>
                <w:snapToGrid w:val="0"/>
                <w:lang w:eastAsia="cs-CZ"/>
              </w:rPr>
              <w:t xml:space="preserve"> (príznaky podobné zápalu šliach)</w:t>
            </w:r>
          </w:p>
        </w:tc>
        <w:tc>
          <w:tcPr>
            <w:tcW w:w="1677" w:type="dxa"/>
            <w:tcBorders>
              <w:top w:val="single" w:sz="4" w:space="0" w:color="auto"/>
              <w:left w:val="single" w:sz="4" w:space="0" w:color="auto"/>
              <w:bottom w:val="single" w:sz="4" w:space="0" w:color="auto"/>
              <w:right w:val="single" w:sz="4" w:space="0" w:color="auto"/>
            </w:tcBorders>
            <w:vAlign w:val="bottom"/>
            <w:hideMark/>
          </w:tcPr>
          <w:p w14:paraId="1669DA5B"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75EA8203"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408AACB1" w14:textId="77777777" w:rsidR="00582954" w:rsidRDefault="00582954">
            <w:pPr>
              <w:spacing w:after="0" w:line="240" w:lineRule="auto"/>
              <w:rPr>
                <w:rFonts w:ascii="Times New Roman" w:hAnsi="Times New Roman"/>
                <w:snapToGrid w:val="0"/>
                <w:lang w:eastAsia="cs-CZ"/>
              </w:rPr>
            </w:pPr>
          </w:p>
        </w:tc>
      </w:tr>
      <w:tr w:rsidR="00582954" w14:paraId="3BE1E254" w14:textId="77777777">
        <w:trPr>
          <w:trHeight w:val="289"/>
          <w:jc w:val="center"/>
        </w:trPr>
        <w:tc>
          <w:tcPr>
            <w:tcW w:w="2492" w:type="dxa"/>
            <w:vMerge/>
            <w:tcBorders>
              <w:left w:val="single" w:sz="4" w:space="0" w:color="auto"/>
              <w:bottom w:val="single" w:sz="4" w:space="0" w:color="auto"/>
              <w:right w:val="single" w:sz="4" w:space="0" w:color="auto"/>
            </w:tcBorders>
          </w:tcPr>
          <w:p w14:paraId="346B8C82"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tcPr>
          <w:p w14:paraId="1CFA1E56"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systémový lupus erythematosus</w:t>
            </w:r>
          </w:p>
        </w:tc>
        <w:tc>
          <w:tcPr>
            <w:tcW w:w="1677" w:type="dxa"/>
            <w:tcBorders>
              <w:top w:val="single" w:sz="4" w:space="0" w:color="auto"/>
              <w:left w:val="single" w:sz="4" w:space="0" w:color="auto"/>
              <w:bottom w:val="single" w:sz="4" w:space="0" w:color="auto"/>
              <w:right w:val="single" w:sz="4" w:space="0" w:color="auto"/>
            </w:tcBorders>
            <w:vAlign w:val="bottom"/>
          </w:tcPr>
          <w:p w14:paraId="426A8B2E"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r>
              <w:rPr>
                <w:rFonts w:ascii="Times New Roman" w:hAnsi="Times New Roman"/>
                <w:snapToGrid w:val="0"/>
                <w:vertAlign w:val="superscript"/>
                <w:lang w:eastAsia="cs-CZ"/>
              </w:rPr>
              <w:t>1</w:t>
            </w:r>
          </w:p>
        </w:tc>
        <w:tc>
          <w:tcPr>
            <w:tcW w:w="1617" w:type="dxa"/>
            <w:tcBorders>
              <w:top w:val="single" w:sz="4" w:space="0" w:color="auto"/>
              <w:left w:val="single" w:sz="4" w:space="0" w:color="auto"/>
              <w:bottom w:val="single" w:sz="4" w:space="0" w:color="auto"/>
              <w:right w:val="single" w:sz="4" w:space="0" w:color="auto"/>
            </w:tcBorders>
            <w:vAlign w:val="bottom"/>
          </w:tcPr>
          <w:p w14:paraId="0C6A378F"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tcPr>
          <w:p w14:paraId="61E2263D"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veľmi zriedkavé</w:t>
            </w:r>
          </w:p>
        </w:tc>
      </w:tr>
      <w:tr w:rsidR="00582954" w14:paraId="3CC7A246" w14:textId="77777777">
        <w:trPr>
          <w:trHeight w:val="289"/>
          <w:jc w:val="center"/>
        </w:trPr>
        <w:tc>
          <w:tcPr>
            <w:tcW w:w="2492" w:type="dxa"/>
            <w:vMerge w:val="restart"/>
            <w:tcBorders>
              <w:top w:val="single" w:sz="4" w:space="0" w:color="auto"/>
              <w:left w:val="single" w:sz="4" w:space="0" w:color="auto"/>
              <w:right w:val="single" w:sz="4" w:space="0" w:color="auto"/>
            </w:tcBorders>
            <w:hideMark/>
          </w:tcPr>
          <w:p w14:paraId="63B48722"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Poruchy obličiek a močových ciest</w:t>
            </w:r>
          </w:p>
        </w:tc>
        <w:tc>
          <w:tcPr>
            <w:tcW w:w="2324" w:type="dxa"/>
            <w:tcBorders>
              <w:top w:val="single" w:sz="4" w:space="0" w:color="auto"/>
              <w:left w:val="single" w:sz="4" w:space="0" w:color="auto"/>
              <w:bottom w:val="single" w:sz="4" w:space="0" w:color="auto"/>
              <w:right w:val="single" w:sz="4" w:space="0" w:color="auto"/>
            </w:tcBorders>
            <w:vAlign w:val="bottom"/>
            <w:hideMark/>
          </w:tcPr>
          <w:p w14:paraId="1FB0FC4B" w14:textId="77777777" w:rsidR="00582954" w:rsidRDefault="00645977">
            <w:pPr>
              <w:spacing w:after="0" w:line="240" w:lineRule="auto"/>
              <w:ind w:right="-110"/>
              <w:rPr>
                <w:rFonts w:ascii="Times New Roman" w:hAnsi="Times New Roman"/>
                <w:snapToGrid w:val="0"/>
                <w:lang w:eastAsia="cs-CZ"/>
              </w:rPr>
            </w:pPr>
            <w:r>
              <w:rPr>
                <w:rFonts w:ascii="Times New Roman" w:hAnsi="Times New Roman"/>
                <w:snapToGrid w:val="0"/>
                <w:lang w:eastAsia="cs-CZ"/>
              </w:rPr>
              <w:t>porucha funkcie obličiek</w:t>
            </w:r>
          </w:p>
        </w:tc>
        <w:tc>
          <w:tcPr>
            <w:tcW w:w="1677" w:type="dxa"/>
            <w:tcBorders>
              <w:top w:val="single" w:sz="4" w:space="0" w:color="auto"/>
              <w:left w:val="single" w:sz="4" w:space="0" w:color="auto"/>
              <w:bottom w:val="single" w:sz="4" w:space="0" w:color="auto"/>
              <w:right w:val="single" w:sz="4" w:space="0" w:color="auto"/>
            </w:tcBorders>
            <w:vAlign w:val="bottom"/>
            <w:hideMark/>
          </w:tcPr>
          <w:p w14:paraId="63CB9406"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13FA8EA9"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0E3FB321"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neznáme</w:t>
            </w:r>
          </w:p>
        </w:tc>
      </w:tr>
      <w:tr w:rsidR="00582954" w14:paraId="62435ABB" w14:textId="77777777">
        <w:trPr>
          <w:trHeight w:val="289"/>
          <w:jc w:val="center"/>
        </w:trPr>
        <w:tc>
          <w:tcPr>
            <w:tcW w:w="2492" w:type="dxa"/>
            <w:vMerge/>
            <w:tcBorders>
              <w:left w:val="single" w:sz="4" w:space="0" w:color="auto"/>
              <w:right w:val="single" w:sz="4" w:space="0" w:color="auto"/>
            </w:tcBorders>
            <w:hideMark/>
          </w:tcPr>
          <w:p w14:paraId="51A9347D"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634F902D" w14:textId="77777777" w:rsidR="00582954" w:rsidRDefault="00645977">
            <w:pPr>
              <w:spacing w:after="0" w:line="240" w:lineRule="auto"/>
              <w:ind w:right="-110"/>
              <w:rPr>
                <w:rFonts w:ascii="Times New Roman" w:hAnsi="Times New Roman"/>
                <w:snapToGrid w:val="0"/>
                <w:lang w:eastAsia="cs-CZ"/>
              </w:rPr>
            </w:pPr>
            <w:r>
              <w:rPr>
                <w:rFonts w:ascii="Times New Roman" w:hAnsi="Times New Roman"/>
                <w:snapToGrid w:val="0"/>
                <w:lang w:eastAsia="cs-CZ"/>
              </w:rPr>
              <w:t>akútne zlyhanie obličiek</w:t>
            </w:r>
          </w:p>
        </w:tc>
        <w:tc>
          <w:tcPr>
            <w:tcW w:w="1677" w:type="dxa"/>
            <w:tcBorders>
              <w:top w:val="single" w:sz="4" w:space="0" w:color="auto"/>
              <w:left w:val="single" w:sz="4" w:space="0" w:color="auto"/>
              <w:bottom w:val="single" w:sz="4" w:space="0" w:color="auto"/>
              <w:right w:val="single" w:sz="4" w:space="0" w:color="auto"/>
            </w:tcBorders>
            <w:vAlign w:val="bottom"/>
            <w:hideMark/>
          </w:tcPr>
          <w:p w14:paraId="7E5AF658"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02A992AC"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3E6C77F9"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r>
      <w:tr w:rsidR="00582954" w14:paraId="3F66132B" w14:textId="77777777">
        <w:trPr>
          <w:trHeight w:val="289"/>
          <w:jc w:val="center"/>
        </w:trPr>
        <w:tc>
          <w:tcPr>
            <w:tcW w:w="2492" w:type="dxa"/>
            <w:vMerge/>
            <w:tcBorders>
              <w:left w:val="single" w:sz="4" w:space="0" w:color="auto"/>
              <w:bottom w:val="single" w:sz="4" w:space="0" w:color="auto"/>
              <w:right w:val="single" w:sz="4" w:space="0" w:color="auto"/>
            </w:tcBorders>
          </w:tcPr>
          <w:p w14:paraId="4CFCAF85"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tcPr>
          <w:p w14:paraId="14E65743"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glukozúria</w:t>
            </w:r>
          </w:p>
        </w:tc>
        <w:tc>
          <w:tcPr>
            <w:tcW w:w="1677" w:type="dxa"/>
            <w:tcBorders>
              <w:top w:val="single" w:sz="4" w:space="0" w:color="auto"/>
              <w:left w:val="single" w:sz="4" w:space="0" w:color="auto"/>
              <w:bottom w:val="single" w:sz="4" w:space="0" w:color="auto"/>
              <w:right w:val="single" w:sz="4" w:space="0" w:color="auto"/>
            </w:tcBorders>
            <w:vAlign w:val="bottom"/>
          </w:tcPr>
          <w:p w14:paraId="63AE65ED"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tcPr>
          <w:p w14:paraId="348924F7"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tcPr>
          <w:p w14:paraId="0C5BF8D7"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58F791EC" w14:textId="77777777">
        <w:trPr>
          <w:trHeight w:val="289"/>
          <w:jc w:val="center"/>
        </w:trPr>
        <w:tc>
          <w:tcPr>
            <w:tcW w:w="2492" w:type="dxa"/>
            <w:tcBorders>
              <w:top w:val="single" w:sz="4" w:space="0" w:color="auto"/>
              <w:left w:val="single" w:sz="4" w:space="0" w:color="auto"/>
              <w:bottom w:val="single" w:sz="4" w:space="0" w:color="auto"/>
              <w:right w:val="single" w:sz="4" w:space="0" w:color="auto"/>
            </w:tcBorders>
            <w:hideMark/>
          </w:tcPr>
          <w:p w14:paraId="49FA21E7"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Poruchy reprodukčného systému a prsníkov</w:t>
            </w:r>
          </w:p>
        </w:tc>
        <w:tc>
          <w:tcPr>
            <w:tcW w:w="2324" w:type="dxa"/>
            <w:tcBorders>
              <w:top w:val="single" w:sz="4" w:space="0" w:color="auto"/>
              <w:left w:val="single" w:sz="4" w:space="0" w:color="auto"/>
              <w:bottom w:val="single" w:sz="4" w:space="0" w:color="auto"/>
              <w:right w:val="single" w:sz="4" w:space="0" w:color="auto"/>
            </w:tcBorders>
            <w:vAlign w:val="bottom"/>
            <w:hideMark/>
          </w:tcPr>
          <w:p w14:paraId="1BF3671F" w14:textId="77777777" w:rsidR="00582954" w:rsidRDefault="00645977">
            <w:pPr>
              <w:spacing w:after="0" w:line="240" w:lineRule="auto"/>
              <w:rPr>
                <w:rFonts w:ascii="Times New Roman" w:hAnsi="Times New Roman"/>
                <w:snapToGrid w:val="0"/>
                <w:lang w:eastAsia="cs-CZ"/>
              </w:rPr>
            </w:pPr>
            <w:r>
              <w:rPr>
                <w:rFonts w:ascii="Times New Roman" w:hAnsi="Times New Roman"/>
              </w:rPr>
              <w:t>erektilná dysfunkcia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63C7DFA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05DD2B19"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10CB0E7D"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časté</w:t>
            </w:r>
          </w:p>
        </w:tc>
      </w:tr>
      <w:tr w:rsidR="00582954" w14:paraId="6A8DE111" w14:textId="77777777">
        <w:trPr>
          <w:trHeight w:val="289"/>
          <w:jc w:val="center"/>
        </w:trPr>
        <w:tc>
          <w:tcPr>
            <w:tcW w:w="2492" w:type="dxa"/>
            <w:vMerge w:val="restart"/>
            <w:tcBorders>
              <w:top w:val="single" w:sz="4" w:space="0" w:color="auto"/>
              <w:left w:val="single" w:sz="4" w:space="0" w:color="auto"/>
              <w:right w:val="single" w:sz="4" w:space="0" w:color="auto"/>
            </w:tcBorders>
            <w:hideMark/>
          </w:tcPr>
          <w:p w14:paraId="2CA5F3A3"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Celkové poruchy a reakcie v mieste podania</w:t>
            </w:r>
          </w:p>
        </w:tc>
        <w:tc>
          <w:tcPr>
            <w:tcW w:w="2324" w:type="dxa"/>
            <w:tcBorders>
              <w:top w:val="single" w:sz="4" w:space="0" w:color="auto"/>
              <w:left w:val="single" w:sz="4" w:space="0" w:color="auto"/>
              <w:bottom w:val="single" w:sz="4" w:space="0" w:color="auto"/>
              <w:right w:val="single" w:sz="4" w:space="0" w:color="auto"/>
            </w:tcBorders>
            <w:vAlign w:val="bottom"/>
            <w:hideMark/>
          </w:tcPr>
          <w:p w14:paraId="75807314" w14:textId="77777777" w:rsidR="00582954" w:rsidRDefault="00645977">
            <w:pPr>
              <w:spacing w:after="0" w:line="240" w:lineRule="auto"/>
              <w:rPr>
                <w:rFonts w:ascii="Times New Roman" w:hAnsi="Times New Roman"/>
                <w:snapToGrid w:val="0"/>
                <w:lang w:eastAsia="cs-CZ"/>
              </w:rPr>
            </w:pPr>
            <w:r>
              <w:rPr>
                <w:rFonts w:ascii="Times New Roman" w:hAnsi="Times New Roman"/>
              </w:rPr>
              <w:t>bolesť v hrudníku</w:t>
            </w:r>
          </w:p>
        </w:tc>
        <w:tc>
          <w:tcPr>
            <w:tcW w:w="1677" w:type="dxa"/>
            <w:tcBorders>
              <w:top w:val="single" w:sz="4" w:space="0" w:color="auto"/>
              <w:left w:val="single" w:sz="4" w:space="0" w:color="auto"/>
              <w:bottom w:val="single" w:sz="4" w:space="0" w:color="auto"/>
              <w:right w:val="single" w:sz="4" w:space="0" w:color="auto"/>
            </w:tcBorders>
            <w:vAlign w:val="bottom"/>
            <w:hideMark/>
          </w:tcPr>
          <w:p w14:paraId="5BCBAF50"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30118361"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2AE9E89F" w14:textId="77777777" w:rsidR="00582954" w:rsidRDefault="00582954">
            <w:pPr>
              <w:spacing w:after="0" w:line="240" w:lineRule="auto"/>
              <w:rPr>
                <w:rFonts w:ascii="Times New Roman" w:hAnsi="Times New Roman"/>
                <w:snapToGrid w:val="0"/>
                <w:lang w:eastAsia="cs-CZ"/>
              </w:rPr>
            </w:pPr>
          </w:p>
        </w:tc>
      </w:tr>
      <w:tr w:rsidR="00582954" w14:paraId="000C59D7" w14:textId="77777777">
        <w:trPr>
          <w:trHeight w:val="289"/>
          <w:jc w:val="center"/>
        </w:trPr>
        <w:tc>
          <w:tcPr>
            <w:tcW w:w="2492" w:type="dxa"/>
            <w:vMerge/>
            <w:tcBorders>
              <w:left w:val="single" w:sz="4" w:space="0" w:color="auto"/>
              <w:right w:val="single" w:sz="4" w:space="0" w:color="auto"/>
            </w:tcBorders>
            <w:hideMark/>
          </w:tcPr>
          <w:p w14:paraId="60004A0D"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0625BEC0" w14:textId="77777777" w:rsidR="00582954" w:rsidRDefault="00645977">
            <w:pPr>
              <w:spacing w:after="0" w:line="240" w:lineRule="auto"/>
              <w:rPr>
                <w:rFonts w:ascii="Times New Roman" w:hAnsi="Times New Roman"/>
                <w:snapToGrid w:val="0"/>
                <w:lang w:eastAsia="cs-CZ"/>
              </w:rPr>
            </w:pPr>
            <w:r>
              <w:rPr>
                <w:rFonts w:ascii="Times New Roman" w:hAnsi="Times New Roman"/>
              </w:rPr>
              <w:t>ochorenie podobné chrípke</w:t>
            </w:r>
          </w:p>
        </w:tc>
        <w:tc>
          <w:tcPr>
            <w:tcW w:w="1677" w:type="dxa"/>
            <w:tcBorders>
              <w:top w:val="single" w:sz="4" w:space="0" w:color="auto"/>
              <w:left w:val="single" w:sz="4" w:space="0" w:color="auto"/>
              <w:bottom w:val="single" w:sz="4" w:space="0" w:color="auto"/>
              <w:right w:val="single" w:sz="4" w:space="0" w:color="auto"/>
            </w:tcBorders>
            <w:vAlign w:val="bottom"/>
            <w:hideMark/>
          </w:tcPr>
          <w:p w14:paraId="7113800C"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14244453"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4E5DD049" w14:textId="77777777" w:rsidR="00582954" w:rsidRDefault="00582954">
            <w:pPr>
              <w:spacing w:after="0" w:line="240" w:lineRule="auto"/>
              <w:rPr>
                <w:rFonts w:ascii="Times New Roman" w:hAnsi="Times New Roman"/>
                <w:snapToGrid w:val="0"/>
                <w:lang w:eastAsia="cs-CZ"/>
              </w:rPr>
            </w:pPr>
          </w:p>
        </w:tc>
      </w:tr>
      <w:tr w:rsidR="00582954" w14:paraId="7986FF74" w14:textId="77777777">
        <w:trPr>
          <w:trHeight w:val="289"/>
          <w:jc w:val="center"/>
        </w:trPr>
        <w:tc>
          <w:tcPr>
            <w:tcW w:w="2492" w:type="dxa"/>
            <w:vMerge/>
            <w:tcBorders>
              <w:left w:val="single" w:sz="4" w:space="0" w:color="auto"/>
              <w:right w:val="single" w:sz="4" w:space="0" w:color="auto"/>
            </w:tcBorders>
            <w:hideMark/>
          </w:tcPr>
          <w:p w14:paraId="74DF2DFF"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30F485E0"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bolesť</w:t>
            </w:r>
          </w:p>
        </w:tc>
        <w:tc>
          <w:tcPr>
            <w:tcW w:w="1677" w:type="dxa"/>
            <w:tcBorders>
              <w:top w:val="single" w:sz="4" w:space="0" w:color="auto"/>
              <w:left w:val="single" w:sz="4" w:space="0" w:color="auto"/>
              <w:bottom w:val="single" w:sz="4" w:space="0" w:color="auto"/>
              <w:right w:val="single" w:sz="4" w:space="0" w:color="auto"/>
            </w:tcBorders>
            <w:vAlign w:val="bottom"/>
            <w:hideMark/>
          </w:tcPr>
          <w:p w14:paraId="2FC0BBC4"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0FF01C6E"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097F73B8" w14:textId="77777777" w:rsidR="00582954" w:rsidRDefault="00582954">
            <w:pPr>
              <w:spacing w:after="0" w:line="240" w:lineRule="auto"/>
              <w:rPr>
                <w:rFonts w:ascii="Times New Roman" w:hAnsi="Times New Roman"/>
                <w:snapToGrid w:val="0"/>
                <w:lang w:eastAsia="cs-CZ"/>
              </w:rPr>
            </w:pPr>
          </w:p>
        </w:tc>
      </w:tr>
      <w:tr w:rsidR="00582954" w14:paraId="1D11F00D" w14:textId="77777777">
        <w:trPr>
          <w:trHeight w:val="289"/>
          <w:jc w:val="center"/>
        </w:trPr>
        <w:tc>
          <w:tcPr>
            <w:tcW w:w="2492" w:type="dxa"/>
            <w:vMerge/>
            <w:tcBorders>
              <w:left w:val="single" w:sz="4" w:space="0" w:color="auto"/>
              <w:right w:val="single" w:sz="4" w:space="0" w:color="auto"/>
            </w:tcBorders>
            <w:hideMark/>
          </w:tcPr>
          <w:p w14:paraId="4B030C63"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4EFF068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asténia (slabosť)</w:t>
            </w:r>
          </w:p>
        </w:tc>
        <w:tc>
          <w:tcPr>
            <w:tcW w:w="1677" w:type="dxa"/>
            <w:tcBorders>
              <w:top w:val="single" w:sz="4" w:space="0" w:color="auto"/>
              <w:left w:val="single" w:sz="4" w:space="0" w:color="auto"/>
              <w:bottom w:val="single" w:sz="4" w:space="0" w:color="auto"/>
              <w:right w:val="single" w:sz="4" w:space="0" w:color="auto"/>
            </w:tcBorders>
            <w:vAlign w:val="bottom"/>
            <w:hideMark/>
          </w:tcPr>
          <w:p w14:paraId="28AB7890"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553CF345"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1E4D786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neznáme</w:t>
            </w:r>
          </w:p>
        </w:tc>
      </w:tr>
      <w:tr w:rsidR="00582954" w14:paraId="67B955E6" w14:textId="77777777">
        <w:trPr>
          <w:trHeight w:val="289"/>
          <w:jc w:val="center"/>
        </w:trPr>
        <w:tc>
          <w:tcPr>
            <w:tcW w:w="2492" w:type="dxa"/>
            <w:vMerge/>
            <w:tcBorders>
              <w:left w:val="single" w:sz="4" w:space="0" w:color="auto"/>
              <w:bottom w:val="single" w:sz="4" w:space="0" w:color="auto"/>
              <w:right w:val="single" w:sz="4" w:space="0" w:color="auto"/>
            </w:tcBorders>
            <w:hideMark/>
          </w:tcPr>
          <w:p w14:paraId="5432DF44"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3EAC048D"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pyrexia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68376EAF"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319E2B22"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1BE97EFC"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neznáme</w:t>
            </w:r>
          </w:p>
        </w:tc>
      </w:tr>
      <w:tr w:rsidR="00582954" w14:paraId="6988F0FB" w14:textId="77777777">
        <w:trPr>
          <w:trHeight w:val="289"/>
          <w:jc w:val="center"/>
        </w:trPr>
        <w:tc>
          <w:tcPr>
            <w:tcW w:w="2492" w:type="dxa"/>
            <w:vMerge w:val="restart"/>
            <w:tcBorders>
              <w:top w:val="single" w:sz="4" w:space="0" w:color="auto"/>
              <w:left w:val="single" w:sz="4" w:space="0" w:color="auto"/>
              <w:right w:val="single" w:sz="4" w:space="0" w:color="auto"/>
            </w:tcBorders>
            <w:hideMark/>
          </w:tcPr>
          <w:p w14:paraId="4C2135EA"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Laboratórne a funkčné vyšetrenia</w:t>
            </w:r>
          </w:p>
        </w:tc>
        <w:tc>
          <w:tcPr>
            <w:tcW w:w="2324" w:type="dxa"/>
            <w:tcBorders>
              <w:top w:val="single" w:sz="4" w:space="0" w:color="auto"/>
              <w:left w:val="single" w:sz="4" w:space="0" w:color="auto"/>
              <w:bottom w:val="single" w:sz="4" w:space="0" w:color="auto"/>
              <w:right w:val="single" w:sz="4" w:space="0" w:color="auto"/>
            </w:tcBorders>
            <w:vAlign w:val="bottom"/>
            <w:hideMark/>
          </w:tcPr>
          <w:p w14:paraId="311E3849" w14:textId="77777777" w:rsidR="00582954" w:rsidRDefault="00645977">
            <w:pPr>
              <w:spacing w:after="0" w:line="240" w:lineRule="auto"/>
              <w:ind w:right="-110"/>
              <w:rPr>
                <w:rFonts w:ascii="Times New Roman" w:hAnsi="Times New Roman"/>
                <w:snapToGrid w:val="0"/>
                <w:lang w:eastAsia="cs-CZ"/>
              </w:rPr>
            </w:pPr>
            <w:r>
              <w:rPr>
                <w:rFonts w:ascii="Times New Roman" w:hAnsi="Times New Roman"/>
              </w:rPr>
              <w:t>zvýšená kyselina močová v krvi</w:t>
            </w:r>
          </w:p>
        </w:tc>
        <w:tc>
          <w:tcPr>
            <w:tcW w:w="1677" w:type="dxa"/>
            <w:tcBorders>
              <w:top w:val="single" w:sz="4" w:space="0" w:color="auto"/>
              <w:left w:val="single" w:sz="4" w:space="0" w:color="auto"/>
              <w:bottom w:val="single" w:sz="4" w:space="0" w:color="auto"/>
              <w:right w:val="single" w:sz="4" w:space="0" w:color="auto"/>
            </w:tcBorders>
            <w:vAlign w:val="bottom"/>
            <w:hideMark/>
          </w:tcPr>
          <w:p w14:paraId="6F622009"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2273D91B"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515CA092" w14:textId="77777777" w:rsidR="00582954" w:rsidRDefault="00582954">
            <w:pPr>
              <w:spacing w:after="0" w:line="240" w:lineRule="auto"/>
              <w:rPr>
                <w:rFonts w:ascii="Times New Roman" w:hAnsi="Times New Roman"/>
                <w:snapToGrid w:val="0"/>
                <w:lang w:eastAsia="cs-CZ"/>
              </w:rPr>
            </w:pPr>
          </w:p>
        </w:tc>
      </w:tr>
      <w:tr w:rsidR="00582954" w14:paraId="07481E15" w14:textId="77777777">
        <w:trPr>
          <w:trHeight w:val="289"/>
          <w:jc w:val="center"/>
        </w:trPr>
        <w:tc>
          <w:tcPr>
            <w:tcW w:w="2492" w:type="dxa"/>
            <w:vMerge/>
            <w:tcBorders>
              <w:left w:val="single" w:sz="4" w:space="0" w:color="auto"/>
              <w:right w:val="single" w:sz="4" w:space="0" w:color="auto"/>
            </w:tcBorders>
            <w:hideMark/>
          </w:tcPr>
          <w:p w14:paraId="4591B542" w14:textId="77777777" w:rsidR="00582954" w:rsidRDefault="00582954">
            <w:pPr>
              <w:spacing w:after="0" w:line="240" w:lineRule="auto"/>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01E38A49" w14:textId="77777777" w:rsidR="00582954" w:rsidRDefault="00645977">
            <w:pPr>
              <w:spacing w:after="0" w:line="240" w:lineRule="auto"/>
              <w:rPr>
                <w:rFonts w:ascii="Times New Roman" w:hAnsi="Times New Roman"/>
                <w:snapToGrid w:val="0"/>
                <w:lang w:eastAsia="cs-CZ"/>
              </w:rPr>
            </w:pPr>
            <w:r>
              <w:rPr>
                <w:rFonts w:ascii="Times New Roman" w:hAnsi="Times New Roman"/>
              </w:rPr>
              <w:t>zvýšený kreatinín v krvi</w:t>
            </w:r>
          </w:p>
        </w:tc>
        <w:tc>
          <w:tcPr>
            <w:tcW w:w="1677" w:type="dxa"/>
            <w:tcBorders>
              <w:top w:val="single" w:sz="4" w:space="0" w:color="auto"/>
              <w:left w:val="single" w:sz="4" w:space="0" w:color="auto"/>
              <w:bottom w:val="single" w:sz="4" w:space="0" w:color="auto"/>
              <w:right w:val="single" w:sz="4" w:space="0" w:color="auto"/>
            </w:tcBorders>
            <w:vAlign w:val="bottom"/>
            <w:hideMark/>
          </w:tcPr>
          <w:p w14:paraId="113CB5D0"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6117B53E"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659103B5" w14:textId="77777777" w:rsidR="00582954" w:rsidRDefault="00582954">
            <w:pPr>
              <w:spacing w:after="0" w:line="240" w:lineRule="auto"/>
              <w:rPr>
                <w:rFonts w:ascii="Times New Roman" w:hAnsi="Times New Roman"/>
                <w:snapToGrid w:val="0"/>
                <w:lang w:eastAsia="cs-CZ"/>
              </w:rPr>
            </w:pPr>
          </w:p>
        </w:tc>
      </w:tr>
      <w:tr w:rsidR="00582954" w14:paraId="3C339318" w14:textId="77777777">
        <w:trPr>
          <w:trHeight w:val="289"/>
          <w:jc w:val="center"/>
        </w:trPr>
        <w:tc>
          <w:tcPr>
            <w:tcW w:w="2492" w:type="dxa"/>
            <w:vMerge/>
            <w:tcBorders>
              <w:left w:val="single" w:sz="4" w:space="0" w:color="auto"/>
              <w:right w:val="single" w:sz="4" w:space="0" w:color="auto"/>
            </w:tcBorders>
            <w:hideMark/>
          </w:tcPr>
          <w:p w14:paraId="74B6D19C" w14:textId="77777777" w:rsidR="00582954" w:rsidRDefault="00582954">
            <w:pPr>
              <w:spacing w:after="0" w:line="240" w:lineRule="auto"/>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2494408A" w14:textId="77777777" w:rsidR="00582954" w:rsidRDefault="00645977">
            <w:pPr>
              <w:spacing w:after="0" w:line="240" w:lineRule="auto"/>
              <w:rPr>
                <w:rFonts w:ascii="Times New Roman" w:hAnsi="Times New Roman"/>
                <w:snapToGrid w:val="0"/>
                <w:lang w:eastAsia="cs-CZ"/>
              </w:rPr>
            </w:pPr>
            <w:r>
              <w:rPr>
                <w:rFonts w:ascii="Times New Roman" w:hAnsi="Times New Roman"/>
              </w:rPr>
              <w:t>zvýšená kreatinínfosfokináza v krvi</w:t>
            </w:r>
          </w:p>
        </w:tc>
        <w:tc>
          <w:tcPr>
            <w:tcW w:w="1677" w:type="dxa"/>
            <w:tcBorders>
              <w:top w:val="single" w:sz="4" w:space="0" w:color="auto"/>
              <w:left w:val="single" w:sz="4" w:space="0" w:color="auto"/>
              <w:bottom w:val="single" w:sz="4" w:space="0" w:color="auto"/>
              <w:right w:val="single" w:sz="4" w:space="0" w:color="auto"/>
            </w:tcBorders>
            <w:vAlign w:val="bottom"/>
            <w:hideMark/>
          </w:tcPr>
          <w:p w14:paraId="667CB324"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58F15115"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3CC066C6" w14:textId="77777777" w:rsidR="00582954" w:rsidRDefault="00582954">
            <w:pPr>
              <w:spacing w:after="0" w:line="240" w:lineRule="auto"/>
              <w:rPr>
                <w:rFonts w:ascii="Times New Roman" w:hAnsi="Times New Roman"/>
                <w:snapToGrid w:val="0"/>
                <w:lang w:eastAsia="cs-CZ"/>
              </w:rPr>
            </w:pPr>
          </w:p>
        </w:tc>
      </w:tr>
      <w:tr w:rsidR="00582954" w14:paraId="628AC518" w14:textId="77777777">
        <w:trPr>
          <w:trHeight w:val="289"/>
          <w:jc w:val="center"/>
        </w:trPr>
        <w:tc>
          <w:tcPr>
            <w:tcW w:w="2492" w:type="dxa"/>
            <w:vMerge/>
            <w:tcBorders>
              <w:left w:val="single" w:sz="4" w:space="0" w:color="auto"/>
              <w:right w:val="single" w:sz="4" w:space="0" w:color="auto"/>
            </w:tcBorders>
            <w:hideMark/>
          </w:tcPr>
          <w:p w14:paraId="219EDF68" w14:textId="77777777" w:rsidR="00582954" w:rsidRDefault="00582954">
            <w:pPr>
              <w:spacing w:after="0" w:line="240" w:lineRule="auto"/>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66ED4A88" w14:textId="77777777" w:rsidR="00582954" w:rsidRDefault="00645977">
            <w:pPr>
              <w:spacing w:after="0" w:line="240" w:lineRule="auto"/>
              <w:rPr>
                <w:rFonts w:ascii="Times New Roman" w:hAnsi="Times New Roman"/>
                <w:snapToGrid w:val="0"/>
                <w:lang w:eastAsia="cs-CZ"/>
              </w:rPr>
            </w:pPr>
            <w:r>
              <w:rPr>
                <w:rFonts w:ascii="Times New Roman" w:hAnsi="Times New Roman"/>
              </w:rPr>
              <w:t>zvýšené pečeňové enzýmy</w:t>
            </w:r>
          </w:p>
        </w:tc>
        <w:tc>
          <w:tcPr>
            <w:tcW w:w="1677" w:type="dxa"/>
            <w:tcBorders>
              <w:top w:val="single" w:sz="4" w:space="0" w:color="auto"/>
              <w:left w:val="single" w:sz="4" w:space="0" w:color="auto"/>
              <w:bottom w:val="single" w:sz="4" w:space="0" w:color="auto"/>
              <w:right w:val="single" w:sz="4" w:space="0" w:color="auto"/>
            </w:tcBorders>
            <w:vAlign w:val="bottom"/>
            <w:hideMark/>
          </w:tcPr>
          <w:p w14:paraId="385134A0"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1E5CA336"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62EE1439" w14:textId="77777777" w:rsidR="00582954" w:rsidRDefault="00582954">
            <w:pPr>
              <w:spacing w:after="0" w:line="240" w:lineRule="auto"/>
              <w:rPr>
                <w:rFonts w:ascii="Times New Roman" w:hAnsi="Times New Roman"/>
                <w:snapToGrid w:val="0"/>
                <w:lang w:eastAsia="cs-CZ"/>
              </w:rPr>
            </w:pPr>
          </w:p>
        </w:tc>
      </w:tr>
      <w:tr w:rsidR="00582954" w14:paraId="622726EA" w14:textId="77777777">
        <w:trPr>
          <w:trHeight w:val="289"/>
          <w:jc w:val="center"/>
        </w:trPr>
        <w:tc>
          <w:tcPr>
            <w:tcW w:w="2492" w:type="dxa"/>
            <w:vMerge/>
            <w:tcBorders>
              <w:left w:val="single" w:sz="4" w:space="0" w:color="auto"/>
              <w:bottom w:val="single" w:sz="4" w:space="0" w:color="auto"/>
              <w:right w:val="single" w:sz="4" w:space="0" w:color="auto"/>
            </w:tcBorders>
            <w:hideMark/>
          </w:tcPr>
          <w:p w14:paraId="00B80343" w14:textId="77777777" w:rsidR="00582954" w:rsidRDefault="00582954">
            <w:pPr>
              <w:spacing w:after="0" w:line="240" w:lineRule="auto"/>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2E61D724" w14:textId="77777777" w:rsidR="00582954" w:rsidRDefault="00645977">
            <w:pPr>
              <w:spacing w:after="0" w:line="240" w:lineRule="auto"/>
              <w:rPr>
                <w:rFonts w:ascii="Times New Roman" w:hAnsi="Times New Roman"/>
                <w:snapToGrid w:val="0"/>
                <w:lang w:eastAsia="cs-CZ"/>
              </w:rPr>
            </w:pPr>
            <w:r>
              <w:rPr>
                <w:rFonts w:ascii="Times New Roman" w:hAnsi="Times New Roman"/>
              </w:rPr>
              <w:t>znížený hemoglobín</w:t>
            </w:r>
          </w:p>
        </w:tc>
        <w:tc>
          <w:tcPr>
            <w:tcW w:w="1677" w:type="dxa"/>
            <w:tcBorders>
              <w:top w:val="single" w:sz="4" w:space="0" w:color="auto"/>
              <w:left w:val="single" w:sz="4" w:space="0" w:color="auto"/>
              <w:bottom w:val="single" w:sz="4" w:space="0" w:color="auto"/>
              <w:right w:val="single" w:sz="4" w:space="0" w:color="auto"/>
            </w:tcBorders>
            <w:vAlign w:val="bottom"/>
            <w:hideMark/>
          </w:tcPr>
          <w:p w14:paraId="7A874396"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3238D016"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48939E27" w14:textId="77777777" w:rsidR="00582954" w:rsidRDefault="00582954">
            <w:pPr>
              <w:spacing w:after="0" w:line="240" w:lineRule="auto"/>
              <w:rPr>
                <w:rFonts w:ascii="Times New Roman" w:hAnsi="Times New Roman"/>
                <w:snapToGrid w:val="0"/>
                <w:lang w:eastAsia="cs-CZ"/>
              </w:rPr>
            </w:pPr>
          </w:p>
        </w:tc>
      </w:tr>
    </w:tbl>
    <w:p w14:paraId="130CDCAA" w14:textId="77777777" w:rsidR="00582954" w:rsidRDefault="00645977">
      <w:pPr>
        <w:pStyle w:val="Textvysvetlivky"/>
        <w:spacing w:after="0" w:line="240" w:lineRule="auto"/>
        <w:rPr>
          <w:rFonts w:ascii="Times New Roman" w:hAnsi="Times New Roman"/>
          <w:sz w:val="22"/>
          <w:szCs w:val="22"/>
          <w:lang w:val="sk-SK"/>
        </w:rPr>
      </w:pPr>
      <w:r>
        <w:rPr>
          <w:rFonts w:ascii="Times New Roman" w:hAnsi="Times New Roman"/>
          <w:snapToGrid w:val="0"/>
          <w:sz w:val="22"/>
          <w:szCs w:val="22"/>
          <w:vertAlign w:val="superscript"/>
          <w:lang w:val="sk-SK" w:eastAsia="cs-CZ"/>
        </w:rPr>
        <w:t>1</w:t>
      </w:r>
      <w:r>
        <w:rPr>
          <w:rFonts w:ascii="Times New Roman" w:hAnsi="Times New Roman"/>
          <w:sz w:val="22"/>
          <w:szCs w:val="22"/>
          <w:vertAlign w:val="superscript"/>
          <w:lang w:val="sk-SK"/>
        </w:rPr>
        <w:tab/>
      </w:r>
      <w:r>
        <w:rPr>
          <w:rFonts w:ascii="Times New Roman" w:hAnsi="Times New Roman"/>
          <w:sz w:val="22"/>
          <w:szCs w:val="22"/>
          <w:lang w:val="sk-SK"/>
        </w:rPr>
        <w:t>Na základe skúseností po uvedení lieku na trh.</w:t>
      </w:r>
    </w:p>
    <w:p w14:paraId="6F7A30AF" w14:textId="77777777" w:rsidR="00582954" w:rsidRDefault="00645977">
      <w:pPr>
        <w:pStyle w:val="Textvysvetlivky"/>
        <w:spacing w:after="0" w:line="240" w:lineRule="auto"/>
        <w:rPr>
          <w:rFonts w:ascii="Times New Roman" w:hAnsi="Times New Roman"/>
          <w:sz w:val="22"/>
          <w:szCs w:val="22"/>
          <w:lang w:val="sk-SK"/>
        </w:rPr>
      </w:pPr>
      <w:r>
        <w:rPr>
          <w:rFonts w:ascii="Times New Roman" w:hAnsi="Times New Roman"/>
          <w:sz w:val="22"/>
          <w:szCs w:val="22"/>
          <w:vertAlign w:val="superscript"/>
          <w:lang w:val="sk-SK"/>
        </w:rPr>
        <w:t>2</w:t>
      </w:r>
      <w:r>
        <w:rPr>
          <w:rFonts w:ascii="Times New Roman" w:hAnsi="Times New Roman"/>
          <w:sz w:val="22"/>
          <w:szCs w:val="22"/>
          <w:vertAlign w:val="superscript"/>
          <w:lang w:val="sk-SK"/>
        </w:rPr>
        <w:tab/>
      </w:r>
      <w:r>
        <w:rPr>
          <w:rFonts w:ascii="Times New Roman" w:hAnsi="Times New Roman"/>
          <w:sz w:val="22"/>
          <w:szCs w:val="22"/>
          <w:lang w:val="sk-SK"/>
        </w:rPr>
        <w:t>Ďalšie informácie pozri v odsekoch nižšie.</w:t>
      </w:r>
    </w:p>
    <w:p w14:paraId="3DAA9BFD" w14:textId="77777777" w:rsidR="00582954" w:rsidRDefault="00645977">
      <w:pPr>
        <w:spacing w:after="0" w:line="240" w:lineRule="auto"/>
        <w:ind w:left="720" w:hanging="720"/>
        <w:rPr>
          <w:rFonts w:ascii="Times New Roman" w:hAnsi="Times New Roman"/>
        </w:rPr>
      </w:pPr>
      <w:r>
        <w:rPr>
          <w:rFonts w:ascii="Times New Roman" w:hAnsi="Times New Roman"/>
          <w:vertAlign w:val="superscript"/>
        </w:rPr>
        <w:t>a</w:t>
      </w:r>
      <w:r>
        <w:rPr>
          <w:rFonts w:ascii="Times New Roman" w:hAnsi="Times New Roman"/>
        </w:rPr>
        <w:tab/>
      </w:r>
      <w:r>
        <w:rPr>
          <w:rFonts w:ascii="Times New Roman" w:hAnsi="Times New Roman"/>
          <w:snapToGrid w:val="0"/>
          <w:lang w:eastAsia="cs-CZ"/>
        </w:rPr>
        <w:t>Nežiaduce reakcie sa vyskytli s rovnakou frekvenciou u pacientov užívajúcich placebo ako aj telmisartan. Celkový výskyt nežiaducich reakcií hlásených pri telmisartane (41,4 %) bol zvyčajne porovnateľný s placebom (43,9 %) v placebom kontrolovaných skúšaniach. Nežiaduce reakcie uvedené vyššie boli zozbierané zo všetkých klinických skúšaní s pacientmi s hypertenziou liečenými telmisartanom, pacientmi 50</w:t>
      </w:r>
      <w:r>
        <w:rPr>
          <w:rFonts w:ascii="Times New Roman" w:hAnsi="Times New Roman"/>
          <w:snapToGrid w:val="0"/>
          <w:lang w:eastAsia="cs-CZ"/>
        </w:rPr>
        <w:noBreakHyphen/>
        <w:t>ročnými alebo staršími s vysokým rizikom kardiovaskulárnych príhod.</w:t>
      </w:r>
    </w:p>
    <w:p w14:paraId="552F20D6" w14:textId="77777777" w:rsidR="00582954" w:rsidRDefault="00582954">
      <w:pPr>
        <w:pStyle w:val="Odsekzoznamu"/>
        <w:widowControl w:val="0"/>
        <w:spacing w:after="0" w:line="240" w:lineRule="auto"/>
        <w:ind w:left="0"/>
        <w:rPr>
          <w:rFonts w:ascii="Times New Roman" w:hAnsi="Times New Roman"/>
          <w:lang w:val="sk-SK"/>
        </w:rPr>
      </w:pPr>
    </w:p>
    <w:p w14:paraId="0C0B891D"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Opis vybraných nežiaducich reakcií</w:t>
      </w:r>
    </w:p>
    <w:p w14:paraId="3197C912" w14:textId="77777777" w:rsidR="00582954" w:rsidRDefault="00582954">
      <w:pPr>
        <w:pStyle w:val="Odsekzoznamu"/>
        <w:widowControl w:val="0"/>
        <w:spacing w:after="0" w:line="240" w:lineRule="auto"/>
        <w:ind w:left="0"/>
        <w:rPr>
          <w:rFonts w:ascii="Times New Roman" w:hAnsi="Times New Roman"/>
          <w:u w:val="single"/>
          <w:lang w:val="sk-SK"/>
        </w:rPr>
      </w:pPr>
    </w:p>
    <w:p w14:paraId="27097F79"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Abnormálna funkcia pečene/porucha pečene</w:t>
      </w:r>
    </w:p>
    <w:p w14:paraId="326C06D2"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Väčšina prípadov poruchy funkcie pečene/ochorenia pečene zo skúseností po uvedení lieku na trh sa vyskytla u japonských pacientov. Tieto nežiaduce reakcie sa s vyššou pravdepodobnosťou vyskytnú u japonských pacientov.</w:t>
      </w:r>
    </w:p>
    <w:p w14:paraId="754E732A" w14:textId="77777777" w:rsidR="00582954" w:rsidRDefault="00582954">
      <w:pPr>
        <w:pStyle w:val="Odsekzoznamu"/>
        <w:widowControl w:val="0"/>
        <w:spacing w:after="0" w:line="240" w:lineRule="auto"/>
        <w:ind w:left="0"/>
        <w:rPr>
          <w:rFonts w:ascii="Times New Roman" w:hAnsi="Times New Roman"/>
          <w:lang w:val="sk-SK"/>
        </w:rPr>
      </w:pPr>
    </w:p>
    <w:p w14:paraId="5DA4FA08"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Sepsa</w:t>
      </w:r>
    </w:p>
    <w:p w14:paraId="1D18F4C7"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V klinickom skúšaní PRoFESS sa pri telmisartane, v porovnaní s placebom, pozorovala zvýšená incidencia sepsy. Udalosť môže byť náhodným nálezom alebo môže súvisieť s mechanizmom, ktorý v súčasnosti nie je známy (pozri časť 5.1).</w:t>
      </w:r>
    </w:p>
    <w:p w14:paraId="61733109" w14:textId="77777777" w:rsidR="00582954" w:rsidRDefault="00582954">
      <w:pPr>
        <w:pStyle w:val="Odsekzoznamu"/>
        <w:widowControl w:val="0"/>
        <w:spacing w:after="0" w:line="240" w:lineRule="auto"/>
        <w:ind w:left="0"/>
        <w:rPr>
          <w:rFonts w:ascii="Times New Roman" w:hAnsi="Times New Roman"/>
          <w:lang w:val="sk-SK"/>
        </w:rPr>
      </w:pPr>
    </w:p>
    <w:p w14:paraId="1B2D0FB2"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Intersticiálne ochorenie pľúc</w:t>
      </w:r>
    </w:p>
    <w:p w14:paraId="2ABFE8F2"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V časovej súvislosti s užívaním telmisartanu boli z údajov získaných po uvedení lieku na trh hlásené prípady intersticiálneho ochorenia pľúc. Avšak, kauzálny vzťah nebol stanovený.</w:t>
      </w:r>
    </w:p>
    <w:p w14:paraId="1F58581E" w14:textId="77777777" w:rsidR="00582954" w:rsidRDefault="00582954">
      <w:pPr>
        <w:pStyle w:val="Odsekzoznamu"/>
        <w:widowControl w:val="0"/>
        <w:spacing w:after="0" w:line="240" w:lineRule="auto"/>
        <w:ind w:left="0"/>
        <w:rPr>
          <w:rFonts w:ascii="Times New Roman" w:hAnsi="Times New Roman"/>
          <w:lang w:val="sk-SK"/>
        </w:rPr>
      </w:pPr>
    </w:p>
    <w:p w14:paraId="1B394653" w14:textId="77777777" w:rsidR="00582954" w:rsidRDefault="00645977">
      <w:pPr>
        <w:pStyle w:val="Odsekzoznamu"/>
        <w:widowControl w:val="0"/>
        <w:spacing w:after="0" w:line="240" w:lineRule="auto"/>
        <w:ind w:left="0"/>
        <w:rPr>
          <w:rFonts w:ascii="Times New Roman" w:hAnsi="Times New Roman"/>
          <w:szCs w:val="23"/>
          <w:u w:val="single"/>
        </w:rPr>
      </w:pPr>
      <w:r>
        <w:rPr>
          <w:rFonts w:ascii="Times New Roman" w:hAnsi="Times New Roman"/>
          <w:szCs w:val="23"/>
          <w:u w:val="single"/>
        </w:rPr>
        <w:t>Nemelanómová rakovina kože</w:t>
      </w:r>
    </w:p>
    <w:p w14:paraId="7F4BA64E"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szCs w:val="23"/>
        </w:rPr>
        <w:t xml:space="preserve">Na základe dostupných údajov z epidemiologických štúdií sa pozorovala súvislosť medzi </w:t>
      </w:r>
      <w:r>
        <w:rPr>
          <w:rFonts w:ascii="Times New Roman" w:hAnsi="Times New Roman"/>
          <w:lang w:val="sk-SK"/>
        </w:rPr>
        <w:t>hydrochlórtiazidom</w:t>
      </w:r>
      <w:r>
        <w:rPr>
          <w:rFonts w:ascii="Times New Roman" w:hAnsi="Times New Roman"/>
          <w:szCs w:val="23"/>
        </w:rPr>
        <w:t xml:space="preserve"> a NMSC v závislosti od kumulatívnej dávky (pozri tiež časti 4.4 a 5.1).</w:t>
      </w:r>
    </w:p>
    <w:p w14:paraId="1437FB78" w14:textId="77777777" w:rsidR="00582954" w:rsidRDefault="00582954">
      <w:pPr>
        <w:pStyle w:val="Odsekzoznamu"/>
        <w:widowControl w:val="0"/>
        <w:spacing w:after="0" w:line="240" w:lineRule="auto"/>
        <w:ind w:left="0"/>
        <w:rPr>
          <w:rFonts w:ascii="Times New Roman" w:hAnsi="Times New Roman"/>
          <w:lang w:val="sk-SK"/>
        </w:rPr>
      </w:pPr>
    </w:p>
    <w:p w14:paraId="42B6EB42"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Intestinálny angioedém</w:t>
      </w:r>
    </w:p>
    <w:p w14:paraId="7E6C1372"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 xml:space="preserve">Prípady intestinálneho angioedému boli hlásené po užívaní blokátorov receptorov angiotenzínu II (pozri časť 4.4). </w:t>
      </w:r>
    </w:p>
    <w:p w14:paraId="1332FFC4" w14:textId="77777777" w:rsidR="00582954" w:rsidRDefault="00582954">
      <w:pPr>
        <w:pStyle w:val="Odsekzoznamu"/>
        <w:widowControl w:val="0"/>
        <w:spacing w:after="0" w:line="240" w:lineRule="auto"/>
        <w:ind w:left="0"/>
        <w:rPr>
          <w:rFonts w:ascii="Times New Roman" w:hAnsi="Times New Roman"/>
          <w:lang w:val="sk-SK"/>
        </w:rPr>
      </w:pPr>
    </w:p>
    <w:p w14:paraId="268AC5B7"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Hlásenie podozrení na nežiaduce reakcie</w:t>
      </w:r>
    </w:p>
    <w:p w14:paraId="34CFCA35"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Pr>
          <w:rFonts w:ascii="Times New Roman" w:eastAsia="Times New Roman" w:hAnsi="Times New Roman"/>
          <w:noProof/>
          <w:snapToGrid w:val="0"/>
          <w:highlight w:val="lightGray"/>
          <w:lang w:val="sk-SK"/>
        </w:rPr>
        <w:t>národné centrum hlásenia uvedené v </w:t>
      </w:r>
      <w:hyperlink r:id="rId9" w:history="1">
        <w:r>
          <w:rPr>
            <w:rFonts w:ascii="Times New Roman" w:eastAsia="Times New Roman" w:hAnsi="Times New Roman"/>
            <w:noProof/>
            <w:snapToGrid w:val="0"/>
            <w:color w:val="0000FF"/>
            <w:highlight w:val="lightGray"/>
            <w:u w:val="single"/>
            <w:lang w:val="sk-SK"/>
          </w:rPr>
          <w:t>P</w:t>
        </w:r>
        <w:r>
          <w:rPr>
            <w:rFonts w:ascii="Times New Roman" w:eastAsia="Times New Roman" w:hAnsi="Times New Roman"/>
            <w:snapToGrid w:val="0"/>
            <w:color w:val="0000FF"/>
            <w:szCs w:val="20"/>
            <w:highlight w:val="lightGray"/>
            <w:u w:val="single"/>
            <w:lang w:val="sk-SK"/>
          </w:rPr>
          <w:t xml:space="preserve">rílohe </w:t>
        </w:r>
        <w:r>
          <w:rPr>
            <w:rFonts w:ascii="Times New Roman" w:eastAsia="Times New Roman" w:hAnsi="Times New Roman"/>
            <w:noProof/>
            <w:snapToGrid w:val="0"/>
            <w:color w:val="0000FF"/>
            <w:highlight w:val="lightGray"/>
            <w:u w:val="single"/>
            <w:lang w:val="sk-SK"/>
          </w:rPr>
          <w:t>V</w:t>
        </w:r>
      </w:hyperlink>
      <w:r>
        <w:rPr>
          <w:rFonts w:ascii="Times New Roman" w:hAnsi="Times New Roman"/>
          <w:lang w:val="sk-SK"/>
        </w:rPr>
        <w:t>.</w:t>
      </w:r>
    </w:p>
    <w:p w14:paraId="228D2D18" w14:textId="77777777" w:rsidR="00582954" w:rsidRDefault="00582954">
      <w:pPr>
        <w:pStyle w:val="Odsekzoznamu"/>
        <w:widowControl w:val="0"/>
        <w:spacing w:after="0" w:line="240" w:lineRule="auto"/>
        <w:ind w:left="0"/>
        <w:rPr>
          <w:rFonts w:ascii="Times New Roman" w:hAnsi="Times New Roman"/>
          <w:lang w:val="sk-SK"/>
        </w:rPr>
      </w:pPr>
    </w:p>
    <w:p w14:paraId="1D07C365" w14:textId="77777777" w:rsidR="00582954" w:rsidRDefault="00645977">
      <w:pPr>
        <w:pStyle w:val="Odsekzoznamu"/>
        <w:widowControl w:val="0"/>
        <w:tabs>
          <w:tab w:val="left" w:pos="567"/>
        </w:tabs>
        <w:spacing w:after="0" w:line="240" w:lineRule="auto"/>
        <w:ind w:left="0"/>
        <w:rPr>
          <w:rFonts w:ascii="Times New Roman" w:hAnsi="Times New Roman"/>
          <w:b/>
          <w:lang w:val="sk-SK"/>
        </w:rPr>
      </w:pPr>
      <w:r>
        <w:rPr>
          <w:rFonts w:ascii="Times New Roman" w:hAnsi="Times New Roman"/>
          <w:b/>
          <w:lang w:val="sk-SK"/>
        </w:rPr>
        <w:t>4.9</w:t>
      </w:r>
      <w:r>
        <w:rPr>
          <w:rFonts w:ascii="Times New Roman" w:hAnsi="Times New Roman"/>
          <w:b/>
          <w:lang w:val="sk-SK"/>
        </w:rPr>
        <w:tab/>
        <w:t>Predávkovanie</w:t>
      </w:r>
    </w:p>
    <w:p w14:paraId="4DDFACB8" w14:textId="77777777" w:rsidR="00582954" w:rsidRDefault="00582954">
      <w:pPr>
        <w:pStyle w:val="Odsekzoznamu"/>
        <w:widowControl w:val="0"/>
        <w:spacing w:after="0" w:line="240" w:lineRule="auto"/>
        <w:ind w:left="0"/>
        <w:rPr>
          <w:rFonts w:ascii="Times New Roman" w:hAnsi="Times New Roman"/>
          <w:b/>
          <w:lang w:val="sk-SK"/>
        </w:rPr>
      </w:pPr>
    </w:p>
    <w:p w14:paraId="18F1DD12"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Sú dostupné obmedzené informácie týkajúce sa predávkovania telmisartanom u ľudí. Telmisartan sa neodstraňuje hemodialýzou. Stupeň odstránenia hydrochlórtiazidu hemodialýzou sa nestanovil.</w:t>
      </w:r>
    </w:p>
    <w:p w14:paraId="11BAC74B" w14:textId="77777777" w:rsidR="00582954" w:rsidRDefault="00582954">
      <w:pPr>
        <w:pStyle w:val="Odsekzoznamu"/>
        <w:widowControl w:val="0"/>
        <w:spacing w:after="0" w:line="240" w:lineRule="auto"/>
        <w:ind w:left="0"/>
        <w:rPr>
          <w:rFonts w:ascii="Times New Roman" w:hAnsi="Times New Roman"/>
          <w:lang w:val="sk-SK"/>
        </w:rPr>
      </w:pPr>
    </w:p>
    <w:p w14:paraId="457C5439"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Príznaky</w:t>
      </w:r>
    </w:p>
    <w:p w14:paraId="4DB7EF97"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Najvýznamnejšími prejavmi predávkovania telmisartanom bola hypotenzia a tachykardia. Hlásila sa aj bradykardia, závrat, vracanie, zvýšenie kreatinínu v sére a akútne zlyhanie obličiek. Predávkovanie hydrochlórtiazidom je spojené s depléciou elektrolytov (hypokaliémia, hypochlorémia) a hypovolémia v dôsledku nadmernej diurézy. Najčastejšie prejavy a príznaky predávkovania sú nauzea a ospalosť. Hypokaliémia môže mať za následok svalové kŕče a/alebo zvýraznenie arytmie spojenej so súbežným používaním náprstníkových glykozidov alebo niektorých antiarytmík.</w:t>
      </w:r>
    </w:p>
    <w:p w14:paraId="246F4860" w14:textId="77777777" w:rsidR="00582954" w:rsidRDefault="00582954">
      <w:pPr>
        <w:pStyle w:val="Odsekzoznamu"/>
        <w:widowControl w:val="0"/>
        <w:spacing w:after="0" w:line="240" w:lineRule="auto"/>
        <w:ind w:left="0"/>
        <w:rPr>
          <w:rFonts w:ascii="Times New Roman" w:hAnsi="Times New Roman"/>
          <w:lang w:val="sk-SK"/>
        </w:rPr>
      </w:pPr>
    </w:p>
    <w:p w14:paraId="5C386084"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lastRenderedPageBreak/>
        <w:t>Liečba</w:t>
      </w:r>
    </w:p>
    <w:p w14:paraId="79DB9964"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Telmisartan sa neodstraňuje hemofiltráciou a nie je dialyzovateľný. Pacient musí byť starostlivo monitorovaný a liečba má byť symptomatická a podporná. Liečba závisí od času užitia a závažnosti príznakov. Navrhované opatrenia zahŕňajú vyvolanie vracania a/alebo výplach žalúdka. Aktívne uhlie môže byť užitočné pri liečbe predávkovania. Majú sa často sledovať sérové elektrolyty a kreatinín. Ak sa objaví hypotenzia, pacient sa má uložiť do polohy na chrbte a urýchlene podať náhrady solí a objemu.</w:t>
      </w:r>
    </w:p>
    <w:p w14:paraId="789891AD" w14:textId="77777777" w:rsidR="00582954" w:rsidRDefault="00582954">
      <w:pPr>
        <w:pStyle w:val="Odsekzoznamu"/>
        <w:widowControl w:val="0"/>
        <w:spacing w:after="0" w:line="240" w:lineRule="auto"/>
        <w:ind w:left="0"/>
        <w:rPr>
          <w:rFonts w:ascii="Times New Roman" w:hAnsi="Times New Roman"/>
          <w:lang w:val="sk-SK"/>
        </w:rPr>
      </w:pPr>
    </w:p>
    <w:p w14:paraId="10199FE6" w14:textId="77777777" w:rsidR="00582954" w:rsidRDefault="00582954">
      <w:pPr>
        <w:pStyle w:val="Odsekzoznamu"/>
        <w:widowControl w:val="0"/>
        <w:spacing w:after="0" w:line="240" w:lineRule="auto"/>
        <w:ind w:left="0"/>
        <w:rPr>
          <w:rFonts w:ascii="Times New Roman" w:hAnsi="Times New Roman"/>
          <w:lang w:val="sk-SK"/>
        </w:rPr>
      </w:pPr>
    </w:p>
    <w:p w14:paraId="4217EC62" w14:textId="77777777" w:rsidR="00582954" w:rsidRDefault="00645977">
      <w:pPr>
        <w:pStyle w:val="Odsekzoznamu"/>
        <w:keepNext/>
        <w:widowControl w:val="0"/>
        <w:tabs>
          <w:tab w:val="left" w:pos="567"/>
        </w:tabs>
        <w:spacing w:after="0" w:line="240" w:lineRule="auto"/>
        <w:ind w:left="0"/>
        <w:rPr>
          <w:rFonts w:ascii="Times New Roman" w:hAnsi="Times New Roman"/>
          <w:b/>
          <w:lang w:val="sk-SK"/>
        </w:rPr>
      </w:pPr>
      <w:r>
        <w:rPr>
          <w:rFonts w:ascii="Times New Roman" w:hAnsi="Times New Roman"/>
          <w:b/>
          <w:lang w:val="sk-SK"/>
        </w:rPr>
        <w:t>5.</w:t>
      </w:r>
      <w:r>
        <w:rPr>
          <w:rFonts w:ascii="Times New Roman" w:hAnsi="Times New Roman"/>
          <w:b/>
          <w:lang w:val="sk-SK"/>
        </w:rPr>
        <w:tab/>
        <w:t>FARMAKOLOGICKÉ VLASTNOSTI</w:t>
      </w:r>
    </w:p>
    <w:p w14:paraId="2AD43D6D" w14:textId="77777777" w:rsidR="00582954" w:rsidRDefault="00582954">
      <w:pPr>
        <w:pStyle w:val="Odsekzoznamu"/>
        <w:keepNext/>
        <w:widowControl w:val="0"/>
        <w:spacing w:after="0" w:line="240" w:lineRule="auto"/>
        <w:ind w:left="0"/>
        <w:rPr>
          <w:rFonts w:ascii="Times New Roman" w:hAnsi="Times New Roman"/>
          <w:b/>
          <w:lang w:val="sk-SK"/>
        </w:rPr>
      </w:pPr>
    </w:p>
    <w:p w14:paraId="2B453F90" w14:textId="77777777" w:rsidR="00582954" w:rsidRDefault="00645977">
      <w:pPr>
        <w:pStyle w:val="Odsekzoznamu"/>
        <w:keepNext/>
        <w:widowControl w:val="0"/>
        <w:spacing w:after="0" w:line="240" w:lineRule="auto"/>
        <w:ind w:left="567" w:hanging="567"/>
        <w:rPr>
          <w:rFonts w:ascii="Times New Roman" w:hAnsi="Times New Roman"/>
          <w:b/>
          <w:lang w:val="sk-SK"/>
        </w:rPr>
      </w:pPr>
      <w:r>
        <w:rPr>
          <w:rFonts w:ascii="Times New Roman" w:hAnsi="Times New Roman"/>
          <w:b/>
          <w:lang w:val="sk-SK"/>
        </w:rPr>
        <w:t>5.1</w:t>
      </w:r>
      <w:r>
        <w:rPr>
          <w:rFonts w:ascii="Times New Roman" w:hAnsi="Times New Roman"/>
          <w:b/>
          <w:lang w:val="sk-SK"/>
        </w:rPr>
        <w:tab/>
        <w:t>Farmakodynamické vlastnosti</w:t>
      </w:r>
    </w:p>
    <w:p w14:paraId="1AA43D4C" w14:textId="77777777" w:rsidR="00582954" w:rsidRDefault="00582954">
      <w:pPr>
        <w:pStyle w:val="Odsekzoznamu"/>
        <w:widowControl w:val="0"/>
        <w:spacing w:after="0" w:line="240" w:lineRule="auto"/>
        <w:ind w:left="0"/>
        <w:rPr>
          <w:rFonts w:ascii="Times New Roman" w:hAnsi="Times New Roman"/>
          <w:b/>
          <w:lang w:val="sk-SK"/>
        </w:rPr>
      </w:pPr>
    </w:p>
    <w:p w14:paraId="29D0591D"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 xml:space="preserve">Farmakoterapeutická skupina: Blokátory receptorov angiotenzínu II (ARB) a diuretiká, </w:t>
      </w:r>
    </w:p>
    <w:p w14:paraId="38F77278"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ATC kód: C09DA07</w:t>
      </w:r>
    </w:p>
    <w:p w14:paraId="07EF43A2" w14:textId="77777777" w:rsidR="00582954" w:rsidRDefault="00582954">
      <w:pPr>
        <w:pStyle w:val="Odsekzoznamu"/>
        <w:widowControl w:val="0"/>
        <w:spacing w:after="0" w:line="240" w:lineRule="auto"/>
        <w:ind w:left="0"/>
        <w:rPr>
          <w:rFonts w:ascii="Times New Roman" w:hAnsi="Times New Roman"/>
          <w:lang w:val="sk-SK"/>
        </w:rPr>
      </w:pPr>
    </w:p>
    <w:p w14:paraId="01024FC2" w14:textId="77777777" w:rsidR="00582954" w:rsidRDefault="00645977">
      <w:pPr>
        <w:pStyle w:val="Odsekzoznamu"/>
        <w:widowControl w:val="0"/>
        <w:spacing w:after="0" w:line="240" w:lineRule="auto"/>
        <w:ind w:left="0" w:right="332"/>
        <w:rPr>
          <w:rFonts w:ascii="Times New Roman" w:hAnsi="Times New Roman"/>
          <w:lang w:val="sk-SK"/>
        </w:rPr>
      </w:pPr>
      <w:r>
        <w:rPr>
          <w:rFonts w:ascii="Times New Roman" w:hAnsi="Times New Roman"/>
          <w:lang w:val="sk-SK"/>
        </w:rPr>
        <w:t>Tolucombi je kombinácia blokátora receptorov angiotenzínu II telmisartanu a tiazidového diuretika hydrochlórtiazidu. Kombinácia týchto liečiv má aditívny antihypertenzný účinok, znižujúci tlak krvi vo vyššej miere ako každé liečivo samostatne. Tolucombi podávané raz denne zabezpečuje účinné a rovnomerné zníženie krvného tlaku v rozpätí terapeutických dávok.</w:t>
      </w:r>
    </w:p>
    <w:p w14:paraId="50BA77E7" w14:textId="77777777" w:rsidR="00582954" w:rsidRDefault="00582954">
      <w:pPr>
        <w:pStyle w:val="Odsekzoznamu"/>
        <w:widowControl w:val="0"/>
        <w:spacing w:after="0" w:line="240" w:lineRule="auto"/>
        <w:ind w:left="0"/>
        <w:rPr>
          <w:rFonts w:ascii="Times New Roman" w:hAnsi="Times New Roman"/>
          <w:lang w:val="sk-SK"/>
        </w:rPr>
      </w:pPr>
    </w:p>
    <w:p w14:paraId="1C96BC20"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Mechanizmus účinku</w:t>
      </w:r>
    </w:p>
    <w:p w14:paraId="5DBBE972"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Telmisartan je perorálne účinný a špecifický blokátor receptorov angiotenzínu II podtypu 1 (AT</w:t>
      </w:r>
      <w:r>
        <w:rPr>
          <w:rFonts w:ascii="Times New Roman" w:hAnsi="Times New Roman"/>
          <w:vertAlign w:val="subscript"/>
          <w:lang w:val="sk-SK"/>
        </w:rPr>
        <w:t>1</w:t>
      </w:r>
      <w:r>
        <w:rPr>
          <w:rFonts w:ascii="Times New Roman" w:hAnsi="Times New Roman"/>
          <w:lang w:val="sk-SK"/>
        </w:rPr>
        <w:t>). Telmisartan s veľmi vysokou afinitou vytesňuje angiotenzín II z jeho väzbového miesta na podtype receptora AT</w:t>
      </w:r>
      <w:r>
        <w:rPr>
          <w:rFonts w:ascii="Times New Roman" w:hAnsi="Times New Roman"/>
          <w:vertAlign w:val="subscript"/>
          <w:lang w:val="sk-SK"/>
        </w:rPr>
        <w:t>1</w:t>
      </w:r>
      <w:r>
        <w:rPr>
          <w:rFonts w:ascii="Times New Roman" w:hAnsi="Times New Roman"/>
          <w:lang w:val="sk-SK"/>
        </w:rPr>
        <w:t>, ktorý je zodpovedný za známe účinky angiotenzínu II. Telmisartan nevykazuje žiadnu čiastočnú agonistickú aktivitu na AT</w:t>
      </w:r>
      <w:r>
        <w:rPr>
          <w:rFonts w:ascii="Times New Roman" w:hAnsi="Times New Roman"/>
          <w:vertAlign w:val="subscript"/>
          <w:lang w:val="sk-SK"/>
        </w:rPr>
        <w:t>1</w:t>
      </w:r>
      <w:r>
        <w:rPr>
          <w:rFonts w:ascii="Times New Roman" w:hAnsi="Times New Roman"/>
          <w:lang w:val="sk-SK"/>
        </w:rPr>
        <w:t xml:space="preserve"> receptoroch. Telmisartan sa selektívne viaže na AT</w:t>
      </w:r>
      <w:r>
        <w:rPr>
          <w:rFonts w:ascii="Times New Roman" w:hAnsi="Times New Roman"/>
          <w:vertAlign w:val="subscript"/>
          <w:lang w:val="sk-SK"/>
        </w:rPr>
        <w:t>1</w:t>
      </w:r>
      <w:r>
        <w:rPr>
          <w:rFonts w:ascii="Times New Roman" w:hAnsi="Times New Roman"/>
          <w:lang w:val="sk-SK"/>
        </w:rPr>
        <w:t xml:space="preserve"> receptory.</w:t>
      </w:r>
    </w:p>
    <w:p w14:paraId="0CF7A1BE"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Táto väzba je dlhodobá. Telmisartan nevykazuje afinitu k iným receptorom vrátane AT</w:t>
      </w:r>
      <w:r>
        <w:rPr>
          <w:rFonts w:ascii="Times New Roman" w:hAnsi="Times New Roman"/>
          <w:vertAlign w:val="subscript"/>
          <w:lang w:val="sk-SK"/>
        </w:rPr>
        <w:t>2</w:t>
      </w:r>
      <w:r>
        <w:rPr>
          <w:rFonts w:ascii="Times New Roman" w:hAnsi="Times New Roman"/>
          <w:lang w:val="sk-SK"/>
        </w:rPr>
        <w:t xml:space="preserve"> a ďalším menej charakterizovaným AT receptorom. Funkčná úloha týchto receptorov nie je známa, ani účinok ich možnej nadmernej stimulácie angiotenzínom II, ktorého hladiny sa zvyšujú telmisartanom. Plazmatické hladiny aldosterónu sa telmisartanom znižujú. Telmisartan neinhibuje ľudský plazmatický renín ani neblokuje iónové kanály. Telmisartan neinhibuje enzým konvertujúci angiotenzín (kininázu II), enzým, ktorý tiež odbúrava bradykinín. Preto sa neočakáva potenciácia bradykinínom sprostredkovaných nežiaducich účinkov.</w:t>
      </w:r>
    </w:p>
    <w:p w14:paraId="1304BC02"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Dávka 80 mg telmisartanu podávaná zdravým dobrovoľníkom takmer úplne inhibuje zvýšenie tlaku krvi vyvolané angiotenzínom II. Inhibičný účinok sa zachová v priebehu 24 hodín a je merateľný až do 48 hodín.</w:t>
      </w:r>
    </w:p>
    <w:p w14:paraId="37AD653B" w14:textId="77777777" w:rsidR="00582954" w:rsidRDefault="00582954">
      <w:pPr>
        <w:widowControl w:val="0"/>
        <w:autoSpaceDE w:val="0"/>
        <w:autoSpaceDN w:val="0"/>
        <w:adjustRightInd w:val="0"/>
        <w:spacing w:after="0" w:line="240" w:lineRule="auto"/>
        <w:rPr>
          <w:rFonts w:ascii="Times New Roman" w:hAnsi="Times New Roman"/>
          <w:lang w:val="sk-SK"/>
        </w:rPr>
      </w:pPr>
    </w:p>
    <w:p w14:paraId="12114D5F"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Hydrochlórtiazid je tiazidové diuretikum. Mechanizmus antihypertenzného účinku tiazidových diuretík ešte nie je úplne objasnený. Tiazidy pôsobia na renálne tubulárne mechanizmy reabsorpcie elektrolytov, priamo zvyšujúc vylučovanie sodíka a chloridu v približne rovnakých množstvách. Diuretický účinok hydrochlórtiazidu znižuje plazmatický objem, zvyšuje plazmatickú renínovú aktivitu, zvyšuje sekréciu aldosterónu s následne zvýšeným úbytkom draslíka a bikarbonátov močom a znížením sérového draslíka. Súbežné podávanie s telmisartanom vedie k zvráteniu straty draslíka spojenej s týmito diuretikami, a to pravdepodobne v dôsledku inhibície systému renín-angiotenzín-aldosterón. Po podaní hydrochlórtiazidu sa začiatok diurézy objaví do 2 hodín a vrchol dosahuje okolo 4 hodín, účinok trvá približne 6 – 12 hodín.</w:t>
      </w:r>
    </w:p>
    <w:p w14:paraId="3CD1ED2F" w14:textId="77777777" w:rsidR="00582954" w:rsidRDefault="00582954">
      <w:pPr>
        <w:widowControl w:val="0"/>
        <w:autoSpaceDE w:val="0"/>
        <w:autoSpaceDN w:val="0"/>
        <w:adjustRightInd w:val="0"/>
        <w:spacing w:after="0" w:line="240" w:lineRule="auto"/>
        <w:rPr>
          <w:rFonts w:ascii="Times New Roman" w:hAnsi="Times New Roman"/>
          <w:lang w:val="sk-SK"/>
        </w:rPr>
      </w:pPr>
    </w:p>
    <w:p w14:paraId="5C84FC57" w14:textId="77777777" w:rsidR="00582954" w:rsidRDefault="00645977">
      <w:pPr>
        <w:keepNext/>
        <w:widowControl w:val="0"/>
        <w:autoSpaceDE w:val="0"/>
        <w:autoSpaceDN w:val="0"/>
        <w:adjustRightInd w:val="0"/>
        <w:spacing w:after="0" w:line="240" w:lineRule="auto"/>
        <w:rPr>
          <w:rFonts w:ascii="Times New Roman" w:hAnsi="Times New Roman"/>
          <w:u w:val="single"/>
          <w:lang w:val="sk-SK"/>
        </w:rPr>
      </w:pPr>
      <w:bookmarkStart w:id="16" w:name="_Hlk45102633"/>
      <w:r>
        <w:rPr>
          <w:rFonts w:ascii="Times New Roman" w:hAnsi="Times New Roman"/>
          <w:u w:val="single"/>
          <w:lang w:val="sk-SK"/>
        </w:rPr>
        <w:t>Farmakodynamické účinky</w:t>
      </w:r>
      <w:bookmarkEnd w:id="16"/>
    </w:p>
    <w:p w14:paraId="74D16E65" w14:textId="77777777" w:rsidR="00582954" w:rsidRDefault="00582954">
      <w:pPr>
        <w:keepNext/>
        <w:widowControl w:val="0"/>
        <w:autoSpaceDE w:val="0"/>
        <w:autoSpaceDN w:val="0"/>
        <w:adjustRightInd w:val="0"/>
        <w:spacing w:after="0" w:line="240" w:lineRule="auto"/>
        <w:rPr>
          <w:rFonts w:ascii="Times New Roman" w:hAnsi="Times New Roman"/>
          <w:lang w:val="sk-SK"/>
        </w:rPr>
      </w:pPr>
    </w:p>
    <w:p w14:paraId="2184FBE6" w14:textId="77777777" w:rsidR="00582954" w:rsidRDefault="00645977">
      <w:pPr>
        <w:keepNext/>
        <w:widowControl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Liečba esenciálnej hypertenzie</w:t>
      </w:r>
    </w:p>
    <w:p w14:paraId="05C06CEB" w14:textId="77777777" w:rsidR="00582954" w:rsidRDefault="00645977">
      <w:pPr>
        <w:widowControl w:val="0"/>
        <w:autoSpaceDE w:val="0"/>
        <w:autoSpaceDN w:val="0"/>
        <w:adjustRightInd w:val="0"/>
        <w:spacing w:after="0" w:line="240" w:lineRule="auto"/>
        <w:ind w:right="-94"/>
        <w:rPr>
          <w:rFonts w:ascii="Times New Roman" w:hAnsi="Times New Roman"/>
          <w:lang w:val="sk-SK"/>
        </w:rPr>
      </w:pPr>
      <w:r>
        <w:rPr>
          <w:rFonts w:ascii="Times New Roman" w:hAnsi="Times New Roman"/>
          <w:lang w:val="sk-SK"/>
        </w:rPr>
        <w:t xml:space="preserve">Po prvej dávke telmisartanu sa antihypertenzná účinnosť postupne prejavuje v priebehu 3 hodín. Maximálna redukcia krvného tlaku sa zvyčajne dosahuje 4 – 8 týždňov od začiatku liečby a pretrváva počas dlhodobej liečby. Ako sa ukázalo pri ambulantných meraniach krvného tlaku, antihypertenzný účinok pretrváva konštantne počas 24 hodín po podaní dávky vrátane posledných 4 hodín pred ďalšou dávkou. Toto potvrdzujú merania v bode maximálneho účinku a bezprostredne pred nasledujúcou dávkou (pomer najnižšej a najvyššej koncentrácie je konzistentne nad 80 % po dávkach 40 mg a 80 mg </w:t>
      </w:r>
      <w:r>
        <w:rPr>
          <w:rFonts w:ascii="Times New Roman" w:hAnsi="Times New Roman"/>
          <w:lang w:val="sk-SK"/>
        </w:rPr>
        <w:lastRenderedPageBreak/>
        <w:t>telmisartanu v placebom kontrolovaných klinických skúšaniach).</w:t>
      </w:r>
    </w:p>
    <w:p w14:paraId="421F15FD" w14:textId="77777777" w:rsidR="00582954" w:rsidRDefault="00582954">
      <w:pPr>
        <w:widowControl w:val="0"/>
        <w:autoSpaceDE w:val="0"/>
        <w:autoSpaceDN w:val="0"/>
        <w:adjustRightInd w:val="0"/>
        <w:spacing w:after="0" w:line="240" w:lineRule="auto"/>
        <w:rPr>
          <w:rFonts w:ascii="Times New Roman" w:hAnsi="Times New Roman"/>
          <w:lang w:val="sk-SK"/>
        </w:rPr>
      </w:pPr>
    </w:p>
    <w:p w14:paraId="3D9B619A"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U pacientov s hypertenziou telmisartan znižuje systolický aj diastolický krvný tlak bez ovplyvnenia tepovej frekvencie. Antihypertenzná účinnosť telmisartanu je porovnateľná s účinnosťou liečiv z iných tried antihypertenzív (čo sa dokázalo v klinických skúšaniach porovnávajúcich telmisartan s amlodipínom, atenololom, enalaprilom, hydrochlórtiazidom a lizinoprilom).</w:t>
      </w:r>
    </w:p>
    <w:p w14:paraId="0CFC30DB" w14:textId="77777777" w:rsidR="00582954" w:rsidRDefault="00582954">
      <w:pPr>
        <w:widowControl w:val="0"/>
        <w:autoSpaceDE w:val="0"/>
        <w:autoSpaceDN w:val="0"/>
        <w:adjustRightInd w:val="0"/>
        <w:spacing w:after="0" w:line="240" w:lineRule="auto"/>
        <w:rPr>
          <w:rFonts w:ascii="Times New Roman" w:hAnsi="Times New Roman"/>
          <w:lang w:val="sk-SK"/>
        </w:rPr>
      </w:pPr>
    </w:p>
    <w:p w14:paraId="41EB0837"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Po ukončení liečby telmisartanom sa krvný tlak postupne vracia počas niekoľkých dní na hodnoty pred liečbou bez prejavu „</w:t>
      </w:r>
      <w:r>
        <w:rPr>
          <w:rFonts w:ascii="Times New Roman" w:hAnsi="Times New Roman"/>
          <w:i/>
          <w:iCs/>
          <w:lang w:val="sk-SK"/>
        </w:rPr>
        <w:t>rebound</w:t>
      </w:r>
      <w:r>
        <w:rPr>
          <w:rFonts w:ascii="Times New Roman" w:hAnsi="Times New Roman"/>
          <w:lang w:val="sk-SK"/>
        </w:rPr>
        <w:t>“ hypertenzie. Výskyt suchého kašľa bol u pacientov liečených telmisartanom signifikantne nižší ako u tých, ktorí užívali inhibítory enzýmu konvertujúceho angiotenzín v klinických skúšaniach priamo porovnávajúcich tieto dve antihypertenzné liečby.</w:t>
      </w:r>
    </w:p>
    <w:p w14:paraId="70A70AD5" w14:textId="77777777" w:rsidR="00582954" w:rsidRDefault="00582954">
      <w:pPr>
        <w:widowControl w:val="0"/>
        <w:autoSpaceDE w:val="0"/>
        <w:autoSpaceDN w:val="0"/>
        <w:adjustRightInd w:val="0"/>
        <w:spacing w:after="0" w:line="240" w:lineRule="auto"/>
        <w:rPr>
          <w:rFonts w:ascii="Times New Roman" w:hAnsi="Times New Roman"/>
          <w:lang w:val="sk-SK"/>
        </w:rPr>
      </w:pPr>
    </w:p>
    <w:p w14:paraId="535779F3" w14:textId="77777777" w:rsidR="00582954" w:rsidRDefault="00645977">
      <w:pPr>
        <w:keepNext/>
        <w:spacing w:after="0" w:line="240" w:lineRule="auto"/>
        <w:rPr>
          <w:rFonts w:ascii="Times New Roman" w:hAnsi="Times New Roman"/>
          <w:u w:val="single"/>
          <w:lang w:val="sk-SK"/>
        </w:rPr>
      </w:pPr>
      <w:bookmarkStart w:id="17" w:name="_Hlk188522047"/>
      <w:bookmarkStart w:id="18" w:name="_Hlk45109872"/>
      <w:r>
        <w:rPr>
          <w:rFonts w:ascii="Times New Roman" w:hAnsi="Times New Roman"/>
          <w:u w:val="single"/>
          <w:lang w:val="sk-SK"/>
        </w:rPr>
        <w:t>Klinická účinnosť a bezpečnosť</w:t>
      </w:r>
      <w:bookmarkEnd w:id="17"/>
    </w:p>
    <w:p w14:paraId="5DEE40C2" w14:textId="77777777" w:rsidR="00582954" w:rsidRDefault="00582954">
      <w:pPr>
        <w:keepNext/>
        <w:spacing w:after="0" w:line="240" w:lineRule="auto"/>
        <w:rPr>
          <w:u w:val="single"/>
        </w:rPr>
      </w:pPr>
    </w:p>
    <w:bookmarkEnd w:id="18"/>
    <w:p w14:paraId="18373862" w14:textId="77777777" w:rsidR="00582954" w:rsidRDefault="00645977">
      <w:pPr>
        <w:widowControl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Prevencia kardiovaskulárnych ochorení</w:t>
      </w:r>
    </w:p>
    <w:p w14:paraId="197ABC47"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Štúdia ONTARGET (ONgoing Telmisartan Alone and in Combination with Ramipril Global Endpoint Trial) porovnávala účinky telmisartanu, ramiprilu a kombinácie telmisartanu a ramiprilu na kardiovaskulárne výsledky u 25620 pacientov vo veku 55 rokov alebo starších s predchádzajúcou ischemickou chorobou srdca, mozgovou príhodou, TIA, periférnym arteriálnym ochorením alebo diabetom mellitus 2. typu, ktoré boli sprevádzané preukázaným poškodením cieľového orgánu (napr. retinopatia, hypertrofia ľavej komory, makro - alebo mikroalbumínúria), čo je riziková populácia pre kardiovaskulárne udalosti.</w:t>
      </w:r>
    </w:p>
    <w:p w14:paraId="1495BDDF" w14:textId="77777777" w:rsidR="00582954" w:rsidRDefault="00582954">
      <w:pPr>
        <w:widowControl w:val="0"/>
        <w:autoSpaceDE w:val="0"/>
        <w:autoSpaceDN w:val="0"/>
        <w:adjustRightInd w:val="0"/>
        <w:spacing w:after="0" w:line="240" w:lineRule="auto"/>
        <w:rPr>
          <w:rFonts w:ascii="Times New Roman" w:hAnsi="Times New Roman"/>
          <w:lang w:val="sk-SK"/>
        </w:rPr>
      </w:pPr>
    </w:p>
    <w:p w14:paraId="4FA1D1D4"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Pacienti boli randomizovaní do jednej z troch nasledujúcich terapeutických skupín: telmisartan 80 mg (n = 8542), ramipril 10 mg (n = 8576) alebo kombinácia telmisartanu 80 mg plus ramipril 10 mg (n = 8502) a boli následne sledovaní v trvaní priemerne 4,5 roka.</w:t>
      </w:r>
    </w:p>
    <w:p w14:paraId="0DFB863D" w14:textId="77777777" w:rsidR="00582954" w:rsidRDefault="00582954">
      <w:pPr>
        <w:widowControl w:val="0"/>
        <w:autoSpaceDE w:val="0"/>
        <w:autoSpaceDN w:val="0"/>
        <w:adjustRightInd w:val="0"/>
        <w:spacing w:after="0" w:line="240" w:lineRule="auto"/>
        <w:rPr>
          <w:rFonts w:ascii="Times New Roman" w:hAnsi="Times New Roman"/>
          <w:lang w:val="sk-SK"/>
        </w:rPr>
      </w:pPr>
    </w:p>
    <w:p w14:paraId="05598BEF"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Telmisartan preukázal podobné účinky ako ramipril v redukcii primárneho kompozitného koncového ukazovateľa: kardiovaskulárna smrť, nefatálny infarkt myokardu, nefatálna mozgová príhoda alebo hospitalizácia v dôsledku kongestívneho zlyhávania srdca. Výskyt primárneho koncového ukazovateľa bol porovnateľný v skupine s telmisartanom (16,7 %) a ramiprilom (16,5 %). Miera rizika pre telmisartan v porovnaní s ramiprilom bola 1,01 (97,5 % CI 0,93 – 1,10, p (noninferiorita) = 0,0019 na hranici 1,13). Miera mortality zo všetkých príčin bola 11,6 % u pacientov liečených telmisartanom a 11,8 % u pacientov liečených ramiprilom.</w:t>
      </w:r>
    </w:p>
    <w:p w14:paraId="575A0506" w14:textId="77777777" w:rsidR="00582954" w:rsidRDefault="00582954">
      <w:pPr>
        <w:widowControl w:val="0"/>
        <w:autoSpaceDE w:val="0"/>
        <w:autoSpaceDN w:val="0"/>
        <w:adjustRightInd w:val="0"/>
        <w:spacing w:after="0" w:line="240" w:lineRule="auto"/>
        <w:rPr>
          <w:rFonts w:ascii="Times New Roman" w:hAnsi="Times New Roman"/>
          <w:lang w:val="sk-SK"/>
        </w:rPr>
      </w:pPr>
    </w:p>
    <w:p w14:paraId="337F8FAC"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Pri telmisartane sa zistila účinnosť porovnateľná s ramiprilom v predšpecifikovanom sekundárnom koncovom ukazovateli: kardiovaskulárna smrť, nefatálny infarkt myokardu a nefatálna mozgová príhoda bez následkov smrti [0,99 (97,5 % CI 0,90 – 1,08), p (noninferiorita) = 0,0004], čo je primárny koncový ukazovateľ v referenčnej štúdii HOPE (The Heart Outcomes Prevention Evaluation Study), ktorá skúmala účinky ramiprilu v porovnaní s placebom.</w:t>
      </w:r>
    </w:p>
    <w:p w14:paraId="3FB780D1" w14:textId="77777777" w:rsidR="00582954" w:rsidRDefault="00582954">
      <w:pPr>
        <w:widowControl w:val="0"/>
        <w:autoSpaceDE w:val="0"/>
        <w:autoSpaceDN w:val="0"/>
        <w:adjustRightInd w:val="0"/>
        <w:spacing w:after="0" w:line="240" w:lineRule="auto"/>
        <w:rPr>
          <w:rFonts w:ascii="Times New Roman" w:hAnsi="Times New Roman"/>
          <w:lang w:val="sk-SK"/>
        </w:rPr>
      </w:pPr>
    </w:p>
    <w:p w14:paraId="7DD5A8C4" w14:textId="77777777" w:rsidR="00582954" w:rsidRDefault="00645977">
      <w:pPr>
        <w:widowControl w:val="0"/>
        <w:autoSpaceDE w:val="0"/>
        <w:autoSpaceDN w:val="0"/>
        <w:adjustRightInd w:val="0"/>
        <w:spacing w:after="0" w:line="240" w:lineRule="auto"/>
        <w:ind w:right="-143"/>
        <w:rPr>
          <w:rFonts w:ascii="Times New Roman" w:hAnsi="Times New Roman"/>
          <w:lang w:val="sk-SK"/>
        </w:rPr>
      </w:pPr>
      <w:r>
        <w:rPr>
          <w:rFonts w:ascii="Times New Roman" w:hAnsi="Times New Roman"/>
          <w:lang w:val="sk-SK"/>
        </w:rPr>
        <w:t>Do štúdie TRANSCEND, ktorá mala podobné zaraďovacie kritériá ako štúdia ONRATGET, boli randomizovaní pacienti netolerujúci inhibítory ACE do skupiny užívajúcej telmisartan 80 mg (n = 2 954) alebo placebo (n = 2 972), oba lieky sa podávali navyše k štandardnej liečbe. Priemerné trvanie následného sledovania bolo 4 roky a 8 mesiacov. Nezistil sa žiaden štatisticky signifikantný rozdiel vo výskyte primárneho kompozitného koncového ukazovateľa (kardiovaskulárna smrť, nefatálny infarkt myokardu, nefatálna mozgová príhoda alebo hospitalizácia v dôsledku kongestívneho zlyhávania srdca) [15,7 % v skupine s telmisartanom a 17,0 % v skupine s placebom s mierou rizika 0,92 (95 % CI 0,81 – 1,05, p = 0,22)]. Zistil sa prínos telmisartanu v porovnaní s placebom v predšpecifikovaných sekundárnych kompozitných ukazovateľoch: kardiovaskulárna smrť, nefatálny infarkt myokardu a nefatálna mozgová príhoda [0,87 (95 % CI 0,76 – 1,00, p = 0,048)]. Nepreukázal sa žiaden prínos pre kardiovaskulárnu mortalitu (miera rizika 1,03, 95 % CI 0,85 – 1,24).</w:t>
      </w:r>
    </w:p>
    <w:p w14:paraId="08B8550D" w14:textId="77777777" w:rsidR="00582954" w:rsidRDefault="00582954">
      <w:pPr>
        <w:widowControl w:val="0"/>
        <w:autoSpaceDE w:val="0"/>
        <w:autoSpaceDN w:val="0"/>
        <w:adjustRightInd w:val="0"/>
        <w:spacing w:after="0" w:line="240" w:lineRule="auto"/>
        <w:rPr>
          <w:rFonts w:ascii="Times New Roman" w:hAnsi="Times New Roman"/>
          <w:lang w:val="sk-SK"/>
        </w:rPr>
      </w:pPr>
    </w:p>
    <w:p w14:paraId="22A3924A"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Kašeľ a angioedém sa hlásili menej často u pacientov liečených telmisartanom ako u pacientov liečených </w:t>
      </w:r>
      <w:r>
        <w:rPr>
          <w:rFonts w:ascii="Times New Roman" w:hAnsi="Times New Roman"/>
          <w:lang w:val="sk-SK"/>
        </w:rPr>
        <w:lastRenderedPageBreak/>
        <w:t>ramiprilom, pričom hypotenzia sa častejšie hlásila pri telmisartane.</w:t>
      </w:r>
    </w:p>
    <w:p w14:paraId="782FEE0E" w14:textId="77777777" w:rsidR="00582954" w:rsidRDefault="00582954">
      <w:pPr>
        <w:widowControl w:val="0"/>
        <w:autoSpaceDE w:val="0"/>
        <w:autoSpaceDN w:val="0"/>
        <w:adjustRightInd w:val="0"/>
        <w:spacing w:after="0" w:line="240" w:lineRule="auto"/>
        <w:rPr>
          <w:rFonts w:ascii="Times New Roman" w:hAnsi="Times New Roman"/>
          <w:lang w:val="sk-SK"/>
        </w:rPr>
      </w:pPr>
    </w:p>
    <w:p w14:paraId="61CC92BC" w14:textId="77777777" w:rsidR="00582954" w:rsidRDefault="00645977">
      <w:pPr>
        <w:widowControl w:val="0"/>
        <w:autoSpaceDE w:val="0"/>
        <w:autoSpaceDN w:val="0"/>
        <w:adjustRightInd w:val="0"/>
        <w:spacing w:after="0" w:line="240" w:lineRule="auto"/>
        <w:ind w:right="-143"/>
        <w:rPr>
          <w:rFonts w:ascii="Times New Roman" w:hAnsi="Times New Roman"/>
          <w:lang w:val="sk-SK"/>
        </w:rPr>
      </w:pPr>
      <w:r>
        <w:rPr>
          <w:rFonts w:ascii="Times New Roman" w:hAnsi="Times New Roman"/>
          <w:lang w:val="sk-SK"/>
        </w:rPr>
        <w:t>Kombinácia telmisartanu s ramiprilom nepriniesla žiaden ďalší prínos voči ramiprilu alebo telmisartanu samostatne. KV mortalita a mortalita zo všetkých príčin boli číselne vyššie pri kombinácii. Navyše v skupine užívajúcej kombináciu bol významne vyšší výskyt hyperkaliémie, renálneho zlyhania, hypotenzie a synkopy. Preto sa použitie kombinácie telmisartanu a ramiprilu v tejto populácii neodporúča.</w:t>
      </w:r>
    </w:p>
    <w:p w14:paraId="002615AF" w14:textId="77777777" w:rsidR="00582954" w:rsidRDefault="00582954">
      <w:pPr>
        <w:widowControl w:val="0"/>
        <w:autoSpaceDE w:val="0"/>
        <w:autoSpaceDN w:val="0"/>
        <w:adjustRightInd w:val="0"/>
        <w:spacing w:after="0" w:line="240" w:lineRule="auto"/>
        <w:rPr>
          <w:rFonts w:ascii="Times New Roman" w:hAnsi="Times New Roman"/>
          <w:lang w:val="sk-SK"/>
        </w:rPr>
      </w:pPr>
    </w:p>
    <w:p w14:paraId="501A96D1"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V klinickom skúšaní „Prevention Regimen For Effectively avoiding Second Strokes“ (PRoFESS) s 50</w:t>
      </w:r>
      <w:r>
        <w:rPr>
          <w:rFonts w:ascii="Times New Roman" w:hAnsi="Times New Roman"/>
          <w:lang w:val="sk-SK"/>
        </w:rPr>
        <w:noBreakHyphen/>
        <w:t>ročnými a staršími pacientmi, ktorí mali nedávno mozgovú príhodu, bola po telmisartane v porovnaní s placebom zaznamenaná zvýšená incidencia sepsy 0,70 % voči 0,49 % [RR 1,43 (95 % interval spoľahlivosti 1,00 – 2,06)]; incidencia smrteľných prípadov sepsy bola zvýšená u pacientov užívajúcich telmisartan (0,33 %) voči pacientom užívajúcim placebo (0,16 %) [RR 2,07 (95 % interval spoľahlivosti 1,14 – 3,76)]. Pozorovaná zvýšená miera výskytu sepsy v súvislosti s užívaním telmisartanu môže byť buď náhodným nálezom alebo môže súvisieť s mechanizmami, ktoré v súčasnosti nie sú známe.</w:t>
      </w:r>
    </w:p>
    <w:p w14:paraId="2718AB44" w14:textId="77777777" w:rsidR="00582954" w:rsidRDefault="00582954">
      <w:pPr>
        <w:spacing w:after="0" w:line="240" w:lineRule="auto"/>
        <w:rPr>
          <w:rFonts w:ascii="Times New Roman" w:hAnsi="Times New Roman"/>
          <w:bCs/>
          <w:lang w:val="sk-SK"/>
        </w:rPr>
      </w:pPr>
    </w:p>
    <w:p w14:paraId="786F21AC" w14:textId="77777777" w:rsidR="00582954" w:rsidRDefault="00645977">
      <w:pPr>
        <w:spacing w:after="0" w:line="240" w:lineRule="auto"/>
        <w:rPr>
          <w:rFonts w:ascii="Times New Roman" w:hAnsi="Times New Roman"/>
          <w:bCs/>
          <w:lang w:val="sk-SK" w:eastAsia="de-DE"/>
        </w:rPr>
      </w:pPr>
      <w:r>
        <w:rPr>
          <w:rFonts w:ascii="Times New Roman" w:hAnsi="Times New Roman"/>
          <w:bCs/>
          <w:lang w:val="sk-SK"/>
        </w:rPr>
        <w:t xml:space="preserve">Dve rozsiahle randomizované, kontrolované klinické skúšania </w:t>
      </w:r>
      <w:r>
        <w:rPr>
          <w:rFonts w:ascii="Times New Roman" w:hAnsi="Times New Roman"/>
          <w:bCs/>
          <w:lang w:val="sk-SK" w:eastAsia="de-DE"/>
        </w:rPr>
        <w:t xml:space="preserve">(ONTARGET (ONgoing Telmisartan Alone and in </w:t>
      </w:r>
      <w:r>
        <w:rPr>
          <w:rFonts w:ascii="Times New Roman" w:hAnsi="Times New Roman"/>
          <w:bCs/>
          <w:lang w:val="sk-SK"/>
        </w:rPr>
        <w:t>c</w:t>
      </w:r>
      <w:r>
        <w:rPr>
          <w:rFonts w:ascii="Times New Roman" w:hAnsi="Times New Roman"/>
          <w:bCs/>
          <w:lang w:val="sk-SK" w:eastAsia="de-DE"/>
        </w:rPr>
        <w:t>ombination with Ramipril Global Endpoint Trial) a VA NEPHRON</w:t>
      </w:r>
      <w:r>
        <w:rPr>
          <w:rFonts w:ascii="Times New Roman" w:hAnsi="Times New Roman"/>
          <w:bCs/>
          <w:lang w:val="sk-SK"/>
        </w:rPr>
        <w:t>-</w:t>
      </w:r>
      <w:r>
        <w:rPr>
          <w:rFonts w:ascii="Times New Roman" w:hAnsi="Times New Roman"/>
          <w:bCs/>
          <w:lang w:val="sk-SK" w:eastAsia="de-DE"/>
        </w:rPr>
        <w:t>D (The Veterans Affairs Nephropathy in Diabetes)) skúmali použitie kombinácie inhibítora ACE a blokátora receptorov angiotenzínu II</w:t>
      </w:r>
      <w:r>
        <w:rPr>
          <w:rFonts w:ascii="Times New Roman" w:hAnsi="Times New Roman"/>
          <w:bCs/>
          <w:lang w:val="sk-SK"/>
        </w:rPr>
        <w:t>.</w:t>
      </w:r>
    </w:p>
    <w:p w14:paraId="5A6BB8BF" w14:textId="77777777" w:rsidR="00582954" w:rsidRDefault="00645977">
      <w:pPr>
        <w:spacing w:after="0" w:line="240" w:lineRule="auto"/>
        <w:rPr>
          <w:rFonts w:ascii="Times New Roman" w:hAnsi="Times New Roman"/>
          <w:bCs/>
          <w:lang w:val="sk-SK"/>
        </w:rPr>
      </w:pPr>
      <w:r>
        <w:rPr>
          <w:rFonts w:ascii="Times New Roman" w:hAnsi="Times New Roman"/>
          <w:bCs/>
          <w:lang w:val="sk-SK" w:eastAsia="de-DE"/>
        </w:rPr>
        <w:t>Skúšanie ONTARGET sa vykonalo u pacientov s kardiovaskulárnym alebo cerebrovaskulárnym ochorením v anamnéze, alebo u pacientov s diabetom mellitus 2. typu, u ktorých sa preukázalo poškodenie cieľových orgánov</w:t>
      </w:r>
      <w:r>
        <w:rPr>
          <w:rFonts w:ascii="Times New Roman" w:hAnsi="Times New Roman"/>
          <w:bCs/>
          <w:lang w:val="sk-SK"/>
        </w:rPr>
        <w:t>. Pre podrobnejšie informácie pozri vyššie časť pod názvom „</w:t>
      </w:r>
      <w:r>
        <w:rPr>
          <w:rFonts w:ascii="Times New Roman" w:hAnsi="Times New Roman"/>
          <w:lang w:val="sk-SK"/>
        </w:rPr>
        <w:t>Prevencia kardiovaskulárnych ochorení“.</w:t>
      </w:r>
    </w:p>
    <w:p w14:paraId="719B5B90" w14:textId="77777777" w:rsidR="00582954" w:rsidRDefault="00645977">
      <w:pPr>
        <w:widowControl w:val="0"/>
        <w:spacing w:after="0" w:line="240" w:lineRule="auto"/>
        <w:rPr>
          <w:rFonts w:ascii="Times New Roman" w:hAnsi="Times New Roman"/>
          <w:bCs/>
          <w:lang w:val="sk-SK" w:eastAsia="de-DE"/>
        </w:rPr>
      </w:pPr>
      <w:r>
        <w:rPr>
          <w:rFonts w:ascii="Times New Roman" w:hAnsi="Times New Roman"/>
          <w:bCs/>
          <w:lang w:val="sk-SK"/>
        </w:rPr>
        <w:t>Skúšanie VA NEPHRON-</w:t>
      </w:r>
      <w:r>
        <w:rPr>
          <w:rFonts w:ascii="Times New Roman" w:hAnsi="Times New Roman"/>
          <w:bCs/>
          <w:lang w:val="sk-SK" w:eastAsia="de-DE"/>
        </w:rPr>
        <w:t>D sa vykonalo u pacientov s diabetom mellitus 2. typu a diabetickou nefropatiou.</w:t>
      </w:r>
    </w:p>
    <w:p w14:paraId="70149DE4" w14:textId="77777777" w:rsidR="00582954" w:rsidRDefault="00645977">
      <w:pPr>
        <w:widowControl w:val="0"/>
        <w:spacing w:after="0" w:line="240" w:lineRule="auto"/>
        <w:rPr>
          <w:rFonts w:ascii="Times New Roman" w:hAnsi="Times New Roman"/>
          <w:bCs/>
          <w:lang w:val="sk-SK" w:eastAsia="de-DE"/>
        </w:rPr>
      </w:pPr>
      <w:r>
        <w:rPr>
          <w:rFonts w:ascii="Times New Roman" w:hAnsi="Times New Roman"/>
          <w:bCs/>
          <w:lang w:val="sk-SK" w:eastAsia="de-DE"/>
        </w:rPr>
        <w:t>Tieto skúšania neukázali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inhibítory ACE a blokátory receptorov angiotenzínu II.</w:t>
      </w:r>
    </w:p>
    <w:p w14:paraId="61FA3A53" w14:textId="77777777" w:rsidR="00582954" w:rsidRDefault="00645977">
      <w:pPr>
        <w:widowControl w:val="0"/>
        <w:spacing w:after="0" w:line="240" w:lineRule="auto"/>
        <w:rPr>
          <w:rFonts w:ascii="Times New Roman" w:hAnsi="Times New Roman"/>
          <w:bCs/>
          <w:lang w:val="sk-SK"/>
        </w:rPr>
      </w:pPr>
      <w:r>
        <w:rPr>
          <w:rFonts w:ascii="Times New Roman" w:hAnsi="Times New Roman"/>
          <w:bCs/>
          <w:lang w:val="sk-SK"/>
        </w:rPr>
        <w:t>Inhibítory ACE a blokátory receptorov angiotenzínu II</w:t>
      </w:r>
      <w:r>
        <w:rPr>
          <w:rFonts w:ascii="Times New Roman" w:hAnsi="Times New Roman"/>
          <w:bCs/>
          <w:lang w:val="sk-SK" w:eastAsia="de-DE"/>
        </w:rPr>
        <w:t xml:space="preserve"> sa preto nemajú používať súbežne u pacientov s diabetickou nefropatiou</w:t>
      </w:r>
      <w:r>
        <w:rPr>
          <w:rFonts w:ascii="Times New Roman" w:hAnsi="Times New Roman"/>
          <w:bCs/>
          <w:lang w:val="sk-SK"/>
        </w:rPr>
        <w:t>.</w:t>
      </w:r>
    </w:p>
    <w:p w14:paraId="579C5DCA" w14:textId="77777777" w:rsidR="00582954" w:rsidRDefault="00582954">
      <w:pPr>
        <w:widowControl w:val="0"/>
        <w:spacing w:after="0" w:line="240" w:lineRule="auto"/>
        <w:rPr>
          <w:rFonts w:ascii="Times New Roman" w:hAnsi="Times New Roman"/>
          <w:bCs/>
          <w:lang w:val="sk-SK"/>
        </w:rPr>
      </w:pPr>
    </w:p>
    <w:p w14:paraId="24C6EDD8"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bCs/>
          <w:lang w:val="sk-SK" w:eastAsia="de-DE"/>
        </w:rPr>
        <w:t>Skúšanie ALTITUDE (Aliskirén Trial in Type 2 Diabetes Using Cardiovascular and Renal Disease Endpoints) bolo navrhnuté na otestovanie prínosu pridania aliskirénu k štandardnej liečbe inhibítorom ACE alebo blokátorom receptorov angiotenzínu II u pacientov s diabetom mellitus 2. typu a chronickým ochorením obličiek, kardiovaskulárnym ochorením, alebo oboma ochoreniami. Skúšanie bolo predčasne ukončené pre zvýšené riziko nežiaducich udalostí. V skupine aliskirénu bolo numericky viac úmrtí z kardiovaskulárnej príčiny a cievnych mozgových príhod ako v skupine placeba a v skupine aliskirénu boli častejšie hlásené sledované nežiaduce udalosti a závažné nežiaduce udalosti (hyperkaliémia, hypotenzia a renálna dysfunkcia) ako v skupine placeba.</w:t>
      </w:r>
    </w:p>
    <w:p w14:paraId="7E9F3AAD" w14:textId="77777777" w:rsidR="00582954" w:rsidRDefault="00582954">
      <w:pPr>
        <w:widowControl w:val="0"/>
        <w:autoSpaceDE w:val="0"/>
        <w:autoSpaceDN w:val="0"/>
        <w:adjustRightInd w:val="0"/>
        <w:spacing w:after="0" w:line="240" w:lineRule="auto"/>
        <w:rPr>
          <w:rFonts w:ascii="Times New Roman" w:hAnsi="Times New Roman"/>
          <w:lang w:val="sk-SK"/>
        </w:rPr>
      </w:pPr>
    </w:p>
    <w:p w14:paraId="3D9AFC6E"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Epidemiologické štúdie ukázali, že dlhodobá liečba hydrochlórtiazidom znižuje riziko kardiovaskulárnej morbidity a mortality.</w:t>
      </w:r>
    </w:p>
    <w:p w14:paraId="7DD2CBEB" w14:textId="77777777" w:rsidR="00582954" w:rsidRDefault="00582954">
      <w:pPr>
        <w:widowControl w:val="0"/>
        <w:autoSpaceDE w:val="0"/>
        <w:autoSpaceDN w:val="0"/>
        <w:adjustRightInd w:val="0"/>
        <w:spacing w:after="0" w:line="240" w:lineRule="auto"/>
        <w:rPr>
          <w:rFonts w:ascii="Times New Roman" w:hAnsi="Times New Roman"/>
          <w:lang w:val="sk-SK"/>
        </w:rPr>
      </w:pPr>
    </w:p>
    <w:p w14:paraId="1AE5ECE9"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Účinky fixnej dávky kombinácie telmisartan/hydrochlórtiazid na mortalitu a kardiovaskulárnu morbiditu nie sú v súčasnosti známe.</w:t>
      </w:r>
    </w:p>
    <w:p w14:paraId="01BE67E9" w14:textId="77777777" w:rsidR="00582954" w:rsidRDefault="00582954">
      <w:pPr>
        <w:widowControl w:val="0"/>
        <w:autoSpaceDE w:val="0"/>
        <w:autoSpaceDN w:val="0"/>
        <w:adjustRightInd w:val="0"/>
        <w:spacing w:after="0" w:line="240" w:lineRule="auto"/>
        <w:rPr>
          <w:rFonts w:ascii="Times New Roman" w:hAnsi="Times New Roman"/>
          <w:lang w:val="sk-SK"/>
        </w:rPr>
      </w:pPr>
    </w:p>
    <w:p w14:paraId="00A51124" w14:textId="77777777" w:rsidR="00582954" w:rsidRDefault="00645977">
      <w:pPr>
        <w:keepNext/>
        <w:spacing w:after="0" w:line="240" w:lineRule="auto"/>
        <w:rPr>
          <w:rFonts w:ascii="Times New Roman" w:hAnsi="Times New Roman"/>
          <w:szCs w:val="23"/>
          <w:u w:val="single"/>
        </w:rPr>
      </w:pPr>
      <w:r>
        <w:rPr>
          <w:rFonts w:ascii="Times New Roman" w:hAnsi="Times New Roman"/>
          <w:szCs w:val="23"/>
          <w:u w:val="single"/>
        </w:rPr>
        <w:t>Nemelanómová rakovina kože</w:t>
      </w:r>
    </w:p>
    <w:p w14:paraId="578F4E19" w14:textId="77777777" w:rsidR="00582954" w:rsidRDefault="00645977">
      <w:pPr>
        <w:keepNext/>
        <w:spacing w:after="0" w:line="240" w:lineRule="auto"/>
        <w:ind w:right="48"/>
        <w:rPr>
          <w:rFonts w:ascii="Times New Roman" w:hAnsi="Times New Roman"/>
          <w:sz w:val="20"/>
        </w:rPr>
      </w:pPr>
      <w:r>
        <w:rPr>
          <w:rFonts w:ascii="Times New Roman" w:hAnsi="Times New Roman"/>
          <w:szCs w:val="23"/>
        </w:rPr>
        <w:t xml:space="preserve">Na základe dostupných údajov z epidemiologických štúdií sa pozorovala súvislosť medzi </w:t>
      </w:r>
      <w:bookmarkStart w:id="19" w:name="_Hlk188523180"/>
      <w:r>
        <w:rPr>
          <w:rFonts w:ascii="Times New Roman" w:hAnsi="Times New Roman"/>
          <w:lang w:val="sk-SK"/>
        </w:rPr>
        <w:t>hydrochlórtiazidom</w:t>
      </w:r>
      <w:bookmarkEnd w:id="19"/>
      <w:r>
        <w:rPr>
          <w:rFonts w:ascii="Times New Roman" w:hAnsi="Times New Roman"/>
          <w:szCs w:val="23"/>
        </w:rPr>
        <w:t xml:space="preserve"> a NMSC v závislosti od kumulatívnej dávky. Jedna štúdia zahŕňala populáciu, v ktorej sa vyskytlo 71 533 prípadov BCC a 8 629 prípadov SCC, čo zodpovedalo 1 430 833 a 172 462 kontrolám populácie. Používanie vysokých dávok </w:t>
      </w:r>
      <w:r>
        <w:rPr>
          <w:rFonts w:ascii="Times New Roman" w:hAnsi="Times New Roman"/>
          <w:lang w:val="sk-SK"/>
        </w:rPr>
        <w:t>hydrochlórtiazidu</w:t>
      </w:r>
      <w:r>
        <w:rPr>
          <w:rFonts w:ascii="Times New Roman" w:hAnsi="Times New Roman"/>
          <w:szCs w:val="23"/>
        </w:rPr>
        <w:t xml:space="preserve"> (≥ 50 000 mg kumulatívne) súviselo s upravenou OR 1,29 (95 % IS: 1,23 – 1,35) pre BCC a 3,98 (95 % IS: 3,68 – 4,31) pre SCC. V prípade BCC aj SCC sa pozoroval zjavný vzťah medzi odpoveďou a kumulatívnou dávkou. V ďalšej štúdii sa </w:t>
      </w:r>
      <w:r>
        <w:rPr>
          <w:rFonts w:ascii="Times New Roman" w:hAnsi="Times New Roman"/>
          <w:szCs w:val="23"/>
        </w:rPr>
        <w:lastRenderedPageBreak/>
        <w:t xml:space="preserve">preukázala možná súvislosť medzi rakovinou pier (SCC) a vystavením </w:t>
      </w:r>
      <w:r>
        <w:rPr>
          <w:rFonts w:ascii="Times New Roman" w:hAnsi="Times New Roman"/>
          <w:lang w:val="sk-SK"/>
        </w:rPr>
        <w:t>hydrochlórtiazidu</w:t>
      </w:r>
      <w:r>
        <w:rPr>
          <w:rFonts w:ascii="Times New Roman" w:hAnsi="Times New Roman"/>
          <w:szCs w:val="23"/>
        </w:rPr>
        <w:t>: 633 prípadov rakoviny pier zodpovedalo 63 067 kontrolám populácie s použitím stratégie vzorkovania riziko-súbor. Preukázal sa vzťah odpovede a kumulatívnej dávky s upravenou OR 2,1 (95 % IS: 1,7 – 2,6), ktorá sa zvýšila na OR 3,9 (3,0 – 4,9) pre používanie vysokých dávok (~ 25 000 mg) a OR 7,7 (5,7 – 10,5) pre najvyššiu kumulatívnu dávku (~100 000 mg) (pozri aj časť 4.4).</w:t>
      </w:r>
    </w:p>
    <w:p w14:paraId="2FB3F283" w14:textId="77777777" w:rsidR="00582954" w:rsidRDefault="00582954">
      <w:pPr>
        <w:widowControl w:val="0"/>
        <w:autoSpaceDE w:val="0"/>
        <w:autoSpaceDN w:val="0"/>
        <w:adjustRightInd w:val="0"/>
        <w:spacing w:after="0" w:line="240" w:lineRule="auto"/>
        <w:rPr>
          <w:rFonts w:ascii="Times New Roman" w:hAnsi="Times New Roman"/>
          <w:lang w:val="sk-SK"/>
        </w:rPr>
      </w:pPr>
      <w:bookmarkStart w:id="20" w:name="_Hlk188523239"/>
    </w:p>
    <w:p w14:paraId="256B65BB" w14:textId="77777777" w:rsidR="00582954" w:rsidRDefault="00645977">
      <w:pPr>
        <w:keepNext/>
        <w:spacing w:after="0" w:line="240" w:lineRule="auto"/>
        <w:rPr>
          <w:rFonts w:ascii="Times New Roman" w:hAnsi="Times New Roman"/>
          <w:u w:val="single"/>
        </w:rPr>
      </w:pPr>
      <w:r>
        <w:rPr>
          <w:rFonts w:ascii="Times New Roman" w:hAnsi="Times New Roman"/>
          <w:u w:val="single"/>
        </w:rPr>
        <w:t>Pediatrická populácia</w:t>
      </w:r>
    </w:p>
    <w:p w14:paraId="242A7E1E" w14:textId="77777777" w:rsidR="00582954" w:rsidRDefault="00645977">
      <w:pPr>
        <w:widowControl w:val="0"/>
        <w:autoSpaceDE w:val="0"/>
        <w:autoSpaceDN w:val="0"/>
        <w:adjustRightInd w:val="0"/>
        <w:spacing w:after="0" w:line="240" w:lineRule="auto"/>
        <w:ind w:right="-284"/>
        <w:rPr>
          <w:rFonts w:ascii="Times New Roman" w:hAnsi="Times New Roman"/>
        </w:rPr>
      </w:pPr>
      <w:r>
        <w:rPr>
          <w:rFonts w:ascii="Times New Roman" w:hAnsi="Times New Roman"/>
        </w:rPr>
        <w:t>Európska agentúra pre lieky udelila výnimku z povinnosti predložiť výsledky štúdií s referenčným liekom obsahujúcim telmisartan/</w:t>
      </w:r>
      <w:r>
        <w:rPr>
          <w:rFonts w:ascii="Times New Roman" w:hAnsi="Times New Roman"/>
          <w:lang w:val="sk-SK"/>
        </w:rPr>
        <w:t>hydrochlórtiazid</w:t>
      </w:r>
      <w:r>
        <w:rPr>
          <w:rFonts w:ascii="Times New Roman" w:hAnsi="Times New Roman"/>
        </w:rPr>
        <w:t xml:space="preserve"> vo všetkých podskupinách pediatrickej populácie pre hypertenziu (informácie o použití v pediatrickej populácii, pozri časť 4.2).</w:t>
      </w:r>
      <w:bookmarkEnd w:id="20"/>
    </w:p>
    <w:p w14:paraId="0D350DCF" w14:textId="77777777" w:rsidR="00582954" w:rsidRDefault="00582954">
      <w:pPr>
        <w:widowControl w:val="0"/>
        <w:autoSpaceDE w:val="0"/>
        <w:autoSpaceDN w:val="0"/>
        <w:adjustRightInd w:val="0"/>
        <w:spacing w:after="0" w:line="240" w:lineRule="auto"/>
        <w:rPr>
          <w:rFonts w:ascii="Times New Roman" w:hAnsi="Times New Roman"/>
          <w:lang w:val="sk-SK"/>
        </w:rPr>
      </w:pPr>
    </w:p>
    <w:p w14:paraId="475F678F" w14:textId="77777777" w:rsidR="00582954" w:rsidRDefault="00645977">
      <w:pPr>
        <w:widowControl w:val="0"/>
        <w:autoSpaceDE w:val="0"/>
        <w:autoSpaceDN w:val="0"/>
        <w:adjustRightInd w:val="0"/>
        <w:spacing w:after="0" w:line="240" w:lineRule="auto"/>
        <w:ind w:left="567" w:hanging="567"/>
        <w:rPr>
          <w:rFonts w:ascii="Times New Roman" w:hAnsi="Times New Roman"/>
          <w:b/>
          <w:lang w:val="sk-SK"/>
        </w:rPr>
      </w:pPr>
      <w:r>
        <w:rPr>
          <w:rFonts w:ascii="Times New Roman" w:hAnsi="Times New Roman"/>
          <w:b/>
          <w:lang w:val="sk-SK"/>
        </w:rPr>
        <w:t>5.2</w:t>
      </w:r>
      <w:r>
        <w:rPr>
          <w:rFonts w:ascii="Times New Roman" w:hAnsi="Times New Roman"/>
          <w:b/>
          <w:lang w:val="sk-SK"/>
        </w:rPr>
        <w:tab/>
        <w:t>Farmakokinetické vlastnosti</w:t>
      </w:r>
    </w:p>
    <w:p w14:paraId="3214BCFB" w14:textId="77777777" w:rsidR="00582954" w:rsidRDefault="00582954">
      <w:pPr>
        <w:widowControl w:val="0"/>
        <w:autoSpaceDE w:val="0"/>
        <w:autoSpaceDN w:val="0"/>
        <w:adjustRightInd w:val="0"/>
        <w:spacing w:after="0" w:line="240" w:lineRule="auto"/>
        <w:rPr>
          <w:rFonts w:ascii="Times New Roman" w:hAnsi="Times New Roman"/>
          <w:b/>
          <w:lang w:val="sk-SK"/>
        </w:rPr>
      </w:pPr>
    </w:p>
    <w:p w14:paraId="60A2AF77"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U zdravých osôb nemá súbežné podávanie hydrochlórtiazidu a telmisartanu vplyv na farmakokinetiku jednotlivých súčastí.</w:t>
      </w:r>
    </w:p>
    <w:p w14:paraId="5C32509B" w14:textId="77777777" w:rsidR="00582954" w:rsidRDefault="00582954">
      <w:pPr>
        <w:widowControl w:val="0"/>
        <w:autoSpaceDE w:val="0"/>
        <w:autoSpaceDN w:val="0"/>
        <w:adjustRightInd w:val="0"/>
        <w:spacing w:after="0" w:line="240" w:lineRule="auto"/>
        <w:rPr>
          <w:rFonts w:ascii="Times New Roman" w:hAnsi="Times New Roman"/>
          <w:lang w:val="sk-SK"/>
        </w:rPr>
      </w:pPr>
    </w:p>
    <w:p w14:paraId="114B2520" w14:textId="77777777" w:rsidR="00582954" w:rsidRDefault="00645977">
      <w:pPr>
        <w:widowControl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Absorpcia</w:t>
      </w:r>
    </w:p>
    <w:p w14:paraId="0ADBF5CD" w14:textId="77777777" w:rsidR="00582954" w:rsidRDefault="00645977">
      <w:pPr>
        <w:widowControl w:val="0"/>
        <w:autoSpaceDE w:val="0"/>
        <w:autoSpaceDN w:val="0"/>
        <w:adjustRightInd w:val="0"/>
        <w:spacing w:after="0" w:line="240" w:lineRule="auto"/>
        <w:ind w:right="190"/>
        <w:rPr>
          <w:rFonts w:ascii="Times New Roman" w:hAnsi="Times New Roman"/>
          <w:lang w:val="sk-SK"/>
        </w:rPr>
      </w:pPr>
      <w:r>
        <w:rPr>
          <w:rFonts w:ascii="Times New Roman" w:hAnsi="Times New Roman"/>
          <w:lang w:val="sk-SK"/>
        </w:rPr>
        <w:t>Telmisartan: Po perorálnom podaní sa maximálne koncentrácie telmisartanu dosahujú 0,5</w:t>
      </w:r>
      <w:r>
        <w:rPr>
          <w:rFonts w:ascii="Times New Roman" w:hAnsi="Times New Roman"/>
          <w:szCs w:val="23"/>
        </w:rPr>
        <w:t xml:space="preserve"> – </w:t>
      </w:r>
      <w:r>
        <w:rPr>
          <w:rFonts w:ascii="Times New Roman" w:hAnsi="Times New Roman"/>
          <w:lang w:val="sk-SK"/>
        </w:rPr>
        <w:t>1,5 hodiny po užití. Absolútna biologická dostupnosť telmisartanu 40 mg bola 42 % a pri 160 mg bola 58 %. Jedlo mierne znižuje biologickú dostupnosť telmisartanu s redukciou plochy pod krivkou závislosti plazmatických koncentrácií od času (AUC) približne o 6 % pri dávke 40 mg tablety a približne o 19 % pri dávke 160 mg. Od 3 hodín po podaní telmisartanu nalačno alebo s jedlom sú plazmatické koncentrácie podobné. Nepredpokladá sa, že by malé zníženie AUC znížovalo terapeutickú účinnosť. Pri opakovanom podávaní sa telmisartan výrazne nekumuluje v plazme.</w:t>
      </w:r>
    </w:p>
    <w:p w14:paraId="33715D4A"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Hydrochlórtiazid: Po perorálnom podaní fixnej kombinácie dávok sa maximálne koncentrácie hydrochlórtiazidu dosahujú približne po 1,0 – 3,0 hodinách od podania. Vychádzajúc z kumulatívnej renálnej exkrécie hydrochlórtiazidu bola absolútna biologická dostupnosť približne 60 %.</w:t>
      </w:r>
    </w:p>
    <w:p w14:paraId="1F14B2FB" w14:textId="77777777" w:rsidR="00582954" w:rsidRDefault="00582954">
      <w:pPr>
        <w:widowControl w:val="0"/>
        <w:autoSpaceDE w:val="0"/>
        <w:autoSpaceDN w:val="0"/>
        <w:adjustRightInd w:val="0"/>
        <w:spacing w:after="0" w:line="240" w:lineRule="auto"/>
        <w:rPr>
          <w:rFonts w:ascii="Times New Roman" w:hAnsi="Times New Roman"/>
          <w:lang w:val="sk-SK"/>
        </w:rPr>
      </w:pPr>
    </w:p>
    <w:p w14:paraId="78230B84" w14:textId="77777777" w:rsidR="00582954" w:rsidRDefault="00645977">
      <w:pPr>
        <w:widowControl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Distribúcia</w:t>
      </w:r>
    </w:p>
    <w:p w14:paraId="737DB9F7"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Telmisartan sa vo vysokej miere viaže na plazmatické proteíny (&gt; 99,5 %), zväčša na albumín a kyslý alfa</w:t>
      </w:r>
      <w:r>
        <w:rPr>
          <w:rFonts w:ascii="Times New Roman" w:hAnsi="Times New Roman"/>
          <w:lang w:val="sk-SK"/>
        </w:rPr>
        <w:noBreakHyphen/>
        <w:t>1 glykoproteín. Zdanlivý distribučný objem telmisartanu je približne 500 litrov, čo svedčí o aditívnej tkanivovej väzbe.</w:t>
      </w:r>
    </w:p>
    <w:p w14:paraId="3954320A" w14:textId="77777777" w:rsidR="00582954" w:rsidRDefault="00645977">
      <w:pPr>
        <w:widowControl w:val="0"/>
        <w:autoSpaceDE w:val="0"/>
        <w:autoSpaceDN w:val="0"/>
        <w:adjustRightInd w:val="0"/>
        <w:spacing w:after="0" w:line="240" w:lineRule="auto"/>
        <w:ind w:right="-377"/>
        <w:rPr>
          <w:rFonts w:ascii="Times New Roman" w:hAnsi="Times New Roman"/>
          <w:lang w:val="sk-SK"/>
        </w:rPr>
      </w:pPr>
      <w:r>
        <w:rPr>
          <w:rFonts w:ascii="Times New Roman" w:hAnsi="Times New Roman"/>
          <w:lang w:val="sk-SK"/>
        </w:rPr>
        <w:t>Hydrochlórtiazid sa viaže zo 64 % na proteíny plazmy a jeho zdanlivý distribučný objem je 0,8</w:t>
      </w:r>
      <w:bookmarkStart w:id="21" w:name="_Hlk188523890"/>
      <w:r>
        <w:rPr>
          <w:rFonts w:ascii="Times New Roman" w:hAnsi="Times New Roman"/>
          <w:lang w:val="sk-SK"/>
        </w:rPr>
        <w:t>±</w:t>
      </w:r>
      <w:bookmarkEnd w:id="21"/>
      <w:r>
        <w:rPr>
          <w:rFonts w:ascii="Times New Roman" w:hAnsi="Times New Roman"/>
          <w:lang w:val="sk-SK"/>
        </w:rPr>
        <w:t>0,3 l/kg.</w:t>
      </w:r>
    </w:p>
    <w:p w14:paraId="6E108677" w14:textId="77777777" w:rsidR="00582954" w:rsidRDefault="00582954">
      <w:pPr>
        <w:widowControl w:val="0"/>
        <w:autoSpaceDE w:val="0"/>
        <w:autoSpaceDN w:val="0"/>
        <w:adjustRightInd w:val="0"/>
        <w:spacing w:after="0" w:line="240" w:lineRule="auto"/>
        <w:rPr>
          <w:rFonts w:ascii="Times New Roman" w:hAnsi="Times New Roman"/>
          <w:lang w:val="sk-SK"/>
        </w:rPr>
      </w:pPr>
    </w:p>
    <w:p w14:paraId="0B038576" w14:textId="77777777" w:rsidR="00582954" w:rsidRDefault="00645977">
      <w:pPr>
        <w:widowControl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Biotransformácia</w:t>
      </w:r>
    </w:p>
    <w:p w14:paraId="2123A7A8"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Telmisartan sa metabolizuje konjugáciou na farmakologicky neúčinný acylglukuronid. Glukuronid materskej zlúčeniny je jediný metabolit, ktorý bol identifikovaný u ľudí. Po jednorazovej dávke </w:t>
      </w:r>
      <w:r>
        <w:rPr>
          <w:rFonts w:ascii="Times New Roman" w:hAnsi="Times New Roman"/>
          <w:vertAlign w:val="superscript"/>
          <w:lang w:val="sk-SK"/>
        </w:rPr>
        <w:t>14</w:t>
      </w:r>
      <w:r>
        <w:rPr>
          <w:rFonts w:ascii="Times New Roman" w:hAnsi="Times New Roman"/>
          <w:lang w:val="sk-SK"/>
        </w:rPr>
        <w:t>C značeného telmisartanu, glukuronid predstavuje asi 11 % meranej rádioaktivity v plazme. Izoenzýmy cytochrómu P450 nie sú zapojené do metabolizmu telmisartanu.</w:t>
      </w:r>
    </w:p>
    <w:p w14:paraId="6FE39CD0"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Hydrochlórtiazid sa u ľudí nemetabolizuje.</w:t>
      </w:r>
    </w:p>
    <w:p w14:paraId="0A03CE07" w14:textId="77777777" w:rsidR="00582954" w:rsidRDefault="00582954">
      <w:pPr>
        <w:widowControl w:val="0"/>
        <w:autoSpaceDE w:val="0"/>
        <w:autoSpaceDN w:val="0"/>
        <w:adjustRightInd w:val="0"/>
        <w:spacing w:after="0" w:line="240" w:lineRule="auto"/>
        <w:rPr>
          <w:rFonts w:ascii="Times New Roman" w:hAnsi="Times New Roman"/>
          <w:lang w:val="sk-SK"/>
        </w:rPr>
      </w:pPr>
    </w:p>
    <w:p w14:paraId="4F039CC3" w14:textId="77777777" w:rsidR="00582954" w:rsidRDefault="00645977">
      <w:pPr>
        <w:widowControl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Eliminácia</w:t>
      </w:r>
    </w:p>
    <w:p w14:paraId="58A1C3D9"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Telmisartan: Po intravenóznom alebo perorálnom podaní </w:t>
      </w:r>
      <w:r>
        <w:rPr>
          <w:rFonts w:ascii="Times New Roman" w:hAnsi="Times New Roman"/>
          <w:vertAlign w:val="superscript"/>
          <w:lang w:val="sk-SK"/>
        </w:rPr>
        <w:t>14</w:t>
      </w:r>
      <w:r>
        <w:rPr>
          <w:rFonts w:ascii="Times New Roman" w:hAnsi="Times New Roman"/>
          <w:lang w:val="sk-SK"/>
        </w:rPr>
        <w:t>C značeného telmisartanu sa väčšina podanej dávky (&gt; 97 %) vylúčila stolicou cestou biliárnej exkrécie. V moči sa zistilo len nepatrné množstvo. Celkový plazmatický klírens telmisartanu po perorálnom podaní je &gt; 1 500 ml/min.</w:t>
      </w:r>
    </w:p>
    <w:p w14:paraId="50E341F5"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Terminálny polčas vylučovania bol &gt; 20 hodín.</w:t>
      </w:r>
    </w:p>
    <w:p w14:paraId="396643F3" w14:textId="77777777" w:rsidR="00582954" w:rsidRDefault="00582954">
      <w:pPr>
        <w:widowControl w:val="0"/>
        <w:autoSpaceDE w:val="0"/>
        <w:autoSpaceDN w:val="0"/>
        <w:adjustRightInd w:val="0"/>
        <w:spacing w:after="0" w:line="240" w:lineRule="auto"/>
        <w:rPr>
          <w:rFonts w:ascii="Times New Roman" w:hAnsi="Times New Roman"/>
          <w:lang w:val="sk-SK"/>
        </w:rPr>
      </w:pPr>
    </w:p>
    <w:p w14:paraId="234982FE"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Hydrochlórtiazid sa vylučuje takmer výhradne močom ako nezmenené liečivo. Približne 60 % perorálne podanej dávky sa vylúči v priebehu 48 hodín. Renálny klírens je približne 250 – 300 ml/min.</w:t>
      </w:r>
    </w:p>
    <w:p w14:paraId="56330936"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Terminálny polčas vylučovania hydrochlórtiazidu je 10 – 15 hodín.</w:t>
      </w:r>
    </w:p>
    <w:p w14:paraId="7EF54CA2" w14:textId="77777777" w:rsidR="00582954" w:rsidRDefault="00582954">
      <w:pPr>
        <w:widowControl w:val="0"/>
        <w:autoSpaceDE w:val="0"/>
        <w:autoSpaceDN w:val="0"/>
        <w:adjustRightInd w:val="0"/>
        <w:spacing w:after="0" w:line="240" w:lineRule="auto"/>
        <w:rPr>
          <w:rFonts w:ascii="Times New Roman" w:hAnsi="Times New Roman"/>
          <w:u w:val="single"/>
          <w:lang w:val="sk-SK"/>
        </w:rPr>
      </w:pPr>
    </w:p>
    <w:p w14:paraId="2389D1E6" w14:textId="77777777" w:rsidR="00582954" w:rsidRDefault="00645977">
      <w:pPr>
        <w:widowControl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Linearita/nelinearita</w:t>
      </w:r>
    </w:p>
    <w:p w14:paraId="79461F85" w14:textId="77777777" w:rsidR="00582954" w:rsidRDefault="00645977">
      <w:pPr>
        <w:spacing w:after="0" w:line="240" w:lineRule="auto"/>
        <w:rPr>
          <w:rFonts w:ascii="Times New Roman" w:hAnsi="Times New Roman"/>
          <w:lang w:val="sk-SK"/>
        </w:rPr>
      </w:pPr>
      <w:r>
        <w:rPr>
          <w:rFonts w:ascii="Times New Roman" w:hAnsi="Times New Roman"/>
          <w:lang w:val="sk-SK"/>
        </w:rPr>
        <w:lastRenderedPageBreak/>
        <w:t>Telmisartan: Farmakokinetika perorálne podaného telmisartanu je nelineárna pri dávkach 20 – 160 mg s väčším ako proporcionálnym zvýšením plazmatických koncentrácií (C</w:t>
      </w:r>
      <w:r>
        <w:rPr>
          <w:rFonts w:ascii="Times New Roman" w:hAnsi="Times New Roman"/>
          <w:vertAlign w:val="subscript"/>
          <w:lang w:val="sk-SK"/>
        </w:rPr>
        <w:t>max</w:t>
      </w:r>
      <w:r>
        <w:rPr>
          <w:rFonts w:ascii="Times New Roman" w:hAnsi="Times New Roman"/>
          <w:lang w:val="sk-SK"/>
        </w:rPr>
        <w:t xml:space="preserve"> a AUC) pri zvyšujúcich sa dávkach. </w:t>
      </w:r>
      <w:bookmarkStart w:id="22" w:name="_Hlk188524349"/>
      <w:r>
        <w:rPr>
          <w:rFonts w:ascii="Times New Roman" w:hAnsi="Times New Roman"/>
          <w:lang w:val="sk-SK"/>
        </w:rPr>
        <w:t>Po opakovanom podávaní sa telmisartan výrazne nekumuluje v plazme</w:t>
      </w:r>
      <w:bookmarkEnd w:id="22"/>
      <w:r>
        <w:rPr>
          <w:rFonts w:ascii="Times New Roman" w:hAnsi="Times New Roman"/>
          <w:lang w:val="sk-SK"/>
        </w:rPr>
        <w:t>.</w:t>
      </w:r>
    </w:p>
    <w:p w14:paraId="12342FA6"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Hydrochlórtiazid vykazuje lineárnu farmakokinetiku.</w:t>
      </w:r>
    </w:p>
    <w:p w14:paraId="7714B05E" w14:textId="77777777" w:rsidR="00582954" w:rsidRDefault="00582954">
      <w:pPr>
        <w:widowControl w:val="0"/>
        <w:autoSpaceDE w:val="0"/>
        <w:autoSpaceDN w:val="0"/>
        <w:adjustRightInd w:val="0"/>
        <w:spacing w:after="0" w:line="240" w:lineRule="auto"/>
        <w:rPr>
          <w:rFonts w:ascii="Times New Roman" w:hAnsi="Times New Roman"/>
          <w:i/>
          <w:iCs/>
          <w:lang w:val="sk-SK"/>
        </w:rPr>
      </w:pPr>
    </w:p>
    <w:p w14:paraId="6FBF07C6" w14:textId="77777777" w:rsidR="00582954" w:rsidRDefault="00645977">
      <w:pPr>
        <w:spacing w:after="0" w:line="240" w:lineRule="auto"/>
        <w:rPr>
          <w:rFonts w:ascii="Times New Roman" w:hAnsi="Times New Roman"/>
          <w:i/>
          <w:iCs/>
          <w:snapToGrid w:val="0"/>
          <w:u w:val="single"/>
          <w:lang w:eastAsia="cs-CZ"/>
        </w:rPr>
      </w:pPr>
      <w:bookmarkStart w:id="23" w:name="_Hlk45109976"/>
      <w:r>
        <w:rPr>
          <w:rFonts w:ascii="Times New Roman" w:hAnsi="Times New Roman"/>
          <w:i/>
          <w:iCs/>
          <w:snapToGrid w:val="0"/>
          <w:u w:val="single"/>
          <w:lang w:eastAsia="cs-CZ"/>
        </w:rPr>
        <w:t>Farmakokinetika v špecifických populáciách</w:t>
      </w:r>
    </w:p>
    <w:bookmarkEnd w:id="23"/>
    <w:p w14:paraId="0E9A1A10" w14:textId="77777777" w:rsidR="00582954" w:rsidRDefault="00645977">
      <w:pPr>
        <w:widowControl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Starší ľudia</w:t>
      </w:r>
    </w:p>
    <w:p w14:paraId="48E69747"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U starších a mladších pacientov sa farmakokinetika telmisartanu nelíši.</w:t>
      </w:r>
    </w:p>
    <w:p w14:paraId="514652DD" w14:textId="77777777" w:rsidR="00582954" w:rsidRDefault="00582954">
      <w:pPr>
        <w:widowControl w:val="0"/>
        <w:autoSpaceDE w:val="0"/>
        <w:autoSpaceDN w:val="0"/>
        <w:adjustRightInd w:val="0"/>
        <w:spacing w:after="0" w:line="240" w:lineRule="auto"/>
        <w:rPr>
          <w:rFonts w:ascii="Times New Roman" w:hAnsi="Times New Roman"/>
          <w:lang w:val="sk-SK"/>
        </w:rPr>
      </w:pPr>
    </w:p>
    <w:p w14:paraId="11E5BA7C" w14:textId="77777777" w:rsidR="00582954" w:rsidRDefault="00645977">
      <w:pPr>
        <w:widowControl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Pohlavie</w:t>
      </w:r>
    </w:p>
    <w:p w14:paraId="352FE47D"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Plazmatické koncentrácie telmisartanu sú všeobecne 2</w:t>
      </w:r>
      <w:r>
        <w:rPr>
          <w:rFonts w:ascii="Times New Roman" w:hAnsi="Times New Roman"/>
          <w:szCs w:val="23"/>
        </w:rPr>
        <w:t xml:space="preserve"> – </w:t>
      </w:r>
      <w:r>
        <w:rPr>
          <w:rFonts w:ascii="Times New Roman" w:hAnsi="Times New Roman"/>
          <w:lang w:val="sk-SK"/>
        </w:rPr>
        <w:t>3-krát vyššie u žien ako u mužov. V klinických skúšaniach sa však u žien nepozoroval signifikantý nárast v odpovedi krvného tlaku alebo výskyt ortostatickej hypotenzie. Nie je potrebná úprava dávky. U žien bola náchylnosť k vyšším plazmatickým koncentráciám hydrochlórtiazidu ako u mužov. Nepovažuje sa to za klinicky významné.</w:t>
      </w:r>
    </w:p>
    <w:p w14:paraId="095D6728" w14:textId="77777777" w:rsidR="00582954" w:rsidRDefault="00582954">
      <w:pPr>
        <w:widowControl w:val="0"/>
        <w:autoSpaceDE w:val="0"/>
        <w:autoSpaceDN w:val="0"/>
        <w:adjustRightInd w:val="0"/>
        <w:spacing w:after="0" w:line="240" w:lineRule="auto"/>
        <w:rPr>
          <w:rFonts w:ascii="Times New Roman" w:hAnsi="Times New Roman"/>
          <w:lang w:val="sk-SK"/>
        </w:rPr>
      </w:pPr>
    </w:p>
    <w:p w14:paraId="5F4B118B" w14:textId="77777777" w:rsidR="00582954" w:rsidRDefault="00645977">
      <w:pPr>
        <w:widowControl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Porucha funkcie obličiek</w:t>
      </w:r>
    </w:p>
    <w:p w14:paraId="5DECDB2F" w14:textId="77777777" w:rsidR="00582954" w:rsidRDefault="00645977">
      <w:pPr>
        <w:widowControl w:val="0"/>
        <w:autoSpaceDE w:val="0"/>
        <w:autoSpaceDN w:val="0"/>
        <w:adjustRightInd w:val="0"/>
        <w:spacing w:after="0" w:line="240" w:lineRule="auto"/>
        <w:rPr>
          <w:rFonts w:ascii="Times New Roman" w:hAnsi="Times New Roman"/>
          <w:lang w:val="sk-SK"/>
        </w:rPr>
      </w:pPr>
      <w:bookmarkStart w:id="24" w:name="_Hlk150845094"/>
      <w:r>
        <w:rPr>
          <w:rFonts w:ascii="Times New Roman" w:hAnsi="Times New Roman"/>
          <w:lang w:val="sk-SK"/>
        </w:rPr>
        <w:t>U pacientov s insuficienciou obličiek podstupujúcich dialýzu sa pozorovali nižšie plazmatické koncentrácie. Telmisartan sa u ľudí s renálnou insuficienciou vo vysokej miere viaže na plazmatické proteíny a nie je možné ho odstrániť dialýzou. Polčas eliminácie sa u pacientov s poruchou funkcie obličiek nemení.</w:t>
      </w:r>
      <w:bookmarkEnd w:id="24"/>
    </w:p>
    <w:p w14:paraId="62A1842C"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U pacientov s poruchou funkcie obličiek je rýchlosť eliminácie hydrochlórtiazidu znížená. V typickej štúdii s pacientmi s priemerným klírensom kreatinínu 90 ml/min bol polčas eliminácie hydrochlórtiazidu zvýšený. U funkčne anefrických pacientov je polčas eliminácie približne 34 hodín.</w:t>
      </w:r>
    </w:p>
    <w:p w14:paraId="69586D9D" w14:textId="77777777" w:rsidR="00582954" w:rsidRDefault="00582954">
      <w:pPr>
        <w:widowControl w:val="0"/>
        <w:autoSpaceDE w:val="0"/>
        <w:autoSpaceDN w:val="0"/>
        <w:adjustRightInd w:val="0"/>
        <w:spacing w:after="0" w:line="240" w:lineRule="auto"/>
        <w:rPr>
          <w:rFonts w:ascii="Times New Roman" w:hAnsi="Times New Roman"/>
          <w:lang w:val="sk-SK"/>
        </w:rPr>
      </w:pPr>
    </w:p>
    <w:p w14:paraId="007213E1" w14:textId="77777777" w:rsidR="00582954" w:rsidRDefault="00645977">
      <w:pPr>
        <w:widowControl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Porucha funkcie pečene</w:t>
      </w:r>
    </w:p>
    <w:p w14:paraId="33714B2C"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Farmakokinetické štúdie u pacientov s poruchou funkcie pečene ukázali zvýšenú absolútnu biologickú dostupnosť až do takmer 100 %. Polčas eliminácie sa u pacientov s poruchou funkcie pečene nemení.</w:t>
      </w:r>
    </w:p>
    <w:p w14:paraId="1C5DA5D0" w14:textId="77777777" w:rsidR="00582954" w:rsidRDefault="00582954">
      <w:pPr>
        <w:widowControl w:val="0"/>
        <w:autoSpaceDE w:val="0"/>
        <w:autoSpaceDN w:val="0"/>
        <w:adjustRightInd w:val="0"/>
        <w:spacing w:after="0" w:line="240" w:lineRule="auto"/>
        <w:rPr>
          <w:rFonts w:ascii="Times New Roman" w:hAnsi="Times New Roman"/>
          <w:lang w:val="sk-SK"/>
        </w:rPr>
      </w:pPr>
    </w:p>
    <w:p w14:paraId="4FAEDED6" w14:textId="77777777" w:rsidR="00582954" w:rsidRDefault="00645977">
      <w:pPr>
        <w:keepNext/>
        <w:widowControl w:val="0"/>
        <w:autoSpaceDE w:val="0"/>
        <w:autoSpaceDN w:val="0"/>
        <w:adjustRightInd w:val="0"/>
        <w:spacing w:after="0" w:line="240" w:lineRule="auto"/>
        <w:ind w:left="567" w:hanging="567"/>
        <w:rPr>
          <w:rFonts w:ascii="Times New Roman" w:hAnsi="Times New Roman"/>
          <w:b/>
          <w:bCs/>
          <w:lang w:val="sk-SK"/>
        </w:rPr>
      </w:pPr>
      <w:r>
        <w:rPr>
          <w:rFonts w:ascii="Times New Roman" w:hAnsi="Times New Roman"/>
          <w:b/>
          <w:bCs/>
          <w:lang w:val="sk-SK"/>
        </w:rPr>
        <w:t>5.3</w:t>
      </w:r>
      <w:r>
        <w:rPr>
          <w:rFonts w:ascii="Times New Roman" w:hAnsi="Times New Roman"/>
          <w:b/>
          <w:bCs/>
          <w:lang w:val="sk-SK"/>
        </w:rPr>
        <w:tab/>
        <w:t>Predklinické údaje o bezpečnosti</w:t>
      </w:r>
    </w:p>
    <w:p w14:paraId="02A797C4" w14:textId="77777777" w:rsidR="00582954" w:rsidRDefault="00582954">
      <w:pPr>
        <w:keepNext/>
        <w:widowControl w:val="0"/>
        <w:autoSpaceDE w:val="0"/>
        <w:autoSpaceDN w:val="0"/>
        <w:adjustRightInd w:val="0"/>
        <w:spacing w:after="0" w:line="240" w:lineRule="auto"/>
        <w:rPr>
          <w:rFonts w:ascii="Times New Roman" w:hAnsi="Times New Roman"/>
          <w:b/>
          <w:bCs/>
          <w:lang w:val="sk-SK"/>
        </w:rPr>
      </w:pPr>
    </w:p>
    <w:p w14:paraId="7275F817"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V predklinických štúdiách bezpečnosti so súbežným podávaním telmisartanu a hydrochlórtiazidu normotenzným potkanom a psom expozícia dávkam porovnateľným s klinickými terapeutickými dávkami nevyvolala iné ďalšie nálezy, ako boli pozorované pri podávaní jednotlivých liečiv samostatne.</w:t>
      </w:r>
    </w:p>
    <w:p w14:paraId="32BB8BE9"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Pozorované toxikologické nálezy pravdepodobne nemajú význam pri terapeutickom použití u ľudí.</w:t>
      </w:r>
    </w:p>
    <w:p w14:paraId="5FF3364B" w14:textId="77777777" w:rsidR="00582954" w:rsidRDefault="00582954">
      <w:pPr>
        <w:widowControl w:val="0"/>
        <w:autoSpaceDE w:val="0"/>
        <w:autoSpaceDN w:val="0"/>
        <w:adjustRightInd w:val="0"/>
        <w:spacing w:after="0" w:line="240" w:lineRule="auto"/>
        <w:rPr>
          <w:rFonts w:ascii="Times New Roman" w:hAnsi="Times New Roman"/>
          <w:lang w:val="sk-SK"/>
        </w:rPr>
      </w:pPr>
    </w:p>
    <w:p w14:paraId="1076D47C" w14:textId="77777777" w:rsidR="00582954" w:rsidRDefault="00645977">
      <w:pPr>
        <w:spacing w:after="0" w:line="240" w:lineRule="auto"/>
        <w:rPr>
          <w:rFonts w:ascii="Times New Roman" w:hAnsi="Times New Roman"/>
          <w:lang w:val="sk-SK"/>
        </w:rPr>
      </w:pPr>
      <w:r>
        <w:rPr>
          <w:rFonts w:ascii="Times New Roman" w:hAnsi="Times New Roman"/>
          <w:lang w:val="sk-SK"/>
        </w:rPr>
        <w:t xml:space="preserve">Toxikologické nálezy tiež dobre známe z predklinických štúdií s inhibítormi angiotenzín konvertujúceho enzýmu a blokátormi receptorov angiotenzínu II boli: pokles parametrov červených krviniek (erytrocyty, hemoglobín, hematokrit), zmeny v renálnej hemodynamike (zvýšený dusík močoviny v krvi a kreatinín), zvýšená plazmatická renínová aktivita, hypertrofia/hyperplazia juxtaglomerulárnych buniek a poškodenie žalúdočnej sliznice. Léziám na žalúdku možno predísť/zmierniť ich perorálnou suplementáciou solí a skupinovým chovom zvierat. U psov sa pozorovala dilatácia a atrofia obličkových tubulov. Tieto nálezy sa považujú za následok farmakologických účinkov telmisartanu. </w:t>
      </w:r>
    </w:p>
    <w:p w14:paraId="39C2487A" w14:textId="77777777" w:rsidR="00582954" w:rsidRDefault="00582954">
      <w:pPr>
        <w:spacing w:after="0" w:line="240" w:lineRule="auto"/>
        <w:rPr>
          <w:rFonts w:ascii="Times New Roman" w:hAnsi="Times New Roman"/>
          <w:snapToGrid w:val="0"/>
          <w:lang w:eastAsia="cs-CZ"/>
        </w:rPr>
      </w:pPr>
    </w:p>
    <w:p w14:paraId="6D634955" w14:textId="77777777" w:rsidR="00582954" w:rsidRDefault="00645977">
      <w:pPr>
        <w:spacing w:after="0" w:line="240" w:lineRule="auto"/>
        <w:rPr>
          <w:rFonts w:ascii="Times New Roman" w:hAnsi="Times New Roman"/>
          <w:lang w:val="sk-SK"/>
        </w:rPr>
      </w:pPr>
      <w:r>
        <w:rPr>
          <w:rFonts w:ascii="Times New Roman" w:hAnsi="Times New Roman"/>
          <w:snapToGrid w:val="0"/>
          <w:lang w:eastAsia="cs-CZ"/>
        </w:rPr>
        <w:t>Nepozorovali sa žiadne účinky telmisartanu na samčiu ani samičiu fertilitu</w:t>
      </w:r>
      <w:r>
        <w:rPr>
          <w:snapToGrid w:val="0"/>
          <w:lang w:eastAsia="cs-CZ"/>
        </w:rPr>
        <w:t>.</w:t>
      </w:r>
    </w:p>
    <w:p w14:paraId="150139FE" w14:textId="77777777" w:rsidR="00582954" w:rsidRDefault="00582954">
      <w:pPr>
        <w:widowControl w:val="0"/>
        <w:autoSpaceDE w:val="0"/>
        <w:autoSpaceDN w:val="0"/>
        <w:adjustRightInd w:val="0"/>
        <w:spacing w:after="0" w:line="240" w:lineRule="auto"/>
        <w:rPr>
          <w:rFonts w:ascii="Times New Roman" w:hAnsi="Times New Roman"/>
          <w:lang w:val="sk-SK"/>
        </w:rPr>
      </w:pPr>
    </w:p>
    <w:p w14:paraId="6B1A7F57"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Nepozoroval sa priamy dôkaz teratogénneho účinku, ale pozorovalo sa, že dávky telmisartanu v toxických hladinách majú vplyv na postnatálny vývoj plodu, ako je nižšia telesná hmotnosť a oneskorené otvorenie očí.</w:t>
      </w:r>
    </w:p>
    <w:p w14:paraId="7294240A"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U potkanov a myší sa v </w:t>
      </w:r>
      <w:r>
        <w:rPr>
          <w:rFonts w:ascii="Times New Roman" w:hAnsi="Times New Roman"/>
          <w:i/>
          <w:iCs/>
          <w:lang w:val="sk-SK"/>
        </w:rPr>
        <w:t xml:space="preserve">in vitro </w:t>
      </w:r>
      <w:r>
        <w:rPr>
          <w:rFonts w:ascii="Times New Roman" w:hAnsi="Times New Roman"/>
          <w:lang w:val="sk-SK"/>
        </w:rPr>
        <w:t xml:space="preserve">štúdiách po podávaní telmisartanu nepotvrdili prejavy mutagenity ani relevantnej klastogénnej aktivity a tiež žiadny dôkaz karcinogenity. Štúdie s hydrochlórtiazidom ukázali nejednoznačný dôkaz genotoxického alebo karcinogénneho účinku na niektorých pokusných modeloch. </w:t>
      </w:r>
    </w:p>
    <w:p w14:paraId="38378227"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Pre možné toxické pôsobenie kombinácie telmisartan/hydrochlórtiazid na plod pozri časť 4.6.</w:t>
      </w:r>
    </w:p>
    <w:p w14:paraId="4488E903" w14:textId="77777777" w:rsidR="00582954" w:rsidRDefault="00582954">
      <w:pPr>
        <w:widowControl w:val="0"/>
        <w:spacing w:after="0" w:line="240" w:lineRule="auto"/>
        <w:rPr>
          <w:rFonts w:ascii="Times New Roman" w:hAnsi="Times New Roman"/>
          <w:lang w:val="sk-SK"/>
        </w:rPr>
      </w:pPr>
    </w:p>
    <w:p w14:paraId="535FDF92" w14:textId="77777777" w:rsidR="00582954" w:rsidRDefault="00582954">
      <w:pPr>
        <w:widowControl w:val="0"/>
        <w:spacing w:after="0" w:line="240" w:lineRule="auto"/>
        <w:rPr>
          <w:rFonts w:ascii="Times New Roman" w:hAnsi="Times New Roman"/>
          <w:lang w:val="sk-SK"/>
        </w:rPr>
      </w:pPr>
    </w:p>
    <w:p w14:paraId="2010C8D2" w14:textId="77777777" w:rsidR="00582954" w:rsidRDefault="00645977">
      <w:pPr>
        <w:widowControl w:val="0"/>
        <w:tabs>
          <w:tab w:val="left" w:pos="567"/>
        </w:tabs>
        <w:autoSpaceDE w:val="0"/>
        <w:autoSpaceDN w:val="0"/>
        <w:adjustRightInd w:val="0"/>
        <w:spacing w:after="0" w:line="240" w:lineRule="auto"/>
        <w:rPr>
          <w:rFonts w:ascii="Times New Roman" w:hAnsi="Times New Roman"/>
          <w:b/>
          <w:bCs/>
          <w:lang w:val="sk-SK"/>
        </w:rPr>
      </w:pPr>
      <w:r>
        <w:rPr>
          <w:rFonts w:ascii="Times New Roman" w:hAnsi="Times New Roman"/>
          <w:b/>
          <w:bCs/>
          <w:lang w:val="sk-SK"/>
        </w:rPr>
        <w:lastRenderedPageBreak/>
        <w:t>6.</w:t>
      </w:r>
      <w:r>
        <w:rPr>
          <w:rFonts w:ascii="Times New Roman" w:hAnsi="Times New Roman"/>
          <w:b/>
          <w:bCs/>
          <w:lang w:val="sk-SK"/>
        </w:rPr>
        <w:tab/>
        <w:t>FARMACEUTICKÉ INFORMÁCIE</w:t>
      </w:r>
    </w:p>
    <w:p w14:paraId="3EF4DF87" w14:textId="77777777" w:rsidR="00582954" w:rsidRDefault="00582954">
      <w:pPr>
        <w:widowControl w:val="0"/>
        <w:autoSpaceDE w:val="0"/>
        <w:autoSpaceDN w:val="0"/>
        <w:adjustRightInd w:val="0"/>
        <w:spacing w:after="0" w:line="240" w:lineRule="auto"/>
        <w:rPr>
          <w:rFonts w:ascii="Times New Roman" w:hAnsi="Times New Roman"/>
          <w:b/>
          <w:bCs/>
          <w:lang w:val="sk-SK"/>
        </w:rPr>
      </w:pPr>
    </w:p>
    <w:p w14:paraId="53302392" w14:textId="77777777" w:rsidR="00582954" w:rsidRDefault="00645977">
      <w:pPr>
        <w:widowControl w:val="0"/>
        <w:autoSpaceDE w:val="0"/>
        <w:autoSpaceDN w:val="0"/>
        <w:adjustRightInd w:val="0"/>
        <w:spacing w:after="0" w:line="240" w:lineRule="auto"/>
        <w:ind w:left="567" w:hanging="567"/>
        <w:rPr>
          <w:rFonts w:ascii="Times New Roman" w:hAnsi="Times New Roman"/>
          <w:b/>
          <w:bCs/>
          <w:lang w:val="sk-SK"/>
        </w:rPr>
      </w:pPr>
      <w:r>
        <w:rPr>
          <w:rFonts w:ascii="Times New Roman" w:hAnsi="Times New Roman"/>
          <w:b/>
          <w:bCs/>
          <w:lang w:val="sk-SK"/>
        </w:rPr>
        <w:t>6.1</w:t>
      </w:r>
      <w:r>
        <w:rPr>
          <w:rFonts w:ascii="Times New Roman" w:hAnsi="Times New Roman"/>
          <w:b/>
          <w:bCs/>
          <w:lang w:val="sk-SK"/>
        </w:rPr>
        <w:tab/>
        <w:t>Zoznam pomocných látok</w:t>
      </w:r>
    </w:p>
    <w:p w14:paraId="78D17698" w14:textId="77777777" w:rsidR="00582954" w:rsidRDefault="00582954">
      <w:pPr>
        <w:widowControl w:val="0"/>
        <w:autoSpaceDE w:val="0"/>
        <w:autoSpaceDN w:val="0"/>
        <w:adjustRightInd w:val="0"/>
        <w:spacing w:after="0" w:line="240" w:lineRule="auto"/>
        <w:rPr>
          <w:rFonts w:ascii="Times New Roman" w:hAnsi="Times New Roman"/>
          <w:b/>
          <w:bCs/>
          <w:lang w:val="sk-SK"/>
        </w:rPr>
      </w:pPr>
    </w:p>
    <w:p w14:paraId="16BFAE44"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Povidón K30</w:t>
      </w:r>
    </w:p>
    <w:p w14:paraId="528D22B8"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Hydroxid sodný</w:t>
      </w:r>
    </w:p>
    <w:p w14:paraId="0B79D9A5"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Manitol</w:t>
      </w:r>
    </w:p>
    <w:p w14:paraId="5C9F3886"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Mikrokryštalická celulóza</w:t>
      </w:r>
    </w:p>
    <w:p w14:paraId="6348659D"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Meglumín</w:t>
      </w:r>
    </w:p>
    <w:p w14:paraId="6B6F1851" w14:textId="77777777" w:rsidR="00582954" w:rsidRDefault="00645977">
      <w:pPr>
        <w:autoSpaceDE w:val="0"/>
        <w:autoSpaceDN w:val="0"/>
        <w:adjustRightInd w:val="0"/>
        <w:spacing w:after="0" w:line="240" w:lineRule="auto"/>
        <w:rPr>
          <w:rFonts w:ascii="Times New Roman" w:hAnsi="Times New Roman"/>
          <w:lang w:eastAsia="sk-SK"/>
        </w:rPr>
      </w:pPr>
      <w:bookmarkStart w:id="25" w:name="_Hlk196305696"/>
      <w:r>
        <w:rPr>
          <w:rFonts w:ascii="Times New Roman" w:hAnsi="Times New Roman"/>
          <w:lang w:eastAsia="sk-SK"/>
        </w:rPr>
        <w:t>Sodná soľ kroskarmelózy</w:t>
      </w:r>
      <w:bookmarkEnd w:id="25"/>
    </w:p>
    <w:p w14:paraId="2004C4ED"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Stearyl</w:t>
      </w:r>
      <w:r>
        <w:rPr>
          <w:rFonts w:ascii="Times New Roman" w:hAnsi="Times New Roman"/>
          <w:lang w:val="sk-SK"/>
        </w:rPr>
        <w:noBreakHyphen/>
        <w:t>fumarát sodný</w:t>
      </w:r>
    </w:p>
    <w:p w14:paraId="72038858" w14:textId="77777777" w:rsidR="00582954" w:rsidRDefault="00645977">
      <w:pPr>
        <w:widowControl w:val="0"/>
        <w:autoSpaceDE w:val="0"/>
        <w:autoSpaceDN w:val="0"/>
        <w:adjustRightInd w:val="0"/>
        <w:spacing w:after="0" w:line="240" w:lineRule="auto"/>
        <w:rPr>
          <w:rFonts w:ascii="Times New Roman" w:hAnsi="Times New Roman"/>
          <w:lang w:eastAsia="sk-SK"/>
        </w:rPr>
      </w:pPr>
      <w:r>
        <w:rPr>
          <w:rFonts w:ascii="Times New Roman" w:hAnsi="Times New Roman"/>
          <w:lang w:val="sk-SK"/>
        </w:rPr>
        <w:t>Koloidný oxid kremičitý, bezvodý</w:t>
      </w:r>
    </w:p>
    <w:p w14:paraId="0C92866B"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Červený oxid železitý (E172)</w:t>
      </w:r>
    </w:p>
    <w:p w14:paraId="6C3B6074"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Žltý oxid železitý (E172)</w:t>
      </w:r>
      <w:r>
        <w:rPr>
          <w:rFonts w:ascii="Times New Roman" w:hAnsi="Times New Roman"/>
          <w:iCs/>
          <w:noProof/>
        </w:rPr>
        <w:t xml:space="preserve"> –</w:t>
      </w:r>
      <w:r>
        <w:rPr>
          <w:rFonts w:ascii="Times New Roman" w:hAnsi="Times New Roman"/>
          <w:i/>
          <w:noProof/>
        </w:rPr>
        <w:t xml:space="preserve"> iba pre 80 mg/12,5 mg</w:t>
      </w:r>
    </w:p>
    <w:p w14:paraId="3CF03B13" w14:textId="77777777" w:rsidR="00582954" w:rsidRDefault="00582954">
      <w:pPr>
        <w:widowControl w:val="0"/>
        <w:autoSpaceDE w:val="0"/>
        <w:autoSpaceDN w:val="0"/>
        <w:adjustRightInd w:val="0"/>
        <w:spacing w:after="0" w:line="240" w:lineRule="auto"/>
        <w:rPr>
          <w:rFonts w:ascii="Times New Roman" w:hAnsi="Times New Roman"/>
          <w:lang w:val="sk-SK"/>
        </w:rPr>
      </w:pPr>
    </w:p>
    <w:p w14:paraId="67172855" w14:textId="77777777" w:rsidR="00582954" w:rsidRDefault="00645977">
      <w:pPr>
        <w:widowControl w:val="0"/>
        <w:autoSpaceDE w:val="0"/>
        <w:autoSpaceDN w:val="0"/>
        <w:adjustRightInd w:val="0"/>
        <w:spacing w:after="0" w:line="240" w:lineRule="auto"/>
        <w:ind w:left="567" w:hanging="567"/>
        <w:rPr>
          <w:rFonts w:ascii="Times New Roman" w:hAnsi="Times New Roman"/>
          <w:b/>
          <w:bCs/>
          <w:lang w:val="sk-SK"/>
        </w:rPr>
      </w:pPr>
      <w:r>
        <w:rPr>
          <w:rFonts w:ascii="Times New Roman" w:hAnsi="Times New Roman"/>
          <w:b/>
          <w:bCs/>
          <w:lang w:val="sk-SK"/>
        </w:rPr>
        <w:t>6.2</w:t>
      </w:r>
      <w:r>
        <w:rPr>
          <w:rFonts w:ascii="Times New Roman" w:hAnsi="Times New Roman"/>
          <w:b/>
          <w:bCs/>
          <w:lang w:val="sk-SK"/>
        </w:rPr>
        <w:tab/>
        <w:t>Inkompatibility</w:t>
      </w:r>
    </w:p>
    <w:p w14:paraId="7E733C50" w14:textId="77777777" w:rsidR="00582954" w:rsidRDefault="00582954">
      <w:pPr>
        <w:widowControl w:val="0"/>
        <w:autoSpaceDE w:val="0"/>
        <w:autoSpaceDN w:val="0"/>
        <w:adjustRightInd w:val="0"/>
        <w:spacing w:after="0" w:line="240" w:lineRule="auto"/>
        <w:rPr>
          <w:rFonts w:ascii="Times New Roman" w:hAnsi="Times New Roman"/>
          <w:b/>
          <w:bCs/>
          <w:lang w:val="sk-SK"/>
        </w:rPr>
      </w:pPr>
    </w:p>
    <w:p w14:paraId="25DDB76F"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Neaplikovateľné.</w:t>
      </w:r>
    </w:p>
    <w:p w14:paraId="45D2E63B" w14:textId="77777777" w:rsidR="00582954" w:rsidRDefault="00582954">
      <w:pPr>
        <w:widowControl w:val="0"/>
        <w:autoSpaceDE w:val="0"/>
        <w:autoSpaceDN w:val="0"/>
        <w:adjustRightInd w:val="0"/>
        <w:spacing w:after="0" w:line="240" w:lineRule="auto"/>
        <w:rPr>
          <w:rFonts w:ascii="Times New Roman" w:hAnsi="Times New Roman"/>
          <w:lang w:val="sk-SK"/>
        </w:rPr>
      </w:pPr>
    </w:p>
    <w:p w14:paraId="46D73528" w14:textId="77777777" w:rsidR="00582954" w:rsidRDefault="00645977">
      <w:pPr>
        <w:widowControl w:val="0"/>
        <w:tabs>
          <w:tab w:val="left" w:pos="567"/>
        </w:tabs>
        <w:autoSpaceDE w:val="0"/>
        <w:autoSpaceDN w:val="0"/>
        <w:adjustRightInd w:val="0"/>
        <w:spacing w:after="0" w:line="240" w:lineRule="auto"/>
        <w:rPr>
          <w:rFonts w:ascii="Times New Roman" w:hAnsi="Times New Roman"/>
          <w:b/>
          <w:bCs/>
          <w:lang w:val="sk-SK"/>
        </w:rPr>
      </w:pPr>
      <w:r>
        <w:rPr>
          <w:rFonts w:ascii="Times New Roman" w:hAnsi="Times New Roman"/>
          <w:b/>
          <w:bCs/>
          <w:lang w:val="sk-SK"/>
        </w:rPr>
        <w:t>6.3</w:t>
      </w:r>
      <w:r>
        <w:rPr>
          <w:rFonts w:ascii="Times New Roman" w:hAnsi="Times New Roman"/>
          <w:b/>
          <w:bCs/>
          <w:lang w:val="sk-SK"/>
        </w:rPr>
        <w:tab/>
        <w:t>Čas použiteľnosti</w:t>
      </w:r>
    </w:p>
    <w:p w14:paraId="491F238F" w14:textId="77777777" w:rsidR="00582954" w:rsidRDefault="00582954">
      <w:pPr>
        <w:widowControl w:val="0"/>
        <w:autoSpaceDE w:val="0"/>
        <w:autoSpaceDN w:val="0"/>
        <w:adjustRightInd w:val="0"/>
        <w:spacing w:after="0" w:line="240" w:lineRule="auto"/>
        <w:rPr>
          <w:rFonts w:ascii="Times New Roman" w:hAnsi="Times New Roman"/>
          <w:b/>
          <w:bCs/>
          <w:lang w:val="sk-SK"/>
        </w:rPr>
      </w:pPr>
    </w:p>
    <w:p w14:paraId="4AA41198"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2 roky</w:t>
      </w:r>
    </w:p>
    <w:p w14:paraId="1343DC99" w14:textId="77777777" w:rsidR="00582954" w:rsidRDefault="00582954">
      <w:pPr>
        <w:widowControl w:val="0"/>
        <w:spacing w:after="0" w:line="240" w:lineRule="auto"/>
        <w:rPr>
          <w:rFonts w:ascii="Times New Roman" w:hAnsi="Times New Roman"/>
          <w:lang w:val="sk-SK"/>
        </w:rPr>
      </w:pPr>
    </w:p>
    <w:p w14:paraId="2D728E09" w14:textId="77777777" w:rsidR="00582954" w:rsidRDefault="00645977">
      <w:pPr>
        <w:widowControl w:val="0"/>
        <w:autoSpaceDE w:val="0"/>
        <w:autoSpaceDN w:val="0"/>
        <w:adjustRightInd w:val="0"/>
        <w:spacing w:after="0" w:line="240" w:lineRule="auto"/>
        <w:ind w:left="567" w:hanging="567"/>
        <w:rPr>
          <w:rFonts w:ascii="Times New Roman" w:hAnsi="Times New Roman"/>
          <w:b/>
          <w:bCs/>
          <w:color w:val="000000"/>
          <w:lang w:val="sk-SK"/>
        </w:rPr>
      </w:pPr>
      <w:r>
        <w:rPr>
          <w:rFonts w:ascii="Times New Roman" w:hAnsi="Times New Roman"/>
          <w:b/>
          <w:bCs/>
          <w:color w:val="000000"/>
          <w:lang w:val="sk-SK"/>
        </w:rPr>
        <w:t>6.4</w:t>
      </w:r>
      <w:r>
        <w:rPr>
          <w:rFonts w:ascii="Times New Roman" w:hAnsi="Times New Roman"/>
          <w:b/>
          <w:bCs/>
          <w:color w:val="000000"/>
          <w:lang w:val="sk-SK"/>
        </w:rPr>
        <w:tab/>
        <w:t>Špeciálne upozornenia na uchovávanie</w:t>
      </w:r>
    </w:p>
    <w:p w14:paraId="1EBFA871" w14:textId="77777777" w:rsidR="00582954" w:rsidRDefault="00582954">
      <w:pPr>
        <w:widowControl w:val="0"/>
        <w:autoSpaceDE w:val="0"/>
        <w:autoSpaceDN w:val="0"/>
        <w:adjustRightInd w:val="0"/>
        <w:spacing w:after="0" w:line="240" w:lineRule="auto"/>
        <w:rPr>
          <w:rFonts w:ascii="Times New Roman" w:hAnsi="Times New Roman"/>
          <w:b/>
          <w:bCs/>
          <w:color w:val="000000"/>
          <w:lang w:val="sk-SK"/>
        </w:rPr>
      </w:pPr>
    </w:p>
    <w:p w14:paraId="39ADC13B" w14:textId="77777777" w:rsidR="00582954" w:rsidRDefault="00645977">
      <w:pPr>
        <w:widowControl w:val="0"/>
        <w:autoSpaceDE w:val="0"/>
        <w:autoSpaceDN w:val="0"/>
        <w:adjustRightInd w:val="0"/>
        <w:spacing w:after="0" w:line="240" w:lineRule="auto"/>
        <w:rPr>
          <w:rFonts w:ascii="Times New Roman" w:hAnsi="Times New Roman"/>
          <w:color w:val="000000"/>
          <w:lang w:val="sk-SK"/>
        </w:rPr>
      </w:pPr>
      <w:r>
        <w:rPr>
          <w:rFonts w:ascii="Times New Roman" w:hAnsi="Times New Roman"/>
          <w:color w:val="000000"/>
          <w:lang w:val="sk-SK"/>
        </w:rPr>
        <w:t>Tento liek nevyžaduje žiadne zvláštne teplotné podmienky na uchovávanie.</w:t>
      </w:r>
    </w:p>
    <w:p w14:paraId="59DAC787" w14:textId="77777777" w:rsidR="00582954" w:rsidRDefault="00645977">
      <w:pPr>
        <w:widowControl w:val="0"/>
        <w:autoSpaceDE w:val="0"/>
        <w:autoSpaceDN w:val="0"/>
        <w:adjustRightInd w:val="0"/>
        <w:spacing w:after="0" w:line="240" w:lineRule="auto"/>
        <w:rPr>
          <w:rFonts w:ascii="Times New Roman" w:hAnsi="Times New Roman"/>
          <w:color w:val="000000"/>
          <w:lang w:val="sk-SK"/>
        </w:rPr>
      </w:pPr>
      <w:r>
        <w:rPr>
          <w:rFonts w:ascii="Times New Roman" w:hAnsi="Times New Roman"/>
          <w:color w:val="000000"/>
          <w:lang w:val="sk-SK"/>
        </w:rPr>
        <w:t>Uchovávajte v pôvodnom obale na ochranu pred svetlom a vlhkosťou.</w:t>
      </w:r>
    </w:p>
    <w:p w14:paraId="392570BE" w14:textId="77777777" w:rsidR="00582954" w:rsidRDefault="00582954">
      <w:pPr>
        <w:widowControl w:val="0"/>
        <w:autoSpaceDE w:val="0"/>
        <w:autoSpaceDN w:val="0"/>
        <w:adjustRightInd w:val="0"/>
        <w:spacing w:after="0" w:line="240" w:lineRule="auto"/>
        <w:rPr>
          <w:rFonts w:ascii="Times New Roman" w:hAnsi="Times New Roman"/>
          <w:color w:val="000000"/>
          <w:lang w:val="sk-SK"/>
        </w:rPr>
      </w:pPr>
    </w:p>
    <w:p w14:paraId="6C62F5AC" w14:textId="77777777" w:rsidR="00582954" w:rsidRDefault="00645977">
      <w:pPr>
        <w:widowControl w:val="0"/>
        <w:autoSpaceDE w:val="0"/>
        <w:autoSpaceDN w:val="0"/>
        <w:adjustRightInd w:val="0"/>
        <w:spacing w:after="0" w:line="240" w:lineRule="auto"/>
        <w:ind w:left="567" w:hanging="567"/>
        <w:rPr>
          <w:rFonts w:ascii="Times New Roman" w:hAnsi="Times New Roman"/>
          <w:b/>
          <w:bCs/>
          <w:color w:val="000000"/>
          <w:lang w:val="sk-SK"/>
        </w:rPr>
      </w:pPr>
      <w:r>
        <w:rPr>
          <w:rFonts w:ascii="Times New Roman" w:hAnsi="Times New Roman"/>
          <w:b/>
          <w:bCs/>
          <w:color w:val="000000"/>
          <w:lang w:val="sk-SK"/>
        </w:rPr>
        <w:t>6.5</w:t>
      </w:r>
      <w:r>
        <w:rPr>
          <w:rFonts w:ascii="Times New Roman" w:hAnsi="Times New Roman"/>
          <w:b/>
          <w:bCs/>
          <w:color w:val="000000"/>
          <w:lang w:val="sk-SK"/>
        </w:rPr>
        <w:tab/>
        <w:t>Druh obalu a obsah balenia</w:t>
      </w:r>
    </w:p>
    <w:p w14:paraId="2B77C0B8" w14:textId="77777777" w:rsidR="00582954" w:rsidRDefault="00582954">
      <w:pPr>
        <w:widowControl w:val="0"/>
        <w:autoSpaceDE w:val="0"/>
        <w:autoSpaceDN w:val="0"/>
        <w:adjustRightInd w:val="0"/>
        <w:spacing w:after="0" w:line="240" w:lineRule="auto"/>
        <w:rPr>
          <w:rFonts w:ascii="Times New Roman" w:hAnsi="Times New Roman"/>
          <w:b/>
          <w:bCs/>
          <w:color w:val="000000"/>
          <w:lang w:val="sk-SK"/>
        </w:rPr>
      </w:pPr>
    </w:p>
    <w:p w14:paraId="2C2928CA"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Blistre (OPA/Alu/PVC fólia//Alu fólia): 14 x 1, 28 x 1, 30 x 1, 56 x 1, 60 x 1, 84 x 1, 90 x 1, 98 x 1 a 100 x 1 tableta v škatuľke.</w:t>
      </w:r>
    </w:p>
    <w:p w14:paraId="420E8DF9" w14:textId="77777777" w:rsidR="00582954" w:rsidRDefault="00582954">
      <w:pPr>
        <w:widowControl w:val="0"/>
        <w:autoSpaceDE w:val="0"/>
        <w:autoSpaceDN w:val="0"/>
        <w:adjustRightInd w:val="0"/>
        <w:spacing w:after="0" w:line="240" w:lineRule="auto"/>
        <w:rPr>
          <w:rFonts w:ascii="Times New Roman" w:hAnsi="Times New Roman"/>
          <w:color w:val="000000"/>
          <w:lang w:val="sk-SK"/>
        </w:rPr>
      </w:pPr>
    </w:p>
    <w:p w14:paraId="436952F6" w14:textId="77777777" w:rsidR="00582954" w:rsidRDefault="00645977">
      <w:pPr>
        <w:widowControl w:val="0"/>
        <w:autoSpaceDE w:val="0"/>
        <w:autoSpaceDN w:val="0"/>
        <w:adjustRightInd w:val="0"/>
        <w:spacing w:after="0" w:line="240" w:lineRule="auto"/>
        <w:rPr>
          <w:rFonts w:ascii="Times New Roman" w:hAnsi="Times New Roman"/>
          <w:color w:val="000000"/>
          <w:lang w:val="sk-SK"/>
        </w:rPr>
      </w:pPr>
      <w:r>
        <w:rPr>
          <w:rFonts w:ascii="Times New Roman" w:hAnsi="Times New Roman"/>
          <w:color w:val="000000"/>
          <w:lang w:val="sk-SK"/>
        </w:rPr>
        <w:t>Na trh nemusia byť uvedené všetky veľkosti balenia.</w:t>
      </w:r>
    </w:p>
    <w:p w14:paraId="3AA0887A" w14:textId="77777777" w:rsidR="00582954" w:rsidRDefault="00582954">
      <w:pPr>
        <w:widowControl w:val="0"/>
        <w:autoSpaceDE w:val="0"/>
        <w:autoSpaceDN w:val="0"/>
        <w:adjustRightInd w:val="0"/>
        <w:spacing w:after="0" w:line="240" w:lineRule="auto"/>
        <w:rPr>
          <w:rFonts w:ascii="Times New Roman" w:hAnsi="Times New Roman"/>
          <w:color w:val="000000"/>
          <w:lang w:val="sk-SK"/>
        </w:rPr>
      </w:pPr>
    </w:p>
    <w:p w14:paraId="3BA07362" w14:textId="77777777" w:rsidR="00582954" w:rsidRDefault="00645977">
      <w:pPr>
        <w:widowControl w:val="0"/>
        <w:autoSpaceDE w:val="0"/>
        <w:autoSpaceDN w:val="0"/>
        <w:adjustRightInd w:val="0"/>
        <w:spacing w:after="0" w:line="240" w:lineRule="auto"/>
        <w:ind w:left="567" w:hanging="567"/>
        <w:rPr>
          <w:rFonts w:ascii="Times New Roman" w:hAnsi="Times New Roman"/>
          <w:b/>
          <w:bCs/>
          <w:color w:val="000000"/>
          <w:lang w:val="sk-SK"/>
        </w:rPr>
      </w:pPr>
      <w:r>
        <w:rPr>
          <w:rFonts w:ascii="Times New Roman" w:hAnsi="Times New Roman"/>
          <w:b/>
          <w:bCs/>
          <w:color w:val="000000"/>
          <w:lang w:val="sk-SK"/>
        </w:rPr>
        <w:t>6.6</w:t>
      </w:r>
      <w:r>
        <w:rPr>
          <w:rFonts w:ascii="Times New Roman" w:hAnsi="Times New Roman"/>
          <w:b/>
          <w:bCs/>
          <w:color w:val="000000"/>
          <w:lang w:val="sk-SK"/>
        </w:rPr>
        <w:tab/>
        <w:t>Špeciálne opatrenia na likvidáciu a iné zaobchádzanie s liekom</w:t>
      </w:r>
    </w:p>
    <w:p w14:paraId="15773FE2" w14:textId="77777777" w:rsidR="00582954" w:rsidRDefault="00582954">
      <w:pPr>
        <w:widowControl w:val="0"/>
        <w:autoSpaceDE w:val="0"/>
        <w:autoSpaceDN w:val="0"/>
        <w:adjustRightInd w:val="0"/>
        <w:spacing w:after="0" w:line="240" w:lineRule="auto"/>
        <w:rPr>
          <w:rFonts w:ascii="Times New Roman" w:hAnsi="Times New Roman"/>
          <w:b/>
          <w:bCs/>
          <w:color w:val="000000"/>
          <w:lang w:val="sk-SK"/>
        </w:rPr>
      </w:pPr>
    </w:p>
    <w:p w14:paraId="1ADA8D4E" w14:textId="77777777" w:rsidR="00582954" w:rsidRDefault="00645977">
      <w:pPr>
        <w:spacing w:after="0" w:line="240" w:lineRule="auto"/>
        <w:rPr>
          <w:rFonts w:ascii="Times New Roman" w:hAnsi="Times New Roman"/>
          <w:lang w:val="sk-SK"/>
        </w:rPr>
      </w:pPr>
      <w:r>
        <w:rPr>
          <w:rFonts w:ascii="Times New Roman" w:hAnsi="Times New Roman"/>
          <w:lang w:val="sk-SK"/>
        </w:rPr>
        <w:t>Tolucombi sa má uchovávať v uzavretom blistri kvôli hygroskopickým vlastnostiam tabliet. Tablety sa majú vyberať z blistra krátko pred podaním.</w:t>
      </w:r>
    </w:p>
    <w:p w14:paraId="4D6BB8C2" w14:textId="77777777" w:rsidR="00582954" w:rsidRDefault="00582954">
      <w:pPr>
        <w:spacing w:after="0" w:line="240" w:lineRule="auto"/>
        <w:rPr>
          <w:rFonts w:ascii="Times New Roman" w:hAnsi="Times New Roman"/>
          <w:noProof/>
          <w:lang w:eastAsia="sk-SK"/>
        </w:rPr>
      </w:pPr>
    </w:p>
    <w:p w14:paraId="389BD8FF" w14:textId="77777777" w:rsidR="00582954" w:rsidRDefault="00645977">
      <w:pPr>
        <w:spacing w:after="0" w:line="240" w:lineRule="auto"/>
        <w:rPr>
          <w:rFonts w:ascii="Times New Roman" w:hAnsi="Times New Roman"/>
          <w:lang w:val="sk-SK"/>
        </w:rPr>
      </w:pPr>
      <w:r>
        <w:rPr>
          <w:rFonts w:ascii="Times New Roman" w:hAnsi="Times New Roman"/>
          <w:noProof/>
          <w:lang w:eastAsia="sk-SK"/>
        </w:rPr>
        <w:t>Všetok nepoužitý liek alebo odpad vzniknutý z lieku sa má zlikvidovať v súlade s národnými požiadavkami.</w:t>
      </w:r>
    </w:p>
    <w:p w14:paraId="4DE08567" w14:textId="77777777" w:rsidR="00582954" w:rsidRDefault="00582954">
      <w:pPr>
        <w:widowControl w:val="0"/>
        <w:autoSpaceDE w:val="0"/>
        <w:autoSpaceDN w:val="0"/>
        <w:adjustRightInd w:val="0"/>
        <w:spacing w:after="0" w:line="240" w:lineRule="auto"/>
        <w:rPr>
          <w:rFonts w:ascii="Times New Roman" w:hAnsi="Times New Roman"/>
          <w:lang w:val="sk-SK"/>
        </w:rPr>
      </w:pPr>
    </w:p>
    <w:p w14:paraId="396AA74C" w14:textId="77777777" w:rsidR="00582954" w:rsidRDefault="00582954">
      <w:pPr>
        <w:widowControl w:val="0"/>
        <w:autoSpaceDE w:val="0"/>
        <w:autoSpaceDN w:val="0"/>
        <w:adjustRightInd w:val="0"/>
        <w:spacing w:after="0" w:line="240" w:lineRule="auto"/>
        <w:rPr>
          <w:rFonts w:ascii="Times New Roman" w:hAnsi="Times New Roman"/>
          <w:lang w:val="sk-SK"/>
        </w:rPr>
      </w:pPr>
    </w:p>
    <w:p w14:paraId="4BA0D125" w14:textId="77777777" w:rsidR="00582954" w:rsidRDefault="00645977">
      <w:pPr>
        <w:widowControl w:val="0"/>
        <w:tabs>
          <w:tab w:val="left" w:pos="567"/>
        </w:tabs>
        <w:autoSpaceDE w:val="0"/>
        <w:autoSpaceDN w:val="0"/>
        <w:adjustRightInd w:val="0"/>
        <w:spacing w:after="0" w:line="240" w:lineRule="auto"/>
        <w:rPr>
          <w:rFonts w:ascii="Times New Roman" w:hAnsi="Times New Roman"/>
          <w:b/>
          <w:bCs/>
          <w:color w:val="000000"/>
          <w:lang w:val="sk-SK"/>
        </w:rPr>
      </w:pPr>
      <w:r>
        <w:rPr>
          <w:rFonts w:ascii="Times New Roman" w:hAnsi="Times New Roman"/>
          <w:b/>
          <w:bCs/>
          <w:color w:val="000000"/>
          <w:lang w:val="sk-SK"/>
        </w:rPr>
        <w:t>7.</w:t>
      </w:r>
      <w:r>
        <w:rPr>
          <w:rFonts w:ascii="Times New Roman" w:hAnsi="Times New Roman"/>
          <w:b/>
          <w:bCs/>
          <w:color w:val="000000"/>
          <w:lang w:val="sk-SK"/>
        </w:rPr>
        <w:tab/>
        <w:t>DRŽITEĽ ROZHODNUTIA O REGISTRÁCII</w:t>
      </w:r>
    </w:p>
    <w:p w14:paraId="73845DAB" w14:textId="77777777" w:rsidR="00582954" w:rsidRDefault="00582954">
      <w:pPr>
        <w:widowControl w:val="0"/>
        <w:autoSpaceDE w:val="0"/>
        <w:autoSpaceDN w:val="0"/>
        <w:adjustRightInd w:val="0"/>
        <w:spacing w:after="0" w:line="240" w:lineRule="auto"/>
        <w:rPr>
          <w:rFonts w:ascii="Times New Roman" w:hAnsi="Times New Roman"/>
          <w:b/>
          <w:bCs/>
          <w:color w:val="000000"/>
          <w:lang w:val="sk-SK"/>
        </w:rPr>
      </w:pPr>
    </w:p>
    <w:p w14:paraId="380A522C"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KRKA, d.d., Novo mesto, Šmarješka cesta 6, 8501 Novo mesto, Slovinsko</w:t>
      </w:r>
    </w:p>
    <w:p w14:paraId="7EFF2EEF" w14:textId="77777777" w:rsidR="00582954" w:rsidRDefault="00582954">
      <w:pPr>
        <w:widowControl w:val="0"/>
        <w:spacing w:after="0" w:line="240" w:lineRule="auto"/>
        <w:rPr>
          <w:rFonts w:ascii="Times New Roman" w:hAnsi="Times New Roman"/>
          <w:lang w:val="sk-SK"/>
        </w:rPr>
      </w:pPr>
    </w:p>
    <w:p w14:paraId="1EB87592" w14:textId="77777777" w:rsidR="00582954" w:rsidRDefault="00582954">
      <w:pPr>
        <w:widowControl w:val="0"/>
        <w:spacing w:after="0" w:line="240" w:lineRule="auto"/>
        <w:rPr>
          <w:rFonts w:ascii="Times New Roman" w:hAnsi="Times New Roman"/>
          <w:lang w:val="sk-SK"/>
        </w:rPr>
      </w:pPr>
    </w:p>
    <w:p w14:paraId="25832780" w14:textId="77777777" w:rsidR="00582954" w:rsidRDefault="00645977">
      <w:pPr>
        <w:widowControl w:val="0"/>
        <w:tabs>
          <w:tab w:val="left" w:pos="567"/>
        </w:tabs>
        <w:spacing w:after="0" w:line="240" w:lineRule="auto"/>
        <w:rPr>
          <w:rFonts w:ascii="Times New Roman" w:hAnsi="Times New Roman"/>
          <w:b/>
          <w:lang w:val="sk-SK"/>
        </w:rPr>
      </w:pPr>
      <w:r>
        <w:rPr>
          <w:rFonts w:ascii="Times New Roman" w:hAnsi="Times New Roman"/>
          <w:b/>
          <w:lang w:val="sk-SK"/>
        </w:rPr>
        <w:t>8.</w:t>
      </w:r>
      <w:r>
        <w:rPr>
          <w:rFonts w:ascii="Times New Roman" w:hAnsi="Times New Roman"/>
          <w:b/>
          <w:lang w:val="sk-SK"/>
        </w:rPr>
        <w:tab/>
        <w:t>REGISTRAČNÉ ČÍSLO</w:t>
      </w:r>
    </w:p>
    <w:p w14:paraId="338F1B96" w14:textId="77777777" w:rsidR="00582954" w:rsidRDefault="00582954">
      <w:pPr>
        <w:widowControl w:val="0"/>
        <w:spacing w:after="0" w:line="240" w:lineRule="auto"/>
        <w:rPr>
          <w:rFonts w:ascii="Times New Roman" w:hAnsi="Times New Roman"/>
          <w:b/>
          <w:lang w:val="sk-SK"/>
        </w:rPr>
      </w:pPr>
    </w:p>
    <w:p w14:paraId="14222B47" w14:textId="77777777" w:rsidR="00582954" w:rsidRDefault="00645977">
      <w:pPr>
        <w:widowControl w:val="0"/>
        <w:spacing w:after="0" w:line="240" w:lineRule="auto"/>
        <w:rPr>
          <w:rFonts w:ascii="Times New Roman" w:hAnsi="Times New Roman"/>
          <w:lang w:val="sk-SK"/>
        </w:rPr>
      </w:pPr>
      <w:r>
        <w:rPr>
          <w:rFonts w:ascii="Times New Roman" w:hAnsi="Times New Roman"/>
          <w:u w:val="single"/>
          <w:lang w:val="sk-SK"/>
        </w:rPr>
        <w:t>Tolucombi 40 mg/12,5 mg tablety</w:t>
      </w:r>
    </w:p>
    <w:p w14:paraId="7DE2F7D7"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EU/1/13/821/003</w:t>
      </w:r>
    </w:p>
    <w:p w14:paraId="074AE407"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EU/1/13/821/004</w:t>
      </w:r>
    </w:p>
    <w:p w14:paraId="5F1A89D4"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lastRenderedPageBreak/>
        <w:t>EU/1/13/821/005</w:t>
      </w:r>
    </w:p>
    <w:p w14:paraId="18266714"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EU/1/13/821/006</w:t>
      </w:r>
    </w:p>
    <w:p w14:paraId="144D34AC"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EU/1/13/821/007</w:t>
      </w:r>
    </w:p>
    <w:p w14:paraId="70EA6C1E"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EU/1/13/821/008</w:t>
      </w:r>
    </w:p>
    <w:p w14:paraId="6C42BF98"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EU/1/13/821/009</w:t>
      </w:r>
    </w:p>
    <w:p w14:paraId="57BD1E6E"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EU/1/13/821/010</w:t>
      </w:r>
    </w:p>
    <w:p w14:paraId="0D4557AD"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EU/1/13/821/031</w:t>
      </w:r>
    </w:p>
    <w:p w14:paraId="38414909" w14:textId="77777777" w:rsidR="00582954" w:rsidRDefault="00582954">
      <w:pPr>
        <w:widowControl w:val="0"/>
        <w:spacing w:after="0" w:line="240" w:lineRule="auto"/>
        <w:rPr>
          <w:rFonts w:ascii="Times New Roman" w:hAnsi="Times New Roman"/>
          <w:b/>
          <w:lang w:val="sk-SK"/>
        </w:rPr>
      </w:pPr>
    </w:p>
    <w:p w14:paraId="3B9BB928" w14:textId="77777777" w:rsidR="00582954" w:rsidRDefault="00645977">
      <w:pPr>
        <w:widowControl w:val="0"/>
        <w:spacing w:after="0" w:line="240" w:lineRule="auto"/>
        <w:rPr>
          <w:rFonts w:ascii="Times New Roman" w:hAnsi="Times New Roman"/>
          <w:u w:val="single"/>
          <w:lang w:val="sk-SK"/>
        </w:rPr>
      </w:pPr>
      <w:r>
        <w:rPr>
          <w:rFonts w:ascii="Times New Roman" w:hAnsi="Times New Roman"/>
          <w:u w:val="single"/>
          <w:lang w:val="sk-SK"/>
        </w:rPr>
        <w:t>Tolucombi 80 mg/12,5 mg tablety</w:t>
      </w:r>
    </w:p>
    <w:p w14:paraId="601B1A08"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EU/1/13/821/013</w:t>
      </w:r>
    </w:p>
    <w:p w14:paraId="0AC29155"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EU/1/13/821/014</w:t>
      </w:r>
    </w:p>
    <w:p w14:paraId="654E16FC"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EU/1/13/821/015</w:t>
      </w:r>
    </w:p>
    <w:p w14:paraId="7FD4A8B8"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EU/1/13/821/016</w:t>
      </w:r>
    </w:p>
    <w:p w14:paraId="1C599F9F"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EU/1/13/821/017</w:t>
      </w:r>
    </w:p>
    <w:p w14:paraId="354D4525"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EU/1/13/821/018</w:t>
      </w:r>
    </w:p>
    <w:p w14:paraId="706260A0"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EU/1/13/821/019</w:t>
      </w:r>
    </w:p>
    <w:p w14:paraId="0921BF35"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EU/1/13/821/020</w:t>
      </w:r>
    </w:p>
    <w:p w14:paraId="6EB10913"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EU/1/13/821/032</w:t>
      </w:r>
    </w:p>
    <w:p w14:paraId="18B62048" w14:textId="77777777" w:rsidR="00582954" w:rsidRDefault="00582954">
      <w:pPr>
        <w:widowControl w:val="0"/>
        <w:spacing w:after="0" w:line="240" w:lineRule="auto"/>
        <w:rPr>
          <w:rFonts w:ascii="Times New Roman" w:hAnsi="Times New Roman"/>
          <w:lang w:val="sk-SK"/>
        </w:rPr>
      </w:pPr>
    </w:p>
    <w:p w14:paraId="1E011FBB" w14:textId="77777777" w:rsidR="00582954" w:rsidRDefault="00582954">
      <w:pPr>
        <w:widowControl w:val="0"/>
        <w:spacing w:after="0" w:line="240" w:lineRule="auto"/>
        <w:rPr>
          <w:rFonts w:ascii="Times New Roman" w:hAnsi="Times New Roman"/>
          <w:b/>
          <w:lang w:val="sk-SK"/>
        </w:rPr>
      </w:pPr>
    </w:p>
    <w:p w14:paraId="2C2B1DE7" w14:textId="77777777" w:rsidR="00582954" w:rsidRDefault="00645977">
      <w:pPr>
        <w:widowControl w:val="0"/>
        <w:tabs>
          <w:tab w:val="left" w:pos="567"/>
        </w:tabs>
        <w:spacing w:after="0" w:line="240" w:lineRule="auto"/>
        <w:rPr>
          <w:rFonts w:ascii="Times New Roman" w:hAnsi="Times New Roman"/>
          <w:b/>
          <w:lang w:val="sk-SK"/>
        </w:rPr>
      </w:pPr>
      <w:r>
        <w:rPr>
          <w:rFonts w:ascii="Times New Roman" w:hAnsi="Times New Roman"/>
          <w:b/>
          <w:lang w:val="sk-SK"/>
        </w:rPr>
        <w:t>9.</w:t>
      </w:r>
      <w:r>
        <w:rPr>
          <w:rFonts w:ascii="Times New Roman" w:hAnsi="Times New Roman"/>
          <w:b/>
          <w:lang w:val="sk-SK"/>
        </w:rPr>
        <w:tab/>
        <w:t>DÁTUM PRVEJ REGISTRÁCIE/PREDĹŽENIA REGISTRÁCIE</w:t>
      </w:r>
    </w:p>
    <w:p w14:paraId="0D270003" w14:textId="77777777" w:rsidR="00582954" w:rsidRDefault="00582954">
      <w:pPr>
        <w:widowControl w:val="0"/>
        <w:spacing w:after="0" w:line="240" w:lineRule="auto"/>
        <w:rPr>
          <w:rFonts w:ascii="Times New Roman" w:hAnsi="Times New Roman"/>
          <w:b/>
          <w:lang w:val="sk-SK"/>
        </w:rPr>
      </w:pPr>
    </w:p>
    <w:p w14:paraId="2C382571" w14:textId="77777777" w:rsidR="00582954" w:rsidRDefault="00645977">
      <w:pPr>
        <w:widowControl w:val="0"/>
        <w:spacing w:after="0" w:line="240" w:lineRule="auto"/>
        <w:rPr>
          <w:rFonts w:ascii="Times New Roman" w:hAnsi="Times New Roman"/>
          <w:lang w:val="sk-SK"/>
        </w:rPr>
      </w:pPr>
      <w:r>
        <w:rPr>
          <w:rFonts w:ascii="Times New Roman" w:eastAsia="Times New Roman" w:hAnsi="Times New Roman"/>
          <w:noProof/>
          <w:snapToGrid w:val="0"/>
          <w:lang w:val="sk-SK"/>
        </w:rPr>
        <w:t>Dátum prvej registrácie:</w:t>
      </w:r>
      <w:r>
        <w:rPr>
          <w:rFonts w:ascii="Times New Roman" w:eastAsia="Times New Roman" w:hAnsi="Times New Roman"/>
          <w:snapToGrid w:val="0"/>
          <w:szCs w:val="20"/>
          <w:lang w:val="sk-SK"/>
        </w:rPr>
        <w:t xml:space="preserve"> </w:t>
      </w:r>
      <w:r>
        <w:rPr>
          <w:rFonts w:ascii="Times New Roman" w:hAnsi="Times New Roman"/>
          <w:lang w:val="sk-SK"/>
        </w:rPr>
        <w:t>13. marec 2013</w:t>
      </w:r>
    </w:p>
    <w:p w14:paraId="01013C4B"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Dátum posledného predĺženia registrácie: 8. január 2018</w:t>
      </w:r>
    </w:p>
    <w:p w14:paraId="2772AD5D" w14:textId="77777777" w:rsidR="00582954" w:rsidRDefault="00582954">
      <w:pPr>
        <w:widowControl w:val="0"/>
        <w:spacing w:after="0" w:line="240" w:lineRule="auto"/>
        <w:rPr>
          <w:rFonts w:ascii="Times New Roman" w:hAnsi="Times New Roman"/>
          <w:lang w:val="sk-SK"/>
        </w:rPr>
      </w:pPr>
    </w:p>
    <w:p w14:paraId="75719164" w14:textId="77777777" w:rsidR="00582954" w:rsidRDefault="00582954">
      <w:pPr>
        <w:widowControl w:val="0"/>
        <w:spacing w:after="0" w:line="240" w:lineRule="auto"/>
        <w:rPr>
          <w:rFonts w:ascii="Times New Roman" w:hAnsi="Times New Roman"/>
          <w:b/>
          <w:lang w:val="sk-SK"/>
        </w:rPr>
      </w:pPr>
    </w:p>
    <w:p w14:paraId="20E38F0C" w14:textId="77777777" w:rsidR="00582954" w:rsidRDefault="00645977">
      <w:pPr>
        <w:widowControl w:val="0"/>
        <w:tabs>
          <w:tab w:val="left" w:pos="567"/>
        </w:tabs>
        <w:spacing w:after="0" w:line="240" w:lineRule="auto"/>
        <w:rPr>
          <w:rFonts w:ascii="Times New Roman" w:hAnsi="Times New Roman"/>
          <w:b/>
          <w:lang w:val="sk-SK"/>
        </w:rPr>
      </w:pPr>
      <w:r>
        <w:rPr>
          <w:rFonts w:ascii="Times New Roman" w:hAnsi="Times New Roman"/>
          <w:b/>
          <w:lang w:val="sk-SK"/>
        </w:rPr>
        <w:t>10.</w:t>
      </w:r>
      <w:r>
        <w:rPr>
          <w:rFonts w:ascii="Times New Roman" w:hAnsi="Times New Roman"/>
          <w:b/>
          <w:lang w:val="sk-SK"/>
        </w:rPr>
        <w:tab/>
        <w:t>DÁTUM REVÍZIE TEXTU</w:t>
      </w:r>
    </w:p>
    <w:p w14:paraId="54F375D5" w14:textId="77777777" w:rsidR="00582954" w:rsidRDefault="00582954">
      <w:pPr>
        <w:widowControl w:val="0"/>
        <w:spacing w:after="0" w:line="240" w:lineRule="auto"/>
        <w:rPr>
          <w:rFonts w:ascii="Times New Roman" w:hAnsi="Times New Roman"/>
          <w:b/>
          <w:lang w:val="sk-SK"/>
        </w:rPr>
      </w:pPr>
    </w:p>
    <w:p w14:paraId="1AFC483E" w14:textId="04568245" w:rsidR="00582954" w:rsidRDefault="00FA378D">
      <w:pPr>
        <w:widowControl w:val="0"/>
        <w:spacing w:after="0" w:line="240" w:lineRule="auto"/>
        <w:rPr>
          <w:rFonts w:ascii="Times New Roman" w:hAnsi="Times New Roman"/>
          <w:lang w:val="sk-SK"/>
        </w:rPr>
      </w:pPr>
      <w:r>
        <w:rPr>
          <w:rFonts w:ascii="Times New Roman" w:hAnsi="Times New Roman"/>
          <w:lang w:val="sk-SK"/>
        </w:rPr>
        <w:t>07/2025</w:t>
      </w:r>
    </w:p>
    <w:p w14:paraId="5B6C4086" w14:textId="77777777" w:rsidR="00582954" w:rsidRDefault="00582954">
      <w:pPr>
        <w:widowControl w:val="0"/>
        <w:spacing w:after="0" w:line="240" w:lineRule="auto"/>
        <w:rPr>
          <w:rFonts w:ascii="Times New Roman" w:hAnsi="Times New Roman"/>
          <w:lang w:val="sk-SK"/>
        </w:rPr>
      </w:pPr>
    </w:p>
    <w:p w14:paraId="62F431E4"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 xml:space="preserve">Podrobné informácie o tomto lieku sú dostupné na internetovej stránke Európskej agentúry pre lieky </w:t>
      </w:r>
      <w:hyperlink r:id="rId10" w:history="1">
        <w:r>
          <w:rPr>
            <w:rStyle w:val="Hypertextovprepojenie"/>
            <w:rFonts w:ascii="Times New Roman" w:hAnsi="Times New Roman"/>
            <w:lang w:val="sk-SK"/>
          </w:rPr>
          <w:t>https://www.ema.europa.eu</w:t>
        </w:r>
      </w:hyperlink>
      <w:r>
        <w:rPr>
          <w:rFonts w:ascii="Times New Roman" w:hAnsi="Times New Roman"/>
          <w:lang w:val="sk-SK"/>
        </w:rPr>
        <w:t>.</w:t>
      </w:r>
    </w:p>
    <w:p w14:paraId="4D2AD02B" w14:textId="77777777" w:rsidR="00582954" w:rsidRDefault="00645977">
      <w:pPr>
        <w:widowControl w:val="0"/>
        <w:spacing w:after="0" w:line="240" w:lineRule="auto"/>
        <w:ind w:left="567" w:hanging="567"/>
        <w:rPr>
          <w:rFonts w:ascii="Times New Roman" w:hAnsi="Times New Roman"/>
          <w:b/>
          <w:lang w:val="sk-SK"/>
        </w:rPr>
      </w:pPr>
      <w:r>
        <w:rPr>
          <w:rFonts w:ascii="Times New Roman" w:hAnsi="Times New Roman"/>
          <w:lang w:val="sk-SK"/>
        </w:rPr>
        <w:br w:type="page"/>
      </w:r>
      <w:r>
        <w:rPr>
          <w:rFonts w:ascii="Times New Roman" w:hAnsi="Times New Roman"/>
          <w:b/>
          <w:lang w:val="sk-SK"/>
        </w:rPr>
        <w:lastRenderedPageBreak/>
        <w:t>1.</w:t>
      </w:r>
      <w:r>
        <w:rPr>
          <w:rFonts w:ascii="Times New Roman" w:hAnsi="Times New Roman"/>
          <w:b/>
          <w:lang w:val="sk-SK"/>
        </w:rPr>
        <w:tab/>
        <w:t>NÁZOV LIEKU</w:t>
      </w:r>
    </w:p>
    <w:p w14:paraId="7E80E160" w14:textId="77777777" w:rsidR="00582954" w:rsidRDefault="00582954">
      <w:pPr>
        <w:pStyle w:val="Odsekzoznamu"/>
        <w:widowControl w:val="0"/>
        <w:spacing w:after="0" w:line="240" w:lineRule="auto"/>
        <w:ind w:left="0"/>
        <w:rPr>
          <w:rFonts w:ascii="Times New Roman" w:hAnsi="Times New Roman"/>
          <w:b/>
          <w:lang w:val="sk-SK"/>
        </w:rPr>
      </w:pPr>
    </w:p>
    <w:p w14:paraId="31532553" w14:textId="77777777" w:rsidR="00582954" w:rsidRDefault="00645977">
      <w:pPr>
        <w:pStyle w:val="Odsekzoznamu"/>
        <w:widowControl w:val="0"/>
        <w:spacing w:after="0" w:line="240" w:lineRule="auto"/>
        <w:ind w:left="0"/>
        <w:rPr>
          <w:rFonts w:ascii="Times New Roman" w:hAnsi="Times New Roman"/>
          <w:noProof/>
          <w:lang w:val="sk-SK"/>
        </w:rPr>
      </w:pPr>
      <w:r>
        <w:rPr>
          <w:rFonts w:ascii="Times New Roman" w:hAnsi="Times New Roman"/>
          <w:lang w:val="sk-SK"/>
        </w:rPr>
        <w:t xml:space="preserve">Tolucombi </w:t>
      </w:r>
      <w:r>
        <w:rPr>
          <w:rFonts w:ascii="Times New Roman" w:hAnsi="Times New Roman"/>
          <w:noProof/>
          <w:lang w:val="sk-SK"/>
        </w:rPr>
        <w:t>80 mg/25 mg tablety</w:t>
      </w:r>
    </w:p>
    <w:p w14:paraId="5DCBA7F5" w14:textId="77777777" w:rsidR="00582954" w:rsidRDefault="00582954">
      <w:pPr>
        <w:pStyle w:val="Odsekzoznamu"/>
        <w:widowControl w:val="0"/>
        <w:spacing w:after="0" w:line="240" w:lineRule="auto"/>
        <w:ind w:left="0"/>
        <w:rPr>
          <w:rFonts w:ascii="Times New Roman" w:hAnsi="Times New Roman"/>
          <w:noProof/>
          <w:lang w:val="sk-SK"/>
        </w:rPr>
      </w:pPr>
    </w:p>
    <w:p w14:paraId="68F754CB" w14:textId="77777777" w:rsidR="00582954" w:rsidRDefault="00582954">
      <w:pPr>
        <w:pStyle w:val="Odsekzoznamu"/>
        <w:widowControl w:val="0"/>
        <w:spacing w:after="0" w:line="240" w:lineRule="auto"/>
        <w:ind w:left="0"/>
        <w:rPr>
          <w:rFonts w:ascii="Times New Roman" w:hAnsi="Times New Roman"/>
          <w:noProof/>
          <w:lang w:val="sk-SK"/>
        </w:rPr>
      </w:pPr>
    </w:p>
    <w:p w14:paraId="737CD412" w14:textId="77777777" w:rsidR="00582954" w:rsidRDefault="00645977">
      <w:pPr>
        <w:pStyle w:val="Odsekzoznamu"/>
        <w:widowControl w:val="0"/>
        <w:spacing w:after="0" w:line="240" w:lineRule="auto"/>
        <w:ind w:left="567" w:hanging="567"/>
        <w:rPr>
          <w:rFonts w:ascii="Times New Roman" w:hAnsi="Times New Roman"/>
          <w:b/>
          <w:lang w:val="sk-SK"/>
        </w:rPr>
      </w:pPr>
      <w:r>
        <w:rPr>
          <w:rFonts w:ascii="Times New Roman" w:hAnsi="Times New Roman"/>
          <w:b/>
          <w:noProof/>
          <w:lang w:val="sk-SK"/>
        </w:rPr>
        <w:t>2.</w:t>
      </w:r>
      <w:r>
        <w:rPr>
          <w:rFonts w:ascii="Times New Roman" w:hAnsi="Times New Roman"/>
          <w:b/>
          <w:noProof/>
          <w:lang w:val="sk-SK"/>
        </w:rPr>
        <w:tab/>
        <w:t>KVALITATÍVNE A KVANTITATÍVNE ZLOŽENIE</w:t>
      </w:r>
    </w:p>
    <w:p w14:paraId="16E0BF10" w14:textId="77777777" w:rsidR="00582954" w:rsidRDefault="00582954">
      <w:pPr>
        <w:pStyle w:val="Odsekzoznamu"/>
        <w:widowControl w:val="0"/>
        <w:spacing w:after="0" w:line="240" w:lineRule="auto"/>
        <w:ind w:left="0"/>
        <w:rPr>
          <w:rFonts w:ascii="Times New Roman" w:hAnsi="Times New Roman"/>
          <w:b/>
          <w:noProof/>
          <w:lang w:val="sk-SK"/>
        </w:rPr>
      </w:pPr>
    </w:p>
    <w:p w14:paraId="470E7A7D"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 xml:space="preserve">Každá tableta obsahuje 80 mg telmisartanu (telmisartanum) a 25 mg hydrochlórtiazidu </w:t>
      </w:r>
      <w:r>
        <w:rPr>
          <w:rFonts w:ascii="Times New Roman" w:hAnsi="Times New Roman"/>
          <w:lang w:val="en-GB"/>
        </w:rPr>
        <w:t>(hydrochlorothiazidum)</w:t>
      </w:r>
      <w:r>
        <w:rPr>
          <w:rFonts w:ascii="Times New Roman" w:hAnsi="Times New Roman"/>
          <w:lang w:val="sk-SK"/>
        </w:rPr>
        <w:t>.</w:t>
      </w:r>
    </w:p>
    <w:p w14:paraId="117DF7A9" w14:textId="77777777" w:rsidR="00582954" w:rsidRDefault="00582954">
      <w:pPr>
        <w:pStyle w:val="Odsekzoznamu"/>
        <w:widowControl w:val="0"/>
        <w:spacing w:after="0" w:line="240" w:lineRule="auto"/>
        <w:ind w:left="0"/>
        <w:rPr>
          <w:rFonts w:ascii="Times New Roman" w:hAnsi="Times New Roman"/>
          <w:lang w:val="sk-SK"/>
        </w:rPr>
      </w:pPr>
    </w:p>
    <w:p w14:paraId="2892D79A"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Úplný zoznam pomocných látok, pozri časť 6.1.</w:t>
      </w:r>
    </w:p>
    <w:p w14:paraId="2465F42E" w14:textId="77777777" w:rsidR="00582954" w:rsidRDefault="00582954">
      <w:pPr>
        <w:pStyle w:val="Odsekzoznamu"/>
        <w:widowControl w:val="0"/>
        <w:spacing w:after="0" w:line="240" w:lineRule="auto"/>
        <w:ind w:left="0"/>
        <w:rPr>
          <w:rFonts w:ascii="Times New Roman" w:hAnsi="Times New Roman"/>
          <w:lang w:val="sk-SK"/>
        </w:rPr>
      </w:pPr>
    </w:p>
    <w:p w14:paraId="76555C41" w14:textId="77777777" w:rsidR="00582954" w:rsidRDefault="00582954">
      <w:pPr>
        <w:pStyle w:val="Odsekzoznamu"/>
        <w:widowControl w:val="0"/>
        <w:spacing w:after="0" w:line="240" w:lineRule="auto"/>
        <w:ind w:left="0"/>
        <w:rPr>
          <w:rFonts w:ascii="Times New Roman" w:hAnsi="Times New Roman"/>
          <w:lang w:val="sk-SK"/>
        </w:rPr>
      </w:pPr>
    </w:p>
    <w:p w14:paraId="43C117C2" w14:textId="77777777" w:rsidR="00582954" w:rsidRDefault="00645977">
      <w:pPr>
        <w:pStyle w:val="Odsekzoznamu"/>
        <w:widowControl w:val="0"/>
        <w:spacing w:after="0" w:line="240" w:lineRule="auto"/>
        <w:ind w:left="567" w:hanging="567"/>
        <w:rPr>
          <w:rFonts w:ascii="Times New Roman" w:hAnsi="Times New Roman"/>
          <w:b/>
          <w:lang w:val="sk-SK"/>
        </w:rPr>
      </w:pPr>
      <w:r>
        <w:rPr>
          <w:rFonts w:ascii="Times New Roman" w:hAnsi="Times New Roman"/>
          <w:b/>
          <w:lang w:val="sk-SK"/>
        </w:rPr>
        <w:t>3.</w:t>
      </w:r>
      <w:r>
        <w:rPr>
          <w:rFonts w:ascii="Times New Roman" w:hAnsi="Times New Roman"/>
          <w:b/>
          <w:lang w:val="sk-SK"/>
        </w:rPr>
        <w:tab/>
        <w:t>LIEKOVÁ FORMA</w:t>
      </w:r>
    </w:p>
    <w:p w14:paraId="61B947EA" w14:textId="77777777" w:rsidR="00582954" w:rsidRDefault="00582954">
      <w:pPr>
        <w:pStyle w:val="Odsekzoznamu"/>
        <w:widowControl w:val="0"/>
        <w:spacing w:after="0" w:line="240" w:lineRule="auto"/>
        <w:ind w:left="0"/>
        <w:rPr>
          <w:rFonts w:ascii="Times New Roman" w:hAnsi="Times New Roman"/>
          <w:lang w:val="sk-SK"/>
        </w:rPr>
      </w:pPr>
    </w:p>
    <w:p w14:paraId="1C08BF11"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Tableta.</w:t>
      </w:r>
    </w:p>
    <w:p w14:paraId="1696A79A" w14:textId="77777777" w:rsidR="00582954" w:rsidRDefault="00582954">
      <w:pPr>
        <w:widowControl w:val="0"/>
        <w:autoSpaceDE w:val="0"/>
        <w:autoSpaceDN w:val="0"/>
        <w:adjustRightInd w:val="0"/>
        <w:spacing w:after="0" w:line="240" w:lineRule="auto"/>
        <w:rPr>
          <w:rFonts w:ascii="Times New Roman" w:hAnsi="Times New Roman"/>
          <w:lang w:val="sk-SK"/>
        </w:rPr>
      </w:pPr>
    </w:p>
    <w:p w14:paraId="2CA869CE" w14:textId="77777777" w:rsidR="00582954" w:rsidRDefault="00645977">
      <w:pPr>
        <w:widowControl w:val="0"/>
        <w:autoSpaceDE w:val="0"/>
        <w:autoSpaceDN w:val="0"/>
        <w:adjustRightInd w:val="0"/>
        <w:spacing w:after="0" w:line="240" w:lineRule="auto"/>
        <w:ind w:right="566"/>
        <w:rPr>
          <w:rFonts w:ascii="Times New Roman" w:hAnsi="Times New Roman"/>
          <w:lang w:val="sk-SK"/>
        </w:rPr>
      </w:pPr>
      <w:r>
        <w:rPr>
          <w:rFonts w:ascii="Times New Roman" w:hAnsi="Times New Roman"/>
          <w:lang w:val="sk-SK"/>
        </w:rPr>
        <w:t>Bledé hnedožlté, mramorované, oválne bikonvexné tablety s označením L3 na jednej strane, rozmery tablety: dĺžka približne 17 mm.</w:t>
      </w:r>
    </w:p>
    <w:p w14:paraId="53EFD9C7" w14:textId="77777777" w:rsidR="00582954" w:rsidRDefault="00582954">
      <w:pPr>
        <w:pStyle w:val="Odsekzoznamu"/>
        <w:widowControl w:val="0"/>
        <w:spacing w:after="0" w:line="240" w:lineRule="auto"/>
        <w:ind w:left="0"/>
        <w:rPr>
          <w:rFonts w:ascii="Times New Roman" w:hAnsi="Times New Roman"/>
          <w:lang w:val="sk-SK"/>
        </w:rPr>
      </w:pPr>
    </w:p>
    <w:p w14:paraId="33828E3F" w14:textId="77777777" w:rsidR="00582954" w:rsidRDefault="00582954">
      <w:pPr>
        <w:pStyle w:val="Odsekzoznamu"/>
        <w:widowControl w:val="0"/>
        <w:spacing w:after="0" w:line="240" w:lineRule="auto"/>
        <w:ind w:left="0"/>
        <w:rPr>
          <w:rFonts w:ascii="Times New Roman" w:hAnsi="Times New Roman"/>
          <w:lang w:val="sk-SK"/>
        </w:rPr>
      </w:pPr>
    </w:p>
    <w:p w14:paraId="3297D064" w14:textId="77777777" w:rsidR="00582954" w:rsidRDefault="00645977">
      <w:pPr>
        <w:pStyle w:val="Odsekzoznamu"/>
        <w:widowControl w:val="0"/>
        <w:tabs>
          <w:tab w:val="left" w:pos="567"/>
        </w:tabs>
        <w:spacing w:after="0" w:line="240" w:lineRule="auto"/>
        <w:ind w:left="0"/>
        <w:rPr>
          <w:rFonts w:ascii="Times New Roman" w:hAnsi="Times New Roman"/>
          <w:b/>
          <w:lang w:val="sk-SK"/>
        </w:rPr>
      </w:pPr>
      <w:r>
        <w:rPr>
          <w:rFonts w:ascii="Times New Roman" w:hAnsi="Times New Roman"/>
          <w:b/>
          <w:lang w:val="sk-SK"/>
        </w:rPr>
        <w:t>4.</w:t>
      </w:r>
      <w:r>
        <w:rPr>
          <w:rFonts w:ascii="Times New Roman" w:hAnsi="Times New Roman"/>
          <w:b/>
          <w:lang w:val="sk-SK"/>
        </w:rPr>
        <w:tab/>
        <w:t>KLINICKÉ ÚDAJE</w:t>
      </w:r>
    </w:p>
    <w:p w14:paraId="05226D70" w14:textId="77777777" w:rsidR="00582954" w:rsidRDefault="00582954">
      <w:pPr>
        <w:pStyle w:val="Odsekzoznamu"/>
        <w:widowControl w:val="0"/>
        <w:spacing w:after="0" w:line="240" w:lineRule="auto"/>
        <w:ind w:left="0"/>
        <w:rPr>
          <w:rFonts w:ascii="Times New Roman" w:hAnsi="Times New Roman"/>
          <w:b/>
          <w:lang w:val="sk-SK"/>
        </w:rPr>
      </w:pPr>
    </w:p>
    <w:p w14:paraId="14CD24C0" w14:textId="77777777" w:rsidR="00582954" w:rsidRDefault="00645977">
      <w:pPr>
        <w:pStyle w:val="Odsekzoznamu"/>
        <w:widowControl w:val="0"/>
        <w:spacing w:after="0" w:line="240" w:lineRule="auto"/>
        <w:ind w:left="567" w:hanging="567"/>
        <w:rPr>
          <w:rFonts w:ascii="Times New Roman" w:hAnsi="Times New Roman"/>
          <w:b/>
          <w:lang w:val="sk-SK"/>
        </w:rPr>
      </w:pPr>
      <w:r>
        <w:rPr>
          <w:rFonts w:ascii="Times New Roman" w:hAnsi="Times New Roman"/>
          <w:b/>
          <w:lang w:val="sk-SK"/>
        </w:rPr>
        <w:t>4.1</w:t>
      </w:r>
      <w:r>
        <w:rPr>
          <w:rFonts w:ascii="Times New Roman" w:hAnsi="Times New Roman"/>
          <w:b/>
          <w:lang w:val="sk-SK"/>
        </w:rPr>
        <w:tab/>
        <w:t>Terapeutické indikácie</w:t>
      </w:r>
    </w:p>
    <w:p w14:paraId="1D07A308" w14:textId="77777777" w:rsidR="00582954" w:rsidRDefault="00582954">
      <w:pPr>
        <w:pStyle w:val="Odsekzoznamu"/>
        <w:widowControl w:val="0"/>
        <w:spacing w:after="0" w:line="240" w:lineRule="auto"/>
        <w:ind w:left="0"/>
        <w:rPr>
          <w:rFonts w:ascii="Times New Roman" w:hAnsi="Times New Roman"/>
          <w:b/>
          <w:lang w:val="sk-SK"/>
        </w:rPr>
      </w:pPr>
    </w:p>
    <w:p w14:paraId="4906361C"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Liečba esenciálnej hypertenzie.</w:t>
      </w:r>
    </w:p>
    <w:p w14:paraId="0E569F99" w14:textId="77777777" w:rsidR="00582954" w:rsidRDefault="00582954">
      <w:pPr>
        <w:pStyle w:val="Odsekzoznamu"/>
        <w:widowControl w:val="0"/>
        <w:spacing w:after="0" w:line="240" w:lineRule="auto"/>
        <w:ind w:left="0"/>
        <w:rPr>
          <w:rFonts w:ascii="Times New Roman" w:hAnsi="Times New Roman"/>
          <w:lang w:val="sk-SK"/>
        </w:rPr>
      </w:pPr>
    </w:p>
    <w:p w14:paraId="2C3578BD"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Tolucombi fixná kombinácia liečiv (80 mg telmisartanu/25 mg hydrochlórtiazidu) je indikovaná dospelým, ktorých krvný tlak nie je adekvátne kontrolovaný s Tolucombi 80 mg/12,5 mg (80 mg telmisartanu/12,5 mg hydrochlórtiazidu) alebo pacientom, ktorí boli predtým stabilizovaní telmisartanom a hydrochlórtiazidom podávanými samostatne.</w:t>
      </w:r>
    </w:p>
    <w:p w14:paraId="1A65C16E" w14:textId="77777777" w:rsidR="00582954" w:rsidRDefault="00582954">
      <w:pPr>
        <w:pStyle w:val="Odsekzoznamu"/>
        <w:widowControl w:val="0"/>
        <w:spacing w:after="0" w:line="240" w:lineRule="auto"/>
        <w:ind w:left="0"/>
        <w:rPr>
          <w:rFonts w:ascii="Times New Roman" w:hAnsi="Times New Roman"/>
          <w:lang w:val="sk-SK"/>
        </w:rPr>
      </w:pPr>
    </w:p>
    <w:p w14:paraId="4CBA5979" w14:textId="77777777" w:rsidR="00582954" w:rsidRDefault="00645977">
      <w:pPr>
        <w:pStyle w:val="Odsekzoznamu"/>
        <w:widowControl w:val="0"/>
        <w:tabs>
          <w:tab w:val="left" w:pos="567"/>
        </w:tabs>
        <w:spacing w:after="0" w:line="240" w:lineRule="auto"/>
        <w:ind w:left="0"/>
        <w:rPr>
          <w:rFonts w:ascii="Times New Roman" w:hAnsi="Times New Roman"/>
          <w:b/>
          <w:lang w:val="sk-SK"/>
        </w:rPr>
      </w:pPr>
      <w:r>
        <w:rPr>
          <w:rFonts w:ascii="Times New Roman" w:hAnsi="Times New Roman"/>
          <w:b/>
          <w:lang w:val="sk-SK"/>
        </w:rPr>
        <w:t>4.2</w:t>
      </w:r>
      <w:r>
        <w:rPr>
          <w:rFonts w:ascii="Times New Roman" w:hAnsi="Times New Roman"/>
          <w:b/>
          <w:lang w:val="sk-SK"/>
        </w:rPr>
        <w:tab/>
        <w:t>Dávkovanie a spôsob podávania</w:t>
      </w:r>
    </w:p>
    <w:p w14:paraId="24075FDC" w14:textId="77777777" w:rsidR="00582954" w:rsidRDefault="00582954">
      <w:pPr>
        <w:pStyle w:val="Odsekzoznamu"/>
        <w:widowControl w:val="0"/>
        <w:spacing w:after="0" w:line="240" w:lineRule="auto"/>
        <w:ind w:left="0"/>
        <w:rPr>
          <w:rFonts w:ascii="Times New Roman" w:hAnsi="Times New Roman"/>
          <w:b/>
          <w:lang w:val="sk-SK"/>
        </w:rPr>
      </w:pPr>
    </w:p>
    <w:p w14:paraId="49F539C9"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Dávkovanie</w:t>
      </w:r>
    </w:p>
    <w:p w14:paraId="5FB6BD11" w14:textId="77777777" w:rsidR="00582954" w:rsidRDefault="00582954">
      <w:pPr>
        <w:pStyle w:val="Odsekzoznamu"/>
        <w:widowControl w:val="0"/>
        <w:spacing w:after="0" w:line="240" w:lineRule="auto"/>
        <w:ind w:left="0"/>
        <w:rPr>
          <w:rFonts w:ascii="Times New Roman" w:hAnsi="Times New Roman"/>
          <w:lang w:val="sk-SK"/>
        </w:rPr>
      </w:pPr>
    </w:p>
    <w:p w14:paraId="00802858"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Táto fixná kombinácia liečiv sa má podávať pacientom, ktorých krvný tlak nie je adekvátne kontrolovaný samotným telmisartanom. Pred zmenou na fixnú kombináciu dávok sa odporúča individuálna titrácia dávky každej z dvoch zložiek. Keď je to klinicky vhodné, možno zvážiť priamy prechod z monoterapie na fixnú kombináciu.</w:t>
      </w:r>
    </w:p>
    <w:p w14:paraId="4F98726A" w14:textId="77777777" w:rsidR="00582954" w:rsidRDefault="00582954">
      <w:pPr>
        <w:pStyle w:val="Odsekzoznamu"/>
        <w:widowControl w:val="0"/>
        <w:spacing w:after="0" w:line="240" w:lineRule="auto"/>
        <w:ind w:left="0"/>
        <w:rPr>
          <w:rFonts w:ascii="Times New Roman" w:hAnsi="Times New Roman"/>
          <w:lang w:val="sk-SK"/>
        </w:rPr>
      </w:pPr>
    </w:p>
    <w:p w14:paraId="266A1A10" w14:textId="77777777" w:rsidR="00582954" w:rsidRDefault="00645977">
      <w:pPr>
        <w:pStyle w:val="Odsekzoznamu"/>
        <w:widowControl w:val="0"/>
        <w:numPr>
          <w:ilvl w:val="0"/>
          <w:numId w:val="1"/>
        </w:numPr>
        <w:spacing w:after="0" w:line="240" w:lineRule="auto"/>
        <w:ind w:left="567" w:hanging="567"/>
        <w:rPr>
          <w:rFonts w:ascii="Times New Roman" w:hAnsi="Times New Roman"/>
          <w:lang w:val="sk-SK"/>
        </w:rPr>
      </w:pPr>
      <w:r>
        <w:rPr>
          <w:rFonts w:ascii="Times New Roman" w:hAnsi="Times New Roman"/>
          <w:lang w:val="sk-SK"/>
        </w:rPr>
        <w:t>Tolucombi 80 mg/25 mg sa môže podávať jedenkrát denne pacientom, ktorých krvný tlak nie je adekvátne kontrolovaný s Tolucombi 80 mg/12,5 mg alebo pacientom, ktorí boli predtým stabilizovaní telmisartanom a hydrochlórtiazidom podávanými samostatne.</w:t>
      </w:r>
    </w:p>
    <w:p w14:paraId="4F7696AD" w14:textId="77777777" w:rsidR="00582954" w:rsidRDefault="00582954">
      <w:pPr>
        <w:pStyle w:val="Odsekzoznamu"/>
        <w:widowControl w:val="0"/>
        <w:spacing w:after="0" w:line="240" w:lineRule="auto"/>
        <w:ind w:left="0"/>
        <w:rPr>
          <w:rFonts w:ascii="Times New Roman" w:hAnsi="Times New Roman"/>
          <w:lang w:val="sk-SK"/>
        </w:rPr>
      </w:pPr>
    </w:p>
    <w:p w14:paraId="137F53E6"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Tolucombi je tiež dostupný v dávkach o sile 40 mg/12,5 mg a 80 mg/12,5 mg.</w:t>
      </w:r>
    </w:p>
    <w:p w14:paraId="16C26B5C" w14:textId="77777777" w:rsidR="00582954" w:rsidRDefault="00582954">
      <w:pPr>
        <w:pStyle w:val="Odsekzoznamu"/>
        <w:widowControl w:val="0"/>
        <w:spacing w:after="0" w:line="240" w:lineRule="auto"/>
        <w:ind w:left="0"/>
        <w:rPr>
          <w:rFonts w:ascii="Times New Roman" w:hAnsi="Times New Roman"/>
          <w:lang w:val="sk-SK"/>
        </w:rPr>
      </w:pPr>
    </w:p>
    <w:p w14:paraId="3B9D62DE" w14:textId="77777777" w:rsidR="00582954" w:rsidRDefault="00645977">
      <w:pPr>
        <w:pStyle w:val="Odsekzoznamu"/>
        <w:widowControl w:val="0"/>
        <w:spacing w:after="0" w:line="240" w:lineRule="auto"/>
        <w:ind w:left="0"/>
        <w:rPr>
          <w:rFonts w:ascii="Times New Roman" w:hAnsi="Times New Roman"/>
          <w:i/>
          <w:lang w:val="sk-SK"/>
        </w:rPr>
      </w:pPr>
      <w:r>
        <w:rPr>
          <w:rFonts w:ascii="Times New Roman" w:hAnsi="Times New Roman"/>
          <w:i/>
          <w:lang w:val="sk-SK"/>
        </w:rPr>
        <w:t>Starší ľudia</w:t>
      </w:r>
    </w:p>
    <w:p w14:paraId="1FE6AC34"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U starších pacientov nie je potrebná úprava dávky.</w:t>
      </w:r>
    </w:p>
    <w:p w14:paraId="6F68FA4A" w14:textId="77777777" w:rsidR="00582954" w:rsidRDefault="00582954">
      <w:pPr>
        <w:pStyle w:val="Odsekzoznamu"/>
        <w:widowControl w:val="0"/>
        <w:spacing w:after="0" w:line="240" w:lineRule="auto"/>
        <w:ind w:left="0"/>
        <w:rPr>
          <w:rFonts w:ascii="Times New Roman" w:hAnsi="Times New Roman"/>
          <w:lang w:val="sk-SK"/>
        </w:rPr>
      </w:pPr>
    </w:p>
    <w:p w14:paraId="2956D9F4" w14:textId="77777777" w:rsidR="00582954" w:rsidRDefault="00645977">
      <w:pPr>
        <w:pStyle w:val="Odsekzoznamu"/>
        <w:widowControl w:val="0"/>
        <w:spacing w:after="0" w:line="240" w:lineRule="auto"/>
        <w:ind w:left="0"/>
        <w:rPr>
          <w:rFonts w:ascii="Times New Roman" w:hAnsi="Times New Roman"/>
          <w:i/>
          <w:lang w:val="sk-SK"/>
        </w:rPr>
      </w:pPr>
      <w:r>
        <w:rPr>
          <w:rFonts w:ascii="Times New Roman" w:hAnsi="Times New Roman"/>
          <w:i/>
          <w:lang w:val="sk-SK"/>
        </w:rPr>
        <w:t>Porucha funkcie obličiek</w:t>
      </w:r>
    </w:p>
    <w:p w14:paraId="03F41CDE" w14:textId="77777777" w:rsidR="00582954" w:rsidRDefault="00645977">
      <w:pPr>
        <w:spacing w:after="0" w:line="240" w:lineRule="auto"/>
        <w:rPr>
          <w:rFonts w:ascii="Times New Roman" w:hAnsi="Times New Roman"/>
          <w:lang w:val="sk-SK"/>
        </w:rPr>
      </w:pPr>
      <w:r>
        <w:rPr>
          <w:rFonts w:ascii="Times New Roman" w:hAnsi="Times New Roman"/>
          <w:lang w:val="sk-SK"/>
        </w:rPr>
        <w:t xml:space="preserve">Skúsenosti u pacientov s miernou až stredne závažnou poruchou funkcie obličiek sú obmedzené, ale nenaznačujú nežiaduce účinky na obličky a úprava dávky sa nepovažuje za potrebnú. Odporúča sa pravidelné sledovanie funkcie obličiek (pozri časť 4.4). Z dôvodu zložky hydrochlórtiazidu je táto fixná </w:t>
      </w:r>
      <w:r>
        <w:rPr>
          <w:rFonts w:ascii="Times New Roman" w:hAnsi="Times New Roman"/>
          <w:lang w:val="sk-SK"/>
        </w:rPr>
        <w:lastRenderedPageBreak/>
        <w:t>kombinácia liečiv kontraindikovaná u pacientov so závažnou poruchou funkcie obličiek (klírens kreatinínu &lt; 30 ml/min) (pozri časť 4.3).</w:t>
      </w:r>
    </w:p>
    <w:p w14:paraId="47041F1B"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Telmisartan sa z krvi neodstraňuje hemofiltráciou a nie je dialyzovateľný.</w:t>
      </w:r>
    </w:p>
    <w:p w14:paraId="042A19F7" w14:textId="77777777" w:rsidR="00582954" w:rsidRDefault="00582954">
      <w:pPr>
        <w:pStyle w:val="Odsekzoznamu"/>
        <w:widowControl w:val="0"/>
        <w:spacing w:after="0" w:line="240" w:lineRule="auto"/>
        <w:ind w:left="0"/>
        <w:rPr>
          <w:rFonts w:ascii="Times New Roman" w:hAnsi="Times New Roman"/>
          <w:lang w:val="sk-SK"/>
        </w:rPr>
      </w:pPr>
    </w:p>
    <w:p w14:paraId="5E32D353" w14:textId="77777777" w:rsidR="00582954" w:rsidRDefault="00645977">
      <w:pPr>
        <w:pStyle w:val="Odsekzoznamu"/>
        <w:keepNext/>
        <w:widowControl w:val="0"/>
        <w:spacing w:after="0" w:line="240" w:lineRule="auto"/>
        <w:ind w:left="0"/>
        <w:rPr>
          <w:rFonts w:ascii="Times New Roman" w:hAnsi="Times New Roman"/>
          <w:i/>
          <w:lang w:val="sk-SK"/>
        </w:rPr>
      </w:pPr>
      <w:r>
        <w:rPr>
          <w:rFonts w:ascii="Times New Roman" w:hAnsi="Times New Roman"/>
          <w:i/>
          <w:lang w:val="sk-SK"/>
        </w:rPr>
        <w:t>Porucha funkcie pečene</w:t>
      </w:r>
    </w:p>
    <w:p w14:paraId="5EE1F2A3" w14:textId="77777777" w:rsidR="00582954" w:rsidRDefault="00645977">
      <w:pPr>
        <w:pStyle w:val="Odsekzoznamu"/>
        <w:keepNext/>
        <w:widowControl w:val="0"/>
        <w:spacing w:after="0" w:line="240" w:lineRule="auto"/>
        <w:ind w:left="0" w:right="48"/>
        <w:rPr>
          <w:rFonts w:ascii="Times New Roman" w:hAnsi="Times New Roman"/>
          <w:lang w:val="sk-SK"/>
        </w:rPr>
      </w:pPr>
      <w:r>
        <w:rPr>
          <w:rFonts w:ascii="Times New Roman" w:hAnsi="Times New Roman"/>
          <w:lang w:val="sk-SK"/>
        </w:rPr>
        <w:t>U pacientov s miernou až stredne závažnou poruchou funkcie pečene sa má Tolucombi podávať opatrne. Dávkovanie telmisartanu nemá prekročiť 40 mg jedenkrát denne. Fixná kombinácia liečiv je kontraindikovaná pacientom so závažnou poruchou funkcie pečene (pozri časť 4.3). Tiazidy sa u pacientov s poruchou funkcie pečene majú podávať s opatrnosťou (pozri časť 4.4).</w:t>
      </w:r>
    </w:p>
    <w:p w14:paraId="1D264F1A" w14:textId="77777777" w:rsidR="00582954" w:rsidRDefault="00582954">
      <w:pPr>
        <w:pStyle w:val="Odsekzoznamu"/>
        <w:widowControl w:val="0"/>
        <w:spacing w:after="0" w:line="240" w:lineRule="auto"/>
        <w:ind w:left="0"/>
        <w:rPr>
          <w:rFonts w:ascii="Times New Roman" w:hAnsi="Times New Roman"/>
          <w:iCs/>
          <w:lang w:val="sk-SK"/>
        </w:rPr>
      </w:pPr>
    </w:p>
    <w:p w14:paraId="61B563E5" w14:textId="77777777" w:rsidR="00582954" w:rsidRDefault="00645977">
      <w:pPr>
        <w:pStyle w:val="Odsekzoznamu"/>
        <w:widowControl w:val="0"/>
        <w:spacing w:after="0" w:line="240" w:lineRule="auto"/>
        <w:ind w:left="0"/>
        <w:rPr>
          <w:rFonts w:ascii="Times New Roman" w:hAnsi="Times New Roman"/>
          <w:i/>
          <w:iCs/>
          <w:lang w:val="sk-SK"/>
        </w:rPr>
      </w:pPr>
      <w:r>
        <w:rPr>
          <w:rFonts w:ascii="Times New Roman" w:hAnsi="Times New Roman"/>
          <w:i/>
          <w:iCs/>
          <w:lang w:val="sk-SK"/>
        </w:rPr>
        <w:t>Pediatrická populácia</w:t>
      </w:r>
    </w:p>
    <w:p w14:paraId="06C64507"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Bezpečnosť a účinnosť Tolucombi u pacientov vo veku menej ako 18 rokov neboli doteraz stanovené. Tolucombi sa neodporúča u detí a dospievajúcich.</w:t>
      </w:r>
    </w:p>
    <w:p w14:paraId="7F52C22E" w14:textId="77777777" w:rsidR="00582954" w:rsidRDefault="00582954">
      <w:pPr>
        <w:pStyle w:val="Odsekzoznamu"/>
        <w:widowControl w:val="0"/>
        <w:spacing w:after="0" w:line="240" w:lineRule="auto"/>
        <w:ind w:left="0"/>
        <w:rPr>
          <w:rFonts w:ascii="Times New Roman" w:hAnsi="Times New Roman"/>
          <w:lang w:val="sk-SK"/>
        </w:rPr>
      </w:pPr>
    </w:p>
    <w:p w14:paraId="24F05819"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Spôsob podávania</w:t>
      </w:r>
    </w:p>
    <w:p w14:paraId="33707473"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Tablety Tolucombi sa podávajú perorálne jedenkrát denne a majú sa prehltnúť celé s tekutinou. Tolucombi sa môže užívať s jedlom alebo bez jedla.</w:t>
      </w:r>
    </w:p>
    <w:p w14:paraId="7C30308C" w14:textId="77777777" w:rsidR="00582954" w:rsidRDefault="00582954">
      <w:pPr>
        <w:pStyle w:val="Odsekzoznamu"/>
        <w:widowControl w:val="0"/>
        <w:spacing w:after="0" w:line="240" w:lineRule="auto"/>
        <w:ind w:left="0"/>
        <w:rPr>
          <w:rFonts w:ascii="Times New Roman" w:hAnsi="Times New Roman"/>
          <w:lang w:val="sk-SK"/>
        </w:rPr>
      </w:pPr>
    </w:p>
    <w:p w14:paraId="5FC363B8"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i/>
          <w:iCs/>
          <w:lang w:val="sk-SK"/>
        </w:rPr>
        <w:t>Opatrenia potrebné pri zaobchádzaní alebo podávaní lieku</w:t>
      </w:r>
    </w:p>
    <w:p w14:paraId="65D5633B"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Tolucombi sa má uchovávať v uzavretom blistri kvôli hygroskopickým vlastnostiam tabliet. Tablety sa majú vyberať z blistra krátko pred podaním (pozri časť 6.6).</w:t>
      </w:r>
    </w:p>
    <w:p w14:paraId="464CC306" w14:textId="77777777" w:rsidR="00582954" w:rsidRDefault="00582954">
      <w:pPr>
        <w:pStyle w:val="Odsekzoznamu"/>
        <w:widowControl w:val="0"/>
        <w:spacing w:after="0" w:line="240" w:lineRule="auto"/>
        <w:ind w:left="0"/>
        <w:rPr>
          <w:rFonts w:ascii="Times New Roman" w:hAnsi="Times New Roman"/>
          <w:lang w:val="sk-SK"/>
        </w:rPr>
      </w:pPr>
    </w:p>
    <w:p w14:paraId="09E288F0" w14:textId="77777777" w:rsidR="00582954" w:rsidRDefault="00645977">
      <w:pPr>
        <w:pStyle w:val="Odsekzoznamu"/>
        <w:widowControl w:val="0"/>
        <w:tabs>
          <w:tab w:val="left" w:pos="567"/>
        </w:tabs>
        <w:spacing w:after="0" w:line="240" w:lineRule="auto"/>
        <w:ind w:left="0"/>
        <w:rPr>
          <w:rFonts w:ascii="Times New Roman" w:hAnsi="Times New Roman"/>
          <w:b/>
          <w:lang w:val="sk-SK"/>
        </w:rPr>
      </w:pPr>
      <w:r>
        <w:rPr>
          <w:rFonts w:ascii="Times New Roman" w:hAnsi="Times New Roman"/>
          <w:b/>
          <w:lang w:val="sk-SK"/>
        </w:rPr>
        <w:t>4.3</w:t>
      </w:r>
      <w:r>
        <w:rPr>
          <w:rFonts w:ascii="Times New Roman" w:hAnsi="Times New Roman"/>
          <w:b/>
          <w:lang w:val="sk-SK"/>
        </w:rPr>
        <w:tab/>
        <w:t>Kontraindikácie</w:t>
      </w:r>
    </w:p>
    <w:p w14:paraId="52AC04CD" w14:textId="77777777" w:rsidR="00582954" w:rsidRDefault="00582954">
      <w:pPr>
        <w:pStyle w:val="Odsekzoznamu"/>
        <w:widowControl w:val="0"/>
        <w:spacing w:after="0" w:line="240" w:lineRule="auto"/>
        <w:ind w:left="0"/>
        <w:rPr>
          <w:rFonts w:ascii="Times New Roman" w:hAnsi="Times New Roman"/>
          <w:b/>
          <w:lang w:val="sk-SK"/>
        </w:rPr>
      </w:pPr>
    </w:p>
    <w:p w14:paraId="2C410D5B" w14:textId="77777777" w:rsidR="00582954" w:rsidRDefault="00645977">
      <w:pPr>
        <w:pStyle w:val="Odsekzoznamu"/>
        <w:widowControl w:val="0"/>
        <w:numPr>
          <w:ilvl w:val="0"/>
          <w:numId w:val="1"/>
        </w:numPr>
        <w:spacing w:after="0" w:line="240" w:lineRule="auto"/>
        <w:ind w:left="567" w:hanging="567"/>
        <w:rPr>
          <w:rFonts w:ascii="Times New Roman" w:hAnsi="Times New Roman"/>
          <w:lang w:val="sk-SK"/>
        </w:rPr>
      </w:pPr>
      <w:r>
        <w:rPr>
          <w:rFonts w:ascii="Times New Roman" w:hAnsi="Times New Roman"/>
          <w:lang w:val="sk-SK"/>
        </w:rPr>
        <w:t>Precitlivenosť na liečivá alebo na ktorúkoľvek z pomocných látok uvedených v časti 6.1.</w:t>
      </w:r>
    </w:p>
    <w:p w14:paraId="56AA3094" w14:textId="77777777" w:rsidR="00582954" w:rsidRDefault="00645977">
      <w:pPr>
        <w:pStyle w:val="Odsekzoznamu"/>
        <w:widowControl w:val="0"/>
        <w:numPr>
          <w:ilvl w:val="0"/>
          <w:numId w:val="1"/>
        </w:numPr>
        <w:spacing w:after="0" w:line="240" w:lineRule="auto"/>
        <w:ind w:left="567" w:hanging="567"/>
        <w:rPr>
          <w:rFonts w:ascii="Times New Roman" w:hAnsi="Times New Roman"/>
          <w:lang w:val="sk-SK"/>
        </w:rPr>
      </w:pPr>
      <w:r>
        <w:rPr>
          <w:rFonts w:ascii="Times New Roman" w:hAnsi="Times New Roman"/>
          <w:lang w:val="sk-SK"/>
        </w:rPr>
        <w:t>Precitlivenosť na iné látky, odvodené od sulfónamidov (keďže hydrochlórtiazid je liečivo odvodené od sulfónamidov).</w:t>
      </w:r>
    </w:p>
    <w:p w14:paraId="5A167368" w14:textId="77777777" w:rsidR="00582954" w:rsidRDefault="00645977">
      <w:pPr>
        <w:pStyle w:val="Odsekzoznamu"/>
        <w:widowControl w:val="0"/>
        <w:numPr>
          <w:ilvl w:val="0"/>
          <w:numId w:val="1"/>
        </w:numPr>
        <w:spacing w:after="0" w:line="240" w:lineRule="auto"/>
        <w:ind w:left="567" w:hanging="567"/>
        <w:rPr>
          <w:rFonts w:ascii="Times New Roman" w:hAnsi="Times New Roman"/>
          <w:lang w:val="sk-SK"/>
        </w:rPr>
      </w:pPr>
      <w:r>
        <w:rPr>
          <w:rFonts w:ascii="Times New Roman" w:hAnsi="Times New Roman"/>
          <w:lang w:val="sk-SK"/>
        </w:rPr>
        <w:t>Druhý a tretí trimester gravidity (pozri časti 4.4 a 4.6).</w:t>
      </w:r>
    </w:p>
    <w:p w14:paraId="2A564E39" w14:textId="77777777" w:rsidR="00582954" w:rsidRDefault="00645977">
      <w:pPr>
        <w:pStyle w:val="Odsekzoznamu"/>
        <w:widowControl w:val="0"/>
        <w:numPr>
          <w:ilvl w:val="0"/>
          <w:numId w:val="1"/>
        </w:numPr>
        <w:spacing w:after="0" w:line="240" w:lineRule="auto"/>
        <w:ind w:left="567" w:hanging="567"/>
        <w:rPr>
          <w:rFonts w:ascii="Times New Roman" w:hAnsi="Times New Roman"/>
          <w:lang w:val="sk-SK"/>
        </w:rPr>
      </w:pPr>
      <w:r>
        <w:rPr>
          <w:rFonts w:ascii="Times New Roman" w:hAnsi="Times New Roman"/>
          <w:lang w:val="sk-SK"/>
        </w:rPr>
        <w:t>Cholestáza a obštrukčné choroby žlčových ciest.</w:t>
      </w:r>
    </w:p>
    <w:p w14:paraId="4C03BAB2" w14:textId="77777777" w:rsidR="00582954" w:rsidRDefault="00645977">
      <w:pPr>
        <w:pStyle w:val="Odsekzoznamu"/>
        <w:widowControl w:val="0"/>
        <w:numPr>
          <w:ilvl w:val="0"/>
          <w:numId w:val="1"/>
        </w:numPr>
        <w:spacing w:after="0" w:line="240" w:lineRule="auto"/>
        <w:ind w:left="567" w:hanging="567"/>
        <w:rPr>
          <w:rFonts w:ascii="Times New Roman" w:hAnsi="Times New Roman"/>
          <w:lang w:val="sk-SK"/>
        </w:rPr>
      </w:pPr>
      <w:r>
        <w:rPr>
          <w:rFonts w:ascii="Times New Roman" w:hAnsi="Times New Roman"/>
          <w:lang w:val="sk-SK"/>
        </w:rPr>
        <w:t>Závažná porucha funkcie pečene.</w:t>
      </w:r>
    </w:p>
    <w:p w14:paraId="461E1E46" w14:textId="77777777" w:rsidR="00582954" w:rsidRDefault="00645977">
      <w:pPr>
        <w:pStyle w:val="Odsekzoznamu"/>
        <w:widowControl w:val="0"/>
        <w:numPr>
          <w:ilvl w:val="0"/>
          <w:numId w:val="1"/>
        </w:numPr>
        <w:spacing w:after="0" w:line="240" w:lineRule="auto"/>
        <w:ind w:left="567" w:hanging="567"/>
        <w:rPr>
          <w:rFonts w:ascii="Times New Roman" w:hAnsi="Times New Roman"/>
          <w:lang w:val="sk-SK"/>
        </w:rPr>
      </w:pPr>
      <w:r>
        <w:rPr>
          <w:rFonts w:ascii="Times New Roman" w:hAnsi="Times New Roman"/>
          <w:lang w:val="sk-SK"/>
        </w:rPr>
        <w:t>Závažná porucha funkcie obličiek (klírens kreatinínu &lt; 30 ml/min, anúria).</w:t>
      </w:r>
    </w:p>
    <w:p w14:paraId="0C7C3495" w14:textId="77777777" w:rsidR="00582954" w:rsidRDefault="00645977">
      <w:pPr>
        <w:pStyle w:val="Odsekzoznamu"/>
        <w:widowControl w:val="0"/>
        <w:numPr>
          <w:ilvl w:val="0"/>
          <w:numId w:val="1"/>
        </w:numPr>
        <w:spacing w:after="0" w:line="240" w:lineRule="auto"/>
        <w:ind w:left="567" w:hanging="567"/>
        <w:rPr>
          <w:rFonts w:ascii="Times New Roman" w:hAnsi="Times New Roman"/>
          <w:lang w:val="sk-SK"/>
        </w:rPr>
      </w:pPr>
      <w:r>
        <w:rPr>
          <w:rFonts w:ascii="Times New Roman" w:hAnsi="Times New Roman"/>
          <w:lang w:val="sk-SK"/>
        </w:rPr>
        <w:t>Refraktérna hypokaliémia, hyperkalciémia.</w:t>
      </w:r>
    </w:p>
    <w:p w14:paraId="13F9E0BE" w14:textId="77777777" w:rsidR="00582954" w:rsidRDefault="00582954">
      <w:pPr>
        <w:pStyle w:val="Odsekzoznamu"/>
        <w:widowControl w:val="0"/>
        <w:spacing w:after="0" w:line="240" w:lineRule="auto"/>
        <w:ind w:left="0"/>
        <w:rPr>
          <w:rFonts w:ascii="Times New Roman" w:hAnsi="Times New Roman"/>
          <w:lang w:val="sk-SK"/>
        </w:rPr>
      </w:pPr>
    </w:p>
    <w:p w14:paraId="742F9DBB"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bCs/>
          <w:lang w:val="sk-SK"/>
        </w:rPr>
        <w:t xml:space="preserve">Súbežné používanie </w:t>
      </w:r>
      <w:r>
        <w:rPr>
          <w:rFonts w:ascii="Times New Roman" w:hAnsi="Times New Roman"/>
          <w:bCs/>
        </w:rPr>
        <w:t>telmisartanu/</w:t>
      </w:r>
      <w:r>
        <w:rPr>
          <w:rFonts w:ascii="Times New Roman" w:hAnsi="Times New Roman"/>
          <w:lang w:val="sk-SK"/>
        </w:rPr>
        <w:t>hydrochlórtiazidu</w:t>
      </w:r>
      <w:r>
        <w:rPr>
          <w:rFonts w:ascii="Times New Roman" w:hAnsi="Times New Roman"/>
          <w:bCs/>
          <w:lang w:val="sk-SK"/>
        </w:rPr>
        <w:t xml:space="preserve"> s liekmi obsahujúcimi aliskirén je kontraindikované u pacientov s diabetom mellitus alebo poruchou funkcie obličiek</w:t>
      </w:r>
      <w:r>
        <w:rPr>
          <w:rFonts w:ascii="Times New Roman" w:hAnsi="Times New Roman"/>
          <w:lang w:val="sk-SK"/>
        </w:rPr>
        <w:t xml:space="preserve"> (GFR &lt; 60 ml/min/1,73 m</w:t>
      </w:r>
      <w:r>
        <w:rPr>
          <w:rFonts w:ascii="Times New Roman" w:hAnsi="Times New Roman"/>
          <w:vertAlign w:val="superscript"/>
          <w:lang w:val="sk-SK"/>
        </w:rPr>
        <w:t>2</w:t>
      </w:r>
      <w:r>
        <w:rPr>
          <w:rFonts w:ascii="Times New Roman" w:hAnsi="Times New Roman"/>
          <w:lang w:val="sk-SK"/>
        </w:rPr>
        <w:t>) (pozri časti 4.5 a 5.1).</w:t>
      </w:r>
    </w:p>
    <w:p w14:paraId="61C2FE6D" w14:textId="77777777" w:rsidR="00582954" w:rsidRDefault="00582954">
      <w:pPr>
        <w:pStyle w:val="Odsekzoznamu"/>
        <w:widowControl w:val="0"/>
        <w:spacing w:after="0" w:line="240" w:lineRule="auto"/>
        <w:ind w:left="0"/>
        <w:rPr>
          <w:rFonts w:ascii="Times New Roman" w:hAnsi="Times New Roman"/>
          <w:lang w:val="sk-SK"/>
        </w:rPr>
      </w:pPr>
    </w:p>
    <w:p w14:paraId="10A7803B" w14:textId="77777777" w:rsidR="00582954" w:rsidRDefault="00645977">
      <w:pPr>
        <w:pStyle w:val="Odsekzoznamu"/>
        <w:widowControl w:val="0"/>
        <w:tabs>
          <w:tab w:val="left" w:pos="567"/>
        </w:tabs>
        <w:spacing w:after="0" w:line="240" w:lineRule="auto"/>
        <w:ind w:left="0"/>
        <w:rPr>
          <w:rFonts w:ascii="Times New Roman" w:hAnsi="Times New Roman"/>
          <w:b/>
          <w:lang w:val="sk-SK"/>
        </w:rPr>
      </w:pPr>
      <w:r>
        <w:rPr>
          <w:rFonts w:ascii="Times New Roman" w:hAnsi="Times New Roman"/>
          <w:b/>
          <w:lang w:val="sk-SK"/>
        </w:rPr>
        <w:t>4.4</w:t>
      </w:r>
      <w:r>
        <w:rPr>
          <w:rFonts w:ascii="Times New Roman" w:hAnsi="Times New Roman"/>
          <w:b/>
          <w:lang w:val="sk-SK"/>
        </w:rPr>
        <w:tab/>
        <w:t>Osobitné upozornenia a opatrenia pri používaní</w:t>
      </w:r>
    </w:p>
    <w:p w14:paraId="04EF08BE" w14:textId="77777777" w:rsidR="00582954" w:rsidRDefault="00582954">
      <w:pPr>
        <w:pStyle w:val="Odsekzoznamu"/>
        <w:widowControl w:val="0"/>
        <w:spacing w:after="0" w:line="240" w:lineRule="auto"/>
        <w:ind w:left="0"/>
        <w:rPr>
          <w:rFonts w:ascii="Times New Roman" w:hAnsi="Times New Roman"/>
          <w:b/>
          <w:lang w:val="sk-SK"/>
        </w:rPr>
      </w:pPr>
    </w:p>
    <w:p w14:paraId="612F0211"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Gravidita</w:t>
      </w:r>
    </w:p>
    <w:p w14:paraId="636F23FC"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Blokátory receptorov angiotenzínu II sa nemajú začať podávať počas gravidity. Ak nie je pokračovanie liečby blokátormi receptorov angiotenzínu II považované za nevyhnutné, pacientky plánujúce graviditu majú prejsť na alternatívnu antihypertenznú liečbu, ktorá má preukázaný bezpečnostný profil pri používaní v gravidite. Ak sa gravidita potvrdí, liečba blokátormi receptorov angiotenzínu II sa musí okamžite ukončiť a ak je vhodné, má sa začať alternatívna liečba (pozri časť 4.3 a 4.6).</w:t>
      </w:r>
    </w:p>
    <w:p w14:paraId="39C46445" w14:textId="77777777" w:rsidR="00582954" w:rsidRDefault="00582954">
      <w:pPr>
        <w:pStyle w:val="Odsekzoznamu"/>
        <w:widowControl w:val="0"/>
        <w:spacing w:after="0" w:line="240" w:lineRule="auto"/>
        <w:ind w:left="0"/>
        <w:rPr>
          <w:rFonts w:ascii="Times New Roman" w:hAnsi="Times New Roman"/>
          <w:lang w:val="sk-SK"/>
        </w:rPr>
      </w:pPr>
    </w:p>
    <w:p w14:paraId="3E479038"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Porucha funkcie pečene</w:t>
      </w:r>
    </w:p>
    <w:p w14:paraId="5A74966C" w14:textId="77777777" w:rsidR="00582954" w:rsidRDefault="00645977">
      <w:pPr>
        <w:pStyle w:val="Odsekzoznamu"/>
        <w:widowControl w:val="0"/>
        <w:spacing w:after="0" w:line="240" w:lineRule="auto"/>
        <w:ind w:left="0" w:right="48"/>
        <w:rPr>
          <w:rFonts w:ascii="Times New Roman" w:hAnsi="Times New Roman"/>
          <w:lang w:val="sk-SK"/>
        </w:rPr>
      </w:pPr>
      <w:r>
        <w:rPr>
          <w:rFonts w:ascii="Times New Roman" w:hAnsi="Times New Roman"/>
          <w:lang w:val="sk-SK"/>
        </w:rPr>
        <w:t>Telmisartan/hydrochlórtiazid sa nesmie podávať pacientom s cholestázou, obštrukčnými žlčovými poruchami alebo závažnou pečeňovou nedostatočnosťou (pozri časť 4.3), pretože telmisartan sa prevažne vylučuje žlčou. U týchto pacientov sa predpokladá znížený hepatálny klírens telmisartanu.</w:t>
      </w:r>
    </w:p>
    <w:p w14:paraId="45BBA485" w14:textId="77777777" w:rsidR="00582954" w:rsidRDefault="00582954">
      <w:pPr>
        <w:pStyle w:val="Odsekzoznamu"/>
        <w:widowControl w:val="0"/>
        <w:spacing w:after="0" w:line="240" w:lineRule="auto"/>
        <w:ind w:left="0"/>
        <w:rPr>
          <w:rFonts w:ascii="Times New Roman" w:hAnsi="Times New Roman"/>
          <w:lang w:val="sk-SK"/>
        </w:rPr>
      </w:pPr>
    </w:p>
    <w:p w14:paraId="4AA362C0"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 xml:space="preserve">Okrem toho sa má telmisartan/hydrochlórtiazid používať opatrne u pacientov s poruchou funkcie pečene alebo progresívnym pečeňovým ochorením, pretože menšie zmeny rovnováhy tekutín a elektrolytov môžu vyvolať hepatálnu kómu. U pacientov s poruchou funkcie pečene nie sú žiadne klinické skúsenosti </w:t>
      </w:r>
      <w:r>
        <w:rPr>
          <w:rFonts w:ascii="Times New Roman" w:hAnsi="Times New Roman"/>
          <w:lang w:val="sk-SK"/>
        </w:rPr>
        <w:lastRenderedPageBreak/>
        <w:t>s telmisartanom/hydrochlórtiazidom.</w:t>
      </w:r>
    </w:p>
    <w:p w14:paraId="791030D2" w14:textId="77777777" w:rsidR="00582954" w:rsidRDefault="00582954">
      <w:pPr>
        <w:pStyle w:val="Odsekzoznamu"/>
        <w:widowControl w:val="0"/>
        <w:spacing w:after="0" w:line="240" w:lineRule="auto"/>
        <w:ind w:left="0"/>
        <w:rPr>
          <w:rFonts w:ascii="Times New Roman" w:hAnsi="Times New Roman"/>
          <w:lang w:val="sk-SK"/>
        </w:rPr>
      </w:pPr>
    </w:p>
    <w:p w14:paraId="7D2DD6A8"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Renovaskulárna hypertenzia</w:t>
      </w:r>
    </w:p>
    <w:p w14:paraId="6290DA4C"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U pacientov s bilaterálnou stenózou artérie renalis alebo stenózou artérie jednej funkčnej obličky, ktorí sa liečia liekmi, ktoré pôsobia na systém renín-angiotenzín-aldosterón, je zvýšené riziko závažnej hypotenzie a renálnej insuficiencie.</w:t>
      </w:r>
    </w:p>
    <w:p w14:paraId="6A138BC5" w14:textId="77777777" w:rsidR="00582954" w:rsidRDefault="00582954">
      <w:pPr>
        <w:pStyle w:val="Odsekzoznamu"/>
        <w:widowControl w:val="0"/>
        <w:spacing w:after="0" w:line="240" w:lineRule="auto"/>
        <w:ind w:left="0"/>
        <w:rPr>
          <w:rFonts w:ascii="Times New Roman" w:hAnsi="Times New Roman"/>
          <w:lang w:val="sk-SK"/>
        </w:rPr>
      </w:pPr>
    </w:p>
    <w:p w14:paraId="0AE5EF91"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Porucha funkcie obličiek a transplantovaná oblička</w:t>
      </w:r>
    </w:p>
    <w:p w14:paraId="32244FD7"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Telmisartan/hydrochlórtiazid sa nesmie používať u pacientov so závažnou poruchou funkcie obličiek (klírens kreatinínu &lt; 30 ml/min) (pozri časť 4.3). Nie sú žiadne skúsenosti s podávaním telmisartanu/hydrochlórtiazidu pacientom s nedávnou transplantáciou obličky. Skúsenosti s telmisartanom/hydrochlórtiazidom sú u pacientov s miernou až stredne závažnou poruchou funkcie obličiek malé, preto sa odporúča pravidelné sledovanie sérových hladín draslíka, kreatinínu a kyseliny močovej. U pacientov s poruchou funkcie obličiek sa môže objaviť azotémia, súvisiaca s tiazidovými diuretikami.</w:t>
      </w:r>
    </w:p>
    <w:p w14:paraId="3617AD7E" w14:textId="77777777" w:rsidR="00582954" w:rsidRDefault="00645977">
      <w:pPr>
        <w:pStyle w:val="Odsekzoznamu"/>
        <w:widowControl w:val="0"/>
        <w:spacing w:after="0" w:line="240" w:lineRule="auto"/>
        <w:ind w:left="0"/>
        <w:rPr>
          <w:rFonts w:ascii="Times New Roman" w:hAnsi="Times New Roman"/>
        </w:rPr>
      </w:pPr>
      <w:r>
        <w:rPr>
          <w:rFonts w:ascii="Times New Roman" w:hAnsi="Times New Roman"/>
        </w:rPr>
        <w:t>Telmisartan sa z krvi neodstraňuje hemofiltráciou a nie je dialyzovateľný.</w:t>
      </w:r>
    </w:p>
    <w:p w14:paraId="45679211" w14:textId="77777777" w:rsidR="00582954" w:rsidRDefault="00582954">
      <w:pPr>
        <w:pStyle w:val="Odsekzoznamu"/>
        <w:widowControl w:val="0"/>
        <w:spacing w:after="0" w:line="240" w:lineRule="auto"/>
        <w:ind w:left="0"/>
        <w:rPr>
          <w:rFonts w:ascii="Times New Roman" w:hAnsi="Times New Roman"/>
          <w:lang w:val="sk-SK"/>
        </w:rPr>
      </w:pPr>
    </w:p>
    <w:p w14:paraId="315B611B"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Pacienti s depléciou objemu a/alebo sodíka</w:t>
      </w:r>
    </w:p>
    <w:p w14:paraId="19A914DD"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U pacientov s depléciou objemu a/alebo sodíka následkom silnej diuretickej liečby, diétnym obmedzením soli, hnačkou alebo vracaním, sa najmä po prvej dávke môže vyskytnúť symptomatická hypotenzia. Takéto stavy, najmä deplécia objemu a/alebo sodíka, sa pred podávaním Tolucombi majú upraviť.</w:t>
      </w:r>
    </w:p>
    <w:p w14:paraId="069223C7" w14:textId="77777777" w:rsidR="00582954" w:rsidRDefault="00582954">
      <w:pPr>
        <w:pStyle w:val="Odsekzoznamu"/>
        <w:widowControl w:val="0"/>
        <w:spacing w:after="0" w:line="240" w:lineRule="auto"/>
        <w:ind w:left="0"/>
        <w:rPr>
          <w:rFonts w:ascii="Times New Roman" w:hAnsi="Times New Roman"/>
          <w:lang w:val="sk-SK"/>
        </w:rPr>
      </w:pPr>
    </w:p>
    <w:p w14:paraId="2F733354"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Duálna inhibícia renín-angiotenzín-aldosterónového systému (RAAS)</w:t>
      </w:r>
    </w:p>
    <w:p w14:paraId="7184F388" w14:textId="77777777" w:rsidR="00582954" w:rsidRDefault="00645977">
      <w:pPr>
        <w:spacing w:after="0" w:line="240" w:lineRule="auto"/>
        <w:rPr>
          <w:rFonts w:ascii="Times New Roman" w:hAnsi="Times New Roman"/>
          <w:lang w:val="sk-SK" w:eastAsia="it-IT"/>
        </w:rPr>
      </w:pPr>
      <w:r>
        <w:rPr>
          <w:rFonts w:ascii="Times New Roman" w:hAnsi="Times New Roman"/>
          <w:lang w:val="sk-SK" w:eastAsia="it-IT"/>
        </w:rPr>
        <w:t>Preukázalo sa, že súbežné použitie inhibítorov ACE, blokátorov receptorov angiotenzínu II alebo aliskirénu zvyšuje riziko hypotenzie, hyperkaliémie a zníženia funkcie obličiek (vrátane akútneho zlyhania obličiek). Duálna inhibícia RAAS kombinovaným použitím inhibítorov ACE, blokátorov receptorov angiotenzínu II alebo aliskirénu sa preto neodporúča (pozri časti 4.5 a 5.1).</w:t>
      </w:r>
    </w:p>
    <w:p w14:paraId="147F9654" w14:textId="77777777" w:rsidR="00582954" w:rsidRDefault="00645977">
      <w:pPr>
        <w:spacing w:after="0" w:line="240" w:lineRule="auto"/>
        <w:rPr>
          <w:rFonts w:ascii="Times New Roman" w:hAnsi="Times New Roman"/>
          <w:lang w:val="sk-SK" w:eastAsia="it-IT"/>
        </w:rPr>
      </w:pPr>
      <w:r>
        <w:rPr>
          <w:rFonts w:ascii="Times New Roman" w:hAnsi="Times New Roman"/>
          <w:lang w:val="sk-SK" w:eastAsia="it-IT"/>
        </w:rPr>
        <w:t>Ak sa liečba duálnou inhibíciou považuje za absolútne nevyhnutnú, má sa podať iba pod dohľadom odborníka a u pacienta sa majú často a dôsledne kontrolovať funkcia obličiek, elektrolyty a krvný tlak.</w:t>
      </w:r>
    </w:p>
    <w:p w14:paraId="7DB6D9F9"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Inhibítory ACE a blokátory receptorov angiotenzínu II sa nemajú súbežne používať u pacientov s diabetickou nefropatiou.</w:t>
      </w:r>
    </w:p>
    <w:p w14:paraId="6AD50DE8" w14:textId="77777777" w:rsidR="00582954" w:rsidRDefault="00582954">
      <w:pPr>
        <w:pStyle w:val="Odsekzoznamu"/>
        <w:widowControl w:val="0"/>
        <w:spacing w:after="0" w:line="240" w:lineRule="auto"/>
        <w:ind w:left="0"/>
        <w:rPr>
          <w:rFonts w:ascii="Times New Roman" w:hAnsi="Times New Roman"/>
          <w:lang w:val="sk-SK"/>
        </w:rPr>
      </w:pPr>
    </w:p>
    <w:p w14:paraId="0A835F37"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Ostatné stavy so stimuláciou systému renín-angiotenzín-aldosterón</w:t>
      </w:r>
    </w:p>
    <w:p w14:paraId="6CE8840A"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U pacientov, ktorých vaskulárny tonus a funkcia obličiek závisí predovšetkým od aktivity systému renín-angiotenzín-aldosterón (napr. pacienti so závažným kongestívnym zlyhávaním srdca alebo základným ochorením obličiek vrátane stenózy renálnej artérie), sa liečba liekmi ovplyvňujúcimi tento systém spájala s akútnou hypotenziou, hyperazotémiou, oligúriou alebo zriedkavo s akútnym zlyhaním obličiek (pozri časť 4.8).</w:t>
      </w:r>
    </w:p>
    <w:p w14:paraId="2F1E6347" w14:textId="77777777" w:rsidR="00582954" w:rsidRDefault="00582954">
      <w:pPr>
        <w:pStyle w:val="Odsekzoznamu"/>
        <w:widowControl w:val="0"/>
        <w:spacing w:after="0" w:line="240" w:lineRule="auto"/>
        <w:ind w:left="0"/>
        <w:rPr>
          <w:rFonts w:ascii="Times New Roman" w:hAnsi="Times New Roman"/>
          <w:lang w:val="sk-SK"/>
        </w:rPr>
      </w:pPr>
    </w:p>
    <w:p w14:paraId="3BD36725"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Primárny aldosteronizmus</w:t>
      </w:r>
    </w:p>
    <w:p w14:paraId="3828D3CE"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Pacienti s primárnym aldosteronizmom spravidla nereagujú na antihypertenzíva pôsobiace prostredníctvom inhibície systému renín-angiotenzín. Použitie telmisartanu/hydrochlórtiazidu sa preto neodporúča.</w:t>
      </w:r>
    </w:p>
    <w:p w14:paraId="115245C1" w14:textId="77777777" w:rsidR="00582954" w:rsidRDefault="00582954">
      <w:pPr>
        <w:pStyle w:val="Odsekzoznamu"/>
        <w:widowControl w:val="0"/>
        <w:spacing w:after="0" w:line="240" w:lineRule="auto"/>
        <w:ind w:left="0"/>
        <w:rPr>
          <w:rFonts w:ascii="Times New Roman" w:hAnsi="Times New Roman"/>
          <w:lang w:val="sk-SK"/>
        </w:rPr>
      </w:pPr>
    </w:p>
    <w:p w14:paraId="1C4AAE45"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Stenóza aorty a mitrálnej srdcovej chlopne, obštrukčná hypertrofická kardiomyopatia</w:t>
      </w:r>
    </w:p>
    <w:p w14:paraId="780C4689"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Tak ako pri iných vazodilatanciách, osobitná pozornosť je potrebná u pacientov s aortálnou alebo mitrálnou stenózou alebo obštrukčnou hypertrofickou kardiomyopatiou.</w:t>
      </w:r>
    </w:p>
    <w:p w14:paraId="09FADBD3" w14:textId="77777777" w:rsidR="00582954" w:rsidRDefault="00582954">
      <w:pPr>
        <w:pStyle w:val="Odsekzoznamu"/>
        <w:widowControl w:val="0"/>
        <w:spacing w:after="0" w:line="240" w:lineRule="auto"/>
        <w:ind w:left="0"/>
        <w:rPr>
          <w:rFonts w:ascii="Times New Roman" w:hAnsi="Times New Roman"/>
          <w:lang w:val="sk-SK"/>
        </w:rPr>
      </w:pPr>
    </w:p>
    <w:p w14:paraId="77CFF069"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Metabolické a endokrinné účinky</w:t>
      </w:r>
    </w:p>
    <w:p w14:paraId="7F46E646"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Liečba tiazidmi môže zhoršiť toleranciu glukózy, pričom sa u diabetických pacientov na inzulíne alebo antidiabetickej liečbe pri liečbe telmisartanom môže objaviť hypoglykémia. Preto treba u týchto pacientov zvážiť sledovanie glukózy v krvi; môže byť potrebná úprava dávky inzulínu alebo antidiabetík, ak sú indikované. Počas terapie tiazidmi sa môže prejaviť latentný diabetes mellitus.</w:t>
      </w:r>
    </w:p>
    <w:p w14:paraId="5DFD0EA1" w14:textId="77777777" w:rsidR="00582954" w:rsidRDefault="00582954">
      <w:pPr>
        <w:pStyle w:val="Odsekzoznamu"/>
        <w:widowControl w:val="0"/>
        <w:spacing w:after="0" w:line="240" w:lineRule="auto"/>
        <w:ind w:left="0"/>
        <w:rPr>
          <w:rFonts w:ascii="Times New Roman" w:hAnsi="Times New Roman"/>
          <w:lang w:val="sk-SK"/>
        </w:rPr>
      </w:pPr>
    </w:p>
    <w:p w14:paraId="5027126D" w14:textId="77777777" w:rsidR="00582954" w:rsidRDefault="00645977">
      <w:pPr>
        <w:pStyle w:val="Odsekzoznamu"/>
        <w:widowControl w:val="0"/>
        <w:spacing w:after="0" w:line="240" w:lineRule="auto"/>
        <w:ind w:left="0" w:right="48"/>
        <w:rPr>
          <w:rFonts w:ascii="Times New Roman" w:hAnsi="Times New Roman"/>
          <w:lang w:val="sk-SK"/>
        </w:rPr>
      </w:pPr>
      <w:r>
        <w:rPr>
          <w:rFonts w:ascii="Times New Roman" w:hAnsi="Times New Roman"/>
          <w:lang w:val="sk-SK"/>
        </w:rPr>
        <w:lastRenderedPageBreak/>
        <w:t>Zvýšenie hladín cholesterolu a triglyceridov sa spájalo s terapiou tiazidovými diuretikami; avšak pri dávke 12,5 mg obsiahnutej v tomto lieku sa nehlásili žiadne alebo len minimálne účinky. U niektorých pacientov liečených tiazidmi sa môže objaviť hyperurikémia alebo vyvolať dna.</w:t>
      </w:r>
    </w:p>
    <w:p w14:paraId="05FAB492" w14:textId="77777777" w:rsidR="00582954" w:rsidRDefault="00582954">
      <w:pPr>
        <w:pStyle w:val="Odsekzoznamu"/>
        <w:widowControl w:val="0"/>
        <w:spacing w:after="0" w:line="240" w:lineRule="auto"/>
        <w:ind w:left="0"/>
        <w:rPr>
          <w:rFonts w:ascii="Times New Roman" w:hAnsi="Times New Roman"/>
          <w:lang w:val="sk-SK"/>
        </w:rPr>
      </w:pPr>
    </w:p>
    <w:p w14:paraId="7DEDF7C3"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Nerovnováha elektrolytov</w:t>
      </w:r>
    </w:p>
    <w:p w14:paraId="2D46F2EB"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Tak ako u iných pacientov liečených diuretikami, má sa vo vhodných intervaloch uskutočniť pravidelné stanovenie sérových elektrolytov.</w:t>
      </w:r>
    </w:p>
    <w:p w14:paraId="15E1FD9C" w14:textId="77777777" w:rsidR="00582954" w:rsidRDefault="00645977">
      <w:pPr>
        <w:pStyle w:val="Odsekzoznamu"/>
        <w:widowControl w:val="0"/>
        <w:spacing w:after="0" w:line="240" w:lineRule="auto"/>
        <w:ind w:left="0" w:right="-235"/>
        <w:rPr>
          <w:rFonts w:ascii="Times New Roman" w:hAnsi="Times New Roman"/>
          <w:lang w:val="sk-SK"/>
        </w:rPr>
      </w:pPr>
      <w:r>
        <w:rPr>
          <w:rFonts w:ascii="Times New Roman" w:hAnsi="Times New Roman"/>
          <w:lang w:val="sk-SK"/>
        </w:rPr>
        <w:t>Tiazidy vrátane hydrochlórtiazidu môžu spôsobiť nerovnováhu tekutín alebo elektrolytov (vrátane hypokaliémie, hyponatriémie a hypochloremickej alkalózy). Varovnými signálmi tejto nerovnováhy sú sucho v ústach, smäd, asténia, apatia, ospalosť, únava, bolesti svalov alebo kŕče, svalová únava, hypotenzia, oligúria, tachykardia a gastrointestinálne poruchy ako je nauzea alebo vracanie (pozri tiež časť 4.8).</w:t>
      </w:r>
    </w:p>
    <w:p w14:paraId="19CB1427" w14:textId="77777777" w:rsidR="00582954" w:rsidRDefault="00582954">
      <w:pPr>
        <w:pStyle w:val="Odsekzoznamu"/>
        <w:widowControl w:val="0"/>
        <w:spacing w:after="0" w:line="240" w:lineRule="auto"/>
        <w:ind w:left="0"/>
        <w:rPr>
          <w:rFonts w:ascii="Times New Roman" w:hAnsi="Times New Roman"/>
          <w:lang w:val="sk-SK"/>
        </w:rPr>
      </w:pPr>
    </w:p>
    <w:p w14:paraId="1ED0E4C7" w14:textId="77777777" w:rsidR="00582954" w:rsidRDefault="00645977">
      <w:pPr>
        <w:pStyle w:val="Odsekzoznamu"/>
        <w:widowControl w:val="0"/>
        <w:numPr>
          <w:ilvl w:val="0"/>
          <w:numId w:val="1"/>
        </w:numPr>
        <w:tabs>
          <w:tab w:val="left" w:pos="567"/>
        </w:tabs>
        <w:spacing w:after="0" w:line="240" w:lineRule="auto"/>
        <w:ind w:left="0" w:firstLine="0"/>
        <w:rPr>
          <w:rFonts w:ascii="Times New Roman" w:hAnsi="Times New Roman"/>
          <w:lang w:val="sk-SK"/>
        </w:rPr>
      </w:pPr>
      <w:r>
        <w:rPr>
          <w:rFonts w:ascii="Times New Roman" w:hAnsi="Times New Roman"/>
          <w:lang w:val="sk-SK"/>
        </w:rPr>
        <w:t>Hypokaliémia</w:t>
      </w:r>
    </w:p>
    <w:p w14:paraId="4EE55A25"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Hoci sa pri používaní tiazidových diuretík môže vyvinúť hypokaliémia, sprievodná liečba telmisartanom môže znížiť diuretikami vyvolanú hypokaliémiu. Riziko hypokaliémie je vyššie u pacientov s cirhózou pečene, pacientov s výraznou diurézou, pacientov s nedostatočným perorálnym príjmom elektrolytov a pacientov so súbežnou terapiou kortikosteroidmi alebo adrenokortikotropným hormónom (ACTH) (pozri časť 4.5).</w:t>
      </w:r>
    </w:p>
    <w:p w14:paraId="4FC00B97" w14:textId="77777777" w:rsidR="00582954" w:rsidRDefault="00582954">
      <w:pPr>
        <w:pStyle w:val="Odsekzoznamu"/>
        <w:widowControl w:val="0"/>
        <w:spacing w:after="0" w:line="240" w:lineRule="auto"/>
        <w:ind w:left="0"/>
        <w:rPr>
          <w:rFonts w:ascii="Times New Roman" w:hAnsi="Times New Roman"/>
          <w:lang w:val="sk-SK"/>
        </w:rPr>
      </w:pPr>
    </w:p>
    <w:p w14:paraId="15898B01" w14:textId="77777777" w:rsidR="00582954" w:rsidRDefault="00645977">
      <w:pPr>
        <w:pStyle w:val="Odsekzoznamu"/>
        <w:widowControl w:val="0"/>
        <w:numPr>
          <w:ilvl w:val="0"/>
          <w:numId w:val="1"/>
        </w:numPr>
        <w:tabs>
          <w:tab w:val="left" w:pos="567"/>
        </w:tabs>
        <w:spacing w:after="0" w:line="240" w:lineRule="auto"/>
        <w:ind w:left="0" w:firstLine="0"/>
        <w:rPr>
          <w:rFonts w:ascii="Times New Roman" w:hAnsi="Times New Roman"/>
          <w:lang w:val="sk-SK"/>
        </w:rPr>
      </w:pPr>
      <w:r>
        <w:rPr>
          <w:rFonts w:ascii="Times New Roman" w:hAnsi="Times New Roman"/>
          <w:lang w:val="sk-SK"/>
        </w:rPr>
        <w:t>Hyperkaliémia</w:t>
      </w:r>
    </w:p>
    <w:p w14:paraId="58A67576"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Na druhej strane sa môže vyskytnúť hyperkaliémia následkom antagonizmu receptorov angiotenzínu II (AT</w:t>
      </w:r>
      <w:r>
        <w:rPr>
          <w:rFonts w:ascii="Times New Roman" w:hAnsi="Times New Roman"/>
          <w:vertAlign w:val="subscript"/>
          <w:lang w:val="sk-SK"/>
        </w:rPr>
        <w:t>1</w:t>
      </w:r>
      <w:r>
        <w:rPr>
          <w:rFonts w:ascii="Times New Roman" w:hAnsi="Times New Roman"/>
          <w:lang w:val="sk-SK"/>
        </w:rPr>
        <w:t>) telmisartanom, zložkou tohto lieku. Hoci sa pri telmisartane/hydrochlórtiazide nezaznamenala klinicky významná hyperkaliémia, rizikové faktory vzniku hyperkaliémie zahŕňajú renálnu insuficienciu a/alebo zlyhávanie srdca a diabetes mellitus. Draslík šetriace diuretiká, náhrady draslíka alebo náhrady soli s obsahom draslíka sa majú podávať opatrne spolu s telmisartanom/hydrochlórtiazidom (pozri časť 4.5).</w:t>
      </w:r>
    </w:p>
    <w:p w14:paraId="04F51061" w14:textId="77777777" w:rsidR="00582954" w:rsidRDefault="00582954">
      <w:pPr>
        <w:pStyle w:val="Odsekzoznamu"/>
        <w:widowControl w:val="0"/>
        <w:spacing w:after="0" w:line="240" w:lineRule="auto"/>
        <w:ind w:left="0"/>
        <w:rPr>
          <w:rFonts w:ascii="Times New Roman" w:hAnsi="Times New Roman"/>
          <w:lang w:val="sk-SK"/>
        </w:rPr>
      </w:pPr>
    </w:p>
    <w:p w14:paraId="48820AEA" w14:textId="77777777" w:rsidR="00582954" w:rsidRDefault="00645977">
      <w:pPr>
        <w:pStyle w:val="Odsekzoznamu"/>
        <w:widowControl w:val="0"/>
        <w:numPr>
          <w:ilvl w:val="0"/>
          <w:numId w:val="1"/>
        </w:numPr>
        <w:tabs>
          <w:tab w:val="left" w:pos="567"/>
        </w:tabs>
        <w:spacing w:after="0" w:line="240" w:lineRule="auto"/>
        <w:ind w:left="0" w:firstLine="0"/>
        <w:rPr>
          <w:rFonts w:ascii="Times New Roman" w:hAnsi="Times New Roman"/>
          <w:lang w:val="sk-SK"/>
        </w:rPr>
      </w:pPr>
      <w:r>
        <w:rPr>
          <w:rFonts w:ascii="Times New Roman" w:hAnsi="Times New Roman"/>
          <w:lang w:val="sk-SK"/>
        </w:rPr>
        <w:t>Hypochloremická alkalóza</w:t>
      </w:r>
    </w:p>
    <w:p w14:paraId="3FE99D42"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 xml:space="preserve"> Nedostatok chloridov je spravidla mierny a zvyčajne nevyžaduje liečbu.</w:t>
      </w:r>
    </w:p>
    <w:p w14:paraId="0042B630" w14:textId="77777777" w:rsidR="00582954" w:rsidRDefault="00582954">
      <w:pPr>
        <w:pStyle w:val="Odsekzoznamu"/>
        <w:widowControl w:val="0"/>
        <w:spacing w:after="0" w:line="240" w:lineRule="auto"/>
        <w:ind w:left="0"/>
        <w:rPr>
          <w:rFonts w:ascii="Times New Roman" w:hAnsi="Times New Roman"/>
          <w:lang w:val="sk-SK"/>
        </w:rPr>
      </w:pPr>
    </w:p>
    <w:p w14:paraId="1A53EE50" w14:textId="77777777" w:rsidR="00582954" w:rsidRDefault="00645977">
      <w:pPr>
        <w:pStyle w:val="Odsekzoznamu"/>
        <w:widowControl w:val="0"/>
        <w:numPr>
          <w:ilvl w:val="0"/>
          <w:numId w:val="1"/>
        </w:numPr>
        <w:tabs>
          <w:tab w:val="left" w:pos="567"/>
        </w:tabs>
        <w:spacing w:after="0" w:line="240" w:lineRule="auto"/>
        <w:ind w:left="0" w:firstLine="0"/>
        <w:rPr>
          <w:rFonts w:ascii="Times New Roman" w:hAnsi="Times New Roman"/>
          <w:lang w:val="sk-SK"/>
        </w:rPr>
      </w:pPr>
      <w:r>
        <w:rPr>
          <w:rFonts w:ascii="Times New Roman" w:hAnsi="Times New Roman"/>
          <w:lang w:val="sk-SK"/>
        </w:rPr>
        <w:t>Hyperkalciémia</w:t>
      </w:r>
    </w:p>
    <w:p w14:paraId="20EA203F"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Tiazidy môžu znížiť vylučovanie vápnika močom a zapríčiniť občasné a mierne zvýšenie sérového vápnika pri absencii známych porúch metabolizmu vápnika. Stanovená hyperkalciémia môže byť dôkazom skrytého hyperparatyroidizmu. Pred vykonaním testov funkcií prištítnych teliesok sa tiazidy majú vysadiť.</w:t>
      </w:r>
    </w:p>
    <w:p w14:paraId="50E3E709" w14:textId="77777777" w:rsidR="00582954" w:rsidRDefault="00582954">
      <w:pPr>
        <w:pStyle w:val="Odsekzoznamu"/>
        <w:widowControl w:val="0"/>
        <w:spacing w:after="0" w:line="240" w:lineRule="auto"/>
        <w:ind w:left="0"/>
        <w:rPr>
          <w:rFonts w:ascii="Times New Roman" w:hAnsi="Times New Roman"/>
          <w:lang w:val="sk-SK"/>
        </w:rPr>
      </w:pPr>
    </w:p>
    <w:p w14:paraId="522321A1" w14:textId="77777777" w:rsidR="00582954" w:rsidRDefault="00645977">
      <w:pPr>
        <w:pStyle w:val="Odsekzoznamu"/>
        <w:widowControl w:val="0"/>
        <w:numPr>
          <w:ilvl w:val="0"/>
          <w:numId w:val="1"/>
        </w:numPr>
        <w:tabs>
          <w:tab w:val="left" w:pos="567"/>
        </w:tabs>
        <w:spacing w:after="0" w:line="240" w:lineRule="auto"/>
        <w:ind w:left="0" w:firstLine="0"/>
        <w:rPr>
          <w:rFonts w:ascii="Times New Roman" w:hAnsi="Times New Roman"/>
          <w:lang w:val="sk-SK"/>
        </w:rPr>
      </w:pPr>
      <w:r>
        <w:rPr>
          <w:rFonts w:ascii="Times New Roman" w:hAnsi="Times New Roman"/>
          <w:lang w:val="sk-SK"/>
        </w:rPr>
        <w:t>Hypomagneziémia</w:t>
      </w:r>
    </w:p>
    <w:p w14:paraId="28CE03C4"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Ukázalo sa, že tiazidy zvyšujú vylučovanie horčíka močom, čo môže zapríčiniť hypomagneziémiu (pozri časť 4.5).</w:t>
      </w:r>
    </w:p>
    <w:p w14:paraId="02734DB9" w14:textId="77777777" w:rsidR="00582954" w:rsidRDefault="00582954">
      <w:pPr>
        <w:pStyle w:val="Odsekzoznamu"/>
        <w:widowControl w:val="0"/>
        <w:spacing w:after="0" w:line="240" w:lineRule="auto"/>
        <w:ind w:left="0"/>
        <w:rPr>
          <w:rFonts w:ascii="Times New Roman" w:hAnsi="Times New Roman"/>
          <w:lang w:val="sk-SK"/>
        </w:rPr>
      </w:pPr>
    </w:p>
    <w:p w14:paraId="1C796BAE"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Sodík</w:t>
      </w:r>
    </w:p>
    <w:p w14:paraId="7924B1E6" w14:textId="77777777" w:rsidR="00582954" w:rsidRDefault="00645977">
      <w:pPr>
        <w:widowControl w:val="0"/>
        <w:spacing w:after="0" w:line="240" w:lineRule="auto"/>
        <w:rPr>
          <w:rFonts w:ascii="Times New Roman" w:eastAsia="Times New Roman" w:hAnsi="Times New Roman"/>
          <w:szCs w:val="16"/>
          <w:lang w:val="sk-SK" w:eastAsia="sk-SK"/>
        </w:rPr>
      </w:pPr>
      <w:r>
        <w:rPr>
          <w:rFonts w:ascii="Times New Roman" w:eastAsia="Times New Roman" w:hAnsi="Times New Roman"/>
          <w:szCs w:val="16"/>
          <w:lang w:val="sk-SK" w:eastAsia="sk-SK"/>
        </w:rPr>
        <w:t>Tento liek obsahuje menej ako 1 mmol sodíka (23 mg) v jednej tablete, t. j. v podstate zanedbateľné množstvo sodíka.</w:t>
      </w:r>
    </w:p>
    <w:p w14:paraId="0FC9C489" w14:textId="77777777" w:rsidR="00582954" w:rsidRDefault="00582954">
      <w:pPr>
        <w:widowControl w:val="0"/>
        <w:spacing w:after="0" w:line="240" w:lineRule="auto"/>
        <w:rPr>
          <w:rFonts w:ascii="Times New Roman" w:hAnsi="Times New Roman"/>
          <w:lang w:val="sk-SK"/>
        </w:rPr>
      </w:pPr>
    </w:p>
    <w:p w14:paraId="4A857889"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Etnické rozdiely</w:t>
      </w:r>
    </w:p>
    <w:p w14:paraId="7D6E0585"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Tak ako pri iných blokátoroch receptorov angiotenzínu II, telmisartan je zjavne menej účinný v znižovaní krvného tlaku u černošských pacientov ako u nečernochov, pravdepodobne pre vyšší výskyt nízkorenínových stavov v čiernej populácii s hypertenziou.</w:t>
      </w:r>
    </w:p>
    <w:p w14:paraId="00D6B2C9" w14:textId="77777777" w:rsidR="00582954" w:rsidRDefault="00582954">
      <w:pPr>
        <w:pStyle w:val="Odsekzoznamu"/>
        <w:widowControl w:val="0"/>
        <w:spacing w:after="0" w:line="240" w:lineRule="auto"/>
        <w:ind w:left="0"/>
        <w:rPr>
          <w:rFonts w:ascii="Times New Roman" w:hAnsi="Times New Roman"/>
          <w:u w:val="single"/>
          <w:lang w:val="sk-SK"/>
        </w:rPr>
      </w:pPr>
    </w:p>
    <w:p w14:paraId="4795790C"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snapToGrid w:val="0"/>
          <w:u w:val="single"/>
          <w:lang w:eastAsia="cs-CZ"/>
        </w:rPr>
        <w:t>Ischemická choroba srdca</w:t>
      </w:r>
    </w:p>
    <w:p w14:paraId="4C51ABC2"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Tak ako pri iných antihypertenzívach, nadmerná redukcia tlaku krvi u pacientov s ischemickou kardiopatiou alebo ischemickou kardiovaskulárnou chorobou môže viesť k infarktu myokardu alebo cievnej mozgovej príhode.</w:t>
      </w:r>
    </w:p>
    <w:p w14:paraId="74371414" w14:textId="77777777" w:rsidR="00582954" w:rsidRDefault="00582954">
      <w:pPr>
        <w:pStyle w:val="Odsekzoznamu"/>
        <w:widowControl w:val="0"/>
        <w:spacing w:after="0" w:line="240" w:lineRule="auto"/>
        <w:ind w:left="0"/>
        <w:rPr>
          <w:rFonts w:ascii="Times New Roman" w:hAnsi="Times New Roman"/>
          <w:u w:val="single"/>
          <w:lang w:val="sk-SK"/>
        </w:rPr>
      </w:pPr>
    </w:p>
    <w:p w14:paraId="000A44F9"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lastRenderedPageBreak/>
        <w:t>Všeobecné</w:t>
      </w:r>
    </w:p>
    <w:p w14:paraId="2504A1C2"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Reakcie z precitlivenosti na hydrochlórtiazid sa môžu vyskytnúť u pacientov s anamnézou alergie alebo bronchiálnej astmy alebo bez nej, ale sú pravdepodobnejšie u pacientov s touto anamnézou.</w:t>
      </w:r>
    </w:p>
    <w:p w14:paraId="3DBE43C7"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Pri použití tiazidových diuretík, vrátane hydrochlórtiazidu, bola hlásená exacerbácia alebo aktivácia systémového lupus erythematosus.</w:t>
      </w:r>
    </w:p>
    <w:p w14:paraId="473B0887"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Pri tiazidových diuretikách boli hlásené prípady fotosenzitívnych reakcií (pozri časť 4.8). Ak sa počas liečby vyskytne fotosenzitívna reakcia, odporúča sa liečbu ukončiť. Ak sa opätovné podávanie diuretík považuje za nevyhnutné, odporúča sa chrániť obnažené časti tela pred slnkom alebo umelým UVA žiarením.</w:t>
      </w:r>
    </w:p>
    <w:p w14:paraId="3EC2F7B6" w14:textId="77777777" w:rsidR="00582954" w:rsidRDefault="00582954">
      <w:pPr>
        <w:pStyle w:val="Odsekzoznamu"/>
        <w:widowControl w:val="0"/>
        <w:spacing w:after="0" w:line="240" w:lineRule="auto"/>
        <w:ind w:left="0"/>
        <w:rPr>
          <w:rFonts w:ascii="Times New Roman" w:hAnsi="Times New Roman"/>
          <w:u w:val="single"/>
          <w:lang w:val="sk-SK"/>
        </w:rPr>
      </w:pPr>
    </w:p>
    <w:p w14:paraId="58A5E4B2"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Choroidálna efúzia, akútna myopia a glaukóm s uzavretým uhlom</w:t>
      </w:r>
    </w:p>
    <w:p w14:paraId="6F4369DC"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Sulfónamid hydrochlórtiazid môže spôsobiť idiosynkratickú reakciu vedúcu k choroidálnej efúzii s poruchou zorného poľa, tranzientnej myopii a akútnemu glaukómu s uzavretým uhlom. Príznaky zahŕňajú nástup zníženej zrakovej ostrosti alebo bolesť oka a bežne sa vyskytujú v priebehu niekoľkých hodín až týždňov od začatia liečby. Neliečený akútny glaukóm s uzavretým uhlom môže viesť až k trvalej strate zraku. Primárnou liečbou je prerušenie podávania hydrochlórtiazidu tak rýchlo, ako je to možné. V prípade, že vnútroočný tlak je aj naďalej nekontrolovaný, bude možno potrebné zvážiť okamžitý lekársky alebo chirurgický zásah. Rizikové faktory pre vývin akútneho glaukómu s uzavretým uhlom môžu zahŕňať predchádzajúcu alergiu na sulfónamid alebo penicilín.</w:t>
      </w:r>
    </w:p>
    <w:p w14:paraId="08411E07" w14:textId="77777777" w:rsidR="00582954" w:rsidRDefault="00582954">
      <w:pPr>
        <w:pStyle w:val="Odsekzoznamu"/>
        <w:widowControl w:val="0"/>
        <w:spacing w:after="0" w:line="240" w:lineRule="auto"/>
        <w:ind w:left="0"/>
        <w:rPr>
          <w:rFonts w:ascii="Times New Roman" w:hAnsi="Times New Roman"/>
          <w:lang w:val="sk-SK"/>
        </w:rPr>
      </w:pPr>
    </w:p>
    <w:p w14:paraId="4529A4D2" w14:textId="77777777" w:rsidR="00582954" w:rsidRDefault="00645977">
      <w:pPr>
        <w:spacing w:after="0" w:line="240" w:lineRule="auto"/>
        <w:rPr>
          <w:rFonts w:ascii="Times New Roman" w:hAnsi="Times New Roman"/>
          <w:szCs w:val="23"/>
          <w:u w:val="single"/>
        </w:rPr>
      </w:pPr>
      <w:r>
        <w:rPr>
          <w:rFonts w:ascii="Times New Roman" w:hAnsi="Times New Roman"/>
          <w:szCs w:val="23"/>
          <w:u w:val="single"/>
        </w:rPr>
        <w:t>Nemelanómová rakovina kože</w:t>
      </w:r>
    </w:p>
    <w:p w14:paraId="69A4E18E" w14:textId="77777777" w:rsidR="00582954" w:rsidRDefault="00645977">
      <w:pPr>
        <w:spacing w:after="0" w:line="240" w:lineRule="auto"/>
        <w:rPr>
          <w:rFonts w:ascii="Times New Roman" w:hAnsi="Times New Roman"/>
          <w:szCs w:val="23"/>
        </w:rPr>
      </w:pPr>
      <w:r>
        <w:rPr>
          <w:rFonts w:ascii="Times New Roman" w:hAnsi="Times New Roman"/>
          <w:szCs w:val="23"/>
        </w:rPr>
        <w:t>V dvoch epidemiologických štúdiách vychádzajúcich z dánskeho národného onkologického registra (Danish National Cancer Registry) sa pozorovalo zvýšené riziko nemelanómovej rakoviny kože (non-melanoma skin cancer, NMSC) [bazocelulárneho karcinómu (basal cell carcinoma, BCC) a skvamocelulárneho karcinómu (squamous cell carcinoma, SCC)] pri zvyšujúcej sa expozícii kumulatívnej dávke hydrochlórtiazidu (HCTZ, pozri časť 4.8). Možným mechanizmom pre vznik NMSC môžu byť fotosenzibilizačné účinky hydrochlórtiazidu (HCTZ).</w:t>
      </w:r>
    </w:p>
    <w:p w14:paraId="756DF98C" w14:textId="77777777" w:rsidR="00582954" w:rsidRDefault="00582954">
      <w:pPr>
        <w:spacing w:after="0" w:line="240" w:lineRule="auto"/>
        <w:rPr>
          <w:rFonts w:ascii="Times New Roman" w:hAnsi="Times New Roman"/>
          <w:szCs w:val="23"/>
        </w:rPr>
      </w:pPr>
    </w:p>
    <w:p w14:paraId="170B5E75" w14:textId="77777777" w:rsidR="00582954" w:rsidRDefault="00645977">
      <w:pPr>
        <w:spacing w:after="0" w:line="240" w:lineRule="auto"/>
        <w:rPr>
          <w:rFonts w:ascii="Times New Roman" w:hAnsi="Times New Roman"/>
          <w:sz w:val="20"/>
        </w:rPr>
      </w:pPr>
      <w:r>
        <w:rPr>
          <w:rFonts w:ascii="Times New Roman" w:hAnsi="Times New Roman"/>
          <w:szCs w:val="23"/>
        </w:rPr>
        <w:t>Pacientov užívajúcich HCTZ je potrebné informovať o riziku NMSC a odporučiť im, aby si pravidelne kontrolovali kožu kvôli možnému vzniku akýchkoľvek nových lézií a aby urýchlene nahlásili akékoľvek podozrivé kožné lézie. Pacientom je potrebné odporučiť možné preventívne opatrenia, ako je obmedzené vystavovanie sa slnečnému svetlu a UV lúčom a aby v prípade vystavenia sa slnečnému žiareniu používali primeranú ochranu s cieľom minimalizovať riziko rakoviny kože. Podozrivé kožné lézie je potrebné urýchlene vyšetriť, potenciálne aj histologickým vyšetrením biopsií. Použitie HCTZ bude možno potrebné prehodnotiť aj v prípade pacientov, u ktorých sa v minulosti vyskytla NMSC (pozri tiež časť 4.8).</w:t>
      </w:r>
    </w:p>
    <w:p w14:paraId="2A3365E1" w14:textId="77777777" w:rsidR="00582954" w:rsidRDefault="00582954">
      <w:pPr>
        <w:pStyle w:val="Odsekzoznamu"/>
        <w:widowControl w:val="0"/>
        <w:spacing w:after="0" w:line="240" w:lineRule="auto"/>
        <w:ind w:left="0"/>
        <w:rPr>
          <w:rFonts w:ascii="Times New Roman" w:hAnsi="Times New Roman"/>
          <w:lang w:val="sk-SK"/>
        </w:rPr>
      </w:pPr>
    </w:p>
    <w:p w14:paraId="10D82522" w14:textId="77777777" w:rsidR="00582954" w:rsidRDefault="00645977">
      <w:pPr>
        <w:pStyle w:val="Default"/>
        <w:rPr>
          <w:rFonts w:ascii="Times New Roman" w:hAnsi="Times New Roman" w:cs="Times New Roman"/>
          <w:sz w:val="22"/>
          <w:szCs w:val="22"/>
          <w:u w:val="single"/>
        </w:rPr>
      </w:pPr>
      <w:r>
        <w:rPr>
          <w:rFonts w:ascii="Times New Roman" w:hAnsi="Times New Roman" w:cs="Times New Roman"/>
          <w:bCs/>
          <w:sz w:val="22"/>
          <w:szCs w:val="22"/>
          <w:u w:val="single"/>
        </w:rPr>
        <w:t>Akútna respiračná toxicita</w:t>
      </w:r>
    </w:p>
    <w:p w14:paraId="4F154C43" w14:textId="77777777" w:rsidR="00582954" w:rsidRDefault="00645977">
      <w:pPr>
        <w:spacing w:after="0" w:line="240" w:lineRule="auto"/>
        <w:rPr>
          <w:rFonts w:ascii="Times New Roman" w:hAnsi="Times New Roman"/>
          <w:bCs/>
        </w:rPr>
      </w:pPr>
      <w:r>
        <w:rPr>
          <w:rFonts w:ascii="Times New Roman" w:hAnsi="Times New Roman"/>
          <w:bCs/>
        </w:rPr>
        <w:t>Po užití hydrochlórtiazidu boli hlásené veľmi zriedkavé závažné prípady akútnej respiračnej toxicity vrátane syndrómu akútnej respiračnej tiesne (acute respiratory distress syndrome, ARDS). Pľúcny edém sa zvyčajne rozvinie do niekoľkých minút až hodín po užití hydrochlórtiazidu. K začiatočným príznakom patria dýchavičnosť, horúčka, zhoršenie funkcie pľúc a hypotenzia. Ak existuje podozrenie na diagnózu ARDS, Tolucombi sa má vysadiť a má sa poskytnúť vhodná liečba. Hydrochlórtiazid sa nemá podávaťpacientom, u ktorých sa v minulosti vyskytol ARDS po užití hydrochlórtiazidu.</w:t>
      </w:r>
    </w:p>
    <w:p w14:paraId="7F1B880B" w14:textId="77777777" w:rsidR="00582954" w:rsidRDefault="00582954">
      <w:pPr>
        <w:widowControl w:val="0"/>
        <w:autoSpaceDE w:val="0"/>
        <w:autoSpaceDN w:val="0"/>
        <w:adjustRightInd w:val="0"/>
        <w:spacing w:after="0" w:line="240" w:lineRule="auto"/>
        <w:rPr>
          <w:rFonts w:ascii="Times New Roman" w:hAnsi="Times New Roman"/>
          <w:lang w:val="sk-SK"/>
        </w:rPr>
      </w:pPr>
    </w:p>
    <w:p w14:paraId="5E3F08CD" w14:textId="77777777" w:rsidR="00582954" w:rsidRDefault="00645977">
      <w:pPr>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Intestinálny angioedém</w:t>
      </w:r>
    </w:p>
    <w:p w14:paraId="33419596"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U pacientov liečených blokátormi receptorov angiotenzínu II bol hlásený intestinálny angioedém (pozri časť 4.8). U týchto pacientov sa vyskytla bolesť brucha, nauzea, vracanie a hnačka. Príznaky ustúpili po prerušení liečby blokátorom receptorov angiotenzínu II. Ak je diagnostikovaný intestinálny angioedém, liečba telmisartanom sa má prerušiť a má sa začať primerané sledovanie pacienta až do úplného vymiznutia príznakov.</w:t>
      </w:r>
    </w:p>
    <w:p w14:paraId="761471A8" w14:textId="77777777" w:rsidR="00582954" w:rsidRDefault="00582954">
      <w:pPr>
        <w:widowControl w:val="0"/>
        <w:autoSpaceDE w:val="0"/>
        <w:autoSpaceDN w:val="0"/>
        <w:adjustRightInd w:val="0"/>
        <w:spacing w:after="0" w:line="240" w:lineRule="auto"/>
        <w:rPr>
          <w:rFonts w:ascii="Times New Roman" w:hAnsi="Times New Roman"/>
          <w:lang w:val="sk-SK"/>
        </w:rPr>
      </w:pPr>
    </w:p>
    <w:p w14:paraId="095935E4" w14:textId="77777777" w:rsidR="00582954" w:rsidRDefault="00645977">
      <w:pPr>
        <w:pStyle w:val="Odsekzoznamu"/>
        <w:widowControl w:val="0"/>
        <w:tabs>
          <w:tab w:val="left" w:pos="567"/>
        </w:tabs>
        <w:spacing w:after="0" w:line="240" w:lineRule="auto"/>
        <w:ind w:left="0"/>
        <w:rPr>
          <w:rFonts w:ascii="Times New Roman" w:hAnsi="Times New Roman"/>
          <w:b/>
          <w:lang w:val="sk-SK"/>
        </w:rPr>
      </w:pPr>
      <w:r>
        <w:rPr>
          <w:rFonts w:ascii="Times New Roman" w:hAnsi="Times New Roman"/>
          <w:b/>
          <w:lang w:val="sk-SK"/>
        </w:rPr>
        <w:t>4.5</w:t>
      </w:r>
      <w:r>
        <w:rPr>
          <w:rFonts w:ascii="Times New Roman" w:hAnsi="Times New Roman"/>
          <w:b/>
          <w:lang w:val="sk-SK"/>
        </w:rPr>
        <w:tab/>
        <w:t>Liekové a iné interakcie</w:t>
      </w:r>
    </w:p>
    <w:p w14:paraId="3E75290C" w14:textId="77777777" w:rsidR="00582954" w:rsidRDefault="00582954">
      <w:pPr>
        <w:pStyle w:val="Odsekzoznamu"/>
        <w:widowControl w:val="0"/>
        <w:spacing w:after="0" w:line="240" w:lineRule="auto"/>
        <w:ind w:left="0"/>
        <w:rPr>
          <w:rFonts w:ascii="Times New Roman" w:hAnsi="Times New Roman"/>
          <w:u w:val="single"/>
          <w:lang w:val="sk-SK"/>
        </w:rPr>
      </w:pPr>
    </w:p>
    <w:p w14:paraId="2FB47432"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lastRenderedPageBreak/>
        <w:t>Lítium</w:t>
      </w:r>
    </w:p>
    <w:p w14:paraId="38DA7CE7"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Pri súbežnom podávaní lítia s inhibítormi enzýmu konvertujúceho angiotenzín sa hlásili reverzibilné zvýšenia koncentrácií lítia v sére a toxicita. Zriedkavo boli hlásené prípady s blokátormi receptorov angiotenzínu II (vrátane telmisartanu/hydrochlórtiazidu). Súbežné podávanie lítia a telmisartanu/hydrochlórtiazidu sa neodporúča (pozri časť 4.4). Ak je táto kombinácia nevyhnutná, odporúča sa dôkladné sledovanie sérových hladín lítia počas súbežného používania.</w:t>
      </w:r>
    </w:p>
    <w:p w14:paraId="30F6827C" w14:textId="77777777" w:rsidR="00582954" w:rsidRDefault="00582954">
      <w:pPr>
        <w:pStyle w:val="Odsekzoznamu"/>
        <w:widowControl w:val="0"/>
        <w:spacing w:after="0" w:line="240" w:lineRule="auto"/>
        <w:ind w:left="0"/>
        <w:rPr>
          <w:rFonts w:ascii="Times New Roman" w:hAnsi="Times New Roman"/>
          <w:lang w:val="sk-SK"/>
        </w:rPr>
      </w:pPr>
    </w:p>
    <w:p w14:paraId="7BF89D58"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u w:val="single"/>
          <w:lang w:val="sk-SK"/>
        </w:rPr>
        <w:t>Lieky súvisiace s úbytkom draslíka a hypokaliémiou</w:t>
      </w:r>
      <w:r>
        <w:rPr>
          <w:rFonts w:ascii="Times New Roman" w:hAnsi="Times New Roman"/>
          <w:lang w:val="sk-SK"/>
        </w:rPr>
        <w:t xml:space="preserve"> (napr. iné kaliuretické diuretiká, laxatíva, kortikosteroidy, ACTH, amfotericín, karbenoxolón, sodná soľ benzylpenicilínu, kyselina salicylová a jej deriváty)</w:t>
      </w:r>
    </w:p>
    <w:p w14:paraId="0BB9320E"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Ak sú tieto liečivá predpísané s kombináciou hydrochlórtiazid-telmisartan, odporúča sa sledovať plazmatické hladiny draslíka. Tieto liečivá môžu zosilniť účinok hydrochlórtiazidu na sérový draslík (pozri časť 4.4).</w:t>
      </w:r>
    </w:p>
    <w:p w14:paraId="5AC20AF1" w14:textId="77777777" w:rsidR="00582954" w:rsidRDefault="00582954">
      <w:pPr>
        <w:pStyle w:val="Odsekzoznamu"/>
        <w:widowControl w:val="0"/>
        <w:spacing w:after="0" w:line="240" w:lineRule="auto"/>
        <w:ind w:left="0"/>
        <w:rPr>
          <w:rFonts w:ascii="Times New Roman" w:hAnsi="Times New Roman"/>
          <w:lang w:val="sk-SK"/>
        </w:rPr>
      </w:pPr>
    </w:p>
    <w:p w14:paraId="612AA0CE"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u w:val="single"/>
          <w:lang w:val="sk-SK"/>
        </w:rPr>
        <w:t>Lieky, ktoré môžu zvýšiť hladiny draslíka alebo vyvolať hyperkaliémiu</w:t>
      </w:r>
      <w:r>
        <w:rPr>
          <w:rFonts w:ascii="Times New Roman" w:hAnsi="Times New Roman"/>
          <w:lang w:val="sk-SK"/>
        </w:rPr>
        <w:t xml:space="preserve"> (napr. ACE inhibítory, draslík šetriace diuretiká, náhrady draslíka, náhrady soli obsahujúce draslík, cyklosporín alebo iné liečivá ako sodná soľ heparínu)</w:t>
      </w:r>
    </w:p>
    <w:p w14:paraId="3B67F633"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Ak sú tieto liečivá predpísané s kombináciou hydrochlórtiazid/telmisartan, odporúča sa sledovať plazmatické hladiny draslíka. Na základe skúseností z použitia iných liekov, ktoré tlmia systém renín</w:t>
      </w:r>
      <w:r>
        <w:rPr>
          <w:rFonts w:ascii="Times New Roman" w:hAnsi="Times New Roman"/>
          <w:lang w:val="sk-SK"/>
        </w:rPr>
        <w:noBreakHyphen/>
        <w:t>angiotenzín, súbežné použitie vyššie uvedených liekov môže viesť k zvýšeniu sérového draslíka, a preto sa neodporúča (pozri časť 4.4).</w:t>
      </w:r>
    </w:p>
    <w:p w14:paraId="1E5CC391" w14:textId="77777777" w:rsidR="00582954" w:rsidRDefault="00582954">
      <w:pPr>
        <w:pStyle w:val="Odsekzoznamu"/>
        <w:widowControl w:val="0"/>
        <w:spacing w:after="0" w:line="240" w:lineRule="auto"/>
        <w:ind w:left="0"/>
        <w:rPr>
          <w:rFonts w:ascii="Times New Roman" w:hAnsi="Times New Roman"/>
          <w:lang w:val="sk-SK"/>
        </w:rPr>
      </w:pPr>
    </w:p>
    <w:p w14:paraId="67C75EA0" w14:textId="77777777" w:rsidR="00582954" w:rsidRDefault="00645977">
      <w:pPr>
        <w:keepNext/>
        <w:spacing w:after="0" w:line="240" w:lineRule="auto"/>
        <w:rPr>
          <w:rFonts w:ascii="Times New Roman" w:hAnsi="Times New Roman"/>
          <w:snapToGrid w:val="0"/>
          <w:u w:val="single"/>
          <w:lang w:eastAsia="cs-CZ"/>
        </w:rPr>
      </w:pPr>
      <w:r>
        <w:rPr>
          <w:rFonts w:ascii="Times New Roman" w:hAnsi="Times New Roman"/>
          <w:snapToGrid w:val="0"/>
          <w:u w:val="single"/>
          <w:lang w:eastAsia="cs-CZ"/>
        </w:rPr>
        <w:t>Jódové kontrastné látky</w:t>
      </w:r>
    </w:p>
    <w:p w14:paraId="66860EDE" w14:textId="77777777" w:rsidR="00582954" w:rsidRDefault="00645977">
      <w:pPr>
        <w:pStyle w:val="Odsekzoznamu"/>
        <w:widowControl w:val="0"/>
        <w:spacing w:after="0" w:line="240" w:lineRule="auto"/>
        <w:ind w:left="0"/>
        <w:rPr>
          <w:rFonts w:ascii="Times New Roman" w:hAnsi="Times New Roman"/>
          <w:snapToGrid w:val="0"/>
          <w:lang w:eastAsia="cs-CZ"/>
        </w:rPr>
      </w:pPr>
      <w:r>
        <w:rPr>
          <w:rFonts w:ascii="Times New Roman" w:hAnsi="Times New Roman"/>
          <w:snapToGrid w:val="0"/>
          <w:lang w:eastAsia="cs-CZ"/>
        </w:rPr>
        <w:t>V prípade dehydratácie spôsobenej diuretikami existuje zvýšené riziko akútneho funkčného zlyhania obličiek, a to najmä počas používania vysokých dávok jódových kontrastných látok. Pred podaním jódovej kontrastnej látky sa vyžaduje rehydratácia.</w:t>
      </w:r>
    </w:p>
    <w:p w14:paraId="3FF54652" w14:textId="77777777" w:rsidR="00582954" w:rsidRDefault="00582954">
      <w:pPr>
        <w:pStyle w:val="Odsekzoznamu"/>
        <w:widowControl w:val="0"/>
        <w:spacing w:after="0" w:line="240" w:lineRule="auto"/>
        <w:ind w:left="0"/>
        <w:rPr>
          <w:rFonts w:ascii="Times New Roman" w:hAnsi="Times New Roman"/>
          <w:u w:val="single"/>
          <w:lang w:val="sk-SK"/>
        </w:rPr>
      </w:pPr>
    </w:p>
    <w:p w14:paraId="3F97924E"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Lieky ovplyvnené poruchami sérového draslíka</w:t>
      </w:r>
    </w:p>
    <w:p w14:paraId="34D47DFF"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 xml:space="preserve">Ak sa telmisartan/hydrochlórtiazid podáva s liekmi, ktorých účinok je ovplyvnený zmenami sérového draslíka (náprstníkové glykozidy, antiarytmiká) a liekmi vyvolávajúcimi </w:t>
      </w:r>
      <w:r>
        <w:rPr>
          <w:rFonts w:ascii="Times New Roman" w:hAnsi="Times New Roman"/>
          <w:i/>
          <w:lang w:val="sk-SK"/>
        </w:rPr>
        <w:t>torsade de pointes</w:t>
      </w:r>
      <w:r>
        <w:rPr>
          <w:rFonts w:ascii="Times New Roman" w:hAnsi="Times New Roman"/>
          <w:lang w:val="sk-SK"/>
        </w:rPr>
        <w:t xml:space="preserve"> (čo zahŕňa niektoré antiarytmiká), odporúča sa pravidelné sledovanie sérového draslíka a EKG, hypokaliémia je predisponujúcim faktorom </w:t>
      </w:r>
      <w:r>
        <w:rPr>
          <w:rFonts w:ascii="Times New Roman" w:hAnsi="Times New Roman"/>
          <w:i/>
          <w:lang w:val="sk-SK"/>
        </w:rPr>
        <w:t>torsade de pointes</w:t>
      </w:r>
      <w:r>
        <w:rPr>
          <w:rFonts w:ascii="Times New Roman" w:hAnsi="Times New Roman"/>
          <w:lang w:val="sk-SK"/>
        </w:rPr>
        <w:t>.</w:t>
      </w:r>
    </w:p>
    <w:p w14:paraId="56F27A4D" w14:textId="77777777" w:rsidR="00582954" w:rsidRDefault="00645977">
      <w:pPr>
        <w:pStyle w:val="Odsekzoznamu"/>
        <w:widowControl w:val="0"/>
        <w:numPr>
          <w:ilvl w:val="0"/>
          <w:numId w:val="1"/>
        </w:numPr>
        <w:tabs>
          <w:tab w:val="left" w:pos="567"/>
        </w:tabs>
        <w:spacing w:after="0" w:line="240" w:lineRule="auto"/>
        <w:ind w:left="567" w:hanging="567"/>
        <w:rPr>
          <w:rFonts w:ascii="Times New Roman" w:hAnsi="Times New Roman"/>
          <w:lang w:val="sk-SK"/>
        </w:rPr>
      </w:pPr>
      <w:r>
        <w:rPr>
          <w:rFonts w:ascii="Times New Roman" w:hAnsi="Times New Roman"/>
          <w:lang w:val="sk-SK"/>
        </w:rPr>
        <w:t>antiarytmiká triedy Ia (napr. chinidín, hydrochinidín, dizopyramid),</w:t>
      </w:r>
    </w:p>
    <w:p w14:paraId="2F4AAD92" w14:textId="77777777" w:rsidR="00582954" w:rsidRDefault="00645977">
      <w:pPr>
        <w:pStyle w:val="Odsekzoznamu"/>
        <w:widowControl w:val="0"/>
        <w:numPr>
          <w:ilvl w:val="0"/>
          <w:numId w:val="1"/>
        </w:numPr>
        <w:tabs>
          <w:tab w:val="left" w:pos="567"/>
        </w:tabs>
        <w:spacing w:after="0" w:line="240" w:lineRule="auto"/>
        <w:ind w:left="567" w:hanging="567"/>
        <w:rPr>
          <w:rFonts w:ascii="Times New Roman" w:hAnsi="Times New Roman"/>
          <w:lang w:val="sk-SK"/>
        </w:rPr>
      </w:pPr>
      <w:r>
        <w:rPr>
          <w:rFonts w:ascii="Times New Roman" w:hAnsi="Times New Roman"/>
          <w:lang w:val="sk-SK"/>
        </w:rPr>
        <w:t>antiarytmiká triedy III (napr. amiodarón, sotalol, dofetilid, ibutilid),</w:t>
      </w:r>
    </w:p>
    <w:p w14:paraId="5EF18C75" w14:textId="77777777" w:rsidR="00582954" w:rsidRDefault="00645977">
      <w:pPr>
        <w:pStyle w:val="Odsekzoznamu"/>
        <w:widowControl w:val="0"/>
        <w:numPr>
          <w:ilvl w:val="0"/>
          <w:numId w:val="1"/>
        </w:numPr>
        <w:tabs>
          <w:tab w:val="left" w:pos="567"/>
        </w:tabs>
        <w:spacing w:after="0" w:line="240" w:lineRule="auto"/>
        <w:ind w:left="567" w:hanging="567"/>
        <w:rPr>
          <w:rFonts w:ascii="Times New Roman" w:hAnsi="Times New Roman"/>
          <w:lang w:val="sk-SK"/>
        </w:rPr>
      </w:pPr>
      <w:r>
        <w:rPr>
          <w:rFonts w:ascii="Times New Roman" w:hAnsi="Times New Roman"/>
          <w:lang w:val="sk-SK"/>
        </w:rPr>
        <w:t>niektoré antipsychotiká (napr. tioridazín, chlórpromazín, levomepromazín, trifluoperazín, cyamemazín, sulpirid, sultoprid, amisulpirid, tiaprid, pimozid, haloperidol, droperidol),</w:t>
      </w:r>
    </w:p>
    <w:p w14:paraId="73A65D36" w14:textId="77777777" w:rsidR="00582954" w:rsidRDefault="00645977">
      <w:pPr>
        <w:pStyle w:val="Odsekzoznamu"/>
        <w:widowControl w:val="0"/>
        <w:numPr>
          <w:ilvl w:val="0"/>
          <w:numId w:val="1"/>
        </w:numPr>
        <w:tabs>
          <w:tab w:val="left" w:pos="567"/>
        </w:tabs>
        <w:spacing w:after="0" w:line="240" w:lineRule="auto"/>
        <w:ind w:left="567" w:hanging="567"/>
        <w:rPr>
          <w:rFonts w:ascii="Times New Roman" w:hAnsi="Times New Roman"/>
          <w:lang w:val="sk-SK"/>
        </w:rPr>
      </w:pPr>
      <w:r>
        <w:rPr>
          <w:rFonts w:ascii="Times New Roman" w:hAnsi="Times New Roman"/>
          <w:lang w:val="sk-SK"/>
        </w:rPr>
        <w:t>iné: (napr. bepridil, cisaprid, difemanil, erytromycín i.v., halofantrín, mizolastín, pentamidín, sparfloxacín, terfenadín, vinkamín i.v.).</w:t>
      </w:r>
    </w:p>
    <w:p w14:paraId="5052D25C" w14:textId="77777777" w:rsidR="00582954" w:rsidRDefault="00582954">
      <w:pPr>
        <w:pStyle w:val="Odsekzoznamu"/>
        <w:widowControl w:val="0"/>
        <w:spacing w:after="0" w:line="240" w:lineRule="auto"/>
        <w:ind w:left="0"/>
        <w:rPr>
          <w:rFonts w:ascii="Times New Roman" w:hAnsi="Times New Roman"/>
          <w:lang w:val="sk-SK"/>
        </w:rPr>
      </w:pPr>
    </w:p>
    <w:p w14:paraId="145CE313"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Náprstníkové glykozidy</w:t>
      </w:r>
    </w:p>
    <w:p w14:paraId="4A80069A"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Tiazidmi vyvolaná hypokaliémia alebo hypomagneziémia podporuje nástup arytmie indukovanej náprstníkovými glykozidmi (pozri časť 4.4).</w:t>
      </w:r>
    </w:p>
    <w:p w14:paraId="2C8A0C5A" w14:textId="77777777" w:rsidR="00582954" w:rsidRDefault="00582954">
      <w:pPr>
        <w:pStyle w:val="Odsekzoznamu"/>
        <w:widowControl w:val="0"/>
        <w:spacing w:after="0" w:line="240" w:lineRule="auto"/>
        <w:ind w:left="0"/>
        <w:contextualSpacing w:val="0"/>
        <w:rPr>
          <w:rFonts w:ascii="Times New Roman" w:hAnsi="Times New Roman"/>
          <w:lang w:val="sk-SK"/>
        </w:rPr>
      </w:pPr>
    </w:p>
    <w:p w14:paraId="47089A55" w14:textId="77777777" w:rsidR="00582954" w:rsidRDefault="00645977">
      <w:pPr>
        <w:widowControl w:val="0"/>
        <w:spacing w:after="0" w:line="240" w:lineRule="auto"/>
        <w:rPr>
          <w:rFonts w:ascii="Times New Roman" w:hAnsi="Times New Roman"/>
          <w:u w:val="single"/>
          <w:lang w:val="sk-SK"/>
        </w:rPr>
      </w:pPr>
      <w:r>
        <w:rPr>
          <w:rFonts w:ascii="Times New Roman" w:hAnsi="Times New Roman"/>
          <w:u w:val="single"/>
          <w:lang w:val="sk-SK"/>
        </w:rPr>
        <w:t>Digoxín</w:t>
      </w:r>
    </w:p>
    <w:p w14:paraId="30158D37"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Ak sa telmisartan súbežne podával s digoxínom, pozorovali sa zvýšenia mediánu maximálnej plazmatickej koncentrácie (49 %) a minimálnej koncentrácie (20 %) digoxínu. Pri začatí, úprave a prerušení liečby telmisartanom monitorujte hladiny digoxínu, aby sa udržali hladiny v terapeutickom rozsahu.</w:t>
      </w:r>
    </w:p>
    <w:p w14:paraId="45D744C2" w14:textId="77777777" w:rsidR="00582954" w:rsidRDefault="00582954">
      <w:pPr>
        <w:pStyle w:val="Odsekzoznamu"/>
        <w:widowControl w:val="0"/>
        <w:spacing w:after="0" w:line="240" w:lineRule="auto"/>
        <w:ind w:left="0"/>
        <w:rPr>
          <w:rFonts w:ascii="Times New Roman" w:hAnsi="Times New Roman"/>
          <w:lang w:val="sk-SK"/>
        </w:rPr>
      </w:pPr>
    </w:p>
    <w:p w14:paraId="6E758EC8"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Iné antihypertenzíva</w:t>
      </w:r>
    </w:p>
    <w:p w14:paraId="2EF3735C"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Telmisartan môže zvýšiť hypotenzný účinok iných antihypertenzív.</w:t>
      </w:r>
    </w:p>
    <w:p w14:paraId="4C9D6F0E" w14:textId="77777777" w:rsidR="00582954" w:rsidRDefault="00582954">
      <w:pPr>
        <w:pStyle w:val="Odsekzoznamu"/>
        <w:widowControl w:val="0"/>
        <w:spacing w:after="0" w:line="240" w:lineRule="auto"/>
        <w:ind w:left="0"/>
        <w:rPr>
          <w:rFonts w:ascii="Times New Roman" w:hAnsi="Times New Roman"/>
          <w:lang w:val="sk-SK" w:eastAsia="it-IT"/>
        </w:rPr>
      </w:pPr>
    </w:p>
    <w:p w14:paraId="4EBA55BC"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eastAsia="it-IT"/>
        </w:rPr>
        <w:t>Údaje z klinických skúšaní ukázali, že duálna inhibícia systému renín-angiotenzín-aldosterón (RAAS) kombinovaným použitím inhibítorov ACE, blokátorov receptorov angiotenzínu II</w:t>
      </w:r>
      <w:r>
        <w:rPr>
          <w:rFonts w:ascii="Times New Roman" w:hAnsi="Times New Roman"/>
          <w:bCs/>
          <w:lang w:val="sk-SK"/>
        </w:rPr>
        <w:t xml:space="preserve"> </w:t>
      </w:r>
      <w:r>
        <w:rPr>
          <w:rFonts w:ascii="Times New Roman" w:hAnsi="Times New Roman"/>
          <w:lang w:val="sk-SK" w:eastAsia="it-IT"/>
        </w:rPr>
        <w:t xml:space="preserve">alebo aliskirénu sa </w:t>
      </w:r>
      <w:r>
        <w:rPr>
          <w:rFonts w:ascii="Times New Roman" w:hAnsi="Times New Roman"/>
          <w:lang w:val="sk-SK" w:eastAsia="it-IT"/>
        </w:rPr>
        <w:lastRenderedPageBreak/>
        <w:t xml:space="preserve">spája s vyššou frekvenciou nežiaducich udalostí, ako sú hypotenzia, hyperkaliémia a znížená funkcia obličiek </w:t>
      </w:r>
      <w:r>
        <w:rPr>
          <w:rFonts w:ascii="Times New Roman" w:hAnsi="Times New Roman"/>
          <w:lang w:val="sk-SK" w:eastAsia="de-DE"/>
        </w:rPr>
        <w:t>(vrátane akútneho zlyhania obličiek), v porovnaní s použitím látky ovplyvňujúcej RAAS v monoterapii (pozri časti 4.3, 4.4 a 5.1).</w:t>
      </w:r>
    </w:p>
    <w:p w14:paraId="5D77EB7B" w14:textId="77777777" w:rsidR="00582954" w:rsidRDefault="00582954">
      <w:pPr>
        <w:pStyle w:val="Odsekzoznamu"/>
        <w:widowControl w:val="0"/>
        <w:spacing w:after="0" w:line="240" w:lineRule="auto"/>
        <w:ind w:left="0"/>
        <w:rPr>
          <w:rFonts w:ascii="Times New Roman" w:hAnsi="Times New Roman"/>
          <w:u w:val="single"/>
          <w:lang w:val="sk-SK"/>
        </w:rPr>
      </w:pPr>
    </w:p>
    <w:p w14:paraId="5C91B3E2" w14:textId="77777777" w:rsidR="00582954" w:rsidRDefault="00645977">
      <w:pPr>
        <w:pStyle w:val="Odsekzoznamu"/>
        <w:keepNext/>
        <w:widowControl w:val="0"/>
        <w:spacing w:after="0" w:line="240" w:lineRule="auto"/>
        <w:ind w:left="0"/>
        <w:rPr>
          <w:rFonts w:ascii="Times New Roman" w:hAnsi="Times New Roman"/>
          <w:u w:val="single"/>
          <w:lang w:val="sk-SK"/>
        </w:rPr>
      </w:pPr>
      <w:r>
        <w:rPr>
          <w:rFonts w:ascii="Times New Roman" w:hAnsi="Times New Roman"/>
          <w:u w:val="single"/>
          <w:lang w:val="sk-SK"/>
        </w:rPr>
        <w:t>Antidiabetiká (perorálne látky a inzulín)</w:t>
      </w:r>
    </w:p>
    <w:p w14:paraId="5CAEDC03" w14:textId="77777777" w:rsidR="00582954" w:rsidRDefault="00645977">
      <w:pPr>
        <w:pStyle w:val="Odsekzoznamu"/>
        <w:keepNext/>
        <w:widowControl w:val="0"/>
        <w:spacing w:after="0" w:line="240" w:lineRule="auto"/>
        <w:ind w:left="0"/>
        <w:rPr>
          <w:rFonts w:ascii="Times New Roman" w:hAnsi="Times New Roman"/>
          <w:lang w:val="sk-SK"/>
        </w:rPr>
      </w:pPr>
      <w:r>
        <w:rPr>
          <w:rFonts w:ascii="Times New Roman" w:hAnsi="Times New Roman"/>
          <w:lang w:val="sk-SK"/>
        </w:rPr>
        <w:t>Môže byť potrebná úprava dávkovania antidiabetika (pozri časť 4.4).</w:t>
      </w:r>
    </w:p>
    <w:p w14:paraId="3B3B430B" w14:textId="77777777" w:rsidR="00582954" w:rsidRDefault="00582954">
      <w:pPr>
        <w:pStyle w:val="Odsekzoznamu"/>
        <w:widowControl w:val="0"/>
        <w:spacing w:after="0" w:line="240" w:lineRule="auto"/>
        <w:ind w:left="0"/>
        <w:rPr>
          <w:rFonts w:ascii="Times New Roman" w:hAnsi="Times New Roman"/>
          <w:lang w:val="sk-SK"/>
        </w:rPr>
      </w:pPr>
    </w:p>
    <w:p w14:paraId="6B87E2AC"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Metformín</w:t>
      </w:r>
    </w:p>
    <w:p w14:paraId="570FCCFB"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Metformín sa má používať s opatrnosťou: riziko laktátovej acidózy vyvolané možným funkčným zlyhaním obličiek má súvislosť s hydrochlórtiazidom.</w:t>
      </w:r>
    </w:p>
    <w:p w14:paraId="143793A0" w14:textId="77777777" w:rsidR="00582954" w:rsidRDefault="00582954">
      <w:pPr>
        <w:pStyle w:val="Odsekzoznamu"/>
        <w:widowControl w:val="0"/>
        <w:spacing w:after="0" w:line="240" w:lineRule="auto"/>
        <w:ind w:left="0"/>
        <w:rPr>
          <w:rFonts w:ascii="Times New Roman" w:hAnsi="Times New Roman"/>
          <w:lang w:val="sk-SK"/>
        </w:rPr>
      </w:pPr>
    </w:p>
    <w:p w14:paraId="33271DD1"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Cholestyramín a cholestipolové živice</w:t>
      </w:r>
    </w:p>
    <w:p w14:paraId="7EAFB9B5"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Absorpcia hydrochlórtiazidu je narušená prítomnosťou živíc na báze aniónových iónomeničov.</w:t>
      </w:r>
    </w:p>
    <w:p w14:paraId="36744C57" w14:textId="77777777" w:rsidR="00582954" w:rsidRDefault="00582954">
      <w:pPr>
        <w:pStyle w:val="Odsekzoznamu"/>
        <w:widowControl w:val="0"/>
        <w:spacing w:after="0" w:line="240" w:lineRule="auto"/>
        <w:ind w:left="0"/>
        <w:rPr>
          <w:rFonts w:ascii="Times New Roman" w:hAnsi="Times New Roman"/>
          <w:lang w:val="sk-SK"/>
        </w:rPr>
      </w:pPr>
    </w:p>
    <w:p w14:paraId="26A17B8D"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Nesteroidové protizápalové lieky</w:t>
      </w:r>
    </w:p>
    <w:p w14:paraId="1C0D90D0"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NSAID (t.j. acetylsalicylová kyselina v protizápalových dávkových režimoch, COX-2 inhibítory a neselektívne NSAID) môžu znížiť diuretické, natriuretické a antihypertenzné účinky tiazidových diuretík a antihypertenzné účinky blokátorov receptorov angiotenzínu II.</w:t>
      </w:r>
    </w:p>
    <w:p w14:paraId="4F794511"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U niektorých pacientov so zníženou funkciou obličiek (napr. dehydratovaní pacienti alebo starší pacienti so zníženou funkciou obličiek) súbežné podávanie blokátorov receptorov angiotenzínu II a liečiv inhibujúcich cyklooxygenázu môže viesť k ďalšiemu zhoršeniu funkcie obličiek, vrátane možného akútneho zlyhania obličiek, ktoré je zvyčajne reverzibilné. A preto sa táto kombinácia má podávať veľmi opatrne, obzvlášť u starších ľudí. Pacienti majú byť dostatočne hydratovaní, má sa zvážiť monitorovanie obličkových funkcií po začatí súbežnej liečby a pravidelne počas nej.</w:t>
      </w:r>
    </w:p>
    <w:p w14:paraId="7A5B7E48" w14:textId="77777777" w:rsidR="00582954" w:rsidRDefault="00582954">
      <w:pPr>
        <w:pStyle w:val="Odsekzoznamu"/>
        <w:widowControl w:val="0"/>
        <w:spacing w:after="0" w:line="240" w:lineRule="auto"/>
        <w:ind w:left="0"/>
        <w:rPr>
          <w:rFonts w:ascii="Times New Roman" w:hAnsi="Times New Roman"/>
          <w:lang w:val="sk-SK"/>
        </w:rPr>
      </w:pPr>
    </w:p>
    <w:p w14:paraId="23087995"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V jednej štúdii viedlo súbežné podávanie telmisartanu a ramiprilu k 2,5-násobnému zvýšeniu AUC</w:t>
      </w:r>
      <w:r>
        <w:rPr>
          <w:rFonts w:ascii="Times New Roman" w:hAnsi="Times New Roman"/>
          <w:vertAlign w:val="subscript"/>
          <w:lang w:val="sk-SK"/>
        </w:rPr>
        <w:t>0-24</w:t>
      </w:r>
      <w:r>
        <w:rPr>
          <w:rFonts w:ascii="Times New Roman" w:hAnsi="Times New Roman"/>
          <w:lang w:val="sk-SK"/>
        </w:rPr>
        <w:t xml:space="preserve"> a C</w:t>
      </w:r>
      <w:r>
        <w:rPr>
          <w:rFonts w:ascii="Times New Roman" w:hAnsi="Times New Roman"/>
          <w:vertAlign w:val="subscript"/>
          <w:lang w:val="sk-SK"/>
        </w:rPr>
        <w:t>max</w:t>
      </w:r>
      <w:r>
        <w:rPr>
          <w:rFonts w:ascii="Times New Roman" w:hAnsi="Times New Roman"/>
          <w:lang w:val="sk-SK"/>
        </w:rPr>
        <w:t xml:space="preserve"> ramiprilu a ramiprilátu. Klinický význam tohto pozorovania nie je známy.</w:t>
      </w:r>
    </w:p>
    <w:p w14:paraId="172D127D" w14:textId="77777777" w:rsidR="00582954" w:rsidRDefault="00582954">
      <w:pPr>
        <w:pStyle w:val="Odsekzoznamu"/>
        <w:widowControl w:val="0"/>
        <w:spacing w:after="0" w:line="240" w:lineRule="auto"/>
        <w:ind w:left="0"/>
        <w:rPr>
          <w:rFonts w:ascii="Times New Roman" w:hAnsi="Times New Roman"/>
          <w:lang w:val="sk-SK"/>
        </w:rPr>
      </w:pPr>
    </w:p>
    <w:p w14:paraId="372AF238"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Presorické amíny (napr. noradrenalín)</w:t>
      </w:r>
    </w:p>
    <w:p w14:paraId="059B19A7"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Účinok presorických amínov môže byť znížený.</w:t>
      </w:r>
    </w:p>
    <w:p w14:paraId="2A33BDD6" w14:textId="77777777" w:rsidR="00582954" w:rsidRDefault="00582954">
      <w:pPr>
        <w:pStyle w:val="Odsekzoznamu"/>
        <w:widowControl w:val="0"/>
        <w:spacing w:after="0" w:line="240" w:lineRule="auto"/>
        <w:ind w:left="0"/>
        <w:rPr>
          <w:rFonts w:ascii="Times New Roman" w:hAnsi="Times New Roman"/>
          <w:lang w:val="sk-SK"/>
        </w:rPr>
      </w:pPr>
    </w:p>
    <w:p w14:paraId="1E068DFD"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Nedepolarizujúce relaxanciá kostrového svalstva (napr. tubokurarín)</w:t>
      </w:r>
    </w:p>
    <w:p w14:paraId="7C81F52E"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Účinok nedepolarizujúcich relaxancií kostrového svalstva môže byť hydrochlórtiazidom zosilnený.</w:t>
      </w:r>
    </w:p>
    <w:p w14:paraId="20A7D07C" w14:textId="77777777" w:rsidR="00582954" w:rsidRDefault="00582954">
      <w:pPr>
        <w:pStyle w:val="Odsekzoznamu"/>
        <w:widowControl w:val="0"/>
        <w:spacing w:after="0" w:line="240" w:lineRule="auto"/>
        <w:ind w:left="0"/>
        <w:rPr>
          <w:rFonts w:ascii="Times New Roman" w:hAnsi="Times New Roman"/>
          <w:lang w:val="sk-SK"/>
        </w:rPr>
      </w:pPr>
    </w:p>
    <w:p w14:paraId="60F5F8BD"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Lieky používané pri liečbe dny (napr. probenecid, sulfínpyrazón, alopurinol)</w:t>
      </w:r>
    </w:p>
    <w:p w14:paraId="575466BE" w14:textId="77777777" w:rsidR="00582954" w:rsidRDefault="00645977">
      <w:pPr>
        <w:pStyle w:val="Odsekzoznamu"/>
        <w:widowControl w:val="0"/>
        <w:spacing w:after="0" w:line="240" w:lineRule="auto"/>
        <w:ind w:left="0" w:right="190"/>
        <w:rPr>
          <w:rFonts w:ascii="Times New Roman" w:hAnsi="Times New Roman"/>
          <w:lang w:val="sk-SK"/>
        </w:rPr>
      </w:pPr>
      <w:r>
        <w:rPr>
          <w:rFonts w:ascii="Times New Roman" w:hAnsi="Times New Roman"/>
          <w:lang w:val="sk-SK"/>
        </w:rPr>
        <w:t>Môže byť potrebná úprava dávkovania urikozurík, pretože hydrochlórtiazid môže zvyšovať hladinu kyseliny močovej v sére. Môže byť potrebné zvýšenie dávky probenecidu alebo sulfínpyrazónu. Súbežné podávanie tiazidu môže zvýšiť výskyt reakcií z precitlivenosti na alopurinol.</w:t>
      </w:r>
    </w:p>
    <w:p w14:paraId="5BF65912" w14:textId="77777777" w:rsidR="00582954" w:rsidRDefault="00582954">
      <w:pPr>
        <w:pStyle w:val="Odsekzoznamu"/>
        <w:widowControl w:val="0"/>
        <w:spacing w:after="0" w:line="240" w:lineRule="auto"/>
        <w:ind w:left="0"/>
        <w:rPr>
          <w:rFonts w:ascii="Times New Roman" w:hAnsi="Times New Roman"/>
          <w:lang w:val="sk-SK"/>
        </w:rPr>
      </w:pPr>
    </w:p>
    <w:p w14:paraId="14C3DD69"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Soli vápnika</w:t>
      </w:r>
    </w:p>
    <w:p w14:paraId="3911BEC4"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Tiazidové diuretiká môžu zvýšiť hladinu sérového vápnika z dôvodu zníženého vylučovania. Ak sa musia predpísať náhrady vápnika alebo lieky šetriace vápnik (napr. liečba vitamínom D), musia sa sledovať hladiny sérového vápnika a podľa toho upraviť dávku vápnika.</w:t>
      </w:r>
    </w:p>
    <w:p w14:paraId="78D032D3" w14:textId="77777777" w:rsidR="00582954" w:rsidRDefault="00582954">
      <w:pPr>
        <w:pStyle w:val="Odsekzoznamu"/>
        <w:widowControl w:val="0"/>
        <w:spacing w:after="0" w:line="240" w:lineRule="auto"/>
        <w:ind w:left="0"/>
        <w:rPr>
          <w:rFonts w:ascii="Times New Roman" w:hAnsi="Times New Roman"/>
          <w:lang w:val="sk-SK"/>
        </w:rPr>
      </w:pPr>
    </w:p>
    <w:p w14:paraId="663ACFBF"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Betablokátory a diazoxid</w:t>
      </w:r>
    </w:p>
    <w:p w14:paraId="7940BF67"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Hyperglykemizujúci účinok betablokátorov a diazoxidu môže byť tiazidmi zosilnený.</w:t>
      </w:r>
    </w:p>
    <w:p w14:paraId="43FBDDA3" w14:textId="77777777" w:rsidR="00582954" w:rsidRDefault="00582954">
      <w:pPr>
        <w:pStyle w:val="Odsekzoznamu"/>
        <w:widowControl w:val="0"/>
        <w:spacing w:after="0" w:line="240" w:lineRule="auto"/>
        <w:ind w:left="0"/>
        <w:rPr>
          <w:rFonts w:ascii="Times New Roman" w:hAnsi="Times New Roman"/>
          <w:lang w:val="sk-SK"/>
        </w:rPr>
      </w:pPr>
    </w:p>
    <w:p w14:paraId="30727C93"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u w:val="single"/>
          <w:lang w:val="sk-SK"/>
        </w:rPr>
        <w:t>Anticholínergné látky</w:t>
      </w:r>
      <w:r>
        <w:rPr>
          <w:rFonts w:ascii="Times New Roman" w:hAnsi="Times New Roman"/>
          <w:lang w:val="sk-SK"/>
        </w:rPr>
        <w:t xml:space="preserve"> (napr. atropín, biperiden) môžu zvýšiť biologickú dostupnosť diuretík tiazidového typu znížením gastrointestinálnej motility a rýchlosti vyprázdnenia žalúdka.</w:t>
      </w:r>
    </w:p>
    <w:p w14:paraId="3321DC62" w14:textId="77777777" w:rsidR="00582954" w:rsidRDefault="00582954">
      <w:pPr>
        <w:pStyle w:val="Odsekzoznamu"/>
        <w:widowControl w:val="0"/>
        <w:spacing w:after="0" w:line="240" w:lineRule="auto"/>
        <w:ind w:left="0"/>
        <w:rPr>
          <w:rFonts w:ascii="Times New Roman" w:hAnsi="Times New Roman"/>
          <w:lang w:val="sk-SK"/>
        </w:rPr>
      </w:pPr>
    </w:p>
    <w:p w14:paraId="3510724B"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Amantadín</w:t>
      </w:r>
    </w:p>
    <w:p w14:paraId="52FD8727"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Tiazidy môžu zvýšiť riziko nežiaducich účinkov zapríčinených amantadínom.</w:t>
      </w:r>
    </w:p>
    <w:p w14:paraId="6336D030" w14:textId="77777777" w:rsidR="00582954" w:rsidRDefault="00582954">
      <w:pPr>
        <w:pStyle w:val="Odsekzoznamu"/>
        <w:widowControl w:val="0"/>
        <w:spacing w:after="0" w:line="240" w:lineRule="auto"/>
        <w:ind w:left="0"/>
        <w:rPr>
          <w:rFonts w:ascii="Times New Roman" w:hAnsi="Times New Roman"/>
          <w:lang w:val="sk-SK"/>
        </w:rPr>
      </w:pPr>
    </w:p>
    <w:p w14:paraId="48DDA64A"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u w:val="single"/>
          <w:lang w:val="sk-SK"/>
        </w:rPr>
        <w:t>Cytotoxické látky</w:t>
      </w:r>
      <w:r>
        <w:rPr>
          <w:rFonts w:ascii="Times New Roman" w:hAnsi="Times New Roman"/>
          <w:lang w:val="sk-SK"/>
        </w:rPr>
        <w:t xml:space="preserve"> (napr. cyklofosfamid, metotrexát)</w:t>
      </w:r>
    </w:p>
    <w:p w14:paraId="7A415173"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lastRenderedPageBreak/>
        <w:t>Tiazidy môžu znížiť renálne vylučovanie cytotoxických liekov a potenciovať ich myelosupresívne účinky.</w:t>
      </w:r>
    </w:p>
    <w:p w14:paraId="36DEB08C" w14:textId="77777777" w:rsidR="00582954" w:rsidRDefault="00582954">
      <w:pPr>
        <w:pStyle w:val="Odsekzoznamu"/>
        <w:widowControl w:val="0"/>
        <w:spacing w:after="0" w:line="240" w:lineRule="auto"/>
        <w:ind w:left="0"/>
        <w:rPr>
          <w:rFonts w:ascii="Times New Roman" w:hAnsi="Times New Roman"/>
          <w:lang w:val="sk-SK"/>
        </w:rPr>
      </w:pPr>
    </w:p>
    <w:p w14:paraId="1827C9CC" w14:textId="77777777" w:rsidR="00582954" w:rsidRDefault="00645977">
      <w:pPr>
        <w:pStyle w:val="Odsekzoznamu"/>
        <w:widowControl w:val="0"/>
        <w:spacing w:after="0" w:line="240" w:lineRule="auto"/>
        <w:ind w:left="0" w:right="-94"/>
        <w:rPr>
          <w:rFonts w:ascii="Times New Roman" w:hAnsi="Times New Roman"/>
          <w:lang w:val="sk-SK"/>
        </w:rPr>
      </w:pPr>
      <w:r>
        <w:rPr>
          <w:rFonts w:ascii="Times New Roman" w:hAnsi="Times New Roman"/>
          <w:lang w:val="sk-SK"/>
        </w:rPr>
        <w:t>Na základe ich farmakologických vlastností sa dá očakávať, že nasledovné lieky môžu zosilniť hypotenzné účinky všetkých antihypertenzív vrátane telmisartanu: baklofén, amiostín.</w:t>
      </w:r>
    </w:p>
    <w:p w14:paraId="49754FE8"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Navyše, ortostatická hypotenzia môže byť zhoršená alkoholom, barbiturátmi narkotikami alebo antidepresívami.</w:t>
      </w:r>
    </w:p>
    <w:p w14:paraId="348744FC" w14:textId="77777777" w:rsidR="00582954" w:rsidRDefault="00582954">
      <w:pPr>
        <w:pStyle w:val="Odsekzoznamu"/>
        <w:widowControl w:val="0"/>
        <w:spacing w:after="0" w:line="240" w:lineRule="auto"/>
        <w:ind w:left="0"/>
        <w:rPr>
          <w:rFonts w:ascii="Times New Roman" w:hAnsi="Times New Roman"/>
          <w:lang w:val="sk-SK"/>
        </w:rPr>
      </w:pPr>
    </w:p>
    <w:p w14:paraId="446E38E2" w14:textId="77777777" w:rsidR="00582954" w:rsidRDefault="00645977">
      <w:pPr>
        <w:pStyle w:val="Odsekzoznamu"/>
        <w:widowControl w:val="0"/>
        <w:tabs>
          <w:tab w:val="left" w:pos="567"/>
        </w:tabs>
        <w:spacing w:after="0" w:line="240" w:lineRule="auto"/>
        <w:ind w:left="0"/>
        <w:rPr>
          <w:rFonts w:ascii="Times New Roman" w:hAnsi="Times New Roman"/>
          <w:b/>
          <w:lang w:val="sk-SK"/>
        </w:rPr>
      </w:pPr>
      <w:r>
        <w:rPr>
          <w:rFonts w:ascii="Times New Roman" w:hAnsi="Times New Roman"/>
          <w:b/>
          <w:lang w:val="sk-SK"/>
        </w:rPr>
        <w:t>4.6</w:t>
      </w:r>
      <w:r>
        <w:rPr>
          <w:rFonts w:ascii="Times New Roman" w:hAnsi="Times New Roman"/>
          <w:b/>
          <w:lang w:val="sk-SK"/>
        </w:rPr>
        <w:tab/>
        <w:t>Fertilita, gravidita a laktácia</w:t>
      </w:r>
    </w:p>
    <w:p w14:paraId="53891EED" w14:textId="77777777" w:rsidR="00582954" w:rsidRDefault="00582954">
      <w:pPr>
        <w:pStyle w:val="Odsekzoznamu"/>
        <w:widowControl w:val="0"/>
        <w:spacing w:after="0" w:line="240" w:lineRule="auto"/>
        <w:ind w:left="0"/>
        <w:rPr>
          <w:rFonts w:ascii="Times New Roman" w:hAnsi="Times New Roman"/>
          <w:b/>
          <w:lang w:val="sk-SK"/>
        </w:rPr>
      </w:pPr>
    </w:p>
    <w:p w14:paraId="4E74485B"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Gravidita</w:t>
      </w:r>
    </w:p>
    <w:p w14:paraId="5E08B83A" w14:textId="77777777" w:rsidR="00582954" w:rsidRDefault="00582954">
      <w:pPr>
        <w:pStyle w:val="Odsekzoznamu"/>
        <w:widowControl w:val="0"/>
        <w:spacing w:after="0" w:line="240" w:lineRule="auto"/>
        <w:ind w:left="0"/>
        <w:rPr>
          <w:rFonts w:ascii="Times New Roman" w:hAnsi="Times New Roman"/>
          <w:u w:val="single"/>
          <w:lang w:val="sk-SK"/>
        </w:rPr>
      </w:pPr>
    </w:p>
    <w:p w14:paraId="0F907BDD" w14:textId="77777777" w:rsidR="00582954" w:rsidRDefault="00645977">
      <w:pPr>
        <w:pStyle w:val="Odsekzoznamu"/>
        <w:widowControl w:val="0"/>
        <w:pBdr>
          <w:top w:val="single" w:sz="4" w:space="1" w:color="auto"/>
          <w:left w:val="single" w:sz="4" w:space="4" w:color="auto"/>
          <w:bottom w:val="single" w:sz="4" w:space="1" w:color="auto"/>
          <w:right w:val="single" w:sz="4" w:space="4" w:color="auto"/>
        </w:pBdr>
        <w:spacing w:after="0" w:line="240" w:lineRule="auto"/>
        <w:ind w:left="0" w:right="332"/>
        <w:rPr>
          <w:rFonts w:ascii="Times New Roman" w:hAnsi="Times New Roman"/>
          <w:lang w:val="sk-SK"/>
        </w:rPr>
      </w:pPr>
      <w:r>
        <w:rPr>
          <w:rFonts w:ascii="Times New Roman" w:hAnsi="Times New Roman"/>
          <w:lang w:val="sk-SK"/>
        </w:rPr>
        <w:t>Použitie blokátorov receptorov angiotenzínu II sa neodporúča počas prvého trimestra gravidity (pozri časť 4.4). Použitie blokátorov receptorov angiotenzínu II je kontraindikované počas druhého a tretieho trimestra gravidity (pozri časti 4.3 a 4.4).</w:t>
      </w:r>
    </w:p>
    <w:p w14:paraId="34EC8B40" w14:textId="77777777" w:rsidR="00582954" w:rsidRDefault="00582954">
      <w:pPr>
        <w:pStyle w:val="Odsekzoznamu"/>
        <w:widowControl w:val="0"/>
        <w:spacing w:after="0" w:line="240" w:lineRule="auto"/>
        <w:ind w:left="0"/>
        <w:rPr>
          <w:rFonts w:ascii="Times New Roman" w:hAnsi="Times New Roman"/>
          <w:lang w:val="sk-SK"/>
        </w:rPr>
      </w:pPr>
    </w:p>
    <w:p w14:paraId="71A6F867"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 xml:space="preserve">Nie sú k dispozícii dostatočné údaje o použití </w:t>
      </w:r>
      <w:r>
        <w:rPr>
          <w:rFonts w:ascii="Times New Roman" w:hAnsi="Times New Roman"/>
          <w:snapToGrid w:val="0"/>
          <w:lang w:eastAsia="cs-CZ"/>
        </w:rPr>
        <w:t>telmisartanu/</w:t>
      </w:r>
      <w:r>
        <w:rPr>
          <w:rFonts w:ascii="Times New Roman" w:hAnsi="Times New Roman"/>
          <w:lang w:val="sk-SK"/>
        </w:rPr>
        <w:t>hydrochlórtiazidu u gravidných žien. Štúdie na zvieratách preukázali reprodukčnú toxicitu (pozri časť 5.3).</w:t>
      </w:r>
    </w:p>
    <w:p w14:paraId="2D9485AC" w14:textId="77777777" w:rsidR="00582954" w:rsidRDefault="00582954">
      <w:pPr>
        <w:pStyle w:val="Odsekzoznamu"/>
        <w:widowControl w:val="0"/>
        <w:spacing w:after="0" w:line="240" w:lineRule="auto"/>
        <w:ind w:left="0"/>
        <w:rPr>
          <w:rFonts w:ascii="Times New Roman" w:hAnsi="Times New Roman"/>
          <w:lang w:val="sk-SK"/>
        </w:rPr>
      </w:pPr>
    </w:p>
    <w:p w14:paraId="35D8F3DF" w14:textId="77777777" w:rsidR="00582954" w:rsidRDefault="00645977">
      <w:pPr>
        <w:pStyle w:val="Odsekzoznamu"/>
        <w:widowControl w:val="0"/>
        <w:spacing w:after="0" w:line="240" w:lineRule="auto"/>
        <w:ind w:left="0" w:right="-235"/>
        <w:rPr>
          <w:rFonts w:ascii="Times New Roman" w:hAnsi="Times New Roman"/>
          <w:lang w:val="sk-SK"/>
        </w:rPr>
      </w:pPr>
      <w:r>
        <w:rPr>
          <w:rFonts w:ascii="Times New Roman" w:hAnsi="Times New Roman"/>
          <w:lang w:val="sk-SK"/>
        </w:rPr>
        <w:t>Epidemiologické dôkazy týkajúce sa rizika teratogenity po vystavení účinku ACE inhibítorov počas prvého trimestra gravidity nie sú preukázané; malé zvýšenie rizika však nemožno vylúčiť. Keďže nie sú k dispozícii žiadne kontrolované epidemiologické údaje o riziku pri blokátoroch receptorov angiotenzínu II, pre túto triedu liečiv môžu existovať podobné riziká. Ak nie je pokračovanie liečby blokátormi receptorov angiotenzínu II považované za nevyhnutné, pacientky plánujúce graviditu majú prejsť na alternatívnu antihypertenznú liečbu, ktorá má preukázaný bezpečnostný profil pri použití v gravidite. Ak sa gravidita potvrdí, liečba blokátormi receptorov angiotenzínu II sa musí okamžite ukončiť a ak je vhodné, má sa začať alternatívna liečba.</w:t>
      </w:r>
    </w:p>
    <w:p w14:paraId="5F108A6D" w14:textId="77777777" w:rsidR="00582954" w:rsidRDefault="00582954">
      <w:pPr>
        <w:pStyle w:val="Odsekzoznamu"/>
        <w:widowControl w:val="0"/>
        <w:spacing w:after="0" w:line="240" w:lineRule="auto"/>
        <w:ind w:left="0"/>
        <w:rPr>
          <w:rFonts w:ascii="Times New Roman" w:hAnsi="Times New Roman"/>
          <w:lang w:val="sk-SK"/>
        </w:rPr>
      </w:pPr>
    </w:p>
    <w:p w14:paraId="189B5E54"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Expozícia liečbe blokátormi receptorov angiotenzínu II počas druhého a tretieho trimestra je známa tým, že indukuje fetotoxicitu u ľudí (znížená funkcia obličiek, oligohydramnión, retardácia osifikácie lebky) a neonatálnu toxicitu (renálne zlyhanie, hypotenzia, hyperkaliémia) (pozri časť 5.3). Ak došlo od druhého trimestra gravidity k vystaveniu účinkom blokátorov receptorov angiotenzínu II, odporúča sa ultrazvukové vyšetrenie funkcie obličiek a lebky.</w:t>
      </w:r>
    </w:p>
    <w:p w14:paraId="1B7E711E"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Novorodenci, ktorých matky užívali blokátory receptorov angiotenzínu II majú byť starostlivo sledovaní z dôvodu hypotenzie (pozri časti 4.3 a 4.4).</w:t>
      </w:r>
    </w:p>
    <w:p w14:paraId="5CC65301" w14:textId="77777777" w:rsidR="00582954" w:rsidRDefault="00582954">
      <w:pPr>
        <w:pStyle w:val="Odsekzoznamu"/>
        <w:widowControl w:val="0"/>
        <w:spacing w:after="0" w:line="240" w:lineRule="auto"/>
        <w:ind w:left="0"/>
        <w:rPr>
          <w:rFonts w:ascii="Times New Roman" w:hAnsi="Times New Roman"/>
          <w:lang w:val="sk-SK"/>
        </w:rPr>
      </w:pPr>
    </w:p>
    <w:p w14:paraId="3F6B35AA"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S užívaním hydrochlórtiazidu počas gravidity sú len obmedzené skúsenosti, obzvlášť počas prvého trimestra. Štúdie na zvieratách sú nedostatočné. Hydrochlórtiazid prechádza placentou. Vychádzajúc z farmakologického mechanizmu účinku hydrochlórtiazidu môže jeho užívanie počas druhého a tretieho trimestra znížiť fetálnu a placentárnu perfúziu a môže mať následky na plod a novorodenca ako je ikterus, porucha elektrolytickej rovnováhy a trombocytopénia.</w:t>
      </w:r>
    </w:p>
    <w:p w14:paraId="0EF68E9B"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Hydrochlórtiazid sa nemá používať pri gestačnom edéme, gestačnej hypertenzii alebo preeklampsii kvôli riziku zníženého objemu plazmy a hypoperfúzii placenty, bez pozitívneho účinku na priebeh ochorenia.</w:t>
      </w:r>
    </w:p>
    <w:p w14:paraId="23C98D9A" w14:textId="77777777" w:rsidR="00582954" w:rsidRDefault="00582954">
      <w:pPr>
        <w:pStyle w:val="Odsekzoznamu"/>
        <w:widowControl w:val="0"/>
        <w:spacing w:after="0" w:line="240" w:lineRule="auto"/>
        <w:ind w:left="0"/>
        <w:rPr>
          <w:rFonts w:ascii="Times New Roman" w:hAnsi="Times New Roman"/>
          <w:lang w:val="sk-SK"/>
        </w:rPr>
      </w:pPr>
    </w:p>
    <w:p w14:paraId="064A16C1"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Hydrochlórtiazid sa nemá užívať pri esenciálnej hypertenzii u tehotných žien s výnimkou zriedkavých prípadov, kedy sa nedá použiť žiadna iná liečba.</w:t>
      </w:r>
    </w:p>
    <w:p w14:paraId="63579A5E" w14:textId="77777777" w:rsidR="00582954" w:rsidRDefault="00582954">
      <w:pPr>
        <w:pStyle w:val="Odsekzoznamu"/>
        <w:widowControl w:val="0"/>
        <w:spacing w:after="0" w:line="240" w:lineRule="auto"/>
        <w:ind w:left="0"/>
        <w:rPr>
          <w:rFonts w:ascii="Times New Roman" w:hAnsi="Times New Roman"/>
          <w:lang w:val="sk-SK"/>
        </w:rPr>
      </w:pPr>
    </w:p>
    <w:p w14:paraId="32C9E117"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Dojčenie</w:t>
      </w:r>
    </w:p>
    <w:p w14:paraId="05CCFA23"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Keďže nie sú dostupné informácie o používaní telmisartanu/hydrochlórtiazidu počas dojčenia, telmisartan/hydrochlórtiazid sa neodporúča a má sa použiť alternatívna liečba s vhodnejším bezpečnostným profilom pre obdobie dojčenia, zvlášť pri dojčení novorodencov a predčasne narodených detí.</w:t>
      </w:r>
    </w:p>
    <w:p w14:paraId="23A4CED5" w14:textId="77777777" w:rsidR="00582954" w:rsidRDefault="00582954">
      <w:pPr>
        <w:pStyle w:val="Odsekzoznamu"/>
        <w:widowControl w:val="0"/>
        <w:spacing w:after="0" w:line="240" w:lineRule="auto"/>
        <w:ind w:left="0"/>
        <w:rPr>
          <w:rFonts w:ascii="Times New Roman" w:hAnsi="Times New Roman"/>
          <w:lang w:val="sk-SK"/>
        </w:rPr>
      </w:pPr>
    </w:p>
    <w:p w14:paraId="049F8B1D"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 xml:space="preserve">Hydrochlórtiazid sa v malých množstvách vylučuje do ľudského materského mlieka. Tiazidy, ktoré vo </w:t>
      </w:r>
      <w:r>
        <w:rPr>
          <w:rFonts w:ascii="Times New Roman" w:hAnsi="Times New Roman"/>
          <w:lang w:val="sk-SK"/>
        </w:rPr>
        <w:lastRenderedPageBreak/>
        <w:t xml:space="preserve">vysokých dávkach spôsobujú intenzívnu diurézu, môžu utlmiť tvorbu mlieka. </w:t>
      </w:r>
    </w:p>
    <w:p w14:paraId="77A880D1"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Užívanie telmisartanu/hydrochlórtiazidu sa počas dojčenia neodporúča. Ak sa telmisartan/hydrochlórtiazid užíva počas dojčenia, dávky majú byť čo najnižšie.</w:t>
      </w:r>
    </w:p>
    <w:p w14:paraId="1662D55A" w14:textId="77777777" w:rsidR="00582954" w:rsidRDefault="00582954">
      <w:pPr>
        <w:pStyle w:val="Odsekzoznamu"/>
        <w:widowControl w:val="0"/>
        <w:spacing w:after="0" w:line="240" w:lineRule="auto"/>
        <w:ind w:left="0"/>
        <w:rPr>
          <w:rFonts w:ascii="Times New Roman" w:hAnsi="Times New Roman"/>
          <w:lang w:val="sk-SK"/>
        </w:rPr>
      </w:pPr>
    </w:p>
    <w:p w14:paraId="689FA83F"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Fertilita</w:t>
      </w:r>
    </w:p>
    <w:p w14:paraId="50066ED3"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Nevykonali sa žiadne štúdie fertility u ľudí s fixnou kombináciou dávok ani s jednotlivými zložkami. V predklinických štúdiách sa nepozorovali žiadne účinky telmisartanu a hydrochlórtiazidu na fertilitu samcov a samíc.</w:t>
      </w:r>
    </w:p>
    <w:p w14:paraId="21D66ABF" w14:textId="77777777" w:rsidR="00582954" w:rsidRDefault="00582954">
      <w:pPr>
        <w:widowControl w:val="0"/>
        <w:autoSpaceDE w:val="0"/>
        <w:autoSpaceDN w:val="0"/>
        <w:adjustRightInd w:val="0"/>
        <w:spacing w:after="0" w:line="240" w:lineRule="auto"/>
        <w:rPr>
          <w:rFonts w:ascii="Times New Roman" w:hAnsi="Times New Roman"/>
          <w:lang w:val="sk-SK"/>
        </w:rPr>
      </w:pPr>
    </w:p>
    <w:p w14:paraId="39C9EFEA" w14:textId="77777777" w:rsidR="00582954" w:rsidRDefault="00645977">
      <w:pPr>
        <w:pStyle w:val="Odsekzoznamu"/>
        <w:widowControl w:val="0"/>
        <w:tabs>
          <w:tab w:val="left" w:pos="567"/>
        </w:tabs>
        <w:spacing w:after="0" w:line="240" w:lineRule="auto"/>
        <w:ind w:left="0"/>
        <w:rPr>
          <w:rFonts w:ascii="Times New Roman" w:hAnsi="Times New Roman"/>
          <w:b/>
          <w:lang w:val="sk-SK"/>
        </w:rPr>
      </w:pPr>
      <w:r>
        <w:rPr>
          <w:rFonts w:ascii="Times New Roman" w:hAnsi="Times New Roman"/>
          <w:b/>
          <w:lang w:val="sk-SK"/>
        </w:rPr>
        <w:t>4.7</w:t>
      </w:r>
      <w:r>
        <w:rPr>
          <w:rFonts w:ascii="Times New Roman" w:hAnsi="Times New Roman"/>
          <w:b/>
          <w:lang w:val="sk-SK"/>
        </w:rPr>
        <w:tab/>
        <w:t>Ovplyvnenie schopnosti viesť vozidlá a obsluhovať stroje</w:t>
      </w:r>
    </w:p>
    <w:p w14:paraId="1305A546" w14:textId="77777777" w:rsidR="00582954" w:rsidRDefault="00582954">
      <w:pPr>
        <w:pStyle w:val="Odsekzoznamu"/>
        <w:widowControl w:val="0"/>
        <w:spacing w:after="0" w:line="240" w:lineRule="auto"/>
        <w:ind w:left="0"/>
        <w:rPr>
          <w:rFonts w:ascii="Times New Roman" w:hAnsi="Times New Roman"/>
          <w:lang w:val="sk-SK"/>
        </w:rPr>
      </w:pPr>
    </w:p>
    <w:p w14:paraId="5AA229EC"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 xml:space="preserve">Tolucombi môže mať vplyv na schopnosť viesť vozidlá a obsluhovať stroje. Pri užívaní </w:t>
      </w:r>
      <w:r>
        <w:rPr>
          <w:rFonts w:ascii="Times New Roman" w:hAnsi="Times New Roman"/>
        </w:rPr>
        <w:t xml:space="preserve">antihypertenznej liečby, ako je </w:t>
      </w:r>
      <w:r>
        <w:rPr>
          <w:rFonts w:ascii="Times New Roman" w:hAnsi="Times New Roman"/>
          <w:lang w:val="sk-SK"/>
        </w:rPr>
        <w:t>telmisartan/hydrochlórtiazid, sa občas môže vyskytnúť závrat, synkopa alebo vertigo.</w:t>
      </w:r>
    </w:p>
    <w:p w14:paraId="1A2F251E" w14:textId="77777777" w:rsidR="00582954" w:rsidRDefault="00582954">
      <w:pPr>
        <w:pStyle w:val="Odsekzoznamu"/>
        <w:widowControl w:val="0"/>
        <w:spacing w:after="0" w:line="240" w:lineRule="auto"/>
        <w:ind w:left="0"/>
        <w:rPr>
          <w:rFonts w:ascii="Times New Roman" w:hAnsi="Times New Roman"/>
          <w:lang w:val="sk-SK"/>
        </w:rPr>
      </w:pPr>
    </w:p>
    <w:p w14:paraId="1DAFB655" w14:textId="77777777" w:rsidR="00582954" w:rsidRDefault="00645977">
      <w:pPr>
        <w:pStyle w:val="Odsekzoznamu"/>
        <w:widowControl w:val="0"/>
        <w:spacing w:after="0" w:line="240" w:lineRule="auto"/>
        <w:ind w:left="0"/>
        <w:rPr>
          <w:rFonts w:ascii="Times New Roman" w:hAnsi="Times New Roman"/>
          <w:snapToGrid w:val="0"/>
          <w:lang w:eastAsia="cs-CZ"/>
        </w:rPr>
      </w:pPr>
      <w:r>
        <w:rPr>
          <w:rFonts w:ascii="Times New Roman" w:hAnsi="Times New Roman"/>
          <w:snapToGrid w:val="0"/>
          <w:lang w:eastAsia="cs-CZ"/>
        </w:rPr>
        <w:t>Ak sa u pacientov vyskytnú tieto nežiaduce udalosti, majú sa vyhnúť potenciálne nebezpečným úlohám, ako je vedenie vozidiel alebo obsluha strojov</w:t>
      </w:r>
    </w:p>
    <w:p w14:paraId="78F2AAD3" w14:textId="77777777" w:rsidR="00582954" w:rsidRDefault="00582954">
      <w:pPr>
        <w:pStyle w:val="Odsekzoznamu"/>
        <w:widowControl w:val="0"/>
        <w:spacing w:after="0" w:line="240" w:lineRule="auto"/>
        <w:ind w:left="0"/>
        <w:rPr>
          <w:rFonts w:ascii="Times New Roman" w:hAnsi="Times New Roman"/>
          <w:lang w:val="sk-SK"/>
        </w:rPr>
      </w:pPr>
    </w:p>
    <w:p w14:paraId="10905997" w14:textId="77777777" w:rsidR="00582954" w:rsidRDefault="00645977">
      <w:pPr>
        <w:pStyle w:val="Odsekzoznamu"/>
        <w:widowControl w:val="0"/>
        <w:tabs>
          <w:tab w:val="left" w:pos="567"/>
        </w:tabs>
        <w:spacing w:after="0" w:line="240" w:lineRule="auto"/>
        <w:ind w:left="0"/>
        <w:rPr>
          <w:rFonts w:ascii="Times New Roman" w:hAnsi="Times New Roman"/>
          <w:b/>
          <w:lang w:val="sk-SK"/>
        </w:rPr>
      </w:pPr>
      <w:r>
        <w:rPr>
          <w:rFonts w:ascii="Times New Roman" w:hAnsi="Times New Roman"/>
          <w:b/>
          <w:lang w:val="sk-SK"/>
        </w:rPr>
        <w:t>4.8</w:t>
      </w:r>
      <w:r>
        <w:rPr>
          <w:rFonts w:ascii="Times New Roman" w:hAnsi="Times New Roman"/>
          <w:b/>
          <w:lang w:val="sk-SK"/>
        </w:rPr>
        <w:tab/>
        <w:t>Nežiaduce účinky</w:t>
      </w:r>
    </w:p>
    <w:p w14:paraId="0CC9AFEE" w14:textId="77777777" w:rsidR="00582954" w:rsidRDefault="00582954">
      <w:pPr>
        <w:pStyle w:val="Odsekzoznamu"/>
        <w:widowControl w:val="0"/>
        <w:spacing w:after="0" w:line="240" w:lineRule="auto"/>
        <w:ind w:left="0"/>
        <w:rPr>
          <w:rFonts w:ascii="Times New Roman" w:hAnsi="Times New Roman"/>
          <w:lang w:val="sk-SK"/>
        </w:rPr>
      </w:pPr>
    </w:p>
    <w:p w14:paraId="306EE82C"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Súhrn profilu bezpečnosti</w:t>
      </w:r>
    </w:p>
    <w:p w14:paraId="29CDA7FE"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Najčastejšie hlásenou nežiaducou reakciou je závrat. Závažný angioedém sa môže vyskytnúť zriedkavo (≥ 1/10 000 až ≤ 1/1 000).</w:t>
      </w:r>
    </w:p>
    <w:p w14:paraId="51B2841A" w14:textId="77777777" w:rsidR="00582954" w:rsidRDefault="00582954">
      <w:pPr>
        <w:pStyle w:val="Odsekzoznamu"/>
        <w:widowControl w:val="0"/>
        <w:spacing w:after="0" w:line="240" w:lineRule="auto"/>
        <w:ind w:left="0"/>
        <w:rPr>
          <w:rFonts w:ascii="Times New Roman" w:hAnsi="Times New Roman"/>
          <w:lang w:val="sk-SK"/>
        </w:rPr>
      </w:pPr>
    </w:p>
    <w:p w14:paraId="4882C890"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Celkový výskyt nežiaducich reakcií hlásených pri telmisartane/hydrochlórtiazide 80 mg/25 mg bol porovnateľný s hlásenými pri telmisartane/hydrochlórtiazide 80 mg/12,5 mg. Nebola stanovená závislosť nežiaducich reakcií od dávky a nebola preukázaná súvislosť s pohlavím, vekom alebo rasou pacientov.</w:t>
      </w:r>
    </w:p>
    <w:p w14:paraId="5C552476" w14:textId="77777777" w:rsidR="00582954" w:rsidRDefault="00582954">
      <w:pPr>
        <w:pStyle w:val="Odsekzoznamu"/>
        <w:widowControl w:val="0"/>
        <w:spacing w:after="0" w:line="240" w:lineRule="auto"/>
        <w:ind w:left="0"/>
        <w:rPr>
          <w:rFonts w:ascii="Times New Roman" w:hAnsi="Times New Roman"/>
          <w:lang w:val="sk-SK"/>
        </w:rPr>
      </w:pPr>
    </w:p>
    <w:p w14:paraId="4964AF23"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Tabuľkový zoznam nežiaducich reakcií</w:t>
      </w:r>
    </w:p>
    <w:p w14:paraId="369FBD9D"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Nežiaduce reakcie hlásené vo všetkých klinických skúšaniach a vyskytujúce sa častejšie (p ≤ 0,05) pri kombinácii telmisartanu/hydrochlórtiazidu ako pri placebe, sú uvedené nižšie podľa triedy orgánových systémov. Nežiaduce reakcie, o ktorých je známe, že sa vyskytli pri každej zložke lieku podávanej samostatne, ale neboli pozorované v klinických skúšaniach, sa môžu vyskytnúť počas liečby telmisartanom/hydrochlórtiazidom.</w:t>
      </w:r>
    </w:p>
    <w:p w14:paraId="2939F918"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Nežiaduce reakcie, ktoré boli predtým hlásené pri jednotlivých zložkách, môžu byť potenciálne nežiaducimi reakciami pri Tolucombi, a to aj keď sa nepozorovali v klinických skúšaniach s týmto liekom.</w:t>
      </w:r>
    </w:p>
    <w:p w14:paraId="3015C504" w14:textId="77777777" w:rsidR="00582954" w:rsidRDefault="00582954">
      <w:pPr>
        <w:pStyle w:val="Odsekzoznamu"/>
        <w:widowControl w:val="0"/>
        <w:spacing w:after="0" w:line="240" w:lineRule="auto"/>
        <w:ind w:left="0"/>
        <w:rPr>
          <w:rFonts w:ascii="Times New Roman" w:hAnsi="Times New Roman"/>
          <w:lang w:val="sk-SK"/>
        </w:rPr>
      </w:pPr>
    </w:p>
    <w:p w14:paraId="4E34063D" w14:textId="77777777" w:rsidR="00582954" w:rsidRDefault="00645977">
      <w:pPr>
        <w:pStyle w:val="Odsekzoznamu"/>
        <w:widowControl w:val="0"/>
        <w:spacing w:after="0" w:line="240" w:lineRule="auto"/>
        <w:ind w:left="0" w:right="-94"/>
        <w:rPr>
          <w:rFonts w:ascii="Times New Roman" w:hAnsi="Times New Roman"/>
          <w:lang w:val="sk-SK"/>
        </w:rPr>
      </w:pPr>
      <w:r>
        <w:rPr>
          <w:rFonts w:ascii="Times New Roman" w:hAnsi="Times New Roman"/>
          <w:lang w:val="sk-SK"/>
        </w:rPr>
        <w:t>Nežiaduce reakcie sú zoradené podľa frekvencie výskytu s použitím nasledujúcej konvencie: veľmi časté (≥ 1/10); časté (≥ 1/100 až &lt; 1/10); menej časté (≥ 1/1 000 až &lt; 1/100); zriedkavé (≥ 1/10 000 až &lt; 1/1 000); veľmi zriedkavé (&lt; 1/10 000), neznáme (z dostupných údajov).</w:t>
      </w:r>
    </w:p>
    <w:p w14:paraId="3CE03F8E" w14:textId="77777777" w:rsidR="00582954" w:rsidRDefault="00582954">
      <w:pPr>
        <w:pStyle w:val="Odsekzoznamu"/>
        <w:widowControl w:val="0"/>
        <w:spacing w:after="0" w:line="240" w:lineRule="auto"/>
        <w:ind w:left="0"/>
        <w:rPr>
          <w:rFonts w:ascii="Times New Roman" w:hAnsi="Times New Roman"/>
          <w:lang w:val="sk-SK"/>
        </w:rPr>
      </w:pPr>
    </w:p>
    <w:p w14:paraId="01F30BEC"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V rámci jednotlivých skupín frekvencií výskytu sú nežiaduce reakcie usporiadané v poradí klesajúcej závažnosti.</w:t>
      </w:r>
    </w:p>
    <w:p w14:paraId="641D0E56" w14:textId="77777777" w:rsidR="00582954" w:rsidRDefault="00582954">
      <w:pPr>
        <w:pStyle w:val="Odsekzoznamu"/>
        <w:widowControl w:val="0"/>
        <w:spacing w:after="0" w:line="240" w:lineRule="auto"/>
        <w:ind w:left="0"/>
        <w:rPr>
          <w:rFonts w:ascii="Times New Roman" w:hAnsi="Times New Roman"/>
          <w:lang w:val="sk-SK"/>
        </w:rPr>
      </w:pPr>
    </w:p>
    <w:p w14:paraId="49BBDC86" w14:textId="77777777" w:rsidR="00582954" w:rsidRDefault="00645977">
      <w:pPr>
        <w:pStyle w:val="Odsekzoznamu"/>
        <w:widowControl w:val="0"/>
        <w:spacing w:after="0" w:line="240" w:lineRule="auto"/>
        <w:ind w:left="993" w:hanging="993"/>
        <w:rPr>
          <w:rFonts w:ascii="Times New Roman" w:hAnsi="Times New Roman"/>
          <w:lang w:val="sk-SK"/>
        </w:rPr>
      </w:pPr>
      <w:r>
        <w:rPr>
          <w:rFonts w:ascii="Times New Roman" w:hAnsi="Times New Roman"/>
          <w:u w:val="single"/>
          <w:lang w:val="sk-SK"/>
        </w:rPr>
        <w:t>Tabuľka 1</w:t>
      </w:r>
      <w:r>
        <w:rPr>
          <w:rFonts w:ascii="Times New Roman" w:hAnsi="Times New Roman"/>
          <w:lang w:val="sk-SK"/>
        </w:rPr>
        <w:t>: Tabuľkový zoznam nežiaducich reakcií (MedDRA) z placebom kontrolovaných skúšaní a skúseností po uvedení lieku na trh</w:t>
      </w:r>
    </w:p>
    <w:tbl>
      <w:tblPr>
        <w:tblW w:w="5203" w:type="pct"/>
        <w:jc w:val="center"/>
        <w:tblLayout w:type="fixed"/>
        <w:tblLook w:val="04A0" w:firstRow="1" w:lastRow="0" w:firstColumn="1" w:lastColumn="0" w:noHBand="0" w:noVBand="1"/>
      </w:tblPr>
      <w:tblGrid>
        <w:gridCol w:w="2477"/>
        <w:gridCol w:w="2312"/>
        <w:gridCol w:w="1668"/>
        <w:gridCol w:w="1609"/>
        <w:gridCol w:w="1658"/>
      </w:tblGrid>
      <w:tr w:rsidR="00582954" w14:paraId="01674497" w14:textId="77777777">
        <w:trPr>
          <w:trHeight w:val="290"/>
          <w:jc w:val="center"/>
        </w:trPr>
        <w:tc>
          <w:tcPr>
            <w:tcW w:w="2491" w:type="dxa"/>
            <w:vMerge w:val="restart"/>
            <w:tcBorders>
              <w:top w:val="single" w:sz="4" w:space="0" w:color="auto"/>
              <w:left w:val="single" w:sz="4" w:space="0" w:color="auto"/>
              <w:bottom w:val="single" w:sz="4" w:space="0" w:color="auto"/>
              <w:right w:val="single" w:sz="4" w:space="0" w:color="auto"/>
            </w:tcBorders>
            <w:hideMark/>
          </w:tcPr>
          <w:p w14:paraId="4707E502" w14:textId="77777777" w:rsidR="00582954" w:rsidRDefault="00645977">
            <w:pPr>
              <w:keepNext/>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MedDRA triedy orgánových systémov</w:t>
            </w:r>
          </w:p>
        </w:tc>
        <w:tc>
          <w:tcPr>
            <w:tcW w:w="2324" w:type="dxa"/>
            <w:vMerge w:val="restart"/>
            <w:tcBorders>
              <w:top w:val="single" w:sz="4" w:space="0" w:color="auto"/>
              <w:left w:val="single" w:sz="4" w:space="0" w:color="auto"/>
              <w:bottom w:val="single" w:sz="4" w:space="0" w:color="auto"/>
              <w:right w:val="single" w:sz="4" w:space="0" w:color="auto"/>
            </w:tcBorders>
            <w:hideMark/>
          </w:tcPr>
          <w:p w14:paraId="14E95FE3" w14:textId="77777777" w:rsidR="00582954" w:rsidRDefault="00645977">
            <w:pPr>
              <w:keepNext/>
              <w:spacing w:after="0" w:line="240" w:lineRule="auto"/>
              <w:rPr>
                <w:rFonts w:ascii="Times New Roman" w:hAnsi="Times New Roman"/>
                <w:b/>
                <w:bCs/>
                <w:snapToGrid w:val="0"/>
                <w:lang w:eastAsia="cs-CZ"/>
              </w:rPr>
            </w:pPr>
            <w:r>
              <w:rPr>
                <w:rFonts w:ascii="Times New Roman" w:hAnsi="Times New Roman"/>
                <w:b/>
                <w:bCs/>
                <w:snapToGrid w:val="0"/>
                <w:lang w:eastAsia="cs-CZ"/>
              </w:rPr>
              <w:t>Nežiaduca reakcia</w:t>
            </w:r>
          </w:p>
        </w:tc>
        <w:tc>
          <w:tcPr>
            <w:tcW w:w="4960" w:type="dxa"/>
            <w:gridSpan w:val="3"/>
            <w:tcBorders>
              <w:top w:val="single" w:sz="4" w:space="0" w:color="auto"/>
              <w:left w:val="single" w:sz="4" w:space="0" w:color="auto"/>
              <w:bottom w:val="single" w:sz="4" w:space="0" w:color="auto"/>
              <w:right w:val="single" w:sz="4" w:space="0" w:color="auto"/>
            </w:tcBorders>
            <w:vAlign w:val="bottom"/>
            <w:hideMark/>
          </w:tcPr>
          <w:p w14:paraId="581038FE" w14:textId="77777777" w:rsidR="00582954" w:rsidRDefault="00645977">
            <w:pPr>
              <w:keepNext/>
              <w:spacing w:after="0" w:line="240" w:lineRule="auto"/>
              <w:jc w:val="center"/>
              <w:rPr>
                <w:rFonts w:ascii="Times New Roman" w:hAnsi="Times New Roman"/>
                <w:b/>
                <w:bCs/>
                <w:snapToGrid w:val="0"/>
                <w:lang w:eastAsia="cs-CZ"/>
              </w:rPr>
            </w:pPr>
            <w:r>
              <w:rPr>
                <w:rFonts w:ascii="Times New Roman" w:hAnsi="Times New Roman"/>
                <w:b/>
                <w:bCs/>
                <w:snapToGrid w:val="0"/>
                <w:lang w:eastAsia="cs-CZ"/>
              </w:rPr>
              <w:t>Frekvencia</w:t>
            </w:r>
          </w:p>
        </w:tc>
      </w:tr>
      <w:tr w:rsidR="00582954" w14:paraId="03461168" w14:textId="77777777">
        <w:trPr>
          <w:trHeight w:val="290"/>
          <w:jc w:val="center"/>
        </w:trPr>
        <w:tc>
          <w:tcPr>
            <w:tcW w:w="2491" w:type="dxa"/>
            <w:vMerge/>
            <w:tcBorders>
              <w:top w:val="single" w:sz="4" w:space="0" w:color="auto"/>
              <w:left w:val="single" w:sz="4" w:space="0" w:color="auto"/>
              <w:bottom w:val="single" w:sz="4" w:space="0" w:color="auto"/>
              <w:right w:val="single" w:sz="4" w:space="0" w:color="auto"/>
            </w:tcBorders>
            <w:hideMark/>
          </w:tcPr>
          <w:p w14:paraId="71BEFFF0" w14:textId="77777777" w:rsidR="00582954" w:rsidRDefault="00582954">
            <w:pPr>
              <w:keepNext/>
              <w:spacing w:after="0" w:line="240" w:lineRule="auto"/>
              <w:ind w:right="-162"/>
              <w:rPr>
                <w:rFonts w:ascii="Times New Roman" w:hAnsi="Times New Roman"/>
                <w:b/>
                <w:bCs/>
                <w:snapToGrid w:val="0"/>
                <w:lang w:eastAsia="cs-CZ"/>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14:paraId="476D8509" w14:textId="77777777" w:rsidR="00582954" w:rsidRDefault="00582954">
            <w:pPr>
              <w:keepNext/>
              <w:spacing w:after="0" w:line="240" w:lineRule="auto"/>
              <w:rPr>
                <w:rFonts w:ascii="Times New Roman" w:hAnsi="Times New Roman"/>
                <w:b/>
                <w:bCs/>
                <w:snapToGrid w:val="0"/>
                <w:lang w:eastAsia="cs-CZ"/>
              </w:rPr>
            </w:pPr>
          </w:p>
        </w:tc>
        <w:tc>
          <w:tcPr>
            <w:tcW w:w="1677" w:type="dxa"/>
            <w:tcBorders>
              <w:top w:val="single" w:sz="4" w:space="0" w:color="auto"/>
              <w:left w:val="single" w:sz="4" w:space="0" w:color="auto"/>
              <w:bottom w:val="single" w:sz="4" w:space="0" w:color="auto"/>
              <w:right w:val="single" w:sz="4" w:space="0" w:color="auto"/>
            </w:tcBorders>
            <w:vAlign w:val="bottom"/>
            <w:hideMark/>
          </w:tcPr>
          <w:p w14:paraId="4F959065" w14:textId="77777777" w:rsidR="00582954" w:rsidRDefault="00645977">
            <w:pPr>
              <w:keepNext/>
              <w:spacing w:after="0" w:line="240" w:lineRule="auto"/>
              <w:ind w:left="-75" w:right="-251"/>
              <w:rPr>
                <w:rFonts w:ascii="Times New Roman" w:hAnsi="Times New Roman"/>
                <w:b/>
                <w:bCs/>
                <w:snapToGrid w:val="0"/>
                <w:lang w:eastAsia="cs-CZ"/>
              </w:rPr>
            </w:pPr>
            <w:r>
              <w:rPr>
                <w:rFonts w:ascii="Times New Roman" w:hAnsi="Times New Roman"/>
                <w:b/>
                <w:bCs/>
                <w:snapToGrid w:val="0"/>
                <w:lang w:eastAsia="cs-CZ"/>
              </w:rPr>
              <w:t>Telmisartan/ hydrochlórtiazid</w:t>
            </w:r>
          </w:p>
        </w:tc>
        <w:tc>
          <w:tcPr>
            <w:tcW w:w="1617" w:type="dxa"/>
            <w:tcBorders>
              <w:top w:val="single" w:sz="4" w:space="0" w:color="auto"/>
              <w:left w:val="single" w:sz="4" w:space="0" w:color="auto"/>
              <w:bottom w:val="single" w:sz="4" w:space="0" w:color="auto"/>
              <w:right w:val="single" w:sz="4" w:space="0" w:color="auto"/>
            </w:tcBorders>
            <w:vAlign w:val="bottom"/>
            <w:hideMark/>
          </w:tcPr>
          <w:p w14:paraId="37D162A3" w14:textId="77777777" w:rsidR="00582954" w:rsidRDefault="00645977">
            <w:pPr>
              <w:keepNext/>
              <w:spacing w:after="0" w:line="240" w:lineRule="auto"/>
              <w:rPr>
                <w:rFonts w:ascii="Times New Roman" w:hAnsi="Times New Roman"/>
                <w:b/>
                <w:bCs/>
                <w:snapToGrid w:val="0"/>
                <w:lang w:eastAsia="cs-CZ"/>
              </w:rPr>
            </w:pPr>
            <w:r>
              <w:rPr>
                <w:rFonts w:ascii="Times New Roman" w:hAnsi="Times New Roman"/>
                <w:b/>
                <w:bCs/>
                <w:snapToGrid w:val="0"/>
                <w:lang w:eastAsia="cs-CZ"/>
              </w:rPr>
              <w:t>Telmisartan</w:t>
            </w:r>
            <w:r>
              <w:rPr>
                <w:rFonts w:ascii="Times New Roman" w:hAnsi="Times New Roman"/>
                <w:b/>
                <w:bCs/>
                <w:snapToGrid w:val="0"/>
                <w:vertAlign w:val="superscript"/>
                <w:lang w:eastAsia="cs-CZ"/>
              </w:rPr>
              <w:t>a</w:t>
            </w:r>
          </w:p>
        </w:tc>
        <w:tc>
          <w:tcPr>
            <w:tcW w:w="1666" w:type="dxa"/>
            <w:tcBorders>
              <w:top w:val="single" w:sz="4" w:space="0" w:color="auto"/>
              <w:left w:val="single" w:sz="4" w:space="0" w:color="auto"/>
              <w:bottom w:val="single" w:sz="4" w:space="0" w:color="auto"/>
              <w:right w:val="single" w:sz="4" w:space="0" w:color="auto"/>
            </w:tcBorders>
            <w:vAlign w:val="bottom"/>
            <w:hideMark/>
          </w:tcPr>
          <w:p w14:paraId="76C1C8ED" w14:textId="77777777" w:rsidR="00582954" w:rsidRDefault="00645977">
            <w:pPr>
              <w:keepNext/>
              <w:spacing w:after="0" w:line="240" w:lineRule="auto"/>
              <w:ind w:right="-111" w:hanging="112"/>
              <w:rPr>
                <w:rFonts w:ascii="Times New Roman" w:hAnsi="Times New Roman"/>
                <w:b/>
                <w:bCs/>
                <w:snapToGrid w:val="0"/>
                <w:lang w:eastAsia="cs-CZ"/>
              </w:rPr>
            </w:pPr>
            <w:r>
              <w:rPr>
                <w:rFonts w:ascii="Times New Roman" w:hAnsi="Times New Roman"/>
                <w:b/>
                <w:bCs/>
                <w:snapToGrid w:val="0"/>
                <w:lang w:eastAsia="cs-CZ"/>
              </w:rPr>
              <w:t>Hydrochlórtiazid</w:t>
            </w:r>
          </w:p>
        </w:tc>
      </w:tr>
      <w:tr w:rsidR="00582954" w14:paraId="3C17A291" w14:textId="77777777">
        <w:trPr>
          <w:trHeight w:val="289"/>
          <w:jc w:val="center"/>
        </w:trPr>
        <w:tc>
          <w:tcPr>
            <w:tcW w:w="2491" w:type="dxa"/>
            <w:vMerge w:val="restart"/>
            <w:tcBorders>
              <w:top w:val="single" w:sz="4" w:space="0" w:color="auto"/>
              <w:left w:val="single" w:sz="4" w:space="0" w:color="auto"/>
              <w:right w:val="single" w:sz="4" w:space="0" w:color="auto"/>
            </w:tcBorders>
            <w:hideMark/>
          </w:tcPr>
          <w:p w14:paraId="32166613" w14:textId="77777777" w:rsidR="00582954" w:rsidRDefault="00645977">
            <w:pPr>
              <w:keepNext/>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Infekcie a nákazy</w:t>
            </w:r>
          </w:p>
        </w:tc>
        <w:tc>
          <w:tcPr>
            <w:tcW w:w="2324" w:type="dxa"/>
            <w:tcBorders>
              <w:top w:val="single" w:sz="4" w:space="0" w:color="auto"/>
              <w:left w:val="single" w:sz="4" w:space="0" w:color="auto"/>
              <w:bottom w:val="single" w:sz="4" w:space="0" w:color="auto"/>
              <w:right w:val="single" w:sz="4" w:space="0" w:color="auto"/>
            </w:tcBorders>
            <w:vAlign w:val="bottom"/>
            <w:hideMark/>
          </w:tcPr>
          <w:p w14:paraId="2056AF96" w14:textId="77777777" w:rsidR="00582954" w:rsidRDefault="00645977">
            <w:pPr>
              <w:keepNext/>
              <w:spacing w:after="0" w:line="240" w:lineRule="auto"/>
              <w:rPr>
                <w:rFonts w:ascii="Times New Roman" w:hAnsi="Times New Roman"/>
                <w:snapToGrid w:val="0"/>
                <w:lang w:eastAsia="cs-CZ"/>
              </w:rPr>
            </w:pPr>
            <w:r>
              <w:rPr>
                <w:rFonts w:ascii="Times New Roman" w:hAnsi="Times New Roman"/>
                <w:snapToGrid w:val="0"/>
                <w:lang w:eastAsia="cs-CZ"/>
              </w:rPr>
              <w:t>sepsa vrátane smrteľných následkov</w:t>
            </w:r>
          </w:p>
        </w:tc>
        <w:tc>
          <w:tcPr>
            <w:tcW w:w="1677" w:type="dxa"/>
            <w:tcBorders>
              <w:top w:val="single" w:sz="4" w:space="0" w:color="auto"/>
              <w:left w:val="single" w:sz="4" w:space="0" w:color="auto"/>
              <w:bottom w:val="single" w:sz="4" w:space="0" w:color="auto"/>
              <w:right w:val="single" w:sz="4" w:space="0" w:color="auto"/>
            </w:tcBorders>
            <w:vAlign w:val="bottom"/>
            <w:hideMark/>
          </w:tcPr>
          <w:p w14:paraId="389ADF51" w14:textId="77777777" w:rsidR="00582954" w:rsidRDefault="00582954">
            <w:pPr>
              <w:keepNext/>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2875E764" w14:textId="77777777" w:rsidR="00582954" w:rsidRDefault="00645977">
            <w:pPr>
              <w:keepNext/>
              <w:spacing w:after="0" w:line="240" w:lineRule="auto"/>
              <w:rPr>
                <w:rFonts w:ascii="Times New Roman" w:hAnsi="Times New Roman"/>
                <w:snapToGrid w:val="0"/>
                <w:lang w:eastAsia="cs-CZ"/>
              </w:rPr>
            </w:pPr>
            <w:r>
              <w:rPr>
                <w:rFonts w:ascii="Times New Roman" w:hAnsi="Times New Roman"/>
                <w:snapToGrid w:val="0"/>
                <w:lang w:eastAsia="cs-CZ"/>
              </w:rPr>
              <w:t>zriedkavé</w:t>
            </w:r>
            <w:r>
              <w:rPr>
                <w:rFonts w:ascii="Times New Roman" w:hAnsi="Times New Roman"/>
                <w:snapToGrid w:val="0"/>
                <w:vertAlign w:val="superscript"/>
                <w:lang w:eastAsia="cs-CZ"/>
              </w:rPr>
              <w:t>2</w:t>
            </w:r>
          </w:p>
        </w:tc>
        <w:tc>
          <w:tcPr>
            <w:tcW w:w="1666" w:type="dxa"/>
            <w:tcBorders>
              <w:top w:val="single" w:sz="4" w:space="0" w:color="auto"/>
              <w:left w:val="single" w:sz="4" w:space="0" w:color="auto"/>
              <w:bottom w:val="single" w:sz="4" w:space="0" w:color="auto"/>
              <w:right w:val="single" w:sz="4" w:space="0" w:color="auto"/>
            </w:tcBorders>
            <w:vAlign w:val="bottom"/>
            <w:hideMark/>
          </w:tcPr>
          <w:p w14:paraId="4E3AAD50" w14:textId="77777777" w:rsidR="00582954" w:rsidRDefault="00582954">
            <w:pPr>
              <w:keepNext/>
              <w:spacing w:after="0" w:line="240" w:lineRule="auto"/>
              <w:rPr>
                <w:rFonts w:ascii="Times New Roman" w:hAnsi="Times New Roman"/>
                <w:snapToGrid w:val="0"/>
                <w:lang w:eastAsia="cs-CZ"/>
              </w:rPr>
            </w:pPr>
          </w:p>
        </w:tc>
      </w:tr>
      <w:tr w:rsidR="00582954" w14:paraId="2EF09A84" w14:textId="77777777">
        <w:trPr>
          <w:trHeight w:val="289"/>
          <w:jc w:val="center"/>
        </w:trPr>
        <w:tc>
          <w:tcPr>
            <w:tcW w:w="2491" w:type="dxa"/>
            <w:vMerge/>
            <w:tcBorders>
              <w:left w:val="single" w:sz="4" w:space="0" w:color="auto"/>
              <w:right w:val="single" w:sz="4" w:space="0" w:color="auto"/>
            </w:tcBorders>
            <w:hideMark/>
          </w:tcPr>
          <w:p w14:paraId="71C4599B"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14AE93B6"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bronchitída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08655F19"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33FDFB7A"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31A55668" w14:textId="77777777" w:rsidR="00582954" w:rsidRDefault="00582954">
            <w:pPr>
              <w:spacing w:after="0" w:line="240" w:lineRule="auto"/>
              <w:rPr>
                <w:rFonts w:ascii="Times New Roman" w:hAnsi="Times New Roman"/>
                <w:snapToGrid w:val="0"/>
                <w:lang w:eastAsia="cs-CZ"/>
              </w:rPr>
            </w:pPr>
          </w:p>
        </w:tc>
      </w:tr>
      <w:tr w:rsidR="00582954" w14:paraId="1C54C564" w14:textId="77777777">
        <w:trPr>
          <w:trHeight w:val="289"/>
          <w:jc w:val="center"/>
        </w:trPr>
        <w:tc>
          <w:tcPr>
            <w:tcW w:w="2491" w:type="dxa"/>
            <w:vMerge/>
            <w:tcBorders>
              <w:left w:val="single" w:sz="4" w:space="0" w:color="auto"/>
              <w:right w:val="single" w:sz="4" w:space="0" w:color="auto"/>
            </w:tcBorders>
            <w:hideMark/>
          </w:tcPr>
          <w:p w14:paraId="5F647F69"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2D78C799"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faryngitída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0D8DF401"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19D67F6A"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54E2D00F" w14:textId="77777777" w:rsidR="00582954" w:rsidRDefault="00582954">
            <w:pPr>
              <w:spacing w:after="0" w:line="240" w:lineRule="auto"/>
              <w:rPr>
                <w:rFonts w:ascii="Times New Roman" w:hAnsi="Times New Roman"/>
                <w:snapToGrid w:val="0"/>
                <w:lang w:eastAsia="cs-CZ"/>
              </w:rPr>
            </w:pPr>
          </w:p>
        </w:tc>
      </w:tr>
      <w:tr w:rsidR="00582954" w14:paraId="707B2A64" w14:textId="77777777">
        <w:trPr>
          <w:trHeight w:val="289"/>
          <w:jc w:val="center"/>
        </w:trPr>
        <w:tc>
          <w:tcPr>
            <w:tcW w:w="2491" w:type="dxa"/>
            <w:vMerge/>
            <w:tcBorders>
              <w:left w:val="single" w:sz="4" w:space="0" w:color="auto"/>
              <w:right w:val="single" w:sz="4" w:space="0" w:color="auto"/>
            </w:tcBorders>
            <w:hideMark/>
          </w:tcPr>
          <w:p w14:paraId="7B253D0E"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5EA436F9"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sinusitída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5CDDD615"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456AC57C"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2C27086E" w14:textId="77777777" w:rsidR="00582954" w:rsidRDefault="00582954">
            <w:pPr>
              <w:spacing w:after="0" w:line="240" w:lineRule="auto"/>
              <w:rPr>
                <w:rFonts w:ascii="Times New Roman" w:hAnsi="Times New Roman"/>
                <w:snapToGrid w:val="0"/>
                <w:lang w:eastAsia="cs-CZ"/>
              </w:rPr>
            </w:pPr>
          </w:p>
        </w:tc>
      </w:tr>
      <w:tr w:rsidR="00582954" w14:paraId="423610A1" w14:textId="77777777">
        <w:trPr>
          <w:trHeight w:val="289"/>
          <w:jc w:val="center"/>
        </w:trPr>
        <w:tc>
          <w:tcPr>
            <w:tcW w:w="2491" w:type="dxa"/>
            <w:vMerge/>
            <w:tcBorders>
              <w:left w:val="single" w:sz="4" w:space="0" w:color="auto"/>
              <w:right w:val="single" w:sz="4" w:space="0" w:color="auto"/>
            </w:tcBorders>
            <w:hideMark/>
          </w:tcPr>
          <w:p w14:paraId="401634A4"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2EEE4A3A"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infekcia horných dýchacích ciest</w:t>
            </w:r>
          </w:p>
        </w:tc>
        <w:tc>
          <w:tcPr>
            <w:tcW w:w="1677" w:type="dxa"/>
            <w:tcBorders>
              <w:top w:val="single" w:sz="4" w:space="0" w:color="auto"/>
              <w:left w:val="single" w:sz="4" w:space="0" w:color="auto"/>
              <w:bottom w:val="single" w:sz="4" w:space="0" w:color="auto"/>
              <w:right w:val="single" w:sz="4" w:space="0" w:color="auto"/>
            </w:tcBorders>
            <w:vAlign w:val="bottom"/>
            <w:hideMark/>
          </w:tcPr>
          <w:p w14:paraId="06A253F6"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1C7BC362"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53035739" w14:textId="77777777" w:rsidR="00582954" w:rsidRDefault="00582954">
            <w:pPr>
              <w:spacing w:after="0" w:line="240" w:lineRule="auto"/>
              <w:rPr>
                <w:rFonts w:ascii="Times New Roman" w:hAnsi="Times New Roman"/>
                <w:snapToGrid w:val="0"/>
                <w:lang w:eastAsia="cs-CZ"/>
              </w:rPr>
            </w:pPr>
          </w:p>
        </w:tc>
      </w:tr>
      <w:tr w:rsidR="00582954" w14:paraId="74F4C000" w14:textId="77777777">
        <w:trPr>
          <w:trHeight w:val="289"/>
          <w:jc w:val="center"/>
        </w:trPr>
        <w:tc>
          <w:tcPr>
            <w:tcW w:w="2491" w:type="dxa"/>
            <w:vMerge/>
            <w:tcBorders>
              <w:left w:val="single" w:sz="4" w:space="0" w:color="auto"/>
              <w:right w:val="single" w:sz="4" w:space="0" w:color="auto"/>
            </w:tcBorders>
          </w:tcPr>
          <w:p w14:paraId="2F28D20C"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tcPr>
          <w:p w14:paraId="4C0EDCDE"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infekcia močových ciest</w:t>
            </w:r>
          </w:p>
        </w:tc>
        <w:tc>
          <w:tcPr>
            <w:tcW w:w="1677" w:type="dxa"/>
            <w:tcBorders>
              <w:top w:val="single" w:sz="4" w:space="0" w:color="auto"/>
              <w:left w:val="single" w:sz="4" w:space="0" w:color="auto"/>
              <w:bottom w:val="single" w:sz="4" w:space="0" w:color="auto"/>
              <w:right w:val="single" w:sz="4" w:space="0" w:color="auto"/>
            </w:tcBorders>
            <w:vAlign w:val="bottom"/>
          </w:tcPr>
          <w:p w14:paraId="713C0790"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tcPr>
          <w:p w14:paraId="26FB1421"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tcPr>
          <w:p w14:paraId="093FF05C" w14:textId="77777777" w:rsidR="00582954" w:rsidRDefault="00582954">
            <w:pPr>
              <w:spacing w:after="0" w:line="240" w:lineRule="auto"/>
              <w:ind w:left="-112" w:right="-111"/>
              <w:rPr>
                <w:rFonts w:ascii="Times New Roman" w:hAnsi="Times New Roman"/>
                <w:snapToGrid w:val="0"/>
                <w:lang w:eastAsia="cs-CZ"/>
              </w:rPr>
            </w:pPr>
          </w:p>
        </w:tc>
      </w:tr>
      <w:tr w:rsidR="00582954" w14:paraId="234959AB" w14:textId="77777777">
        <w:trPr>
          <w:trHeight w:val="289"/>
          <w:jc w:val="center"/>
        </w:trPr>
        <w:tc>
          <w:tcPr>
            <w:tcW w:w="2491" w:type="dxa"/>
            <w:vMerge/>
            <w:tcBorders>
              <w:left w:val="single" w:sz="4" w:space="0" w:color="auto"/>
              <w:bottom w:val="single" w:sz="4" w:space="0" w:color="auto"/>
              <w:right w:val="single" w:sz="4" w:space="0" w:color="auto"/>
            </w:tcBorders>
            <w:hideMark/>
          </w:tcPr>
          <w:p w14:paraId="6C76C43F"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235395A8"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cystitída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58A10FBE"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35E5D154"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4C9C4D2B" w14:textId="77777777" w:rsidR="00582954" w:rsidRDefault="00582954">
            <w:pPr>
              <w:spacing w:after="0" w:line="240" w:lineRule="auto"/>
              <w:rPr>
                <w:rFonts w:ascii="Times New Roman" w:hAnsi="Times New Roman"/>
                <w:snapToGrid w:val="0"/>
                <w:lang w:eastAsia="cs-CZ"/>
              </w:rPr>
            </w:pPr>
          </w:p>
        </w:tc>
      </w:tr>
      <w:tr w:rsidR="00582954" w14:paraId="3D1F6D5F" w14:textId="77777777">
        <w:trPr>
          <w:trHeight w:val="289"/>
          <w:jc w:val="center"/>
        </w:trPr>
        <w:tc>
          <w:tcPr>
            <w:tcW w:w="2491" w:type="dxa"/>
            <w:tcBorders>
              <w:top w:val="single" w:sz="4" w:space="0" w:color="auto"/>
              <w:left w:val="single" w:sz="4" w:space="0" w:color="auto"/>
              <w:bottom w:val="single" w:sz="4" w:space="0" w:color="auto"/>
              <w:right w:val="single" w:sz="4" w:space="0" w:color="auto"/>
            </w:tcBorders>
            <w:hideMark/>
          </w:tcPr>
          <w:p w14:paraId="5001AFF0"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Benígne a malígne nádory, vrátane nešpecifikovaných novotvarov (cysty a polypy)</w:t>
            </w:r>
          </w:p>
        </w:tc>
        <w:tc>
          <w:tcPr>
            <w:tcW w:w="2324" w:type="dxa"/>
            <w:tcBorders>
              <w:top w:val="single" w:sz="4" w:space="0" w:color="auto"/>
              <w:left w:val="single" w:sz="4" w:space="0" w:color="auto"/>
              <w:bottom w:val="single" w:sz="4" w:space="0" w:color="auto"/>
              <w:right w:val="single" w:sz="4" w:space="0" w:color="auto"/>
            </w:tcBorders>
            <w:vAlign w:val="bottom"/>
            <w:hideMark/>
          </w:tcPr>
          <w:p w14:paraId="6BC77A94" w14:textId="77777777" w:rsidR="00582954" w:rsidRDefault="00645977">
            <w:pPr>
              <w:spacing w:after="0" w:line="240" w:lineRule="auto"/>
              <w:ind w:right="-110"/>
              <w:rPr>
                <w:rFonts w:ascii="Times New Roman" w:hAnsi="Times New Roman"/>
                <w:snapToGrid w:val="0"/>
                <w:lang w:eastAsia="cs-CZ"/>
              </w:rPr>
            </w:pPr>
            <w:r>
              <w:rPr>
                <w:rFonts w:ascii="Times New Roman" w:hAnsi="Times New Roman"/>
              </w:rPr>
              <w:t>nemelanómová rakovina kože (bazocelulárny karcinóm a skvamocelulárny karcinóm)</w:t>
            </w:r>
          </w:p>
        </w:tc>
        <w:tc>
          <w:tcPr>
            <w:tcW w:w="1677" w:type="dxa"/>
            <w:tcBorders>
              <w:top w:val="single" w:sz="4" w:space="0" w:color="auto"/>
              <w:left w:val="single" w:sz="4" w:space="0" w:color="auto"/>
              <w:bottom w:val="single" w:sz="4" w:space="0" w:color="auto"/>
              <w:right w:val="single" w:sz="4" w:space="0" w:color="auto"/>
            </w:tcBorders>
            <w:vAlign w:val="bottom"/>
            <w:hideMark/>
          </w:tcPr>
          <w:p w14:paraId="5EB66B49"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173EC28A"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5DB9D4A4"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neznáme</w:t>
            </w:r>
            <w:r>
              <w:rPr>
                <w:rFonts w:ascii="Times New Roman" w:hAnsi="Times New Roman"/>
                <w:snapToGrid w:val="0"/>
                <w:vertAlign w:val="superscript"/>
                <w:lang w:eastAsia="cs-CZ"/>
              </w:rPr>
              <w:t>2</w:t>
            </w:r>
          </w:p>
        </w:tc>
      </w:tr>
      <w:tr w:rsidR="00582954" w14:paraId="5BD53D72" w14:textId="77777777">
        <w:trPr>
          <w:trHeight w:val="289"/>
          <w:jc w:val="center"/>
        </w:trPr>
        <w:tc>
          <w:tcPr>
            <w:tcW w:w="2491" w:type="dxa"/>
            <w:vMerge w:val="restart"/>
            <w:tcBorders>
              <w:top w:val="single" w:sz="4" w:space="0" w:color="auto"/>
              <w:left w:val="single" w:sz="4" w:space="0" w:color="auto"/>
              <w:right w:val="single" w:sz="4" w:space="0" w:color="auto"/>
            </w:tcBorders>
            <w:hideMark/>
          </w:tcPr>
          <w:p w14:paraId="79B3AE86" w14:textId="77777777" w:rsidR="00582954" w:rsidRDefault="00645977">
            <w:pPr>
              <w:keepNext/>
              <w:keepLines/>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Poruchy krvi a lymfatického systému</w:t>
            </w:r>
          </w:p>
        </w:tc>
        <w:tc>
          <w:tcPr>
            <w:tcW w:w="2324" w:type="dxa"/>
            <w:tcBorders>
              <w:top w:val="single" w:sz="4" w:space="0" w:color="auto"/>
              <w:left w:val="single" w:sz="4" w:space="0" w:color="auto"/>
              <w:bottom w:val="single" w:sz="4" w:space="0" w:color="auto"/>
              <w:right w:val="single" w:sz="4" w:space="0" w:color="auto"/>
            </w:tcBorders>
            <w:vAlign w:val="bottom"/>
            <w:hideMark/>
          </w:tcPr>
          <w:p w14:paraId="7D3B42C9" w14:textId="77777777" w:rsidR="00582954" w:rsidRDefault="00645977">
            <w:pPr>
              <w:keepNext/>
              <w:keepLines/>
              <w:spacing w:after="0" w:line="240" w:lineRule="auto"/>
              <w:rPr>
                <w:rFonts w:ascii="Times New Roman" w:hAnsi="Times New Roman"/>
              </w:rPr>
            </w:pPr>
            <w:r>
              <w:rPr>
                <w:rFonts w:ascii="Times New Roman" w:hAnsi="Times New Roman"/>
              </w:rPr>
              <w:t>anémia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657E1FD0" w14:textId="77777777" w:rsidR="00582954" w:rsidRDefault="00582954">
            <w:pPr>
              <w:keepNext/>
              <w:keepLines/>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32976613"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7533B5E0" w14:textId="77777777" w:rsidR="00582954" w:rsidRDefault="00582954">
            <w:pPr>
              <w:keepNext/>
              <w:keepLines/>
              <w:spacing w:after="0" w:line="240" w:lineRule="auto"/>
              <w:rPr>
                <w:rFonts w:ascii="Times New Roman" w:hAnsi="Times New Roman"/>
                <w:snapToGrid w:val="0"/>
                <w:lang w:eastAsia="cs-CZ"/>
              </w:rPr>
            </w:pPr>
          </w:p>
        </w:tc>
      </w:tr>
      <w:tr w:rsidR="00582954" w14:paraId="6F7559F0" w14:textId="77777777">
        <w:trPr>
          <w:trHeight w:val="289"/>
          <w:jc w:val="center"/>
        </w:trPr>
        <w:tc>
          <w:tcPr>
            <w:tcW w:w="2491" w:type="dxa"/>
            <w:vMerge/>
            <w:tcBorders>
              <w:left w:val="single" w:sz="4" w:space="0" w:color="auto"/>
              <w:right w:val="single" w:sz="4" w:space="0" w:color="auto"/>
            </w:tcBorders>
            <w:hideMark/>
          </w:tcPr>
          <w:p w14:paraId="1EA32DFC" w14:textId="77777777" w:rsidR="00582954" w:rsidRDefault="00582954">
            <w:pPr>
              <w:keepNext/>
              <w:keepLines/>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7527E1C7"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rPr>
              <w:t>eozinofília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160D8934" w14:textId="77777777" w:rsidR="00582954" w:rsidRDefault="00582954">
            <w:pPr>
              <w:keepNext/>
              <w:keepLines/>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205557C0"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05141BA6" w14:textId="77777777" w:rsidR="00582954" w:rsidRDefault="00582954">
            <w:pPr>
              <w:keepNext/>
              <w:keepLines/>
              <w:spacing w:after="0" w:line="240" w:lineRule="auto"/>
              <w:rPr>
                <w:rFonts w:ascii="Times New Roman" w:hAnsi="Times New Roman"/>
                <w:snapToGrid w:val="0"/>
                <w:lang w:eastAsia="cs-CZ"/>
              </w:rPr>
            </w:pPr>
          </w:p>
        </w:tc>
      </w:tr>
      <w:tr w:rsidR="00582954" w14:paraId="64E67B6B" w14:textId="77777777">
        <w:trPr>
          <w:trHeight w:val="289"/>
          <w:jc w:val="center"/>
        </w:trPr>
        <w:tc>
          <w:tcPr>
            <w:tcW w:w="2491" w:type="dxa"/>
            <w:vMerge/>
            <w:tcBorders>
              <w:left w:val="single" w:sz="4" w:space="0" w:color="auto"/>
              <w:right w:val="single" w:sz="4" w:space="0" w:color="auto"/>
            </w:tcBorders>
            <w:hideMark/>
          </w:tcPr>
          <w:p w14:paraId="04083398" w14:textId="77777777" w:rsidR="00582954" w:rsidRDefault="00582954">
            <w:pPr>
              <w:keepNext/>
              <w:keepLines/>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49AFF4CE"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rPr>
              <w:t>trombocytopénia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7E4F7194" w14:textId="77777777" w:rsidR="00582954" w:rsidRDefault="00582954">
            <w:pPr>
              <w:keepNext/>
              <w:keepLines/>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48C52670"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4E607146"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6248731D" w14:textId="77777777">
        <w:trPr>
          <w:trHeight w:val="289"/>
          <w:jc w:val="center"/>
        </w:trPr>
        <w:tc>
          <w:tcPr>
            <w:tcW w:w="2491" w:type="dxa"/>
            <w:vMerge/>
            <w:tcBorders>
              <w:left w:val="single" w:sz="4" w:space="0" w:color="auto"/>
              <w:right w:val="single" w:sz="4" w:space="0" w:color="auto"/>
            </w:tcBorders>
            <w:hideMark/>
          </w:tcPr>
          <w:p w14:paraId="7919B4C6" w14:textId="77777777" w:rsidR="00582954" w:rsidRDefault="00582954">
            <w:pPr>
              <w:keepNext/>
              <w:keepLines/>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6A390843"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trombocytopenická purpura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28FEE7C1" w14:textId="77777777" w:rsidR="00582954" w:rsidRDefault="00582954">
            <w:pPr>
              <w:keepNext/>
              <w:keepLines/>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560DA2CA" w14:textId="77777777" w:rsidR="00582954" w:rsidRDefault="00582954">
            <w:pPr>
              <w:keepNext/>
              <w:keepLines/>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642B0AC1"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1C79AFFB" w14:textId="77777777">
        <w:trPr>
          <w:trHeight w:val="289"/>
          <w:jc w:val="center"/>
        </w:trPr>
        <w:tc>
          <w:tcPr>
            <w:tcW w:w="2491" w:type="dxa"/>
            <w:vMerge/>
            <w:tcBorders>
              <w:left w:val="single" w:sz="4" w:space="0" w:color="auto"/>
              <w:right w:val="single" w:sz="4" w:space="0" w:color="auto"/>
            </w:tcBorders>
            <w:hideMark/>
          </w:tcPr>
          <w:p w14:paraId="10751A0C" w14:textId="77777777" w:rsidR="00582954" w:rsidRDefault="00582954">
            <w:pPr>
              <w:keepNext/>
              <w:keepLines/>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7774F128"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rPr>
              <w:t>aplastická anémia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5C549194" w14:textId="77777777" w:rsidR="00582954" w:rsidRDefault="00582954">
            <w:pPr>
              <w:keepNext/>
              <w:keepLines/>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3361B2F5" w14:textId="77777777" w:rsidR="00582954" w:rsidRDefault="00582954">
            <w:pPr>
              <w:keepNext/>
              <w:keepLines/>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461B32D3"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neznáme</w:t>
            </w:r>
          </w:p>
        </w:tc>
      </w:tr>
      <w:tr w:rsidR="00582954" w14:paraId="25C7625B" w14:textId="77777777">
        <w:trPr>
          <w:trHeight w:val="289"/>
          <w:jc w:val="center"/>
        </w:trPr>
        <w:tc>
          <w:tcPr>
            <w:tcW w:w="2491" w:type="dxa"/>
            <w:vMerge/>
            <w:tcBorders>
              <w:left w:val="single" w:sz="4" w:space="0" w:color="auto"/>
              <w:right w:val="single" w:sz="4" w:space="0" w:color="auto"/>
            </w:tcBorders>
            <w:hideMark/>
          </w:tcPr>
          <w:p w14:paraId="0360F62C" w14:textId="77777777" w:rsidR="00582954" w:rsidRDefault="00582954">
            <w:pPr>
              <w:keepNext/>
              <w:keepLines/>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39D09C20"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rPr>
              <w:t>hemolytická anémia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13023C90" w14:textId="77777777" w:rsidR="00582954" w:rsidRDefault="00582954">
            <w:pPr>
              <w:keepNext/>
              <w:keepLines/>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57DA17FC" w14:textId="77777777" w:rsidR="00582954" w:rsidRDefault="00582954">
            <w:pPr>
              <w:keepNext/>
              <w:keepLines/>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64D6F6CF"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veľmi zriedkavé</w:t>
            </w:r>
          </w:p>
        </w:tc>
      </w:tr>
      <w:tr w:rsidR="00582954" w14:paraId="5DC1FB16" w14:textId="77777777">
        <w:trPr>
          <w:trHeight w:val="289"/>
          <w:jc w:val="center"/>
        </w:trPr>
        <w:tc>
          <w:tcPr>
            <w:tcW w:w="2491" w:type="dxa"/>
            <w:vMerge/>
            <w:tcBorders>
              <w:left w:val="single" w:sz="4" w:space="0" w:color="auto"/>
              <w:right w:val="single" w:sz="4" w:space="0" w:color="auto"/>
            </w:tcBorders>
            <w:hideMark/>
          </w:tcPr>
          <w:p w14:paraId="6D14F9E6" w14:textId="77777777" w:rsidR="00582954" w:rsidRDefault="00582954">
            <w:pPr>
              <w:keepNext/>
              <w:keepLines/>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58C3D946"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rPr>
              <w:t>zlyhanie kostnej drene</w:t>
            </w:r>
          </w:p>
        </w:tc>
        <w:tc>
          <w:tcPr>
            <w:tcW w:w="1677" w:type="dxa"/>
            <w:tcBorders>
              <w:top w:val="single" w:sz="4" w:space="0" w:color="auto"/>
              <w:left w:val="single" w:sz="4" w:space="0" w:color="auto"/>
              <w:bottom w:val="single" w:sz="4" w:space="0" w:color="auto"/>
              <w:right w:val="single" w:sz="4" w:space="0" w:color="auto"/>
            </w:tcBorders>
            <w:vAlign w:val="bottom"/>
            <w:hideMark/>
          </w:tcPr>
          <w:p w14:paraId="6C7341D8" w14:textId="77777777" w:rsidR="00582954" w:rsidRDefault="00582954">
            <w:pPr>
              <w:keepNext/>
              <w:keepLines/>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1CB1FF7F" w14:textId="77777777" w:rsidR="00582954" w:rsidRDefault="00582954">
            <w:pPr>
              <w:keepNext/>
              <w:keepLines/>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73A360B5"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veľmi zriedkavé</w:t>
            </w:r>
          </w:p>
        </w:tc>
      </w:tr>
      <w:tr w:rsidR="00582954" w14:paraId="6F6BDD3E" w14:textId="77777777">
        <w:trPr>
          <w:trHeight w:val="289"/>
          <w:jc w:val="center"/>
        </w:trPr>
        <w:tc>
          <w:tcPr>
            <w:tcW w:w="2491" w:type="dxa"/>
            <w:vMerge/>
            <w:tcBorders>
              <w:left w:val="single" w:sz="4" w:space="0" w:color="auto"/>
              <w:right w:val="single" w:sz="4" w:space="0" w:color="auto"/>
            </w:tcBorders>
            <w:hideMark/>
          </w:tcPr>
          <w:p w14:paraId="75CA543B" w14:textId="77777777" w:rsidR="00582954" w:rsidRDefault="00582954">
            <w:pPr>
              <w:keepNext/>
              <w:keepLines/>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6E0E4215"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rPr>
              <w:t>leukopénia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340A1A23" w14:textId="77777777" w:rsidR="00582954" w:rsidRDefault="00582954">
            <w:pPr>
              <w:keepNext/>
              <w:keepLines/>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029989F5" w14:textId="77777777" w:rsidR="00582954" w:rsidRDefault="00582954">
            <w:pPr>
              <w:keepNext/>
              <w:keepLines/>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574E3C4B"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veľmi zriedkavé</w:t>
            </w:r>
          </w:p>
        </w:tc>
      </w:tr>
      <w:tr w:rsidR="00582954" w14:paraId="113C9CFF" w14:textId="77777777">
        <w:trPr>
          <w:trHeight w:val="289"/>
          <w:jc w:val="center"/>
        </w:trPr>
        <w:tc>
          <w:tcPr>
            <w:tcW w:w="2491" w:type="dxa"/>
            <w:vMerge/>
            <w:tcBorders>
              <w:left w:val="single" w:sz="4" w:space="0" w:color="auto"/>
              <w:bottom w:val="single" w:sz="4" w:space="0" w:color="auto"/>
              <w:right w:val="single" w:sz="4" w:space="0" w:color="auto"/>
            </w:tcBorders>
            <w:hideMark/>
          </w:tcPr>
          <w:p w14:paraId="181375C2" w14:textId="77777777" w:rsidR="00582954" w:rsidRDefault="00582954">
            <w:pPr>
              <w:keepNext/>
              <w:keepLines/>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3D994C0C"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rPr>
              <w:t>agranulocytóza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3D074785" w14:textId="77777777" w:rsidR="00582954" w:rsidRDefault="00582954">
            <w:pPr>
              <w:keepNext/>
              <w:keepLines/>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5B4F8704" w14:textId="77777777" w:rsidR="00582954" w:rsidRDefault="00582954">
            <w:pPr>
              <w:keepNext/>
              <w:keepLines/>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14FB8C28"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veľmi zriedkavé</w:t>
            </w:r>
          </w:p>
        </w:tc>
      </w:tr>
      <w:tr w:rsidR="00582954" w14:paraId="155EA556" w14:textId="77777777">
        <w:trPr>
          <w:trHeight w:val="289"/>
          <w:jc w:val="center"/>
        </w:trPr>
        <w:tc>
          <w:tcPr>
            <w:tcW w:w="2491" w:type="dxa"/>
            <w:vMerge w:val="restart"/>
            <w:tcBorders>
              <w:top w:val="single" w:sz="4" w:space="0" w:color="auto"/>
              <w:left w:val="single" w:sz="4" w:space="0" w:color="auto"/>
              <w:right w:val="single" w:sz="4" w:space="0" w:color="auto"/>
            </w:tcBorders>
            <w:hideMark/>
          </w:tcPr>
          <w:p w14:paraId="5D5F9A88"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Poruchy imunitného systému</w:t>
            </w:r>
          </w:p>
        </w:tc>
        <w:tc>
          <w:tcPr>
            <w:tcW w:w="2324" w:type="dxa"/>
            <w:tcBorders>
              <w:top w:val="single" w:sz="4" w:space="0" w:color="auto"/>
              <w:left w:val="single" w:sz="4" w:space="0" w:color="auto"/>
              <w:bottom w:val="single" w:sz="4" w:space="0" w:color="auto"/>
              <w:right w:val="single" w:sz="4" w:space="0" w:color="auto"/>
            </w:tcBorders>
            <w:vAlign w:val="bottom"/>
          </w:tcPr>
          <w:p w14:paraId="37B84094" w14:textId="77777777" w:rsidR="00582954" w:rsidRDefault="00645977">
            <w:pPr>
              <w:spacing w:after="0" w:line="240" w:lineRule="auto"/>
              <w:rPr>
                <w:rFonts w:ascii="Times New Roman" w:hAnsi="Times New Roman"/>
                <w:snapToGrid w:val="0"/>
                <w:lang w:eastAsia="cs-CZ"/>
              </w:rPr>
            </w:pPr>
            <w:r>
              <w:rPr>
                <w:rFonts w:ascii="Times New Roman" w:hAnsi="Times New Roman"/>
              </w:rPr>
              <w:t>anafylaktická reakcia</w:t>
            </w:r>
          </w:p>
        </w:tc>
        <w:tc>
          <w:tcPr>
            <w:tcW w:w="1677" w:type="dxa"/>
            <w:tcBorders>
              <w:top w:val="single" w:sz="4" w:space="0" w:color="auto"/>
              <w:left w:val="single" w:sz="4" w:space="0" w:color="auto"/>
              <w:bottom w:val="single" w:sz="4" w:space="0" w:color="auto"/>
              <w:right w:val="single" w:sz="4" w:space="0" w:color="auto"/>
            </w:tcBorders>
            <w:vAlign w:val="bottom"/>
          </w:tcPr>
          <w:p w14:paraId="32923A32"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tcPr>
          <w:p w14:paraId="2ECF4E22"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tcPr>
          <w:p w14:paraId="61F52A25" w14:textId="77777777" w:rsidR="00582954" w:rsidRDefault="00582954">
            <w:pPr>
              <w:spacing w:after="0" w:line="240" w:lineRule="auto"/>
              <w:rPr>
                <w:rFonts w:ascii="Times New Roman" w:hAnsi="Times New Roman"/>
                <w:snapToGrid w:val="0"/>
                <w:lang w:eastAsia="cs-CZ"/>
              </w:rPr>
            </w:pPr>
          </w:p>
        </w:tc>
      </w:tr>
      <w:tr w:rsidR="00582954" w14:paraId="790722C2" w14:textId="77777777">
        <w:trPr>
          <w:trHeight w:val="289"/>
          <w:jc w:val="center"/>
        </w:trPr>
        <w:tc>
          <w:tcPr>
            <w:tcW w:w="2491" w:type="dxa"/>
            <w:vMerge/>
            <w:tcBorders>
              <w:left w:val="single" w:sz="4" w:space="0" w:color="auto"/>
              <w:right w:val="single" w:sz="4" w:space="0" w:color="auto"/>
            </w:tcBorders>
          </w:tcPr>
          <w:p w14:paraId="6AF98A30" w14:textId="77777777" w:rsidR="00582954" w:rsidRDefault="00582954">
            <w:pPr>
              <w:spacing w:after="0" w:line="240" w:lineRule="auto"/>
              <w:ind w:right="-162"/>
              <w:rPr>
                <w:rFonts w:ascii="Times New Roman" w:hAnsi="Times New Roman"/>
                <w:b/>
                <w:bCs/>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tcPr>
          <w:p w14:paraId="02374B40" w14:textId="77777777" w:rsidR="00582954" w:rsidRDefault="00645977">
            <w:pPr>
              <w:spacing w:after="0" w:line="240" w:lineRule="auto"/>
              <w:rPr>
                <w:rFonts w:ascii="Times New Roman" w:hAnsi="Times New Roman"/>
                <w:snapToGrid w:val="0"/>
                <w:lang w:eastAsia="cs-CZ"/>
              </w:rPr>
            </w:pPr>
            <w:r>
              <w:rPr>
                <w:rFonts w:ascii="Times New Roman" w:hAnsi="Times New Roman"/>
              </w:rPr>
              <w:t>precitlivenosť</w:t>
            </w:r>
          </w:p>
        </w:tc>
        <w:tc>
          <w:tcPr>
            <w:tcW w:w="1677" w:type="dxa"/>
            <w:tcBorders>
              <w:top w:val="single" w:sz="4" w:space="0" w:color="auto"/>
              <w:left w:val="single" w:sz="4" w:space="0" w:color="auto"/>
              <w:bottom w:val="single" w:sz="4" w:space="0" w:color="auto"/>
              <w:right w:val="single" w:sz="4" w:space="0" w:color="auto"/>
            </w:tcBorders>
            <w:vAlign w:val="bottom"/>
          </w:tcPr>
          <w:p w14:paraId="1E4E9AD0"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tcPr>
          <w:p w14:paraId="4895D8C2"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tcPr>
          <w:p w14:paraId="37A967FD"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veľmi zriedkavé</w:t>
            </w:r>
          </w:p>
        </w:tc>
      </w:tr>
      <w:tr w:rsidR="00582954" w14:paraId="3D8C2F05" w14:textId="77777777">
        <w:trPr>
          <w:trHeight w:val="289"/>
          <w:jc w:val="center"/>
        </w:trPr>
        <w:tc>
          <w:tcPr>
            <w:tcW w:w="2491" w:type="dxa"/>
            <w:vMerge w:val="restart"/>
            <w:tcBorders>
              <w:top w:val="single" w:sz="4" w:space="0" w:color="auto"/>
              <w:left w:val="single" w:sz="4" w:space="0" w:color="auto"/>
              <w:right w:val="single" w:sz="4" w:space="0" w:color="auto"/>
            </w:tcBorders>
            <w:hideMark/>
          </w:tcPr>
          <w:p w14:paraId="21CD621E"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Poruchy metabolizmu a výživy</w:t>
            </w:r>
          </w:p>
        </w:tc>
        <w:tc>
          <w:tcPr>
            <w:tcW w:w="2324" w:type="dxa"/>
            <w:tcBorders>
              <w:top w:val="single" w:sz="4" w:space="0" w:color="auto"/>
              <w:left w:val="single" w:sz="4" w:space="0" w:color="auto"/>
              <w:bottom w:val="single" w:sz="4" w:space="0" w:color="auto"/>
              <w:right w:val="single" w:sz="4" w:space="0" w:color="auto"/>
            </w:tcBorders>
            <w:vAlign w:val="bottom"/>
            <w:hideMark/>
          </w:tcPr>
          <w:p w14:paraId="5F39D344" w14:textId="77777777" w:rsidR="00582954" w:rsidRDefault="00645977">
            <w:pPr>
              <w:spacing w:after="0" w:line="240" w:lineRule="auto"/>
              <w:rPr>
                <w:rFonts w:ascii="Times New Roman" w:hAnsi="Times New Roman"/>
                <w:snapToGrid w:val="0"/>
                <w:lang w:eastAsia="cs-CZ"/>
              </w:rPr>
            </w:pPr>
            <w:r>
              <w:rPr>
                <w:rFonts w:ascii="Times New Roman" w:hAnsi="Times New Roman"/>
              </w:rPr>
              <w:t>hypokaliémia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486AC4A6"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4306F231"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7C860C20" w14:textId="77777777" w:rsidR="00582954" w:rsidRDefault="00645977">
            <w:pPr>
              <w:spacing w:after="0" w:line="240" w:lineRule="auto"/>
              <w:ind w:left="-530" w:firstLine="530"/>
              <w:rPr>
                <w:rFonts w:ascii="Times New Roman" w:hAnsi="Times New Roman"/>
                <w:snapToGrid w:val="0"/>
                <w:lang w:eastAsia="cs-CZ"/>
              </w:rPr>
            </w:pPr>
            <w:r>
              <w:rPr>
                <w:rFonts w:ascii="Times New Roman" w:hAnsi="Times New Roman"/>
                <w:snapToGrid w:val="0"/>
                <w:lang w:eastAsia="cs-CZ"/>
              </w:rPr>
              <w:t>veľmi časté</w:t>
            </w:r>
          </w:p>
        </w:tc>
      </w:tr>
      <w:tr w:rsidR="00582954" w14:paraId="20317DAF" w14:textId="77777777">
        <w:trPr>
          <w:trHeight w:val="289"/>
          <w:jc w:val="center"/>
        </w:trPr>
        <w:tc>
          <w:tcPr>
            <w:tcW w:w="2491" w:type="dxa"/>
            <w:vMerge/>
            <w:tcBorders>
              <w:left w:val="single" w:sz="4" w:space="0" w:color="auto"/>
              <w:right w:val="single" w:sz="4" w:space="0" w:color="auto"/>
            </w:tcBorders>
            <w:hideMark/>
          </w:tcPr>
          <w:p w14:paraId="45F4B559"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57DDEBB3" w14:textId="77777777" w:rsidR="00582954" w:rsidRDefault="00645977">
            <w:pPr>
              <w:spacing w:after="0" w:line="240" w:lineRule="auto"/>
              <w:rPr>
                <w:rFonts w:ascii="Times New Roman" w:hAnsi="Times New Roman"/>
                <w:snapToGrid w:val="0"/>
                <w:lang w:eastAsia="cs-CZ"/>
              </w:rPr>
            </w:pPr>
            <w:r>
              <w:rPr>
                <w:rFonts w:ascii="Times New Roman" w:hAnsi="Times New Roman"/>
              </w:rPr>
              <w:t>hyperurikémia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77A82018"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07E43268"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586E72A8"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časté</w:t>
            </w:r>
          </w:p>
        </w:tc>
      </w:tr>
      <w:tr w:rsidR="00582954" w14:paraId="0B139870" w14:textId="77777777">
        <w:trPr>
          <w:trHeight w:val="289"/>
          <w:jc w:val="center"/>
        </w:trPr>
        <w:tc>
          <w:tcPr>
            <w:tcW w:w="2491" w:type="dxa"/>
            <w:vMerge/>
            <w:tcBorders>
              <w:left w:val="single" w:sz="4" w:space="0" w:color="auto"/>
              <w:right w:val="single" w:sz="4" w:space="0" w:color="auto"/>
            </w:tcBorders>
            <w:hideMark/>
          </w:tcPr>
          <w:p w14:paraId="25AF7692"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57648A44" w14:textId="77777777" w:rsidR="00582954" w:rsidRDefault="00645977">
            <w:pPr>
              <w:spacing w:after="0" w:line="240" w:lineRule="auto"/>
              <w:rPr>
                <w:rFonts w:ascii="Times New Roman" w:hAnsi="Times New Roman"/>
                <w:snapToGrid w:val="0"/>
                <w:lang w:eastAsia="cs-CZ"/>
              </w:rPr>
            </w:pPr>
            <w:r>
              <w:rPr>
                <w:rFonts w:ascii="Times New Roman" w:hAnsi="Times New Roman"/>
              </w:rPr>
              <w:t>hyponatriémia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47193AA1"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2DEB09DB"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2CE5E875"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časté</w:t>
            </w:r>
          </w:p>
        </w:tc>
      </w:tr>
      <w:tr w:rsidR="00582954" w14:paraId="727EC5EC" w14:textId="77777777">
        <w:trPr>
          <w:trHeight w:val="289"/>
          <w:jc w:val="center"/>
        </w:trPr>
        <w:tc>
          <w:tcPr>
            <w:tcW w:w="2491" w:type="dxa"/>
            <w:vMerge/>
            <w:tcBorders>
              <w:left w:val="single" w:sz="4" w:space="0" w:color="auto"/>
              <w:right w:val="single" w:sz="4" w:space="0" w:color="auto"/>
            </w:tcBorders>
            <w:hideMark/>
          </w:tcPr>
          <w:p w14:paraId="09CBC28E"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68F36819"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hyper</w:t>
            </w:r>
            <w:r>
              <w:rPr>
                <w:rFonts w:ascii="Times New Roman" w:hAnsi="Times New Roman"/>
              </w:rPr>
              <w:t>kaliémia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5CED6EDB"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1BC2B75B"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1800D1D6" w14:textId="77777777" w:rsidR="00582954" w:rsidRDefault="00582954">
            <w:pPr>
              <w:spacing w:after="0" w:line="240" w:lineRule="auto"/>
              <w:rPr>
                <w:rFonts w:ascii="Times New Roman" w:hAnsi="Times New Roman"/>
                <w:snapToGrid w:val="0"/>
                <w:lang w:eastAsia="cs-CZ"/>
              </w:rPr>
            </w:pPr>
          </w:p>
        </w:tc>
      </w:tr>
      <w:tr w:rsidR="00582954" w14:paraId="7B0D0FA6" w14:textId="77777777">
        <w:trPr>
          <w:trHeight w:val="289"/>
          <w:jc w:val="center"/>
        </w:trPr>
        <w:tc>
          <w:tcPr>
            <w:tcW w:w="2491" w:type="dxa"/>
            <w:vMerge/>
            <w:tcBorders>
              <w:left w:val="single" w:sz="4" w:space="0" w:color="auto"/>
              <w:right w:val="single" w:sz="4" w:space="0" w:color="auto"/>
            </w:tcBorders>
            <w:hideMark/>
          </w:tcPr>
          <w:p w14:paraId="047BDE02"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1F009C2A" w14:textId="77777777" w:rsidR="00582954" w:rsidRDefault="00645977">
            <w:pPr>
              <w:spacing w:after="0" w:line="240" w:lineRule="auto"/>
              <w:rPr>
                <w:rFonts w:ascii="Times New Roman" w:hAnsi="Times New Roman"/>
                <w:snapToGrid w:val="0"/>
                <w:lang w:eastAsia="cs-CZ"/>
              </w:rPr>
            </w:pPr>
            <w:r>
              <w:rPr>
                <w:rFonts w:ascii="Times New Roman" w:hAnsi="Times New Roman"/>
              </w:rPr>
              <w:t>hypoglykémia (u diabetikov)</w:t>
            </w:r>
          </w:p>
        </w:tc>
        <w:tc>
          <w:tcPr>
            <w:tcW w:w="1677" w:type="dxa"/>
            <w:tcBorders>
              <w:top w:val="single" w:sz="4" w:space="0" w:color="auto"/>
              <w:left w:val="single" w:sz="4" w:space="0" w:color="auto"/>
              <w:bottom w:val="single" w:sz="4" w:space="0" w:color="auto"/>
              <w:right w:val="single" w:sz="4" w:space="0" w:color="auto"/>
            </w:tcBorders>
            <w:vAlign w:val="bottom"/>
            <w:hideMark/>
          </w:tcPr>
          <w:p w14:paraId="7573BBE4"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73FC025A"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25F31F86" w14:textId="77777777" w:rsidR="00582954" w:rsidRDefault="00582954">
            <w:pPr>
              <w:spacing w:after="0" w:line="240" w:lineRule="auto"/>
              <w:rPr>
                <w:rFonts w:ascii="Times New Roman" w:hAnsi="Times New Roman"/>
                <w:snapToGrid w:val="0"/>
                <w:lang w:eastAsia="cs-CZ"/>
              </w:rPr>
            </w:pPr>
          </w:p>
        </w:tc>
      </w:tr>
      <w:tr w:rsidR="00582954" w14:paraId="5B105728" w14:textId="77777777">
        <w:trPr>
          <w:trHeight w:val="289"/>
          <w:jc w:val="center"/>
        </w:trPr>
        <w:tc>
          <w:tcPr>
            <w:tcW w:w="2491" w:type="dxa"/>
            <w:vMerge/>
            <w:tcBorders>
              <w:left w:val="single" w:sz="4" w:space="0" w:color="auto"/>
              <w:right w:val="single" w:sz="4" w:space="0" w:color="auto"/>
            </w:tcBorders>
            <w:hideMark/>
          </w:tcPr>
          <w:p w14:paraId="3F1E4772"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07A7A8E0" w14:textId="77777777" w:rsidR="00582954" w:rsidRDefault="00645977">
            <w:pPr>
              <w:spacing w:after="0" w:line="240" w:lineRule="auto"/>
              <w:rPr>
                <w:rFonts w:ascii="Times New Roman" w:hAnsi="Times New Roman"/>
                <w:snapToGrid w:val="0"/>
                <w:lang w:eastAsia="cs-CZ"/>
              </w:rPr>
            </w:pPr>
            <w:r>
              <w:rPr>
                <w:rFonts w:ascii="Times New Roman" w:hAnsi="Times New Roman"/>
              </w:rPr>
              <w:t>hypomagneziémia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46063F4A"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78B6D046"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1860F7D5"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časté</w:t>
            </w:r>
          </w:p>
        </w:tc>
      </w:tr>
      <w:tr w:rsidR="00582954" w14:paraId="3D49B913" w14:textId="77777777">
        <w:trPr>
          <w:trHeight w:val="289"/>
          <w:jc w:val="center"/>
        </w:trPr>
        <w:tc>
          <w:tcPr>
            <w:tcW w:w="2491" w:type="dxa"/>
            <w:vMerge/>
            <w:tcBorders>
              <w:left w:val="single" w:sz="4" w:space="0" w:color="auto"/>
              <w:right w:val="single" w:sz="4" w:space="0" w:color="auto"/>
            </w:tcBorders>
            <w:hideMark/>
          </w:tcPr>
          <w:p w14:paraId="1CEC7CE3"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377FE4C3" w14:textId="77777777" w:rsidR="00582954" w:rsidRDefault="00645977">
            <w:pPr>
              <w:spacing w:after="0" w:line="240" w:lineRule="auto"/>
              <w:rPr>
                <w:rFonts w:ascii="Times New Roman" w:hAnsi="Times New Roman"/>
                <w:snapToGrid w:val="0"/>
                <w:lang w:eastAsia="cs-CZ"/>
              </w:rPr>
            </w:pPr>
            <w:r>
              <w:rPr>
                <w:rFonts w:ascii="Times New Roman" w:hAnsi="Times New Roman"/>
              </w:rPr>
              <w:t>hyperkalciémia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4077CD94"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4F167E35"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2CF4901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16FAB461" w14:textId="77777777">
        <w:trPr>
          <w:trHeight w:val="289"/>
          <w:jc w:val="center"/>
        </w:trPr>
        <w:tc>
          <w:tcPr>
            <w:tcW w:w="2491" w:type="dxa"/>
            <w:vMerge/>
            <w:tcBorders>
              <w:left w:val="single" w:sz="4" w:space="0" w:color="auto"/>
              <w:right w:val="single" w:sz="4" w:space="0" w:color="auto"/>
            </w:tcBorders>
            <w:hideMark/>
          </w:tcPr>
          <w:p w14:paraId="504DD023"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5436BE6F" w14:textId="77777777" w:rsidR="00582954" w:rsidRDefault="00645977">
            <w:pPr>
              <w:spacing w:after="0" w:line="240" w:lineRule="auto"/>
              <w:rPr>
                <w:rFonts w:ascii="Times New Roman" w:hAnsi="Times New Roman"/>
                <w:snapToGrid w:val="0"/>
                <w:lang w:eastAsia="cs-CZ"/>
              </w:rPr>
            </w:pPr>
            <w:r>
              <w:rPr>
                <w:rFonts w:ascii="Times New Roman" w:hAnsi="Times New Roman"/>
              </w:rPr>
              <w:t>hypochloremická alkalóza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53347B7E"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1F728271"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0702F196"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veľmi zriedkavé</w:t>
            </w:r>
          </w:p>
        </w:tc>
      </w:tr>
      <w:tr w:rsidR="00582954" w14:paraId="15EEBCE0" w14:textId="77777777">
        <w:trPr>
          <w:trHeight w:val="289"/>
          <w:jc w:val="center"/>
        </w:trPr>
        <w:tc>
          <w:tcPr>
            <w:tcW w:w="2491" w:type="dxa"/>
            <w:vMerge/>
            <w:tcBorders>
              <w:left w:val="single" w:sz="4" w:space="0" w:color="auto"/>
              <w:right w:val="single" w:sz="4" w:space="0" w:color="auto"/>
            </w:tcBorders>
            <w:hideMark/>
          </w:tcPr>
          <w:p w14:paraId="2AE69926"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6B8E0B36" w14:textId="77777777" w:rsidR="00582954" w:rsidRDefault="00645977">
            <w:pPr>
              <w:spacing w:after="0" w:line="240" w:lineRule="auto"/>
              <w:rPr>
                <w:rFonts w:ascii="Times New Roman" w:hAnsi="Times New Roman"/>
                <w:snapToGrid w:val="0"/>
                <w:lang w:eastAsia="cs-CZ"/>
              </w:rPr>
            </w:pPr>
            <w:r>
              <w:rPr>
                <w:rFonts w:ascii="Times New Roman" w:hAnsi="Times New Roman"/>
              </w:rPr>
              <w:t>znížená chuť do jedla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4351109A"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17F6B2B3"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6E322CD4"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časté</w:t>
            </w:r>
          </w:p>
        </w:tc>
      </w:tr>
      <w:tr w:rsidR="00582954" w14:paraId="735D1D18" w14:textId="77777777">
        <w:trPr>
          <w:trHeight w:val="289"/>
          <w:jc w:val="center"/>
        </w:trPr>
        <w:tc>
          <w:tcPr>
            <w:tcW w:w="2491" w:type="dxa"/>
            <w:vMerge/>
            <w:tcBorders>
              <w:left w:val="single" w:sz="4" w:space="0" w:color="auto"/>
              <w:right w:val="single" w:sz="4" w:space="0" w:color="auto"/>
            </w:tcBorders>
            <w:hideMark/>
          </w:tcPr>
          <w:p w14:paraId="02D09A98"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17C77C0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hyperlipidémia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5AEEFFD3"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1DD93139"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30421CF1"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veľmi časté</w:t>
            </w:r>
          </w:p>
        </w:tc>
      </w:tr>
      <w:tr w:rsidR="00582954" w14:paraId="5A135EC6" w14:textId="77777777">
        <w:trPr>
          <w:trHeight w:val="289"/>
          <w:jc w:val="center"/>
        </w:trPr>
        <w:tc>
          <w:tcPr>
            <w:tcW w:w="2491" w:type="dxa"/>
            <w:vMerge/>
            <w:tcBorders>
              <w:left w:val="single" w:sz="4" w:space="0" w:color="auto"/>
              <w:right w:val="single" w:sz="4" w:space="0" w:color="auto"/>
            </w:tcBorders>
            <w:hideMark/>
          </w:tcPr>
          <w:p w14:paraId="56320FDD"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59976BB9" w14:textId="77777777" w:rsidR="00582954" w:rsidRDefault="00645977">
            <w:pPr>
              <w:spacing w:after="0" w:line="240" w:lineRule="auto"/>
              <w:rPr>
                <w:rFonts w:ascii="Times New Roman" w:hAnsi="Times New Roman"/>
                <w:snapToGrid w:val="0"/>
                <w:lang w:eastAsia="cs-CZ"/>
              </w:rPr>
            </w:pPr>
            <w:r>
              <w:rPr>
                <w:rFonts w:ascii="Times New Roman" w:hAnsi="Times New Roman"/>
              </w:rPr>
              <w:t>hyperglykémia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210C7B44"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76E1981F"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4795D4D9"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0B0B42E3" w14:textId="77777777">
        <w:trPr>
          <w:trHeight w:val="289"/>
          <w:jc w:val="center"/>
        </w:trPr>
        <w:tc>
          <w:tcPr>
            <w:tcW w:w="2491" w:type="dxa"/>
            <w:vMerge/>
            <w:tcBorders>
              <w:left w:val="single" w:sz="4" w:space="0" w:color="auto"/>
              <w:bottom w:val="single" w:sz="4" w:space="0" w:color="auto"/>
              <w:right w:val="single" w:sz="4" w:space="0" w:color="auto"/>
            </w:tcBorders>
          </w:tcPr>
          <w:p w14:paraId="3427B8E2"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tcPr>
          <w:p w14:paraId="72EC7F9A" w14:textId="77777777" w:rsidR="00582954" w:rsidRDefault="00645977">
            <w:pPr>
              <w:spacing w:after="0" w:line="240" w:lineRule="auto"/>
              <w:ind w:right="-110"/>
              <w:rPr>
                <w:rFonts w:ascii="Times New Roman" w:hAnsi="Times New Roman"/>
                <w:snapToGrid w:val="0"/>
                <w:lang w:eastAsia="cs-CZ"/>
              </w:rPr>
            </w:pPr>
            <w:r>
              <w:rPr>
                <w:rFonts w:ascii="Times New Roman" w:hAnsi="Times New Roman"/>
              </w:rPr>
              <w:t>diabetes mellitus nedostatočná kontrola</w:t>
            </w:r>
          </w:p>
        </w:tc>
        <w:tc>
          <w:tcPr>
            <w:tcW w:w="1677" w:type="dxa"/>
            <w:tcBorders>
              <w:top w:val="single" w:sz="4" w:space="0" w:color="auto"/>
              <w:left w:val="single" w:sz="4" w:space="0" w:color="auto"/>
              <w:bottom w:val="single" w:sz="4" w:space="0" w:color="auto"/>
              <w:right w:val="single" w:sz="4" w:space="0" w:color="auto"/>
            </w:tcBorders>
            <w:vAlign w:val="bottom"/>
          </w:tcPr>
          <w:p w14:paraId="75E83E6A"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tcPr>
          <w:p w14:paraId="69AF51EE"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tcPr>
          <w:p w14:paraId="05E7072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33BFB903" w14:textId="77777777">
        <w:trPr>
          <w:trHeight w:val="289"/>
          <w:jc w:val="center"/>
        </w:trPr>
        <w:tc>
          <w:tcPr>
            <w:tcW w:w="2491" w:type="dxa"/>
            <w:vMerge w:val="restart"/>
            <w:tcBorders>
              <w:top w:val="single" w:sz="4" w:space="0" w:color="auto"/>
              <w:left w:val="single" w:sz="4" w:space="0" w:color="auto"/>
              <w:right w:val="single" w:sz="4" w:space="0" w:color="auto"/>
            </w:tcBorders>
            <w:hideMark/>
          </w:tcPr>
          <w:p w14:paraId="4A11A367"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Psychické poruchy</w:t>
            </w:r>
          </w:p>
        </w:tc>
        <w:tc>
          <w:tcPr>
            <w:tcW w:w="2324" w:type="dxa"/>
            <w:tcBorders>
              <w:top w:val="single" w:sz="4" w:space="0" w:color="auto"/>
              <w:left w:val="single" w:sz="4" w:space="0" w:color="auto"/>
              <w:bottom w:val="single" w:sz="4" w:space="0" w:color="auto"/>
              <w:right w:val="single" w:sz="4" w:space="0" w:color="auto"/>
            </w:tcBorders>
            <w:vAlign w:val="bottom"/>
            <w:hideMark/>
          </w:tcPr>
          <w:p w14:paraId="21B69550" w14:textId="77777777" w:rsidR="00582954" w:rsidRDefault="00645977">
            <w:pPr>
              <w:spacing w:after="0" w:line="240" w:lineRule="auto"/>
              <w:rPr>
                <w:rFonts w:ascii="Times New Roman" w:hAnsi="Times New Roman"/>
                <w:snapToGrid w:val="0"/>
                <w:lang w:eastAsia="cs-CZ"/>
              </w:rPr>
            </w:pPr>
            <w:r>
              <w:rPr>
                <w:rFonts w:ascii="Times New Roman" w:hAnsi="Times New Roman"/>
              </w:rPr>
              <w:t>úzkosť</w:t>
            </w:r>
          </w:p>
        </w:tc>
        <w:tc>
          <w:tcPr>
            <w:tcW w:w="1677" w:type="dxa"/>
            <w:tcBorders>
              <w:top w:val="single" w:sz="4" w:space="0" w:color="auto"/>
              <w:left w:val="single" w:sz="4" w:space="0" w:color="auto"/>
              <w:bottom w:val="single" w:sz="4" w:space="0" w:color="auto"/>
              <w:right w:val="single" w:sz="4" w:space="0" w:color="auto"/>
            </w:tcBorders>
            <w:vAlign w:val="bottom"/>
            <w:hideMark/>
          </w:tcPr>
          <w:p w14:paraId="748AF14E"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115835F9"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001B5605" w14:textId="77777777" w:rsidR="00582954" w:rsidRDefault="00582954">
            <w:pPr>
              <w:spacing w:after="0" w:line="240" w:lineRule="auto"/>
              <w:rPr>
                <w:rFonts w:ascii="Times New Roman" w:hAnsi="Times New Roman"/>
                <w:snapToGrid w:val="0"/>
                <w:lang w:eastAsia="cs-CZ"/>
              </w:rPr>
            </w:pPr>
          </w:p>
        </w:tc>
      </w:tr>
      <w:tr w:rsidR="00582954" w14:paraId="578A1F53" w14:textId="77777777">
        <w:trPr>
          <w:trHeight w:val="289"/>
          <w:jc w:val="center"/>
        </w:trPr>
        <w:tc>
          <w:tcPr>
            <w:tcW w:w="2491" w:type="dxa"/>
            <w:vMerge/>
            <w:tcBorders>
              <w:left w:val="single" w:sz="4" w:space="0" w:color="auto"/>
              <w:right w:val="single" w:sz="4" w:space="0" w:color="auto"/>
            </w:tcBorders>
            <w:hideMark/>
          </w:tcPr>
          <w:p w14:paraId="5D296E99"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1984C8E3" w14:textId="77777777" w:rsidR="00582954" w:rsidRDefault="00645977">
            <w:pPr>
              <w:spacing w:after="0" w:line="240" w:lineRule="auto"/>
              <w:rPr>
                <w:rFonts w:ascii="Times New Roman" w:hAnsi="Times New Roman"/>
                <w:snapToGrid w:val="0"/>
                <w:lang w:eastAsia="cs-CZ"/>
              </w:rPr>
            </w:pPr>
            <w:r>
              <w:rPr>
                <w:rFonts w:ascii="Times New Roman" w:hAnsi="Times New Roman"/>
              </w:rPr>
              <w:t>depresia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161B761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368F4BF1"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32613DBC"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6DB2B225" w14:textId="77777777">
        <w:trPr>
          <w:trHeight w:val="289"/>
          <w:jc w:val="center"/>
        </w:trPr>
        <w:tc>
          <w:tcPr>
            <w:tcW w:w="2491" w:type="dxa"/>
            <w:vMerge/>
            <w:tcBorders>
              <w:left w:val="single" w:sz="4" w:space="0" w:color="auto"/>
              <w:right w:val="single" w:sz="4" w:space="0" w:color="auto"/>
            </w:tcBorders>
          </w:tcPr>
          <w:p w14:paraId="68E09EAC"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tcPr>
          <w:p w14:paraId="0C341F6E" w14:textId="77777777" w:rsidR="00582954" w:rsidRDefault="00645977">
            <w:pPr>
              <w:spacing w:after="0" w:line="240" w:lineRule="auto"/>
              <w:rPr>
                <w:rFonts w:ascii="Times New Roman" w:hAnsi="Times New Roman"/>
                <w:snapToGrid w:val="0"/>
                <w:lang w:eastAsia="cs-CZ"/>
              </w:rPr>
            </w:pPr>
            <w:r>
              <w:rPr>
                <w:rFonts w:ascii="Times New Roman" w:hAnsi="Times New Roman"/>
              </w:rPr>
              <w:t>nespavosť</w:t>
            </w:r>
          </w:p>
        </w:tc>
        <w:tc>
          <w:tcPr>
            <w:tcW w:w="1677" w:type="dxa"/>
            <w:tcBorders>
              <w:top w:val="single" w:sz="4" w:space="0" w:color="auto"/>
              <w:left w:val="single" w:sz="4" w:space="0" w:color="auto"/>
              <w:bottom w:val="single" w:sz="4" w:space="0" w:color="auto"/>
              <w:right w:val="single" w:sz="4" w:space="0" w:color="auto"/>
            </w:tcBorders>
            <w:vAlign w:val="bottom"/>
          </w:tcPr>
          <w:p w14:paraId="46A66480"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tcPr>
          <w:p w14:paraId="786A5C69"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tcPr>
          <w:p w14:paraId="23682726" w14:textId="77777777" w:rsidR="00582954" w:rsidRDefault="00582954">
            <w:pPr>
              <w:spacing w:after="0" w:line="240" w:lineRule="auto"/>
              <w:rPr>
                <w:rFonts w:ascii="Times New Roman" w:hAnsi="Times New Roman"/>
                <w:snapToGrid w:val="0"/>
                <w:lang w:eastAsia="cs-CZ"/>
              </w:rPr>
            </w:pPr>
          </w:p>
        </w:tc>
      </w:tr>
      <w:tr w:rsidR="00582954" w14:paraId="2E16E409" w14:textId="77777777">
        <w:trPr>
          <w:trHeight w:val="289"/>
          <w:jc w:val="center"/>
        </w:trPr>
        <w:tc>
          <w:tcPr>
            <w:tcW w:w="2491" w:type="dxa"/>
            <w:vMerge/>
            <w:tcBorders>
              <w:left w:val="single" w:sz="4" w:space="0" w:color="auto"/>
              <w:bottom w:val="single" w:sz="4" w:space="0" w:color="auto"/>
              <w:right w:val="single" w:sz="4" w:space="0" w:color="auto"/>
            </w:tcBorders>
          </w:tcPr>
          <w:p w14:paraId="7B69315F"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tcPr>
          <w:p w14:paraId="0D97F423" w14:textId="77777777" w:rsidR="00582954" w:rsidRDefault="00645977">
            <w:pPr>
              <w:spacing w:after="0" w:line="240" w:lineRule="auto"/>
              <w:rPr>
                <w:rFonts w:ascii="Times New Roman" w:hAnsi="Times New Roman"/>
                <w:snapToGrid w:val="0"/>
                <w:lang w:eastAsia="cs-CZ"/>
              </w:rPr>
            </w:pPr>
            <w:r>
              <w:rPr>
                <w:rFonts w:ascii="Times New Roman" w:hAnsi="Times New Roman"/>
              </w:rPr>
              <w:t>poruchy spánku</w:t>
            </w:r>
          </w:p>
        </w:tc>
        <w:tc>
          <w:tcPr>
            <w:tcW w:w="1677" w:type="dxa"/>
            <w:tcBorders>
              <w:top w:val="single" w:sz="4" w:space="0" w:color="auto"/>
              <w:left w:val="single" w:sz="4" w:space="0" w:color="auto"/>
              <w:bottom w:val="single" w:sz="4" w:space="0" w:color="auto"/>
              <w:right w:val="single" w:sz="4" w:space="0" w:color="auto"/>
            </w:tcBorders>
            <w:vAlign w:val="bottom"/>
          </w:tcPr>
          <w:p w14:paraId="197DA87A"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tcPr>
          <w:p w14:paraId="04B507EC"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tcPr>
          <w:p w14:paraId="2FFD93AB"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60F7A69A" w14:textId="77777777">
        <w:trPr>
          <w:trHeight w:val="289"/>
          <w:jc w:val="center"/>
        </w:trPr>
        <w:tc>
          <w:tcPr>
            <w:tcW w:w="2491" w:type="dxa"/>
            <w:vMerge w:val="restart"/>
            <w:tcBorders>
              <w:top w:val="single" w:sz="4" w:space="0" w:color="auto"/>
              <w:left w:val="single" w:sz="4" w:space="0" w:color="auto"/>
              <w:right w:val="single" w:sz="4" w:space="0" w:color="auto"/>
            </w:tcBorders>
            <w:hideMark/>
          </w:tcPr>
          <w:p w14:paraId="3F36E9BD"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Poruchy nervového systému</w:t>
            </w:r>
          </w:p>
        </w:tc>
        <w:tc>
          <w:tcPr>
            <w:tcW w:w="2324" w:type="dxa"/>
            <w:tcBorders>
              <w:top w:val="single" w:sz="4" w:space="0" w:color="auto"/>
              <w:left w:val="single" w:sz="4" w:space="0" w:color="auto"/>
              <w:bottom w:val="single" w:sz="4" w:space="0" w:color="auto"/>
              <w:right w:val="single" w:sz="4" w:space="0" w:color="auto"/>
            </w:tcBorders>
            <w:vAlign w:val="bottom"/>
            <w:hideMark/>
          </w:tcPr>
          <w:p w14:paraId="38B1C18A" w14:textId="77777777" w:rsidR="00582954" w:rsidRDefault="00645977">
            <w:pPr>
              <w:spacing w:after="0" w:line="240" w:lineRule="auto"/>
              <w:rPr>
                <w:rFonts w:ascii="Times New Roman" w:hAnsi="Times New Roman"/>
                <w:snapToGrid w:val="0"/>
                <w:lang w:eastAsia="cs-CZ"/>
              </w:rPr>
            </w:pPr>
            <w:r>
              <w:rPr>
                <w:rFonts w:ascii="Times New Roman" w:hAnsi="Times New Roman"/>
              </w:rPr>
              <w:t>závrat</w:t>
            </w:r>
          </w:p>
        </w:tc>
        <w:tc>
          <w:tcPr>
            <w:tcW w:w="1677" w:type="dxa"/>
            <w:tcBorders>
              <w:top w:val="single" w:sz="4" w:space="0" w:color="auto"/>
              <w:left w:val="single" w:sz="4" w:space="0" w:color="auto"/>
              <w:bottom w:val="single" w:sz="4" w:space="0" w:color="auto"/>
              <w:right w:val="single" w:sz="4" w:space="0" w:color="auto"/>
            </w:tcBorders>
            <w:vAlign w:val="bottom"/>
            <w:hideMark/>
          </w:tcPr>
          <w:p w14:paraId="165AA8B9"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2F076FAA"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4B5397E9"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2DB5AA08" w14:textId="77777777">
        <w:trPr>
          <w:trHeight w:val="289"/>
          <w:jc w:val="center"/>
        </w:trPr>
        <w:tc>
          <w:tcPr>
            <w:tcW w:w="2491" w:type="dxa"/>
            <w:vMerge/>
            <w:tcBorders>
              <w:left w:val="single" w:sz="4" w:space="0" w:color="auto"/>
              <w:right w:val="single" w:sz="4" w:space="0" w:color="auto"/>
            </w:tcBorders>
            <w:hideMark/>
          </w:tcPr>
          <w:p w14:paraId="17BF3D6F"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1EA49CD9" w14:textId="77777777" w:rsidR="00582954" w:rsidRDefault="00645977">
            <w:pPr>
              <w:spacing w:after="0" w:line="240" w:lineRule="auto"/>
              <w:rPr>
                <w:rFonts w:ascii="Times New Roman" w:hAnsi="Times New Roman"/>
                <w:snapToGrid w:val="0"/>
                <w:lang w:eastAsia="cs-CZ"/>
              </w:rPr>
            </w:pPr>
            <w:r>
              <w:rPr>
                <w:rFonts w:ascii="Times New Roman" w:hAnsi="Times New Roman"/>
              </w:rPr>
              <w:t>synkopa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2C21FC49"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2ED852FD"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3BF47EEA" w14:textId="77777777" w:rsidR="00582954" w:rsidRDefault="00582954">
            <w:pPr>
              <w:spacing w:after="0" w:line="240" w:lineRule="auto"/>
              <w:rPr>
                <w:rFonts w:ascii="Times New Roman" w:hAnsi="Times New Roman"/>
                <w:snapToGrid w:val="0"/>
                <w:lang w:eastAsia="cs-CZ"/>
              </w:rPr>
            </w:pPr>
          </w:p>
        </w:tc>
      </w:tr>
      <w:tr w:rsidR="00582954" w14:paraId="4E9E4F61" w14:textId="77777777">
        <w:trPr>
          <w:trHeight w:val="289"/>
          <w:jc w:val="center"/>
        </w:trPr>
        <w:tc>
          <w:tcPr>
            <w:tcW w:w="2491" w:type="dxa"/>
            <w:vMerge/>
            <w:tcBorders>
              <w:left w:val="single" w:sz="4" w:space="0" w:color="auto"/>
              <w:right w:val="single" w:sz="4" w:space="0" w:color="auto"/>
            </w:tcBorders>
            <w:hideMark/>
          </w:tcPr>
          <w:p w14:paraId="2D48B246"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58EBF834" w14:textId="77777777" w:rsidR="00582954" w:rsidRDefault="00645977">
            <w:pPr>
              <w:spacing w:after="0" w:line="240" w:lineRule="auto"/>
              <w:rPr>
                <w:rFonts w:ascii="Times New Roman" w:hAnsi="Times New Roman"/>
                <w:snapToGrid w:val="0"/>
                <w:lang w:eastAsia="cs-CZ"/>
              </w:rPr>
            </w:pPr>
            <w:r>
              <w:rPr>
                <w:rFonts w:ascii="Times New Roman" w:hAnsi="Times New Roman"/>
              </w:rPr>
              <w:t>parestézia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6F9DB562"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10447048"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2C94416A"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67573D64" w14:textId="77777777">
        <w:trPr>
          <w:trHeight w:val="289"/>
          <w:jc w:val="center"/>
        </w:trPr>
        <w:tc>
          <w:tcPr>
            <w:tcW w:w="2491" w:type="dxa"/>
            <w:vMerge/>
            <w:tcBorders>
              <w:left w:val="single" w:sz="4" w:space="0" w:color="auto"/>
              <w:right w:val="single" w:sz="4" w:space="0" w:color="auto"/>
            </w:tcBorders>
            <w:hideMark/>
          </w:tcPr>
          <w:p w14:paraId="2A582E35"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13F1654C" w14:textId="77777777" w:rsidR="00582954" w:rsidRDefault="00645977">
            <w:pPr>
              <w:spacing w:after="0" w:line="240" w:lineRule="auto"/>
              <w:rPr>
                <w:rFonts w:ascii="Times New Roman" w:hAnsi="Times New Roman"/>
              </w:rPr>
            </w:pPr>
            <w:r>
              <w:rPr>
                <w:rFonts w:ascii="Times New Roman" w:hAnsi="Times New Roman"/>
              </w:rPr>
              <w:t>somnolencia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2EC7D75F"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439E2B48"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25EF45D8" w14:textId="77777777" w:rsidR="00582954" w:rsidRDefault="00582954">
            <w:pPr>
              <w:spacing w:after="0" w:line="240" w:lineRule="auto"/>
              <w:rPr>
                <w:rFonts w:ascii="Times New Roman" w:hAnsi="Times New Roman"/>
                <w:snapToGrid w:val="0"/>
                <w:lang w:eastAsia="cs-CZ"/>
              </w:rPr>
            </w:pPr>
          </w:p>
        </w:tc>
      </w:tr>
      <w:tr w:rsidR="00582954" w14:paraId="47110867" w14:textId="77777777">
        <w:trPr>
          <w:trHeight w:val="289"/>
          <w:jc w:val="center"/>
        </w:trPr>
        <w:tc>
          <w:tcPr>
            <w:tcW w:w="2491" w:type="dxa"/>
            <w:vMerge/>
            <w:tcBorders>
              <w:left w:val="single" w:sz="4" w:space="0" w:color="auto"/>
              <w:bottom w:val="single" w:sz="4" w:space="0" w:color="auto"/>
              <w:right w:val="single" w:sz="4" w:space="0" w:color="auto"/>
            </w:tcBorders>
            <w:hideMark/>
          </w:tcPr>
          <w:p w14:paraId="18DB21F0"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29B1AA4A"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bolesť hlavy</w:t>
            </w:r>
          </w:p>
        </w:tc>
        <w:tc>
          <w:tcPr>
            <w:tcW w:w="1677" w:type="dxa"/>
            <w:tcBorders>
              <w:top w:val="single" w:sz="4" w:space="0" w:color="auto"/>
              <w:left w:val="single" w:sz="4" w:space="0" w:color="auto"/>
              <w:bottom w:val="single" w:sz="4" w:space="0" w:color="auto"/>
              <w:right w:val="single" w:sz="4" w:space="0" w:color="auto"/>
            </w:tcBorders>
            <w:vAlign w:val="bottom"/>
            <w:hideMark/>
          </w:tcPr>
          <w:p w14:paraId="1FDE91E8"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38902D86"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0E2F4905"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75E302AA" w14:textId="77777777">
        <w:trPr>
          <w:trHeight w:val="289"/>
          <w:jc w:val="center"/>
        </w:trPr>
        <w:tc>
          <w:tcPr>
            <w:tcW w:w="2491" w:type="dxa"/>
            <w:vMerge w:val="restart"/>
            <w:tcBorders>
              <w:top w:val="single" w:sz="4" w:space="0" w:color="auto"/>
              <w:left w:val="single" w:sz="4" w:space="0" w:color="auto"/>
              <w:right w:val="single" w:sz="4" w:space="0" w:color="auto"/>
            </w:tcBorders>
            <w:hideMark/>
          </w:tcPr>
          <w:p w14:paraId="737C2B1C"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Poruchy oka</w:t>
            </w:r>
          </w:p>
        </w:tc>
        <w:tc>
          <w:tcPr>
            <w:tcW w:w="2324" w:type="dxa"/>
            <w:tcBorders>
              <w:top w:val="single" w:sz="4" w:space="0" w:color="auto"/>
              <w:left w:val="single" w:sz="4" w:space="0" w:color="auto"/>
              <w:bottom w:val="single" w:sz="4" w:space="0" w:color="auto"/>
              <w:right w:val="single" w:sz="4" w:space="0" w:color="auto"/>
            </w:tcBorders>
            <w:vAlign w:val="bottom"/>
            <w:hideMark/>
          </w:tcPr>
          <w:p w14:paraId="7D8ECD40" w14:textId="77777777" w:rsidR="00582954" w:rsidRDefault="00645977">
            <w:pPr>
              <w:spacing w:after="0" w:line="240" w:lineRule="auto"/>
              <w:rPr>
                <w:rFonts w:ascii="Times New Roman" w:hAnsi="Times New Roman"/>
                <w:snapToGrid w:val="0"/>
                <w:lang w:eastAsia="cs-CZ"/>
              </w:rPr>
            </w:pPr>
            <w:r>
              <w:rPr>
                <w:rFonts w:ascii="Times New Roman" w:hAnsi="Times New Roman"/>
              </w:rPr>
              <w:t>porucha zraku</w:t>
            </w:r>
          </w:p>
        </w:tc>
        <w:tc>
          <w:tcPr>
            <w:tcW w:w="1677" w:type="dxa"/>
            <w:tcBorders>
              <w:top w:val="single" w:sz="4" w:space="0" w:color="auto"/>
              <w:left w:val="single" w:sz="4" w:space="0" w:color="auto"/>
              <w:bottom w:val="single" w:sz="4" w:space="0" w:color="auto"/>
              <w:right w:val="single" w:sz="4" w:space="0" w:color="auto"/>
            </w:tcBorders>
            <w:vAlign w:val="bottom"/>
            <w:hideMark/>
          </w:tcPr>
          <w:p w14:paraId="6A6508A8"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410A1156"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3A47F732"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0A4CF18C" w14:textId="77777777">
        <w:trPr>
          <w:trHeight w:val="289"/>
          <w:jc w:val="center"/>
        </w:trPr>
        <w:tc>
          <w:tcPr>
            <w:tcW w:w="2491" w:type="dxa"/>
            <w:vMerge/>
            <w:tcBorders>
              <w:left w:val="single" w:sz="4" w:space="0" w:color="auto"/>
              <w:right w:val="single" w:sz="4" w:space="0" w:color="auto"/>
            </w:tcBorders>
            <w:hideMark/>
          </w:tcPr>
          <w:p w14:paraId="20EA3B3B"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54EF097E" w14:textId="77777777" w:rsidR="00582954" w:rsidRDefault="00645977">
            <w:pPr>
              <w:spacing w:after="0" w:line="240" w:lineRule="auto"/>
              <w:rPr>
                <w:rFonts w:ascii="Times New Roman" w:hAnsi="Times New Roman"/>
                <w:snapToGrid w:val="0"/>
                <w:lang w:eastAsia="cs-CZ"/>
              </w:rPr>
            </w:pPr>
            <w:r>
              <w:rPr>
                <w:rFonts w:ascii="Times New Roman" w:hAnsi="Times New Roman"/>
              </w:rPr>
              <w:t>rozmazané videnie</w:t>
            </w:r>
          </w:p>
        </w:tc>
        <w:tc>
          <w:tcPr>
            <w:tcW w:w="1677" w:type="dxa"/>
            <w:tcBorders>
              <w:top w:val="single" w:sz="4" w:space="0" w:color="auto"/>
              <w:left w:val="single" w:sz="4" w:space="0" w:color="auto"/>
              <w:bottom w:val="single" w:sz="4" w:space="0" w:color="auto"/>
              <w:right w:val="single" w:sz="4" w:space="0" w:color="auto"/>
            </w:tcBorders>
            <w:vAlign w:val="bottom"/>
            <w:hideMark/>
          </w:tcPr>
          <w:p w14:paraId="714C166A"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0F04D314"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47224F67" w14:textId="77777777" w:rsidR="00582954" w:rsidRDefault="00582954">
            <w:pPr>
              <w:spacing w:after="0" w:line="240" w:lineRule="auto"/>
              <w:rPr>
                <w:rFonts w:ascii="Times New Roman" w:hAnsi="Times New Roman"/>
                <w:snapToGrid w:val="0"/>
                <w:lang w:eastAsia="cs-CZ"/>
              </w:rPr>
            </w:pPr>
          </w:p>
        </w:tc>
      </w:tr>
      <w:tr w:rsidR="00582954" w14:paraId="1FFFF49B" w14:textId="77777777">
        <w:trPr>
          <w:trHeight w:val="289"/>
          <w:jc w:val="center"/>
        </w:trPr>
        <w:tc>
          <w:tcPr>
            <w:tcW w:w="2491" w:type="dxa"/>
            <w:vMerge/>
            <w:tcBorders>
              <w:left w:val="single" w:sz="4" w:space="0" w:color="auto"/>
              <w:right w:val="single" w:sz="4" w:space="0" w:color="auto"/>
            </w:tcBorders>
            <w:hideMark/>
          </w:tcPr>
          <w:p w14:paraId="44DB3424"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286C3055"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akútny glaukóm s uzavretým uhlom</w:t>
            </w:r>
          </w:p>
        </w:tc>
        <w:tc>
          <w:tcPr>
            <w:tcW w:w="1677" w:type="dxa"/>
            <w:tcBorders>
              <w:top w:val="single" w:sz="4" w:space="0" w:color="auto"/>
              <w:left w:val="single" w:sz="4" w:space="0" w:color="auto"/>
              <w:bottom w:val="single" w:sz="4" w:space="0" w:color="auto"/>
              <w:right w:val="single" w:sz="4" w:space="0" w:color="auto"/>
            </w:tcBorders>
            <w:vAlign w:val="bottom"/>
            <w:hideMark/>
          </w:tcPr>
          <w:p w14:paraId="5986EBE4"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281480D1"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359E967C"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neznáme</w:t>
            </w:r>
          </w:p>
        </w:tc>
      </w:tr>
      <w:tr w:rsidR="00582954" w14:paraId="25D85437" w14:textId="77777777">
        <w:trPr>
          <w:trHeight w:val="289"/>
          <w:jc w:val="center"/>
        </w:trPr>
        <w:tc>
          <w:tcPr>
            <w:tcW w:w="2491" w:type="dxa"/>
            <w:vMerge/>
            <w:tcBorders>
              <w:left w:val="single" w:sz="4" w:space="0" w:color="auto"/>
              <w:bottom w:val="single" w:sz="4" w:space="0" w:color="auto"/>
              <w:right w:val="single" w:sz="4" w:space="0" w:color="auto"/>
            </w:tcBorders>
            <w:hideMark/>
          </w:tcPr>
          <w:p w14:paraId="3957A4D1"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725ABCD7"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choroidálna efúzia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1E0B78EC"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392AB01B"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35B2C264"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neznáme</w:t>
            </w:r>
          </w:p>
        </w:tc>
      </w:tr>
      <w:tr w:rsidR="00582954" w14:paraId="0319A4FE" w14:textId="77777777">
        <w:trPr>
          <w:trHeight w:val="289"/>
          <w:jc w:val="center"/>
        </w:trPr>
        <w:tc>
          <w:tcPr>
            <w:tcW w:w="2491" w:type="dxa"/>
            <w:tcBorders>
              <w:top w:val="single" w:sz="4" w:space="0" w:color="auto"/>
              <w:left w:val="single" w:sz="4" w:space="0" w:color="auto"/>
              <w:bottom w:val="single" w:sz="4" w:space="0" w:color="auto"/>
              <w:right w:val="single" w:sz="4" w:space="0" w:color="auto"/>
            </w:tcBorders>
            <w:hideMark/>
          </w:tcPr>
          <w:p w14:paraId="77238C4E" w14:textId="77777777" w:rsidR="00582954" w:rsidRDefault="00645977">
            <w:pPr>
              <w:spacing w:after="0" w:line="240" w:lineRule="auto"/>
              <w:ind w:right="-182"/>
              <w:rPr>
                <w:rFonts w:ascii="Times New Roman" w:hAnsi="Times New Roman"/>
                <w:b/>
                <w:bCs/>
                <w:snapToGrid w:val="0"/>
                <w:lang w:eastAsia="cs-CZ"/>
              </w:rPr>
            </w:pPr>
            <w:r>
              <w:rPr>
                <w:rFonts w:ascii="Times New Roman" w:hAnsi="Times New Roman"/>
                <w:b/>
                <w:bCs/>
                <w:snapToGrid w:val="0"/>
                <w:lang w:eastAsia="cs-CZ"/>
              </w:rPr>
              <w:t>Poruchy ucha a labyrintu</w:t>
            </w:r>
          </w:p>
        </w:tc>
        <w:tc>
          <w:tcPr>
            <w:tcW w:w="2324" w:type="dxa"/>
            <w:tcBorders>
              <w:top w:val="single" w:sz="4" w:space="0" w:color="auto"/>
              <w:left w:val="single" w:sz="4" w:space="0" w:color="auto"/>
              <w:bottom w:val="single" w:sz="4" w:space="0" w:color="auto"/>
              <w:right w:val="single" w:sz="4" w:space="0" w:color="auto"/>
            </w:tcBorders>
            <w:vAlign w:val="bottom"/>
            <w:hideMark/>
          </w:tcPr>
          <w:p w14:paraId="29CA93BC"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vertigo</w:t>
            </w:r>
          </w:p>
        </w:tc>
        <w:tc>
          <w:tcPr>
            <w:tcW w:w="1677" w:type="dxa"/>
            <w:tcBorders>
              <w:top w:val="single" w:sz="4" w:space="0" w:color="auto"/>
              <w:left w:val="single" w:sz="4" w:space="0" w:color="auto"/>
              <w:bottom w:val="single" w:sz="4" w:space="0" w:color="auto"/>
              <w:right w:val="single" w:sz="4" w:space="0" w:color="auto"/>
            </w:tcBorders>
            <w:vAlign w:val="bottom"/>
            <w:hideMark/>
          </w:tcPr>
          <w:p w14:paraId="5B924F77"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16FF5C9A"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5D9047A6" w14:textId="77777777" w:rsidR="00582954" w:rsidRDefault="00582954">
            <w:pPr>
              <w:spacing w:after="0" w:line="240" w:lineRule="auto"/>
              <w:rPr>
                <w:rFonts w:ascii="Times New Roman" w:hAnsi="Times New Roman"/>
                <w:snapToGrid w:val="0"/>
                <w:lang w:eastAsia="cs-CZ"/>
              </w:rPr>
            </w:pPr>
          </w:p>
        </w:tc>
      </w:tr>
      <w:tr w:rsidR="00582954" w14:paraId="2DEB5705" w14:textId="77777777">
        <w:trPr>
          <w:trHeight w:val="289"/>
          <w:jc w:val="center"/>
        </w:trPr>
        <w:tc>
          <w:tcPr>
            <w:tcW w:w="2491" w:type="dxa"/>
            <w:vMerge w:val="restart"/>
            <w:tcBorders>
              <w:top w:val="single" w:sz="4" w:space="0" w:color="auto"/>
              <w:left w:val="single" w:sz="4" w:space="0" w:color="auto"/>
              <w:right w:val="single" w:sz="4" w:space="0" w:color="auto"/>
            </w:tcBorders>
            <w:hideMark/>
          </w:tcPr>
          <w:p w14:paraId="09DB5727"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Poruchy srdca a srdcovej činnosti</w:t>
            </w:r>
          </w:p>
        </w:tc>
        <w:tc>
          <w:tcPr>
            <w:tcW w:w="2324" w:type="dxa"/>
            <w:tcBorders>
              <w:top w:val="single" w:sz="4" w:space="0" w:color="auto"/>
              <w:left w:val="single" w:sz="4" w:space="0" w:color="auto"/>
              <w:bottom w:val="single" w:sz="4" w:space="0" w:color="auto"/>
              <w:right w:val="single" w:sz="4" w:space="0" w:color="auto"/>
            </w:tcBorders>
            <w:vAlign w:val="bottom"/>
            <w:hideMark/>
          </w:tcPr>
          <w:p w14:paraId="3EAB3376"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tachykardia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48E1FA7E"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20538D04"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405592BE" w14:textId="77777777" w:rsidR="00582954" w:rsidRDefault="00582954">
            <w:pPr>
              <w:spacing w:after="0" w:line="240" w:lineRule="auto"/>
              <w:rPr>
                <w:rFonts w:ascii="Times New Roman" w:hAnsi="Times New Roman"/>
                <w:snapToGrid w:val="0"/>
                <w:lang w:eastAsia="cs-CZ"/>
              </w:rPr>
            </w:pPr>
          </w:p>
        </w:tc>
      </w:tr>
      <w:tr w:rsidR="00582954" w14:paraId="3DC12948" w14:textId="77777777">
        <w:trPr>
          <w:trHeight w:val="289"/>
          <w:jc w:val="center"/>
        </w:trPr>
        <w:tc>
          <w:tcPr>
            <w:tcW w:w="2491" w:type="dxa"/>
            <w:vMerge/>
            <w:tcBorders>
              <w:left w:val="single" w:sz="4" w:space="0" w:color="auto"/>
              <w:right w:val="single" w:sz="4" w:space="0" w:color="auto"/>
            </w:tcBorders>
            <w:hideMark/>
          </w:tcPr>
          <w:p w14:paraId="3876260C"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279E5BEC" w14:textId="77777777" w:rsidR="00582954" w:rsidRDefault="00645977">
            <w:pPr>
              <w:spacing w:after="0" w:line="240" w:lineRule="auto"/>
              <w:rPr>
                <w:rFonts w:ascii="Times New Roman" w:hAnsi="Times New Roman"/>
                <w:snapToGrid w:val="0"/>
                <w:lang w:eastAsia="cs-CZ"/>
              </w:rPr>
            </w:pPr>
            <w:r>
              <w:rPr>
                <w:rFonts w:ascii="Times New Roman" w:hAnsi="Times New Roman"/>
              </w:rPr>
              <w:t>arytmie</w:t>
            </w:r>
          </w:p>
        </w:tc>
        <w:tc>
          <w:tcPr>
            <w:tcW w:w="1677" w:type="dxa"/>
            <w:tcBorders>
              <w:top w:val="single" w:sz="4" w:space="0" w:color="auto"/>
              <w:left w:val="single" w:sz="4" w:space="0" w:color="auto"/>
              <w:bottom w:val="single" w:sz="4" w:space="0" w:color="auto"/>
              <w:right w:val="single" w:sz="4" w:space="0" w:color="auto"/>
            </w:tcBorders>
            <w:vAlign w:val="bottom"/>
            <w:hideMark/>
          </w:tcPr>
          <w:p w14:paraId="0139441B"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0CF66B58"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6480D6E6"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4C5D0FEE" w14:textId="77777777">
        <w:trPr>
          <w:trHeight w:val="289"/>
          <w:jc w:val="center"/>
        </w:trPr>
        <w:tc>
          <w:tcPr>
            <w:tcW w:w="2491" w:type="dxa"/>
            <w:vMerge/>
            <w:tcBorders>
              <w:left w:val="single" w:sz="4" w:space="0" w:color="auto"/>
              <w:bottom w:val="single" w:sz="4" w:space="0" w:color="auto"/>
              <w:right w:val="single" w:sz="4" w:space="0" w:color="auto"/>
            </w:tcBorders>
            <w:hideMark/>
          </w:tcPr>
          <w:p w14:paraId="36598AB8"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242B8D56"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bradykardia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35D9E393"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 xml:space="preserve"> </w:t>
            </w:r>
          </w:p>
        </w:tc>
        <w:tc>
          <w:tcPr>
            <w:tcW w:w="1617" w:type="dxa"/>
            <w:tcBorders>
              <w:top w:val="single" w:sz="4" w:space="0" w:color="auto"/>
              <w:left w:val="single" w:sz="4" w:space="0" w:color="auto"/>
              <w:bottom w:val="single" w:sz="4" w:space="0" w:color="auto"/>
              <w:right w:val="single" w:sz="4" w:space="0" w:color="auto"/>
            </w:tcBorders>
            <w:vAlign w:val="bottom"/>
            <w:hideMark/>
          </w:tcPr>
          <w:p w14:paraId="02FC5540"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255F195F" w14:textId="77777777" w:rsidR="00582954" w:rsidRDefault="00582954">
            <w:pPr>
              <w:spacing w:after="0" w:line="240" w:lineRule="auto"/>
              <w:rPr>
                <w:rFonts w:ascii="Times New Roman" w:hAnsi="Times New Roman"/>
                <w:snapToGrid w:val="0"/>
                <w:lang w:eastAsia="cs-CZ"/>
              </w:rPr>
            </w:pPr>
          </w:p>
        </w:tc>
      </w:tr>
      <w:tr w:rsidR="00582954" w14:paraId="6CDEE7DA" w14:textId="77777777">
        <w:trPr>
          <w:trHeight w:val="289"/>
          <w:jc w:val="center"/>
        </w:trPr>
        <w:tc>
          <w:tcPr>
            <w:tcW w:w="2491" w:type="dxa"/>
            <w:vMerge w:val="restart"/>
            <w:tcBorders>
              <w:top w:val="single" w:sz="4" w:space="0" w:color="auto"/>
              <w:left w:val="single" w:sz="4" w:space="0" w:color="auto"/>
              <w:right w:val="single" w:sz="4" w:space="0" w:color="auto"/>
            </w:tcBorders>
            <w:hideMark/>
          </w:tcPr>
          <w:p w14:paraId="2938F3B5" w14:textId="77777777" w:rsidR="00582954" w:rsidRDefault="00645977">
            <w:pPr>
              <w:keepNext/>
              <w:keepLines/>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Poruchy ciev</w:t>
            </w:r>
          </w:p>
        </w:tc>
        <w:tc>
          <w:tcPr>
            <w:tcW w:w="2324" w:type="dxa"/>
            <w:tcBorders>
              <w:top w:val="single" w:sz="4" w:space="0" w:color="auto"/>
              <w:left w:val="single" w:sz="4" w:space="0" w:color="auto"/>
              <w:bottom w:val="single" w:sz="4" w:space="0" w:color="auto"/>
              <w:right w:val="single" w:sz="4" w:space="0" w:color="auto"/>
            </w:tcBorders>
            <w:vAlign w:val="bottom"/>
            <w:hideMark/>
          </w:tcPr>
          <w:p w14:paraId="08EA1CDB"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rPr>
              <w:t>hypotenzia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1861B695"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77A62E5E"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3D4DCDDA" w14:textId="77777777" w:rsidR="00582954" w:rsidRDefault="00582954">
            <w:pPr>
              <w:keepNext/>
              <w:keepLines/>
              <w:spacing w:after="0" w:line="240" w:lineRule="auto"/>
              <w:rPr>
                <w:rFonts w:ascii="Times New Roman" w:hAnsi="Times New Roman"/>
                <w:snapToGrid w:val="0"/>
                <w:lang w:eastAsia="cs-CZ"/>
              </w:rPr>
            </w:pPr>
          </w:p>
        </w:tc>
      </w:tr>
      <w:tr w:rsidR="00582954" w14:paraId="5FF1A824" w14:textId="77777777">
        <w:trPr>
          <w:trHeight w:val="289"/>
          <w:jc w:val="center"/>
        </w:trPr>
        <w:tc>
          <w:tcPr>
            <w:tcW w:w="2491" w:type="dxa"/>
            <w:vMerge/>
            <w:tcBorders>
              <w:left w:val="single" w:sz="4" w:space="0" w:color="auto"/>
              <w:right w:val="single" w:sz="4" w:space="0" w:color="auto"/>
            </w:tcBorders>
            <w:hideMark/>
          </w:tcPr>
          <w:p w14:paraId="3E719739" w14:textId="77777777" w:rsidR="00582954" w:rsidRDefault="00582954">
            <w:pPr>
              <w:keepNext/>
              <w:keepLines/>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26C33775"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rPr>
              <w:t>ortostatická hypotenzia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2A333D80"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0ACB219C"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2DD50370"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časté</w:t>
            </w:r>
          </w:p>
        </w:tc>
      </w:tr>
      <w:tr w:rsidR="00582954" w14:paraId="5D80B298" w14:textId="77777777">
        <w:trPr>
          <w:trHeight w:val="289"/>
          <w:jc w:val="center"/>
        </w:trPr>
        <w:tc>
          <w:tcPr>
            <w:tcW w:w="2491" w:type="dxa"/>
            <w:vMerge/>
            <w:tcBorders>
              <w:left w:val="single" w:sz="4" w:space="0" w:color="auto"/>
              <w:bottom w:val="single" w:sz="4" w:space="0" w:color="auto"/>
              <w:right w:val="single" w:sz="4" w:space="0" w:color="auto"/>
            </w:tcBorders>
            <w:hideMark/>
          </w:tcPr>
          <w:p w14:paraId="54CC5FB8" w14:textId="77777777" w:rsidR="00582954" w:rsidRDefault="00582954">
            <w:pPr>
              <w:keepNext/>
              <w:keepLines/>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3F80EC3D" w14:textId="77777777" w:rsidR="00582954" w:rsidRDefault="00645977">
            <w:pPr>
              <w:keepNext/>
              <w:keepLines/>
              <w:spacing w:after="0" w:line="240" w:lineRule="auto"/>
              <w:ind w:right="-110"/>
              <w:rPr>
                <w:rFonts w:ascii="Times New Roman" w:hAnsi="Times New Roman"/>
                <w:snapToGrid w:val="0"/>
                <w:lang w:eastAsia="cs-CZ"/>
              </w:rPr>
            </w:pPr>
            <w:r>
              <w:rPr>
                <w:rFonts w:ascii="Times New Roman" w:hAnsi="Times New Roman"/>
              </w:rPr>
              <w:t>nekrotizujúca vaskulitída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4FF3A432" w14:textId="77777777" w:rsidR="00582954" w:rsidRDefault="00582954">
            <w:pPr>
              <w:keepNext/>
              <w:keepLines/>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50EEE94E" w14:textId="77777777" w:rsidR="00582954" w:rsidRDefault="00582954">
            <w:pPr>
              <w:keepNext/>
              <w:keepLines/>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787938B0" w14:textId="77777777" w:rsidR="00582954" w:rsidRDefault="00645977">
            <w:pPr>
              <w:keepNext/>
              <w:keepLines/>
              <w:spacing w:after="0" w:line="240" w:lineRule="auto"/>
              <w:rPr>
                <w:rFonts w:ascii="Times New Roman" w:hAnsi="Times New Roman"/>
                <w:snapToGrid w:val="0"/>
                <w:lang w:eastAsia="cs-CZ"/>
              </w:rPr>
            </w:pPr>
            <w:r>
              <w:rPr>
                <w:rFonts w:ascii="Times New Roman" w:hAnsi="Times New Roman"/>
                <w:snapToGrid w:val="0"/>
                <w:lang w:eastAsia="cs-CZ"/>
              </w:rPr>
              <w:t>veľmi zriedkavé</w:t>
            </w:r>
          </w:p>
        </w:tc>
      </w:tr>
      <w:tr w:rsidR="00582954" w14:paraId="60636520" w14:textId="77777777">
        <w:trPr>
          <w:trHeight w:val="289"/>
          <w:jc w:val="center"/>
        </w:trPr>
        <w:tc>
          <w:tcPr>
            <w:tcW w:w="2491" w:type="dxa"/>
            <w:vMerge w:val="restart"/>
            <w:tcBorders>
              <w:top w:val="single" w:sz="4" w:space="0" w:color="auto"/>
              <w:left w:val="single" w:sz="4" w:space="0" w:color="auto"/>
              <w:right w:val="single" w:sz="4" w:space="0" w:color="auto"/>
            </w:tcBorders>
            <w:hideMark/>
          </w:tcPr>
          <w:p w14:paraId="2D505865"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Poruchy dýchacej sústavy, hrudníka a mediastína</w:t>
            </w:r>
          </w:p>
        </w:tc>
        <w:tc>
          <w:tcPr>
            <w:tcW w:w="2324" w:type="dxa"/>
            <w:tcBorders>
              <w:top w:val="single" w:sz="4" w:space="0" w:color="auto"/>
              <w:left w:val="single" w:sz="4" w:space="0" w:color="auto"/>
              <w:bottom w:val="single" w:sz="4" w:space="0" w:color="auto"/>
              <w:right w:val="single" w:sz="4" w:space="0" w:color="auto"/>
            </w:tcBorders>
            <w:vAlign w:val="bottom"/>
            <w:hideMark/>
          </w:tcPr>
          <w:p w14:paraId="7E5BF919"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dyspnoe</w:t>
            </w:r>
          </w:p>
        </w:tc>
        <w:tc>
          <w:tcPr>
            <w:tcW w:w="1677" w:type="dxa"/>
            <w:tcBorders>
              <w:top w:val="single" w:sz="4" w:space="0" w:color="auto"/>
              <w:left w:val="single" w:sz="4" w:space="0" w:color="auto"/>
              <w:bottom w:val="single" w:sz="4" w:space="0" w:color="auto"/>
              <w:right w:val="single" w:sz="4" w:space="0" w:color="auto"/>
            </w:tcBorders>
            <w:vAlign w:val="bottom"/>
            <w:hideMark/>
          </w:tcPr>
          <w:p w14:paraId="29702F31"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4FCF2F0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5A4D3E7F" w14:textId="77777777" w:rsidR="00582954" w:rsidRDefault="00582954">
            <w:pPr>
              <w:spacing w:after="0" w:line="240" w:lineRule="auto"/>
              <w:rPr>
                <w:rFonts w:ascii="Times New Roman" w:hAnsi="Times New Roman"/>
                <w:snapToGrid w:val="0"/>
                <w:lang w:eastAsia="cs-CZ"/>
              </w:rPr>
            </w:pPr>
          </w:p>
        </w:tc>
      </w:tr>
      <w:tr w:rsidR="00582954" w14:paraId="2E5D9D93" w14:textId="77777777">
        <w:trPr>
          <w:trHeight w:val="289"/>
          <w:jc w:val="center"/>
        </w:trPr>
        <w:tc>
          <w:tcPr>
            <w:tcW w:w="2491" w:type="dxa"/>
            <w:vMerge/>
            <w:tcBorders>
              <w:left w:val="single" w:sz="4" w:space="0" w:color="auto"/>
              <w:right w:val="single" w:sz="4" w:space="0" w:color="auto"/>
            </w:tcBorders>
            <w:hideMark/>
          </w:tcPr>
          <w:p w14:paraId="602B7868"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7EB70A50" w14:textId="77777777" w:rsidR="00582954" w:rsidRDefault="00645977">
            <w:pPr>
              <w:spacing w:after="0" w:line="240" w:lineRule="auto"/>
              <w:rPr>
                <w:rFonts w:ascii="Times New Roman" w:hAnsi="Times New Roman"/>
                <w:snapToGrid w:val="0"/>
                <w:lang w:eastAsia="cs-CZ"/>
              </w:rPr>
            </w:pPr>
            <w:r>
              <w:rPr>
                <w:rFonts w:ascii="Times New Roman" w:hAnsi="Times New Roman"/>
              </w:rPr>
              <w:t>ťažkosti s dýchaním</w:t>
            </w:r>
          </w:p>
        </w:tc>
        <w:tc>
          <w:tcPr>
            <w:tcW w:w="1677" w:type="dxa"/>
            <w:tcBorders>
              <w:top w:val="single" w:sz="4" w:space="0" w:color="auto"/>
              <w:left w:val="single" w:sz="4" w:space="0" w:color="auto"/>
              <w:bottom w:val="single" w:sz="4" w:space="0" w:color="auto"/>
              <w:right w:val="single" w:sz="4" w:space="0" w:color="auto"/>
            </w:tcBorders>
            <w:vAlign w:val="bottom"/>
            <w:hideMark/>
          </w:tcPr>
          <w:p w14:paraId="4F13ABC7"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40B1CFED"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0082A0C0"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veľmi zriedkavé</w:t>
            </w:r>
          </w:p>
        </w:tc>
      </w:tr>
      <w:tr w:rsidR="00582954" w14:paraId="3062F31D" w14:textId="77777777">
        <w:trPr>
          <w:trHeight w:val="289"/>
          <w:jc w:val="center"/>
        </w:trPr>
        <w:tc>
          <w:tcPr>
            <w:tcW w:w="2491" w:type="dxa"/>
            <w:vMerge/>
            <w:tcBorders>
              <w:left w:val="single" w:sz="4" w:space="0" w:color="auto"/>
              <w:right w:val="single" w:sz="4" w:space="0" w:color="auto"/>
            </w:tcBorders>
          </w:tcPr>
          <w:p w14:paraId="5872D03E"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tcPr>
          <w:p w14:paraId="47ABB693" w14:textId="77777777" w:rsidR="00582954" w:rsidRDefault="00645977">
            <w:pPr>
              <w:spacing w:after="0" w:line="240" w:lineRule="auto"/>
              <w:rPr>
                <w:rFonts w:ascii="Times New Roman" w:hAnsi="Times New Roman"/>
                <w:snapToGrid w:val="0"/>
                <w:lang w:eastAsia="cs-CZ"/>
              </w:rPr>
            </w:pPr>
            <w:r>
              <w:rPr>
                <w:rFonts w:ascii="Times New Roman" w:hAnsi="Times New Roman"/>
              </w:rPr>
              <w:t>pneumonitída</w:t>
            </w:r>
          </w:p>
        </w:tc>
        <w:tc>
          <w:tcPr>
            <w:tcW w:w="1677" w:type="dxa"/>
            <w:tcBorders>
              <w:top w:val="single" w:sz="4" w:space="0" w:color="auto"/>
              <w:left w:val="single" w:sz="4" w:space="0" w:color="auto"/>
              <w:bottom w:val="single" w:sz="4" w:space="0" w:color="auto"/>
              <w:right w:val="single" w:sz="4" w:space="0" w:color="auto"/>
            </w:tcBorders>
            <w:vAlign w:val="bottom"/>
          </w:tcPr>
          <w:p w14:paraId="2187F1AE"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tcPr>
          <w:p w14:paraId="774F769A"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tcPr>
          <w:p w14:paraId="3E85DC58"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veľmi zriedkavé</w:t>
            </w:r>
          </w:p>
        </w:tc>
      </w:tr>
      <w:tr w:rsidR="00582954" w14:paraId="26D813C6" w14:textId="77777777">
        <w:trPr>
          <w:trHeight w:val="289"/>
          <w:jc w:val="center"/>
        </w:trPr>
        <w:tc>
          <w:tcPr>
            <w:tcW w:w="2491" w:type="dxa"/>
            <w:vMerge/>
            <w:tcBorders>
              <w:left w:val="single" w:sz="4" w:space="0" w:color="auto"/>
              <w:right w:val="single" w:sz="4" w:space="0" w:color="auto"/>
            </w:tcBorders>
          </w:tcPr>
          <w:p w14:paraId="5F155C86"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tcPr>
          <w:p w14:paraId="518B7B56" w14:textId="77777777" w:rsidR="00582954" w:rsidRDefault="00645977">
            <w:pPr>
              <w:spacing w:after="0" w:line="240" w:lineRule="auto"/>
              <w:rPr>
                <w:rFonts w:ascii="Times New Roman" w:hAnsi="Times New Roman"/>
                <w:snapToGrid w:val="0"/>
                <w:lang w:eastAsia="cs-CZ"/>
              </w:rPr>
            </w:pPr>
            <w:r>
              <w:rPr>
                <w:rFonts w:ascii="Times New Roman" w:hAnsi="Times New Roman"/>
              </w:rPr>
              <w:t>pľúcny edém</w:t>
            </w:r>
          </w:p>
        </w:tc>
        <w:tc>
          <w:tcPr>
            <w:tcW w:w="1677" w:type="dxa"/>
            <w:tcBorders>
              <w:top w:val="single" w:sz="4" w:space="0" w:color="auto"/>
              <w:left w:val="single" w:sz="4" w:space="0" w:color="auto"/>
              <w:bottom w:val="single" w:sz="4" w:space="0" w:color="auto"/>
              <w:right w:val="single" w:sz="4" w:space="0" w:color="auto"/>
            </w:tcBorders>
            <w:vAlign w:val="bottom"/>
          </w:tcPr>
          <w:p w14:paraId="6F077957"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tcPr>
          <w:p w14:paraId="0CC6FC6A"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tcPr>
          <w:p w14:paraId="48CE2116"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veľmi zriedkavé</w:t>
            </w:r>
          </w:p>
        </w:tc>
      </w:tr>
      <w:tr w:rsidR="00582954" w14:paraId="32E009E4" w14:textId="77777777">
        <w:trPr>
          <w:trHeight w:val="289"/>
          <w:jc w:val="center"/>
        </w:trPr>
        <w:tc>
          <w:tcPr>
            <w:tcW w:w="2491" w:type="dxa"/>
            <w:vMerge/>
            <w:tcBorders>
              <w:left w:val="single" w:sz="4" w:space="0" w:color="auto"/>
              <w:right w:val="single" w:sz="4" w:space="0" w:color="auto"/>
            </w:tcBorders>
            <w:hideMark/>
          </w:tcPr>
          <w:p w14:paraId="4A7B510C"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77E10316" w14:textId="77777777" w:rsidR="00582954" w:rsidRDefault="00645977">
            <w:pPr>
              <w:spacing w:after="0" w:line="240" w:lineRule="auto"/>
              <w:rPr>
                <w:rFonts w:ascii="Times New Roman" w:hAnsi="Times New Roman"/>
              </w:rPr>
            </w:pPr>
            <w:r>
              <w:rPr>
                <w:rFonts w:ascii="Times New Roman" w:hAnsi="Times New Roman"/>
                <w:snapToGrid w:val="0"/>
                <w:lang w:eastAsia="cs-CZ"/>
              </w:rPr>
              <w:t>k</w:t>
            </w:r>
            <w:r>
              <w:rPr>
                <w:rFonts w:ascii="Times New Roman" w:hAnsi="Times New Roman"/>
              </w:rPr>
              <w:t>ašeľ</w:t>
            </w:r>
          </w:p>
        </w:tc>
        <w:tc>
          <w:tcPr>
            <w:tcW w:w="1677" w:type="dxa"/>
            <w:tcBorders>
              <w:top w:val="single" w:sz="4" w:space="0" w:color="auto"/>
              <w:left w:val="single" w:sz="4" w:space="0" w:color="auto"/>
              <w:bottom w:val="single" w:sz="4" w:space="0" w:color="auto"/>
              <w:right w:val="single" w:sz="4" w:space="0" w:color="auto"/>
            </w:tcBorders>
            <w:vAlign w:val="bottom"/>
            <w:hideMark/>
          </w:tcPr>
          <w:p w14:paraId="0E405902"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55A35880"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7686F7DE" w14:textId="77777777" w:rsidR="00582954" w:rsidRDefault="00582954">
            <w:pPr>
              <w:spacing w:after="0" w:line="240" w:lineRule="auto"/>
              <w:rPr>
                <w:rFonts w:ascii="Times New Roman" w:hAnsi="Times New Roman"/>
                <w:snapToGrid w:val="0"/>
                <w:lang w:eastAsia="cs-CZ"/>
              </w:rPr>
            </w:pPr>
          </w:p>
        </w:tc>
      </w:tr>
      <w:tr w:rsidR="00582954" w14:paraId="7D18FC23" w14:textId="77777777">
        <w:trPr>
          <w:trHeight w:val="289"/>
          <w:jc w:val="center"/>
        </w:trPr>
        <w:tc>
          <w:tcPr>
            <w:tcW w:w="2491" w:type="dxa"/>
            <w:vMerge/>
            <w:tcBorders>
              <w:left w:val="single" w:sz="4" w:space="0" w:color="auto"/>
              <w:right w:val="single" w:sz="4" w:space="0" w:color="auto"/>
            </w:tcBorders>
            <w:hideMark/>
          </w:tcPr>
          <w:p w14:paraId="57E84E9C"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061CAE43" w14:textId="77777777" w:rsidR="00582954" w:rsidRDefault="00645977">
            <w:pPr>
              <w:spacing w:after="0" w:line="240" w:lineRule="auto"/>
              <w:rPr>
                <w:rFonts w:ascii="Times New Roman" w:hAnsi="Times New Roman"/>
                <w:snapToGrid w:val="0"/>
                <w:lang w:eastAsia="cs-CZ"/>
              </w:rPr>
            </w:pPr>
            <w:r>
              <w:rPr>
                <w:rFonts w:ascii="Times New Roman" w:hAnsi="Times New Roman"/>
              </w:rPr>
              <w:t>intersticiálne ochorenie pľúc</w:t>
            </w:r>
          </w:p>
        </w:tc>
        <w:tc>
          <w:tcPr>
            <w:tcW w:w="1677" w:type="dxa"/>
            <w:tcBorders>
              <w:top w:val="single" w:sz="4" w:space="0" w:color="auto"/>
              <w:left w:val="single" w:sz="4" w:space="0" w:color="auto"/>
              <w:bottom w:val="single" w:sz="4" w:space="0" w:color="auto"/>
              <w:right w:val="single" w:sz="4" w:space="0" w:color="auto"/>
            </w:tcBorders>
            <w:vAlign w:val="bottom"/>
            <w:hideMark/>
          </w:tcPr>
          <w:p w14:paraId="1555EFEC"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1CE1F153"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veľmi zriedkavé</w:t>
            </w:r>
            <w:r>
              <w:rPr>
                <w:rFonts w:ascii="Times New Roman" w:hAnsi="Times New Roman"/>
                <w:snapToGrid w:val="0"/>
                <w:vertAlign w:val="superscript"/>
                <w:lang w:eastAsia="cs-CZ"/>
              </w:rPr>
              <w:t>1,2</w:t>
            </w:r>
          </w:p>
        </w:tc>
        <w:tc>
          <w:tcPr>
            <w:tcW w:w="1666" w:type="dxa"/>
            <w:tcBorders>
              <w:top w:val="single" w:sz="4" w:space="0" w:color="auto"/>
              <w:left w:val="single" w:sz="4" w:space="0" w:color="auto"/>
              <w:bottom w:val="single" w:sz="4" w:space="0" w:color="auto"/>
              <w:right w:val="single" w:sz="4" w:space="0" w:color="auto"/>
            </w:tcBorders>
            <w:vAlign w:val="bottom"/>
            <w:hideMark/>
          </w:tcPr>
          <w:p w14:paraId="22F3C6A9" w14:textId="77777777" w:rsidR="00582954" w:rsidRDefault="00582954">
            <w:pPr>
              <w:spacing w:after="0" w:line="240" w:lineRule="auto"/>
              <w:rPr>
                <w:rFonts w:ascii="Times New Roman" w:hAnsi="Times New Roman"/>
                <w:snapToGrid w:val="0"/>
                <w:lang w:eastAsia="cs-CZ"/>
              </w:rPr>
            </w:pPr>
          </w:p>
        </w:tc>
      </w:tr>
      <w:tr w:rsidR="00582954" w14:paraId="3F90C860" w14:textId="77777777">
        <w:trPr>
          <w:trHeight w:val="289"/>
          <w:jc w:val="center"/>
        </w:trPr>
        <w:tc>
          <w:tcPr>
            <w:tcW w:w="2491" w:type="dxa"/>
            <w:vMerge/>
            <w:tcBorders>
              <w:left w:val="single" w:sz="4" w:space="0" w:color="auto"/>
              <w:bottom w:val="single" w:sz="4" w:space="0" w:color="auto"/>
              <w:right w:val="single" w:sz="4" w:space="0" w:color="auto"/>
            </w:tcBorders>
            <w:hideMark/>
          </w:tcPr>
          <w:p w14:paraId="428DB424"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5144926F" w14:textId="77777777" w:rsidR="00582954" w:rsidRDefault="00645977">
            <w:pPr>
              <w:spacing w:after="0" w:line="240" w:lineRule="auto"/>
              <w:ind w:right="-110"/>
              <w:rPr>
                <w:rFonts w:ascii="Times New Roman" w:hAnsi="Times New Roman"/>
                <w:snapToGrid w:val="0"/>
                <w:lang w:eastAsia="cs-CZ"/>
              </w:rPr>
            </w:pPr>
            <w:r>
              <w:rPr>
                <w:rFonts w:ascii="Times New Roman" w:hAnsi="Times New Roman"/>
              </w:rPr>
              <w:t>syndróm akútnej respiračnej tiesne (ARDS) (pozri časť 4.4)</w:t>
            </w:r>
          </w:p>
        </w:tc>
        <w:tc>
          <w:tcPr>
            <w:tcW w:w="1677" w:type="dxa"/>
            <w:tcBorders>
              <w:top w:val="single" w:sz="4" w:space="0" w:color="auto"/>
              <w:left w:val="single" w:sz="4" w:space="0" w:color="auto"/>
              <w:bottom w:val="single" w:sz="4" w:space="0" w:color="auto"/>
              <w:right w:val="single" w:sz="4" w:space="0" w:color="auto"/>
            </w:tcBorders>
            <w:vAlign w:val="bottom"/>
            <w:hideMark/>
          </w:tcPr>
          <w:p w14:paraId="4EB27F7E"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30D1F671"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01E81596"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veľmi zriedkavé</w:t>
            </w:r>
          </w:p>
        </w:tc>
      </w:tr>
      <w:tr w:rsidR="00582954" w14:paraId="572B6F73" w14:textId="77777777">
        <w:trPr>
          <w:trHeight w:val="289"/>
          <w:jc w:val="center"/>
        </w:trPr>
        <w:tc>
          <w:tcPr>
            <w:tcW w:w="2491" w:type="dxa"/>
            <w:vMerge w:val="restart"/>
            <w:tcBorders>
              <w:top w:val="single" w:sz="4" w:space="0" w:color="auto"/>
              <w:left w:val="single" w:sz="4" w:space="0" w:color="auto"/>
              <w:right w:val="single" w:sz="4" w:space="0" w:color="auto"/>
            </w:tcBorders>
            <w:hideMark/>
          </w:tcPr>
          <w:p w14:paraId="3063DD26"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Poruchy gastrointestinálneho traktu</w:t>
            </w:r>
          </w:p>
        </w:tc>
        <w:tc>
          <w:tcPr>
            <w:tcW w:w="2324" w:type="dxa"/>
            <w:tcBorders>
              <w:top w:val="single" w:sz="4" w:space="0" w:color="auto"/>
              <w:left w:val="single" w:sz="4" w:space="0" w:color="auto"/>
              <w:bottom w:val="single" w:sz="4" w:space="0" w:color="auto"/>
              <w:right w:val="single" w:sz="4" w:space="0" w:color="auto"/>
            </w:tcBorders>
            <w:vAlign w:val="bottom"/>
            <w:hideMark/>
          </w:tcPr>
          <w:p w14:paraId="0227D639" w14:textId="77777777" w:rsidR="00582954" w:rsidRDefault="00645977">
            <w:pPr>
              <w:spacing w:after="0" w:line="240" w:lineRule="auto"/>
              <w:rPr>
                <w:rFonts w:ascii="Times New Roman" w:hAnsi="Times New Roman"/>
                <w:snapToGrid w:val="0"/>
                <w:lang w:eastAsia="cs-CZ"/>
              </w:rPr>
            </w:pPr>
            <w:r>
              <w:rPr>
                <w:rFonts w:ascii="Times New Roman" w:hAnsi="Times New Roman"/>
              </w:rPr>
              <w:t>hnačka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4D51ECE6"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5AFA0321"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4456F615"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časté</w:t>
            </w:r>
          </w:p>
        </w:tc>
      </w:tr>
      <w:tr w:rsidR="00582954" w14:paraId="7DCCCE08" w14:textId="77777777">
        <w:trPr>
          <w:trHeight w:val="289"/>
          <w:jc w:val="center"/>
        </w:trPr>
        <w:tc>
          <w:tcPr>
            <w:tcW w:w="2491" w:type="dxa"/>
            <w:vMerge/>
            <w:tcBorders>
              <w:left w:val="single" w:sz="4" w:space="0" w:color="auto"/>
              <w:right w:val="single" w:sz="4" w:space="0" w:color="auto"/>
            </w:tcBorders>
            <w:hideMark/>
          </w:tcPr>
          <w:p w14:paraId="385F773A"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416DCDDA" w14:textId="77777777" w:rsidR="00582954" w:rsidRDefault="00645977">
            <w:pPr>
              <w:spacing w:after="0" w:line="240" w:lineRule="auto"/>
              <w:rPr>
                <w:rFonts w:ascii="Times New Roman" w:hAnsi="Times New Roman"/>
                <w:snapToGrid w:val="0"/>
                <w:lang w:eastAsia="cs-CZ"/>
              </w:rPr>
            </w:pPr>
            <w:r>
              <w:rPr>
                <w:rFonts w:ascii="Times New Roman" w:hAnsi="Times New Roman"/>
              </w:rPr>
              <w:t>sucho v ústach</w:t>
            </w:r>
          </w:p>
        </w:tc>
        <w:tc>
          <w:tcPr>
            <w:tcW w:w="1677" w:type="dxa"/>
            <w:tcBorders>
              <w:top w:val="single" w:sz="4" w:space="0" w:color="auto"/>
              <w:left w:val="single" w:sz="4" w:space="0" w:color="auto"/>
              <w:bottom w:val="single" w:sz="4" w:space="0" w:color="auto"/>
              <w:right w:val="single" w:sz="4" w:space="0" w:color="auto"/>
            </w:tcBorders>
            <w:vAlign w:val="bottom"/>
            <w:hideMark/>
          </w:tcPr>
          <w:p w14:paraId="2C7EFF9C"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1F20CE3A"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489456A5" w14:textId="77777777" w:rsidR="00582954" w:rsidRDefault="00582954">
            <w:pPr>
              <w:spacing w:after="0" w:line="240" w:lineRule="auto"/>
              <w:rPr>
                <w:rFonts w:ascii="Times New Roman" w:hAnsi="Times New Roman"/>
                <w:snapToGrid w:val="0"/>
                <w:lang w:eastAsia="cs-CZ"/>
              </w:rPr>
            </w:pPr>
          </w:p>
        </w:tc>
      </w:tr>
      <w:tr w:rsidR="00582954" w14:paraId="32235CED" w14:textId="77777777">
        <w:trPr>
          <w:trHeight w:val="289"/>
          <w:jc w:val="center"/>
        </w:trPr>
        <w:tc>
          <w:tcPr>
            <w:tcW w:w="2491" w:type="dxa"/>
            <w:vMerge/>
            <w:tcBorders>
              <w:left w:val="single" w:sz="4" w:space="0" w:color="auto"/>
              <w:right w:val="single" w:sz="4" w:space="0" w:color="auto"/>
            </w:tcBorders>
            <w:hideMark/>
          </w:tcPr>
          <w:p w14:paraId="3508FDCC"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34FD3C5F" w14:textId="77777777" w:rsidR="00582954" w:rsidRDefault="00645977">
            <w:pPr>
              <w:spacing w:after="0" w:line="240" w:lineRule="auto"/>
              <w:rPr>
                <w:rFonts w:ascii="Times New Roman" w:hAnsi="Times New Roman"/>
                <w:snapToGrid w:val="0"/>
                <w:lang w:eastAsia="cs-CZ"/>
              </w:rPr>
            </w:pPr>
            <w:r>
              <w:rPr>
                <w:rFonts w:ascii="Times New Roman" w:hAnsi="Times New Roman"/>
              </w:rPr>
              <w:t>plynatosť</w:t>
            </w:r>
          </w:p>
        </w:tc>
        <w:tc>
          <w:tcPr>
            <w:tcW w:w="1677" w:type="dxa"/>
            <w:tcBorders>
              <w:top w:val="single" w:sz="4" w:space="0" w:color="auto"/>
              <w:left w:val="single" w:sz="4" w:space="0" w:color="auto"/>
              <w:bottom w:val="single" w:sz="4" w:space="0" w:color="auto"/>
              <w:right w:val="single" w:sz="4" w:space="0" w:color="auto"/>
            </w:tcBorders>
            <w:vAlign w:val="bottom"/>
            <w:hideMark/>
          </w:tcPr>
          <w:p w14:paraId="7201EA5E"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4E88FA87"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77FFF9E9" w14:textId="77777777" w:rsidR="00582954" w:rsidRDefault="00582954">
            <w:pPr>
              <w:spacing w:after="0" w:line="240" w:lineRule="auto"/>
              <w:rPr>
                <w:rFonts w:ascii="Times New Roman" w:hAnsi="Times New Roman"/>
                <w:snapToGrid w:val="0"/>
                <w:lang w:eastAsia="cs-CZ"/>
              </w:rPr>
            </w:pPr>
          </w:p>
        </w:tc>
      </w:tr>
      <w:tr w:rsidR="00582954" w14:paraId="46BB6E6A" w14:textId="77777777">
        <w:trPr>
          <w:trHeight w:val="289"/>
          <w:jc w:val="center"/>
        </w:trPr>
        <w:tc>
          <w:tcPr>
            <w:tcW w:w="2491" w:type="dxa"/>
            <w:vMerge/>
            <w:tcBorders>
              <w:left w:val="single" w:sz="4" w:space="0" w:color="auto"/>
              <w:right w:val="single" w:sz="4" w:space="0" w:color="auto"/>
            </w:tcBorders>
            <w:hideMark/>
          </w:tcPr>
          <w:p w14:paraId="11B0BE8D"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448AE184" w14:textId="77777777" w:rsidR="00582954" w:rsidRDefault="00645977">
            <w:pPr>
              <w:spacing w:after="0" w:line="240" w:lineRule="auto"/>
              <w:rPr>
                <w:rFonts w:ascii="Times New Roman" w:hAnsi="Times New Roman"/>
                <w:snapToGrid w:val="0"/>
                <w:lang w:eastAsia="cs-CZ"/>
              </w:rPr>
            </w:pPr>
            <w:r>
              <w:rPr>
                <w:rFonts w:ascii="Times New Roman" w:hAnsi="Times New Roman"/>
              </w:rPr>
              <w:t>bolesť brucha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1EFA6AE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07E50E79"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7968DB8B" w14:textId="77777777" w:rsidR="00582954" w:rsidRDefault="00582954">
            <w:pPr>
              <w:spacing w:after="0" w:line="240" w:lineRule="auto"/>
              <w:rPr>
                <w:rFonts w:ascii="Times New Roman" w:hAnsi="Times New Roman"/>
                <w:snapToGrid w:val="0"/>
                <w:lang w:eastAsia="cs-CZ"/>
              </w:rPr>
            </w:pPr>
          </w:p>
        </w:tc>
      </w:tr>
      <w:tr w:rsidR="00582954" w14:paraId="168410A1" w14:textId="77777777">
        <w:trPr>
          <w:trHeight w:val="289"/>
          <w:jc w:val="center"/>
        </w:trPr>
        <w:tc>
          <w:tcPr>
            <w:tcW w:w="2491" w:type="dxa"/>
            <w:vMerge/>
            <w:tcBorders>
              <w:left w:val="single" w:sz="4" w:space="0" w:color="auto"/>
              <w:right w:val="single" w:sz="4" w:space="0" w:color="auto"/>
            </w:tcBorders>
            <w:hideMark/>
          </w:tcPr>
          <w:p w14:paraId="1F87A95C"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3278E186" w14:textId="77777777" w:rsidR="00582954" w:rsidRDefault="00645977">
            <w:pPr>
              <w:spacing w:after="0" w:line="240" w:lineRule="auto"/>
              <w:rPr>
                <w:rFonts w:ascii="Times New Roman" w:hAnsi="Times New Roman"/>
                <w:snapToGrid w:val="0"/>
                <w:lang w:eastAsia="cs-CZ"/>
              </w:rPr>
            </w:pPr>
            <w:r>
              <w:rPr>
                <w:rFonts w:ascii="Times New Roman" w:hAnsi="Times New Roman"/>
              </w:rPr>
              <w:t>zápcha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6270A6D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16BEA702"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2B19C415"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15348725" w14:textId="77777777">
        <w:trPr>
          <w:trHeight w:val="289"/>
          <w:jc w:val="center"/>
        </w:trPr>
        <w:tc>
          <w:tcPr>
            <w:tcW w:w="2491" w:type="dxa"/>
            <w:vMerge/>
            <w:tcBorders>
              <w:left w:val="single" w:sz="4" w:space="0" w:color="auto"/>
              <w:right w:val="single" w:sz="4" w:space="0" w:color="auto"/>
            </w:tcBorders>
            <w:hideMark/>
          </w:tcPr>
          <w:p w14:paraId="637EB066"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0E4236F0"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dyspepsia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1D424EA9"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13D06916"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3D5C339B" w14:textId="77777777" w:rsidR="00582954" w:rsidRDefault="00582954">
            <w:pPr>
              <w:spacing w:after="0" w:line="240" w:lineRule="auto"/>
              <w:rPr>
                <w:rFonts w:ascii="Times New Roman" w:hAnsi="Times New Roman"/>
                <w:snapToGrid w:val="0"/>
                <w:lang w:eastAsia="cs-CZ"/>
              </w:rPr>
            </w:pPr>
          </w:p>
        </w:tc>
      </w:tr>
      <w:tr w:rsidR="00582954" w14:paraId="001EA5B8" w14:textId="77777777">
        <w:trPr>
          <w:trHeight w:val="289"/>
          <w:jc w:val="center"/>
        </w:trPr>
        <w:tc>
          <w:tcPr>
            <w:tcW w:w="2491" w:type="dxa"/>
            <w:vMerge/>
            <w:tcBorders>
              <w:left w:val="single" w:sz="4" w:space="0" w:color="auto"/>
              <w:right w:val="single" w:sz="4" w:space="0" w:color="auto"/>
            </w:tcBorders>
            <w:hideMark/>
          </w:tcPr>
          <w:p w14:paraId="1B315502"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4E96FAE7" w14:textId="77777777" w:rsidR="00582954" w:rsidRDefault="00645977">
            <w:pPr>
              <w:spacing w:after="0" w:line="240" w:lineRule="auto"/>
              <w:rPr>
                <w:rFonts w:ascii="Times New Roman" w:hAnsi="Times New Roman"/>
                <w:snapToGrid w:val="0"/>
                <w:lang w:eastAsia="cs-CZ"/>
              </w:rPr>
            </w:pPr>
            <w:r>
              <w:rPr>
                <w:rFonts w:ascii="Times New Roman" w:hAnsi="Times New Roman"/>
              </w:rPr>
              <w:t>vracanie</w:t>
            </w:r>
          </w:p>
        </w:tc>
        <w:tc>
          <w:tcPr>
            <w:tcW w:w="1677" w:type="dxa"/>
            <w:tcBorders>
              <w:top w:val="single" w:sz="4" w:space="0" w:color="auto"/>
              <w:left w:val="single" w:sz="4" w:space="0" w:color="auto"/>
              <w:bottom w:val="single" w:sz="4" w:space="0" w:color="auto"/>
              <w:right w:val="single" w:sz="4" w:space="0" w:color="auto"/>
            </w:tcBorders>
            <w:vAlign w:val="bottom"/>
            <w:hideMark/>
          </w:tcPr>
          <w:p w14:paraId="11244D35"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38B2A333"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382BB72A"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časté</w:t>
            </w:r>
          </w:p>
        </w:tc>
      </w:tr>
      <w:tr w:rsidR="00582954" w14:paraId="32326D34" w14:textId="77777777">
        <w:trPr>
          <w:trHeight w:val="289"/>
          <w:jc w:val="center"/>
        </w:trPr>
        <w:tc>
          <w:tcPr>
            <w:tcW w:w="2491" w:type="dxa"/>
            <w:vMerge/>
            <w:tcBorders>
              <w:left w:val="single" w:sz="4" w:space="0" w:color="auto"/>
              <w:right w:val="single" w:sz="4" w:space="0" w:color="auto"/>
            </w:tcBorders>
            <w:hideMark/>
          </w:tcPr>
          <w:p w14:paraId="32C8470E"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485ABB4E" w14:textId="77777777" w:rsidR="00582954" w:rsidRDefault="00645977">
            <w:pPr>
              <w:spacing w:after="0" w:line="240" w:lineRule="auto"/>
              <w:rPr>
                <w:rFonts w:ascii="Times New Roman" w:hAnsi="Times New Roman"/>
                <w:snapToGrid w:val="0"/>
                <w:lang w:eastAsia="cs-CZ"/>
              </w:rPr>
            </w:pPr>
            <w:r>
              <w:rPr>
                <w:rFonts w:ascii="Times New Roman" w:hAnsi="Times New Roman"/>
              </w:rPr>
              <w:t>gastritída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5BD071AE"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66A611F3"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0C0B8D25" w14:textId="77777777" w:rsidR="00582954" w:rsidRDefault="00582954">
            <w:pPr>
              <w:spacing w:after="0" w:line="240" w:lineRule="auto"/>
              <w:rPr>
                <w:rFonts w:ascii="Times New Roman" w:hAnsi="Times New Roman"/>
                <w:snapToGrid w:val="0"/>
                <w:lang w:eastAsia="cs-CZ"/>
              </w:rPr>
            </w:pPr>
          </w:p>
        </w:tc>
      </w:tr>
      <w:tr w:rsidR="00582954" w14:paraId="52F5C1FF" w14:textId="77777777">
        <w:trPr>
          <w:trHeight w:val="289"/>
          <w:jc w:val="center"/>
        </w:trPr>
        <w:tc>
          <w:tcPr>
            <w:tcW w:w="2491" w:type="dxa"/>
            <w:vMerge/>
            <w:tcBorders>
              <w:left w:val="single" w:sz="4" w:space="0" w:color="auto"/>
              <w:right w:val="single" w:sz="4" w:space="0" w:color="auto"/>
            </w:tcBorders>
            <w:hideMark/>
          </w:tcPr>
          <w:p w14:paraId="53943689"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77FD0D05" w14:textId="77777777" w:rsidR="00582954" w:rsidRDefault="00645977">
            <w:pPr>
              <w:spacing w:after="0" w:line="240" w:lineRule="auto"/>
              <w:ind w:right="-110"/>
              <w:rPr>
                <w:rFonts w:ascii="Times New Roman" w:hAnsi="Times New Roman"/>
                <w:snapToGrid w:val="0"/>
                <w:lang w:eastAsia="cs-CZ"/>
              </w:rPr>
            </w:pPr>
            <w:r>
              <w:rPr>
                <w:rFonts w:ascii="Times New Roman" w:hAnsi="Times New Roman"/>
                <w:snapToGrid w:val="0"/>
                <w:lang w:eastAsia="cs-CZ"/>
              </w:rPr>
              <w:t>abdominálny diskomfort</w:t>
            </w:r>
          </w:p>
        </w:tc>
        <w:tc>
          <w:tcPr>
            <w:tcW w:w="1677" w:type="dxa"/>
            <w:tcBorders>
              <w:top w:val="single" w:sz="4" w:space="0" w:color="auto"/>
              <w:left w:val="single" w:sz="4" w:space="0" w:color="auto"/>
              <w:bottom w:val="single" w:sz="4" w:space="0" w:color="auto"/>
              <w:right w:val="single" w:sz="4" w:space="0" w:color="auto"/>
            </w:tcBorders>
            <w:vAlign w:val="bottom"/>
            <w:hideMark/>
          </w:tcPr>
          <w:p w14:paraId="41E95E32"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30CF74DD"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21C30DD1"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03ED57B9" w14:textId="77777777">
        <w:trPr>
          <w:trHeight w:val="289"/>
          <w:jc w:val="center"/>
        </w:trPr>
        <w:tc>
          <w:tcPr>
            <w:tcW w:w="2491" w:type="dxa"/>
            <w:vMerge/>
            <w:tcBorders>
              <w:left w:val="single" w:sz="4" w:space="0" w:color="auto"/>
              <w:right w:val="single" w:sz="4" w:space="0" w:color="auto"/>
            </w:tcBorders>
            <w:hideMark/>
          </w:tcPr>
          <w:p w14:paraId="392040E2"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2565F180"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nauzea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52EE7558"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21189380"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46DF69D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časté</w:t>
            </w:r>
          </w:p>
        </w:tc>
      </w:tr>
      <w:tr w:rsidR="00582954" w14:paraId="50A7D928" w14:textId="77777777">
        <w:trPr>
          <w:trHeight w:val="289"/>
          <w:jc w:val="center"/>
        </w:trPr>
        <w:tc>
          <w:tcPr>
            <w:tcW w:w="2491" w:type="dxa"/>
            <w:vMerge/>
            <w:tcBorders>
              <w:left w:val="single" w:sz="4" w:space="0" w:color="auto"/>
              <w:bottom w:val="single" w:sz="4" w:space="0" w:color="auto"/>
              <w:right w:val="single" w:sz="4" w:space="0" w:color="auto"/>
            </w:tcBorders>
            <w:hideMark/>
          </w:tcPr>
          <w:p w14:paraId="434B012A"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2F788180"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pankreatitída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3D0CCBCA"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2EF2D861"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3563CC78"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veľmi zriedkavé</w:t>
            </w:r>
          </w:p>
        </w:tc>
      </w:tr>
      <w:tr w:rsidR="00582954" w14:paraId="1CCB9A32" w14:textId="77777777">
        <w:trPr>
          <w:trHeight w:val="289"/>
          <w:jc w:val="center"/>
        </w:trPr>
        <w:tc>
          <w:tcPr>
            <w:tcW w:w="2491" w:type="dxa"/>
            <w:vMerge w:val="restart"/>
            <w:tcBorders>
              <w:top w:val="single" w:sz="4" w:space="0" w:color="auto"/>
              <w:left w:val="single" w:sz="4" w:space="0" w:color="auto"/>
              <w:right w:val="single" w:sz="4" w:space="0" w:color="auto"/>
            </w:tcBorders>
            <w:hideMark/>
          </w:tcPr>
          <w:p w14:paraId="5242AAE6"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Poruchy pečene a žlčových ciest</w:t>
            </w:r>
          </w:p>
        </w:tc>
        <w:tc>
          <w:tcPr>
            <w:tcW w:w="2324" w:type="dxa"/>
            <w:tcBorders>
              <w:top w:val="single" w:sz="4" w:space="0" w:color="auto"/>
              <w:left w:val="single" w:sz="4" w:space="0" w:color="auto"/>
              <w:bottom w:val="single" w:sz="4" w:space="0" w:color="auto"/>
              <w:right w:val="single" w:sz="4" w:space="0" w:color="auto"/>
            </w:tcBorders>
            <w:vAlign w:val="bottom"/>
            <w:hideMark/>
          </w:tcPr>
          <w:p w14:paraId="62A30B73" w14:textId="77777777" w:rsidR="00582954" w:rsidRDefault="00645977">
            <w:pPr>
              <w:spacing w:after="0" w:line="240" w:lineRule="auto"/>
              <w:ind w:right="-110"/>
              <w:rPr>
                <w:rFonts w:ascii="Times New Roman" w:hAnsi="Times New Roman"/>
                <w:snapToGrid w:val="0"/>
                <w:lang w:eastAsia="cs-CZ"/>
              </w:rPr>
            </w:pPr>
            <w:r>
              <w:rPr>
                <w:rFonts w:ascii="Times New Roman" w:hAnsi="Times New Roman"/>
              </w:rPr>
              <w:t>abnormálna funkcia pečene/ochorenie pečene</w:t>
            </w:r>
          </w:p>
        </w:tc>
        <w:tc>
          <w:tcPr>
            <w:tcW w:w="1677" w:type="dxa"/>
            <w:tcBorders>
              <w:top w:val="single" w:sz="4" w:space="0" w:color="auto"/>
              <w:left w:val="single" w:sz="4" w:space="0" w:color="auto"/>
              <w:bottom w:val="single" w:sz="4" w:space="0" w:color="auto"/>
              <w:right w:val="single" w:sz="4" w:space="0" w:color="auto"/>
            </w:tcBorders>
            <w:vAlign w:val="bottom"/>
            <w:hideMark/>
          </w:tcPr>
          <w:p w14:paraId="23FB2913"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r>
              <w:rPr>
                <w:rFonts w:ascii="Times New Roman" w:hAnsi="Times New Roman"/>
                <w:snapToGrid w:val="0"/>
                <w:vertAlign w:val="superscript"/>
                <w:lang w:eastAsia="cs-CZ"/>
              </w:rPr>
              <w:t>2</w:t>
            </w:r>
          </w:p>
        </w:tc>
        <w:tc>
          <w:tcPr>
            <w:tcW w:w="1617" w:type="dxa"/>
            <w:tcBorders>
              <w:top w:val="single" w:sz="4" w:space="0" w:color="auto"/>
              <w:left w:val="single" w:sz="4" w:space="0" w:color="auto"/>
              <w:bottom w:val="single" w:sz="4" w:space="0" w:color="auto"/>
              <w:right w:val="single" w:sz="4" w:space="0" w:color="auto"/>
            </w:tcBorders>
            <w:vAlign w:val="bottom"/>
            <w:hideMark/>
          </w:tcPr>
          <w:p w14:paraId="75637FC3"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r>
              <w:rPr>
                <w:rFonts w:ascii="Times New Roman" w:hAnsi="Times New Roman"/>
                <w:snapToGrid w:val="0"/>
                <w:vertAlign w:val="superscript"/>
                <w:lang w:eastAsia="cs-CZ"/>
              </w:rPr>
              <w:t>2</w:t>
            </w:r>
          </w:p>
        </w:tc>
        <w:tc>
          <w:tcPr>
            <w:tcW w:w="1666" w:type="dxa"/>
            <w:tcBorders>
              <w:top w:val="single" w:sz="4" w:space="0" w:color="auto"/>
              <w:left w:val="single" w:sz="4" w:space="0" w:color="auto"/>
              <w:bottom w:val="single" w:sz="4" w:space="0" w:color="auto"/>
              <w:right w:val="single" w:sz="4" w:space="0" w:color="auto"/>
            </w:tcBorders>
            <w:vAlign w:val="bottom"/>
            <w:hideMark/>
          </w:tcPr>
          <w:p w14:paraId="05294F15" w14:textId="77777777" w:rsidR="00582954" w:rsidRDefault="00582954">
            <w:pPr>
              <w:spacing w:after="0" w:line="240" w:lineRule="auto"/>
              <w:rPr>
                <w:rFonts w:ascii="Times New Roman" w:hAnsi="Times New Roman"/>
                <w:snapToGrid w:val="0"/>
                <w:lang w:eastAsia="cs-CZ"/>
              </w:rPr>
            </w:pPr>
          </w:p>
        </w:tc>
      </w:tr>
      <w:tr w:rsidR="00582954" w14:paraId="0ECDC413" w14:textId="77777777">
        <w:trPr>
          <w:trHeight w:val="289"/>
          <w:jc w:val="center"/>
        </w:trPr>
        <w:tc>
          <w:tcPr>
            <w:tcW w:w="2491" w:type="dxa"/>
            <w:vMerge/>
            <w:tcBorders>
              <w:left w:val="single" w:sz="4" w:space="0" w:color="auto"/>
              <w:right w:val="single" w:sz="4" w:space="0" w:color="auto"/>
            </w:tcBorders>
            <w:hideMark/>
          </w:tcPr>
          <w:p w14:paraId="49E7212B"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42F04085"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žltačka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15E7F640"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7EDEB71C"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4123A069"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00EFAAE6" w14:textId="77777777">
        <w:trPr>
          <w:trHeight w:val="289"/>
          <w:jc w:val="center"/>
        </w:trPr>
        <w:tc>
          <w:tcPr>
            <w:tcW w:w="2491" w:type="dxa"/>
            <w:vMerge/>
            <w:tcBorders>
              <w:left w:val="single" w:sz="4" w:space="0" w:color="auto"/>
              <w:bottom w:val="single" w:sz="4" w:space="0" w:color="auto"/>
              <w:right w:val="single" w:sz="4" w:space="0" w:color="auto"/>
            </w:tcBorders>
            <w:hideMark/>
          </w:tcPr>
          <w:p w14:paraId="06E7BDE9"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036D3F2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cholestáza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111D8FA5"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361C6ECE"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7BD3A1B6"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524D08E6" w14:textId="77777777">
        <w:trPr>
          <w:trHeight w:val="289"/>
          <w:jc w:val="center"/>
        </w:trPr>
        <w:tc>
          <w:tcPr>
            <w:tcW w:w="2491" w:type="dxa"/>
            <w:vMerge w:val="restart"/>
            <w:tcBorders>
              <w:top w:val="single" w:sz="4" w:space="0" w:color="auto"/>
              <w:left w:val="single" w:sz="4" w:space="0" w:color="auto"/>
              <w:right w:val="single" w:sz="4" w:space="0" w:color="auto"/>
            </w:tcBorders>
            <w:hideMark/>
          </w:tcPr>
          <w:p w14:paraId="057BDCB3"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Poruchy kože a podkožného tkaniva</w:t>
            </w:r>
          </w:p>
        </w:tc>
        <w:tc>
          <w:tcPr>
            <w:tcW w:w="2324" w:type="dxa"/>
            <w:tcBorders>
              <w:top w:val="single" w:sz="4" w:space="0" w:color="auto"/>
              <w:left w:val="single" w:sz="4" w:space="0" w:color="auto"/>
              <w:bottom w:val="single" w:sz="4" w:space="0" w:color="auto"/>
              <w:right w:val="single" w:sz="4" w:space="0" w:color="auto"/>
            </w:tcBorders>
            <w:vAlign w:val="bottom"/>
            <w:hideMark/>
          </w:tcPr>
          <w:p w14:paraId="7BCE79C5" w14:textId="77777777" w:rsidR="00582954" w:rsidRDefault="00645977">
            <w:pPr>
              <w:spacing w:after="0" w:line="240" w:lineRule="auto"/>
              <w:rPr>
                <w:rFonts w:ascii="Times New Roman" w:hAnsi="Times New Roman"/>
                <w:snapToGrid w:val="0"/>
                <w:lang w:eastAsia="cs-CZ"/>
              </w:rPr>
            </w:pPr>
            <w:r>
              <w:rPr>
                <w:rFonts w:ascii="Times New Roman" w:hAnsi="Times New Roman"/>
              </w:rPr>
              <w:t>angioedém (vrátane smrteľných následkov)</w:t>
            </w:r>
          </w:p>
        </w:tc>
        <w:tc>
          <w:tcPr>
            <w:tcW w:w="1677" w:type="dxa"/>
            <w:tcBorders>
              <w:top w:val="single" w:sz="4" w:space="0" w:color="auto"/>
              <w:left w:val="single" w:sz="4" w:space="0" w:color="auto"/>
              <w:bottom w:val="single" w:sz="4" w:space="0" w:color="auto"/>
              <w:right w:val="single" w:sz="4" w:space="0" w:color="auto"/>
            </w:tcBorders>
            <w:vAlign w:val="bottom"/>
            <w:hideMark/>
          </w:tcPr>
          <w:p w14:paraId="3B226F7D"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331BDEC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4F3F8137" w14:textId="77777777" w:rsidR="00582954" w:rsidRDefault="00582954">
            <w:pPr>
              <w:spacing w:after="0" w:line="240" w:lineRule="auto"/>
              <w:rPr>
                <w:rFonts w:ascii="Times New Roman" w:hAnsi="Times New Roman"/>
                <w:snapToGrid w:val="0"/>
                <w:lang w:eastAsia="cs-CZ"/>
              </w:rPr>
            </w:pPr>
          </w:p>
        </w:tc>
      </w:tr>
      <w:tr w:rsidR="00582954" w14:paraId="10A7743F" w14:textId="77777777">
        <w:trPr>
          <w:trHeight w:val="289"/>
          <w:jc w:val="center"/>
        </w:trPr>
        <w:tc>
          <w:tcPr>
            <w:tcW w:w="2491" w:type="dxa"/>
            <w:vMerge/>
            <w:tcBorders>
              <w:left w:val="single" w:sz="4" w:space="0" w:color="auto"/>
              <w:right w:val="single" w:sz="4" w:space="0" w:color="auto"/>
            </w:tcBorders>
            <w:hideMark/>
          </w:tcPr>
          <w:p w14:paraId="705B4B4D"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7964AA74" w14:textId="77777777" w:rsidR="00582954" w:rsidRDefault="00645977">
            <w:pPr>
              <w:spacing w:after="0" w:line="240" w:lineRule="auto"/>
              <w:rPr>
                <w:rFonts w:ascii="Times New Roman" w:hAnsi="Times New Roman"/>
                <w:snapToGrid w:val="0"/>
                <w:lang w:eastAsia="cs-CZ"/>
              </w:rPr>
            </w:pPr>
            <w:r>
              <w:rPr>
                <w:rFonts w:ascii="Times New Roman" w:hAnsi="Times New Roman"/>
              </w:rPr>
              <w:t>erytém</w:t>
            </w:r>
          </w:p>
        </w:tc>
        <w:tc>
          <w:tcPr>
            <w:tcW w:w="1677" w:type="dxa"/>
            <w:tcBorders>
              <w:top w:val="single" w:sz="4" w:space="0" w:color="auto"/>
              <w:left w:val="single" w:sz="4" w:space="0" w:color="auto"/>
              <w:bottom w:val="single" w:sz="4" w:space="0" w:color="auto"/>
              <w:right w:val="single" w:sz="4" w:space="0" w:color="auto"/>
            </w:tcBorders>
            <w:vAlign w:val="bottom"/>
            <w:hideMark/>
          </w:tcPr>
          <w:p w14:paraId="25EC0A1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6B4D02FA"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0478281C" w14:textId="77777777" w:rsidR="00582954" w:rsidRDefault="00582954">
            <w:pPr>
              <w:spacing w:after="0" w:line="240" w:lineRule="auto"/>
              <w:rPr>
                <w:rFonts w:ascii="Times New Roman" w:hAnsi="Times New Roman"/>
                <w:snapToGrid w:val="0"/>
                <w:lang w:eastAsia="cs-CZ"/>
              </w:rPr>
            </w:pPr>
          </w:p>
        </w:tc>
      </w:tr>
      <w:tr w:rsidR="00582954" w14:paraId="105B1187" w14:textId="77777777">
        <w:trPr>
          <w:trHeight w:val="289"/>
          <w:jc w:val="center"/>
        </w:trPr>
        <w:tc>
          <w:tcPr>
            <w:tcW w:w="2491" w:type="dxa"/>
            <w:vMerge/>
            <w:tcBorders>
              <w:left w:val="single" w:sz="4" w:space="0" w:color="auto"/>
              <w:right w:val="single" w:sz="4" w:space="0" w:color="auto"/>
            </w:tcBorders>
            <w:hideMark/>
          </w:tcPr>
          <w:p w14:paraId="03233F9A"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7A4B9896"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pruritus</w:t>
            </w:r>
          </w:p>
        </w:tc>
        <w:tc>
          <w:tcPr>
            <w:tcW w:w="1677" w:type="dxa"/>
            <w:tcBorders>
              <w:top w:val="single" w:sz="4" w:space="0" w:color="auto"/>
              <w:left w:val="single" w:sz="4" w:space="0" w:color="auto"/>
              <w:bottom w:val="single" w:sz="4" w:space="0" w:color="auto"/>
              <w:right w:val="single" w:sz="4" w:space="0" w:color="auto"/>
            </w:tcBorders>
            <w:vAlign w:val="bottom"/>
            <w:hideMark/>
          </w:tcPr>
          <w:p w14:paraId="4129A1B0"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752CBCC5"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5052B79E" w14:textId="77777777" w:rsidR="00582954" w:rsidRDefault="00582954">
            <w:pPr>
              <w:spacing w:after="0" w:line="240" w:lineRule="auto"/>
              <w:rPr>
                <w:rFonts w:ascii="Times New Roman" w:hAnsi="Times New Roman"/>
                <w:snapToGrid w:val="0"/>
                <w:lang w:eastAsia="cs-CZ"/>
              </w:rPr>
            </w:pPr>
          </w:p>
        </w:tc>
      </w:tr>
      <w:tr w:rsidR="00582954" w14:paraId="10C1EFDD" w14:textId="77777777">
        <w:trPr>
          <w:trHeight w:val="289"/>
          <w:jc w:val="center"/>
        </w:trPr>
        <w:tc>
          <w:tcPr>
            <w:tcW w:w="2491" w:type="dxa"/>
            <w:vMerge/>
            <w:tcBorders>
              <w:left w:val="single" w:sz="4" w:space="0" w:color="auto"/>
              <w:right w:val="single" w:sz="4" w:space="0" w:color="auto"/>
            </w:tcBorders>
            <w:hideMark/>
          </w:tcPr>
          <w:p w14:paraId="10BC1574"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1A8FB977" w14:textId="77777777" w:rsidR="00582954" w:rsidRDefault="00645977">
            <w:pPr>
              <w:spacing w:after="0" w:line="240" w:lineRule="auto"/>
              <w:rPr>
                <w:rFonts w:ascii="Times New Roman" w:hAnsi="Times New Roman"/>
                <w:snapToGrid w:val="0"/>
                <w:lang w:eastAsia="cs-CZ"/>
              </w:rPr>
            </w:pPr>
            <w:r>
              <w:rPr>
                <w:rFonts w:ascii="Times New Roman" w:hAnsi="Times New Roman"/>
              </w:rPr>
              <w:t>vyrážka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16CAD829"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7ED34CC5"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0B352465"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časté</w:t>
            </w:r>
          </w:p>
        </w:tc>
      </w:tr>
      <w:tr w:rsidR="00582954" w14:paraId="45189C47" w14:textId="77777777">
        <w:trPr>
          <w:trHeight w:val="289"/>
          <w:jc w:val="center"/>
        </w:trPr>
        <w:tc>
          <w:tcPr>
            <w:tcW w:w="2491" w:type="dxa"/>
            <w:vMerge/>
            <w:tcBorders>
              <w:left w:val="single" w:sz="4" w:space="0" w:color="auto"/>
              <w:right w:val="single" w:sz="4" w:space="0" w:color="auto"/>
            </w:tcBorders>
            <w:hideMark/>
          </w:tcPr>
          <w:p w14:paraId="7B1BBB76"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71F39753" w14:textId="77777777" w:rsidR="00582954" w:rsidRDefault="00645977">
            <w:pPr>
              <w:spacing w:after="0" w:line="240" w:lineRule="auto"/>
              <w:rPr>
                <w:rFonts w:ascii="Times New Roman" w:hAnsi="Times New Roman"/>
                <w:snapToGrid w:val="0"/>
                <w:lang w:eastAsia="cs-CZ"/>
              </w:rPr>
            </w:pPr>
            <w:r>
              <w:rPr>
                <w:rFonts w:ascii="Times New Roman" w:hAnsi="Times New Roman"/>
              </w:rPr>
              <w:t>nadmerné potenie</w:t>
            </w:r>
          </w:p>
        </w:tc>
        <w:tc>
          <w:tcPr>
            <w:tcW w:w="1677" w:type="dxa"/>
            <w:tcBorders>
              <w:top w:val="single" w:sz="4" w:space="0" w:color="auto"/>
              <w:left w:val="single" w:sz="4" w:space="0" w:color="auto"/>
              <w:bottom w:val="single" w:sz="4" w:space="0" w:color="auto"/>
              <w:right w:val="single" w:sz="4" w:space="0" w:color="auto"/>
            </w:tcBorders>
            <w:vAlign w:val="bottom"/>
            <w:hideMark/>
          </w:tcPr>
          <w:p w14:paraId="290135ED"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2E7E98CB"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49B87977" w14:textId="77777777" w:rsidR="00582954" w:rsidRDefault="00582954">
            <w:pPr>
              <w:spacing w:after="0" w:line="240" w:lineRule="auto"/>
              <w:rPr>
                <w:rFonts w:ascii="Times New Roman" w:hAnsi="Times New Roman"/>
                <w:snapToGrid w:val="0"/>
                <w:lang w:eastAsia="cs-CZ"/>
              </w:rPr>
            </w:pPr>
          </w:p>
        </w:tc>
      </w:tr>
      <w:tr w:rsidR="00582954" w14:paraId="05759E18" w14:textId="77777777">
        <w:trPr>
          <w:trHeight w:val="289"/>
          <w:jc w:val="center"/>
        </w:trPr>
        <w:tc>
          <w:tcPr>
            <w:tcW w:w="2491" w:type="dxa"/>
            <w:vMerge/>
            <w:tcBorders>
              <w:left w:val="single" w:sz="4" w:space="0" w:color="auto"/>
              <w:right w:val="single" w:sz="4" w:space="0" w:color="auto"/>
            </w:tcBorders>
            <w:hideMark/>
          </w:tcPr>
          <w:p w14:paraId="5C3025A9"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3E21A461" w14:textId="77777777" w:rsidR="00582954" w:rsidRDefault="00645977">
            <w:pPr>
              <w:spacing w:after="0" w:line="240" w:lineRule="auto"/>
              <w:rPr>
                <w:rFonts w:ascii="Times New Roman" w:hAnsi="Times New Roman"/>
                <w:snapToGrid w:val="0"/>
                <w:lang w:eastAsia="cs-CZ"/>
              </w:rPr>
            </w:pPr>
            <w:r>
              <w:rPr>
                <w:rFonts w:ascii="Times New Roman" w:hAnsi="Times New Roman"/>
              </w:rPr>
              <w:t>urtikária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2BABEADE"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7D5E0104"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1A59E367"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časté</w:t>
            </w:r>
          </w:p>
        </w:tc>
      </w:tr>
      <w:tr w:rsidR="00582954" w14:paraId="1DDC2843" w14:textId="77777777">
        <w:trPr>
          <w:trHeight w:val="289"/>
          <w:jc w:val="center"/>
        </w:trPr>
        <w:tc>
          <w:tcPr>
            <w:tcW w:w="2491" w:type="dxa"/>
            <w:vMerge/>
            <w:tcBorders>
              <w:left w:val="single" w:sz="4" w:space="0" w:color="auto"/>
              <w:right w:val="single" w:sz="4" w:space="0" w:color="auto"/>
            </w:tcBorders>
            <w:hideMark/>
          </w:tcPr>
          <w:p w14:paraId="0C3EB0A0"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5C0A9C8D"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ekzém</w:t>
            </w:r>
          </w:p>
        </w:tc>
        <w:tc>
          <w:tcPr>
            <w:tcW w:w="1677" w:type="dxa"/>
            <w:tcBorders>
              <w:top w:val="single" w:sz="4" w:space="0" w:color="auto"/>
              <w:left w:val="single" w:sz="4" w:space="0" w:color="auto"/>
              <w:bottom w:val="single" w:sz="4" w:space="0" w:color="auto"/>
              <w:right w:val="single" w:sz="4" w:space="0" w:color="auto"/>
            </w:tcBorders>
            <w:vAlign w:val="bottom"/>
            <w:hideMark/>
          </w:tcPr>
          <w:p w14:paraId="1E24B06E"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00913253"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5D443CC5" w14:textId="77777777" w:rsidR="00582954" w:rsidRDefault="00582954">
            <w:pPr>
              <w:spacing w:after="0" w:line="240" w:lineRule="auto"/>
              <w:rPr>
                <w:rFonts w:ascii="Times New Roman" w:hAnsi="Times New Roman"/>
                <w:snapToGrid w:val="0"/>
                <w:lang w:eastAsia="cs-CZ"/>
              </w:rPr>
            </w:pPr>
          </w:p>
        </w:tc>
      </w:tr>
      <w:tr w:rsidR="00582954" w14:paraId="7A5BFB57" w14:textId="77777777">
        <w:trPr>
          <w:trHeight w:val="289"/>
          <w:jc w:val="center"/>
        </w:trPr>
        <w:tc>
          <w:tcPr>
            <w:tcW w:w="2491" w:type="dxa"/>
            <w:vMerge/>
            <w:tcBorders>
              <w:left w:val="single" w:sz="4" w:space="0" w:color="auto"/>
              <w:right w:val="single" w:sz="4" w:space="0" w:color="auto"/>
            </w:tcBorders>
            <w:hideMark/>
          </w:tcPr>
          <w:p w14:paraId="2201575A"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2880D656"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lieková vyrážka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71AB7562"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59C33021"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301A41D3" w14:textId="77777777" w:rsidR="00582954" w:rsidRDefault="00582954">
            <w:pPr>
              <w:spacing w:after="0" w:line="240" w:lineRule="auto"/>
              <w:rPr>
                <w:rFonts w:ascii="Times New Roman" w:hAnsi="Times New Roman"/>
                <w:snapToGrid w:val="0"/>
                <w:lang w:eastAsia="cs-CZ"/>
              </w:rPr>
            </w:pPr>
          </w:p>
        </w:tc>
      </w:tr>
      <w:tr w:rsidR="00582954" w14:paraId="3E146304" w14:textId="77777777">
        <w:trPr>
          <w:trHeight w:val="289"/>
          <w:jc w:val="center"/>
        </w:trPr>
        <w:tc>
          <w:tcPr>
            <w:tcW w:w="2491" w:type="dxa"/>
            <w:vMerge/>
            <w:tcBorders>
              <w:left w:val="single" w:sz="4" w:space="0" w:color="auto"/>
              <w:right w:val="single" w:sz="4" w:space="0" w:color="auto"/>
            </w:tcBorders>
            <w:hideMark/>
          </w:tcPr>
          <w:p w14:paraId="35C62195"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0D03170A" w14:textId="77777777" w:rsidR="00582954" w:rsidRDefault="00645977">
            <w:pPr>
              <w:spacing w:after="0" w:line="240" w:lineRule="auto"/>
              <w:rPr>
                <w:rFonts w:ascii="Times New Roman" w:hAnsi="Times New Roman"/>
                <w:snapToGrid w:val="0"/>
                <w:lang w:eastAsia="cs-CZ"/>
              </w:rPr>
            </w:pPr>
            <w:r>
              <w:rPr>
                <w:rFonts w:ascii="Times New Roman" w:hAnsi="Times New Roman"/>
              </w:rPr>
              <w:t>toxická kožná vyrážka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4A97A02A"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35E85AAD"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2DEB7C82" w14:textId="77777777" w:rsidR="00582954" w:rsidRDefault="00582954">
            <w:pPr>
              <w:spacing w:after="0" w:line="240" w:lineRule="auto"/>
              <w:rPr>
                <w:rFonts w:ascii="Times New Roman" w:hAnsi="Times New Roman"/>
                <w:snapToGrid w:val="0"/>
                <w:lang w:eastAsia="cs-CZ"/>
              </w:rPr>
            </w:pPr>
          </w:p>
        </w:tc>
      </w:tr>
      <w:tr w:rsidR="00582954" w14:paraId="449ED6EC" w14:textId="77777777">
        <w:trPr>
          <w:trHeight w:val="289"/>
          <w:jc w:val="center"/>
        </w:trPr>
        <w:tc>
          <w:tcPr>
            <w:tcW w:w="2491" w:type="dxa"/>
            <w:vMerge/>
            <w:tcBorders>
              <w:left w:val="single" w:sz="4" w:space="0" w:color="auto"/>
              <w:right w:val="single" w:sz="4" w:space="0" w:color="auto"/>
            </w:tcBorders>
            <w:hideMark/>
          </w:tcPr>
          <w:p w14:paraId="2F27577D"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13541162" w14:textId="77777777" w:rsidR="00582954" w:rsidRDefault="00645977">
            <w:pPr>
              <w:spacing w:after="0" w:line="240" w:lineRule="auto"/>
              <w:ind w:right="-110"/>
              <w:rPr>
                <w:rFonts w:ascii="Times New Roman" w:hAnsi="Times New Roman"/>
                <w:snapToGrid w:val="0"/>
                <w:lang w:eastAsia="cs-CZ"/>
              </w:rPr>
            </w:pPr>
            <w:r>
              <w:rPr>
                <w:rFonts w:ascii="Times New Roman" w:hAnsi="Times New Roman"/>
                <w:snapToGrid w:val="0"/>
                <w:lang w:eastAsia="cs-CZ"/>
              </w:rPr>
              <w:t>syndróm podobný lupusu</w:t>
            </w:r>
          </w:p>
        </w:tc>
        <w:tc>
          <w:tcPr>
            <w:tcW w:w="1677" w:type="dxa"/>
            <w:tcBorders>
              <w:top w:val="single" w:sz="4" w:space="0" w:color="auto"/>
              <w:left w:val="single" w:sz="4" w:space="0" w:color="auto"/>
              <w:bottom w:val="single" w:sz="4" w:space="0" w:color="auto"/>
              <w:right w:val="single" w:sz="4" w:space="0" w:color="auto"/>
            </w:tcBorders>
            <w:vAlign w:val="bottom"/>
            <w:hideMark/>
          </w:tcPr>
          <w:p w14:paraId="1B2B8E35"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70FB442B"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7273194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veľmi zriedkavé</w:t>
            </w:r>
          </w:p>
        </w:tc>
      </w:tr>
      <w:tr w:rsidR="00582954" w14:paraId="3A04234D" w14:textId="77777777">
        <w:trPr>
          <w:trHeight w:val="289"/>
          <w:jc w:val="center"/>
        </w:trPr>
        <w:tc>
          <w:tcPr>
            <w:tcW w:w="2491" w:type="dxa"/>
            <w:vMerge/>
            <w:tcBorders>
              <w:left w:val="single" w:sz="4" w:space="0" w:color="auto"/>
              <w:right w:val="single" w:sz="4" w:space="0" w:color="auto"/>
            </w:tcBorders>
            <w:hideMark/>
          </w:tcPr>
          <w:p w14:paraId="1CA7F2E1"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721D5EBA"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fotosenzitívna reakcia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6BC8003A"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72BD983E"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6E86875E"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059730F6" w14:textId="77777777">
        <w:trPr>
          <w:trHeight w:val="289"/>
          <w:jc w:val="center"/>
        </w:trPr>
        <w:tc>
          <w:tcPr>
            <w:tcW w:w="2491" w:type="dxa"/>
            <w:vMerge/>
            <w:tcBorders>
              <w:left w:val="single" w:sz="4" w:space="0" w:color="auto"/>
              <w:right w:val="single" w:sz="4" w:space="0" w:color="auto"/>
            </w:tcBorders>
            <w:hideMark/>
          </w:tcPr>
          <w:p w14:paraId="4BCB0814"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4701CF91"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toxická epidermálna nekrolýza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2B84C186"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1F00EEF9"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01DC9044"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veľmi zriedkavé</w:t>
            </w:r>
          </w:p>
        </w:tc>
      </w:tr>
      <w:tr w:rsidR="00582954" w14:paraId="0BDDEF7C" w14:textId="77777777">
        <w:trPr>
          <w:trHeight w:val="289"/>
          <w:jc w:val="center"/>
        </w:trPr>
        <w:tc>
          <w:tcPr>
            <w:tcW w:w="2491" w:type="dxa"/>
            <w:vMerge/>
            <w:tcBorders>
              <w:left w:val="single" w:sz="4" w:space="0" w:color="auto"/>
              <w:bottom w:val="single" w:sz="4" w:space="0" w:color="auto"/>
              <w:right w:val="single" w:sz="4" w:space="0" w:color="auto"/>
            </w:tcBorders>
            <w:hideMark/>
          </w:tcPr>
          <w:p w14:paraId="143DFFF3"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2990C8B0"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multiformný erytém</w:t>
            </w:r>
          </w:p>
        </w:tc>
        <w:tc>
          <w:tcPr>
            <w:tcW w:w="1677" w:type="dxa"/>
            <w:tcBorders>
              <w:top w:val="single" w:sz="4" w:space="0" w:color="auto"/>
              <w:left w:val="single" w:sz="4" w:space="0" w:color="auto"/>
              <w:bottom w:val="single" w:sz="4" w:space="0" w:color="auto"/>
              <w:right w:val="single" w:sz="4" w:space="0" w:color="auto"/>
            </w:tcBorders>
            <w:vAlign w:val="bottom"/>
            <w:hideMark/>
          </w:tcPr>
          <w:p w14:paraId="326FD41A"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0728C892"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42A34013"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neznáme</w:t>
            </w:r>
          </w:p>
        </w:tc>
      </w:tr>
      <w:tr w:rsidR="00582954" w14:paraId="20393480" w14:textId="77777777">
        <w:trPr>
          <w:trHeight w:val="289"/>
          <w:jc w:val="center"/>
        </w:trPr>
        <w:tc>
          <w:tcPr>
            <w:tcW w:w="2491" w:type="dxa"/>
            <w:vMerge w:val="restart"/>
            <w:tcBorders>
              <w:top w:val="single" w:sz="4" w:space="0" w:color="auto"/>
              <w:left w:val="single" w:sz="4" w:space="0" w:color="auto"/>
              <w:right w:val="single" w:sz="4" w:space="0" w:color="auto"/>
            </w:tcBorders>
            <w:hideMark/>
          </w:tcPr>
          <w:p w14:paraId="5C392A48"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Poruchy kostrovej a svalovej sústavy a spojivového tkaniva</w:t>
            </w:r>
          </w:p>
        </w:tc>
        <w:tc>
          <w:tcPr>
            <w:tcW w:w="2324" w:type="dxa"/>
            <w:tcBorders>
              <w:top w:val="single" w:sz="4" w:space="0" w:color="auto"/>
              <w:left w:val="single" w:sz="4" w:space="0" w:color="auto"/>
              <w:bottom w:val="single" w:sz="4" w:space="0" w:color="auto"/>
              <w:right w:val="single" w:sz="4" w:space="0" w:color="auto"/>
            </w:tcBorders>
            <w:vAlign w:val="bottom"/>
            <w:hideMark/>
          </w:tcPr>
          <w:p w14:paraId="1817FBE1"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b</w:t>
            </w:r>
            <w:r>
              <w:rPr>
                <w:rFonts w:ascii="Times New Roman" w:hAnsi="Times New Roman"/>
              </w:rPr>
              <w:t>olesť chrbta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6B26938B"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41F72D2A"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428C6CDD" w14:textId="77777777" w:rsidR="00582954" w:rsidRDefault="00582954">
            <w:pPr>
              <w:spacing w:after="0" w:line="240" w:lineRule="auto"/>
              <w:rPr>
                <w:rFonts w:ascii="Times New Roman" w:hAnsi="Times New Roman"/>
                <w:snapToGrid w:val="0"/>
                <w:lang w:eastAsia="cs-CZ"/>
              </w:rPr>
            </w:pPr>
          </w:p>
        </w:tc>
      </w:tr>
      <w:tr w:rsidR="00582954" w14:paraId="47CAE025" w14:textId="77777777">
        <w:trPr>
          <w:trHeight w:val="289"/>
          <w:jc w:val="center"/>
        </w:trPr>
        <w:tc>
          <w:tcPr>
            <w:tcW w:w="2491" w:type="dxa"/>
            <w:vMerge/>
            <w:tcBorders>
              <w:left w:val="single" w:sz="4" w:space="0" w:color="auto"/>
              <w:right w:val="single" w:sz="4" w:space="0" w:color="auto"/>
            </w:tcBorders>
            <w:hideMark/>
          </w:tcPr>
          <w:p w14:paraId="4D9FE0A6"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097A2B75" w14:textId="77777777" w:rsidR="00582954" w:rsidRDefault="00645977">
            <w:pPr>
              <w:spacing w:after="0" w:line="240" w:lineRule="auto"/>
              <w:ind w:right="-112"/>
              <w:rPr>
                <w:rFonts w:ascii="Times New Roman" w:hAnsi="Times New Roman"/>
                <w:snapToGrid w:val="0"/>
                <w:lang w:eastAsia="cs-CZ"/>
              </w:rPr>
            </w:pPr>
            <w:r>
              <w:rPr>
                <w:rFonts w:ascii="Times New Roman" w:hAnsi="Times New Roman"/>
              </w:rPr>
              <w:t xml:space="preserve">svalové kŕče </w:t>
            </w:r>
            <w:r>
              <w:rPr>
                <w:rFonts w:ascii="Times New Roman" w:hAnsi="Times New Roman"/>
                <w:snapToGrid w:val="0"/>
                <w:lang w:eastAsia="cs-CZ"/>
              </w:rPr>
              <w:t>(kŕče v nohách)</w:t>
            </w:r>
          </w:p>
        </w:tc>
        <w:tc>
          <w:tcPr>
            <w:tcW w:w="1677" w:type="dxa"/>
            <w:tcBorders>
              <w:top w:val="single" w:sz="4" w:space="0" w:color="auto"/>
              <w:left w:val="single" w:sz="4" w:space="0" w:color="auto"/>
              <w:bottom w:val="single" w:sz="4" w:space="0" w:color="auto"/>
              <w:right w:val="single" w:sz="4" w:space="0" w:color="auto"/>
            </w:tcBorders>
            <w:vAlign w:val="bottom"/>
            <w:hideMark/>
          </w:tcPr>
          <w:p w14:paraId="2EE1D13E"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2824F1AB"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2C58052A"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neznáme</w:t>
            </w:r>
          </w:p>
        </w:tc>
      </w:tr>
      <w:tr w:rsidR="00582954" w14:paraId="6D1CDD78" w14:textId="77777777">
        <w:trPr>
          <w:trHeight w:val="289"/>
          <w:jc w:val="center"/>
        </w:trPr>
        <w:tc>
          <w:tcPr>
            <w:tcW w:w="2491" w:type="dxa"/>
            <w:vMerge/>
            <w:tcBorders>
              <w:left w:val="single" w:sz="4" w:space="0" w:color="auto"/>
              <w:right w:val="single" w:sz="4" w:space="0" w:color="auto"/>
            </w:tcBorders>
            <w:hideMark/>
          </w:tcPr>
          <w:p w14:paraId="4D05B4A5"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6EF00989"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myalgia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09AAC6AE"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7794C910"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21F2726F" w14:textId="77777777" w:rsidR="00582954" w:rsidRDefault="00582954">
            <w:pPr>
              <w:spacing w:after="0" w:line="240" w:lineRule="auto"/>
              <w:rPr>
                <w:rFonts w:ascii="Times New Roman" w:hAnsi="Times New Roman"/>
                <w:snapToGrid w:val="0"/>
                <w:lang w:eastAsia="cs-CZ"/>
              </w:rPr>
            </w:pPr>
          </w:p>
        </w:tc>
      </w:tr>
      <w:tr w:rsidR="00582954" w14:paraId="7EE11319" w14:textId="77777777">
        <w:trPr>
          <w:trHeight w:val="289"/>
          <w:jc w:val="center"/>
        </w:trPr>
        <w:tc>
          <w:tcPr>
            <w:tcW w:w="2491" w:type="dxa"/>
            <w:vMerge/>
            <w:tcBorders>
              <w:left w:val="single" w:sz="4" w:space="0" w:color="auto"/>
              <w:right w:val="single" w:sz="4" w:space="0" w:color="auto"/>
            </w:tcBorders>
            <w:hideMark/>
          </w:tcPr>
          <w:p w14:paraId="076939EF"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6AE04AAE" w14:textId="77777777" w:rsidR="00582954" w:rsidRDefault="00645977">
            <w:pPr>
              <w:spacing w:after="0" w:line="240" w:lineRule="auto"/>
              <w:rPr>
                <w:rFonts w:ascii="Times New Roman" w:hAnsi="Times New Roman"/>
                <w:snapToGrid w:val="0"/>
                <w:lang w:eastAsia="cs-CZ"/>
              </w:rPr>
            </w:pPr>
            <w:r>
              <w:rPr>
                <w:rFonts w:ascii="Times New Roman" w:hAnsi="Times New Roman"/>
              </w:rPr>
              <w:t>artralgia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399DF2A4"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7B725A1C"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6CF7F0E3" w14:textId="77777777" w:rsidR="00582954" w:rsidRDefault="00582954">
            <w:pPr>
              <w:spacing w:after="0" w:line="240" w:lineRule="auto"/>
              <w:rPr>
                <w:rFonts w:ascii="Times New Roman" w:hAnsi="Times New Roman"/>
                <w:snapToGrid w:val="0"/>
                <w:lang w:eastAsia="cs-CZ"/>
              </w:rPr>
            </w:pPr>
          </w:p>
        </w:tc>
      </w:tr>
      <w:tr w:rsidR="00582954" w14:paraId="1629F207" w14:textId="77777777">
        <w:trPr>
          <w:trHeight w:val="289"/>
          <w:jc w:val="center"/>
        </w:trPr>
        <w:tc>
          <w:tcPr>
            <w:tcW w:w="2491" w:type="dxa"/>
            <w:vMerge/>
            <w:tcBorders>
              <w:left w:val="single" w:sz="4" w:space="0" w:color="auto"/>
              <w:right w:val="single" w:sz="4" w:space="0" w:color="auto"/>
            </w:tcBorders>
            <w:hideMark/>
          </w:tcPr>
          <w:p w14:paraId="1BA68FCF"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5FE7B710" w14:textId="77777777" w:rsidR="00582954" w:rsidRDefault="00645977">
            <w:pPr>
              <w:spacing w:after="0" w:line="240" w:lineRule="auto"/>
              <w:rPr>
                <w:rFonts w:ascii="Times New Roman" w:hAnsi="Times New Roman"/>
                <w:snapToGrid w:val="0"/>
                <w:lang w:eastAsia="cs-CZ"/>
              </w:rPr>
            </w:pPr>
            <w:r>
              <w:rPr>
                <w:rFonts w:ascii="Times New Roman" w:hAnsi="Times New Roman"/>
              </w:rPr>
              <w:t>bolesť v končatinách</w:t>
            </w:r>
            <w:r>
              <w:rPr>
                <w:rFonts w:ascii="Times New Roman" w:hAnsi="Times New Roman"/>
                <w:snapToGrid w:val="0"/>
                <w:lang w:eastAsia="cs-CZ"/>
              </w:rPr>
              <w:t xml:space="preserve"> (bolesť nôh)</w:t>
            </w:r>
          </w:p>
        </w:tc>
        <w:tc>
          <w:tcPr>
            <w:tcW w:w="1677" w:type="dxa"/>
            <w:tcBorders>
              <w:top w:val="single" w:sz="4" w:space="0" w:color="auto"/>
              <w:left w:val="single" w:sz="4" w:space="0" w:color="auto"/>
              <w:bottom w:val="single" w:sz="4" w:space="0" w:color="auto"/>
              <w:right w:val="single" w:sz="4" w:space="0" w:color="auto"/>
            </w:tcBorders>
            <w:vAlign w:val="bottom"/>
            <w:hideMark/>
          </w:tcPr>
          <w:p w14:paraId="5766C9DC"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1D5AF017"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44B95CCD" w14:textId="77777777" w:rsidR="00582954" w:rsidRDefault="00582954">
            <w:pPr>
              <w:spacing w:after="0" w:line="240" w:lineRule="auto"/>
              <w:rPr>
                <w:rFonts w:ascii="Times New Roman" w:hAnsi="Times New Roman"/>
                <w:snapToGrid w:val="0"/>
                <w:lang w:eastAsia="cs-CZ"/>
              </w:rPr>
            </w:pPr>
          </w:p>
        </w:tc>
      </w:tr>
      <w:tr w:rsidR="00582954" w14:paraId="7AD2C4B9" w14:textId="77777777">
        <w:trPr>
          <w:trHeight w:val="289"/>
          <w:jc w:val="center"/>
        </w:trPr>
        <w:tc>
          <w:tcPr>
            <w:tcW w:w="2491" w:type="dxa"/>
            <w:vMerge/>
            <w:tcBorders>
              <w:left w:val="single" w:sz="4" w:space="0" w:color="auto"/>
              <w:right w:val="single" w:sz="4" w:space="0" w:color="auto"/>
            </w:tcBorders>
            <w:hideMark/>
          </w:tcPr>
          <w:p w14:paraId="6236A9F1"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6622739E" w14:textId="77777777" w:rsidR="00582954" w:rsidRDefault="00645977">
            <w:pPr>
              <w:spacing w:after="0" w:line="240" w:lineRule="auto"/>
              <w:rPr>
                <w:rFonts w:ascii="Times New Roman" w:hAnsi="Times New Roman"/>
                <w:snapToGrid w:val="0"/>
                <w:lang w:eastAsia="cs-CZ"/>
              </w:rPr>
            </w:pPr>
            <w:r>
              <w:rPr>
                <w:rFonts w:ascii="Times New Roman" w:hAnsi="Times New Roman"/>
              </w:rPr>
              <w:t>bolesť šliach</w:t>
            </w:r>
            <w:r>
              <w:rPr>
                <w:rFonts w:ascii="Times New Roman" w:hAnsi="Times New Roman"/>
                <w:snapToGrid w:val="0"/>
                <w:lang w:eastAsia="cs-CZ"/>
              </w:rPr>
              <w:t xml:space="preserve"> (príznaky podobné zápalu šliach)</w:t>
            </w:r>
          </w:p>
        </w:tc>
        <w:tc>
          <w:tcPr>
            <w:tcW w:w="1677" w:type="dxa"/>
            <w:tcBorders>
              <w:top w:val="single" w:sz="4" w:space="0" w:color="auto"/>
              <w:left w:val="single" w:sz="4" w:space="0" w:color="auto"/>
              <w:bottom w:val="single" w:sz="4" w:space="0" w:color="auto"/>
              <w:right w:val="single" w:sz="4" w:space="0" w:color="auto"/>
            </w:tcBorders>
            <w:vAlign w:val="bottom"/>
            <w:hideMark/>
          </w:tcPr>
          <w:p w14:paraId="52BA51E8"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50E5257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01DC486A" w14:textId="77777777" w:rsidR="00582954" w:rsidRDefault="00582954">
            <w:pPr>
              <w:spacing w:after="0" w:line="240" w:lineRule="auto"/>
              <w:rPr>
                <w:rFonts w:ascii="Times New Roman" w:hAnsi="Times New Roman"/>
                <w:snapToGrid w:val="0"/>
                <w:lang w:eastAsia="cs-CZ"/>
              </w:rPr>
            </w:pPr>
          </w:p>
        </w:tc>
      </w:tr>
      <w:tr w:rsidR="00582954" w14:paraId="65EFFDD7" w14:textId="77777777">
        <w:trPr>
          <w:trHeight w:val="289"/>
          <w:jc w:val="center"/>
        </w:trPr>
        <w:tc>
          <w:tcPr>
            <w:tcW w:w="2491" w:type="dxa"/>
            <w:vMerge/>
            <w:tcBorders>
              <w:left w:val="single" w:sz="4" w:space="0" w:color="auto"/>
              <w:bottom w:val="single" w:sz="4" w:space="0" w:color="auto"/>
              <w:right w:val="single" w:sz="4" w:space="0" w:color="auto"/>
            </w:tcBorders>
          </w:tcPr>
          <w:p w14:paraId="02D1F296"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tcPr>
          <w:p w14:paraId="4B5414F8"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systémový lupus erythematosus</w:t>
            </w:r>
          </w:p>
        </w:tc>
        <w:tc>
          <w:tcPr>
            <w:tcW w:w="1677" w:type="dxa"/>
            <w:tcBorders>
              <w:top w:val="single" w:sz="4" w:space="0" w:color="auto"/>
              <w:left w:val="single" w:sz="4" w:space="0" w:color="auto"/>
              <w:bottom w:val="single" w:sz="4" w:space="0" w:color="auto"/>
              <w:right w:val="single" w:sz="4" w:space="0" w:color="auto"/>
            </w:tcBorders>
            <w:vAlign w:val="bottom"/>
          </w:tcPr>
          <w:p w14:paraId="73B55BF0"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r>
              <w:rPr>
                <w:rFonts w:ascii="Times New Roman" w:hAnsi="Times New Roman"/>
                <w:snapToGrid w:val="0"/>
                <w:vertAlign w:val="superscript"/>
                <w:lang w:eastAsia="cs-CZ"/>
              </w:rPr>
              <w:t>1</w:t>
            </w:r>
          </w:p>
        </w:tc>
        <w:tc>
          <w:tcPr>
            <w:tcW w:w="1617" w:type="dxa"/>
            <w:tcBorders>
              <w:top w:val="single" w:sz="4" w:space="0" w:color="auto"/>
              <w:left w:val="single" w:sz="4" w:space="0" w:color="auto"/>
              <w:bottom w:val="single" w:sz="4" w:space="0" w:color="auto"/>
              <w:right w:val="single" w:sz="4" w:space="0" w:color="auto"/>
            </w:tcBorders>
            <w:vAlign w:val="bottom"/>
          </w:tcPr>
          <w:p w14:paraId="0F9501F9"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tcPr>
          <w:p w14:paraId="627963A1"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veľmi zriedkavé</w:t>
            </w:r>
          </w:p>
        </w:tc>
      </w:tr>
      <w:tr w:rsidR="00582954" w14:paraId="2F83333F" w14:textId="77777777">
        <w:trPr>
          <w:trHeight w:val="289"/>
          <w:jc w:val="center"/>
        </w:trPr>
        <w:tc>
          <w:tcPr>
            <w:tcW w:w="2491" w:type="dxa"/>
            <w:vMerge w:val="restart"/>
            <w:tcBorders>
              <w:top w:val="single" w:sz="4" w:space="0" w:color="auto"/>
              <w:left w:val="single" w:sz="4" w:space="0" w:color="auto"/>
              <w:right w:val="single" w:sz="4" w:space="0" w:color="auto"/>
            </w:tcBorders>
            <w:hideMark/>
          </w:tcPr>
          <w:p w14:paraId="42E9FF97"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Poruchy obličiek a močových ciest</w:t>
            </w:r>
          </w:p>
        </w:tc>
        <w:tc>
          <w:tcPr>
            <w:tcW w:w="2324" w:type="dxa"/>
            <w:tcBorders>
              <w:top w:val="single" w:sz="4" w:space="0" w:color="auto"/>
              <w:left w:val="single" w:sz="4" w:space="0" w:color="auto"/>
              <w:bottom w:val="single" w:sz="4" w:space="0" w:color="auto"/>
              <w:right w:val="single" w:sz="4" w:space="0" w:color="auto"/>
            </w:tcBorders>
            <w:vAlign w:val="bottom"/>
            <w:hideMark/>
          </w:tcPr>
          <w:p w14:paraId="25FF1F92" w14:textId="77777777" w:rsidR="00582954" w:rsidRDefault="00645977">
            <w:pPr>
              <w:spacing w:after="0" w:line="240" w:lineRule="auto"/>
              <w:ind w:right="-110"/>
              <w:rPr>
                <w:rFonts w:ascii="Times New Roman" w:hAnsi="Times New Roman"/>
                <w:snapToGrid w:val="0"/>
                <w:lang w:eastAsia="cs-CZ"/>
              </w:rPr>
            </w:pPr>
            <w:r>
              <w:rPr>
                <w:rFonts w:ascii="Times New Roman" w:hAnsi="Times New Roman"/>
                <w:snapToGrid w:val="0"/>
                <w:lang w:eastAsia="cs-CZ"/>
              </w:rPr>
              <w:t>porucha funkcie obličiek</w:t>
            </w:r>
          </w:p>
        </w:tc>
        <w:tc>
          <w:tcPr>
            <w:tcW w:w="1677" w:type="dxa"/>
            <w:tcBorders>
              <w:top w:val="single" w:sz="4" w:space="0" w:color="auto"/>
              <w:left w:val="single" w:sz="4" w:space="0" w:color="auto"/>
              <w:bottom w:val="single" w:sz="4" w:space="0" w:color="auto"/>
              <w:right w:val="single" w:sz="4" w:space="0" w:color="auto"/>
            </w:tcBorders>
            <w:vAlign w:val="bottom"/>
            <w:hideMark/>
          </w:tcPr>
          <w:p w14:paraId="476AE41A"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6ABD9EE5"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0785B526"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neznáme</w:t>
            </w:r>
          </w:p>
        </w:tc>
      </w:tr>
      <w:tr w:rsidR="00582954" w14:paraId="3D7089E4" w14:textId="77777777">
        <w:trPr>
          <w:trHeight w:val="289"/>
          <w:jc w:val="center"/>
        </w:trPr>
        <w:tc>
          <w:tcPr>
            <w:tcW w:w="2491" w:type="dxa"/>
            <w:vMerge/>
            <w:tcBorders>
              <w:left w:val="single" w:sz="4" w:space="0" w:color="auto"/>
              <w:right w:val="single" w:sz="4" w:space="0" w:color="auto"/>
            </w:tcBorders>
            <w:hideMark/>
          </w:tcPr>
          <w:p w14:paraId="5751B374"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745E527D" w14:textId="77777777" w:rsidR="00582954" w:rsidRDefault="00645977">
            <w:pPr>
              <w:spacing w:after="0" w:line="240" w:lineRule="auto"/>
              <w:ind w:right="-110"/>
              <w:rPr>
                <w:rFonts w:ascii="Times New Roman" w:hAnsi="Times New Roman"/>
                <w:snapToGrid w:val="0"/>
                <w:lang w:eastAsia="cs-CZ"/>
              </w:rPr>
            </w:pPr>
            <w:r>
              <w:rPr>
                <w:rFonts w:ascii="Times New Roman" w:hAnsi="Times New Roman"/>
                <w:snapToGrid w:val="0"/>
                <w:lang w:eastAsia="cs-CZ"/>
              </w:rPr>
              <w:t>akútne zlyhanie obličiek</w:t>
            </w:r>
          </w:p>
        </w:tc>
        <w:tc>
          <w:tcPr>
            <w:tcW w:w="1677" w:type="dxa"/>
            <w:tcBorders>
              <w:top w:val="single" w:sz="4" w:space="0" w:color="auto"/>
              <w:left w:val="single" w:sz="4" w:space="0" w:color="auto"/>
              <w:bottom w:val="single" w:sz="4" w:space="0" w:color="auto"/>
              <w:right w:val="single" w:sz="4" w:space="0" w:color="auto"/>
            </w:tcBorders>
            <w:vAlign w:val="bottom"/>
            <w:hideMark/>
          </w:tcPr>
          <w:p w14:paraId="618F6E15"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567F1264"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63F15C58"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r>
      <w:tr w:rsidR="00582954" w14:paraId="0DCAE2DC" w14:textId="77777777">
        <w:trPr>
          <w:trHeight w:val="289"/>
          <w:jc w:val="center"/>
        </w:trPr>
        <w:tc>
          <w:tcPr>
            <w:tcW w:w="2491" w:type="dxa"/>
            <w:vMerge/>
            <w:tcBorders>
              <w:left w:val="single" w:sz="4" w:space="0" w:color="auto"/>
              <w:bottom w:val="single" w:sz="4" w:space="0" w:color="auto"/>
              <w:right w:val="single" w:sz="4" w:space="0" w:color="auto"/>
            </w:tcBorders>
          </w:tcPr>
          <w:p w14:paraId="2166B537"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tcPr>
          <w:p w14:paraId="7C42BA18"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glukozúria</w:t>
            </w:r>
          </w:p>
        </w:tc>
        <w:tc>
          <w:tcPr>
            <w:tcW w:w="1677" w:type="dxa"/>
            <w:tcBorders>
              <w:top w:val="single" w:sz="4" w:space="0" w:color="auto"/>
              <w:left w:val="single" w:sz="4" w:space="0" w:color="auto"/>
              <w:bottom w:val="single" w:sz="4" w:space="0" w:color="auto"/>
              <w:right w:val="single" w:sz="4" w:space="0" w:color="auto"/>
            </w:tcBorders>
            <w:vAlign w:val="bottom"/>
          </w:tcPr>
          <w:p w14:paraId="26EA36FD"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tcPr>
          <w:p w14:paraId="024C3C97"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tcPr>
          <w:p w14:paraId="41BD1491"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r>
      <w:tr w:rsidR="00582954" w14:paraId="1B39A89F" w14:textId="77777777">
        <w:trPr>
          <w:trHeight w:val="289"/>
          <w:jc w:val="center"/>
        </w:trPr>
        <w:tc>
          <w:tcPr>
            <w:tcW w:w="2491" w:type="dxa"/>
            <w:tcBorders>
              <w:top w:val="single" w:sz="4" w:space="0" w:color="auto"/>
              <w:left w:val="single" w:sz="4" w:space="0" w:color="auto"/>
              <w:bottom w:val="single" w:sz="4" w:space="0" w:color="auto"/>
              <w:right w:val="single" w:sz="4" w:space="0" w:color="auto"/>
            </w:tcBorders>
            <w:hideMark/>
          </w:tcPr>
          <w:p w14:paraId="3B6DD6C8"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Poruchy reprodukčného systému a prsníkov</w:t>
            </w:r>
          </w:p>
        </w:tc>
        <w:tc>
          <w:tcPr>
            <w:tcW w:w="2324" w:type="dxa"/>
            <w:tcBorders>
              <w:top w:val="single" w:sz="4" w:space="0" w:color="auto"/>
              <w:left w:val="single" w:sz="4" w:space="0" w:color="auto"/>
              <w:bottom w:val="single" w:sz="4" w:space="0" w:color="auto"/>
              <w:right w:val="single" w:sz="4" w:space="0" w:color="auto"/>
            </w:tcBorders>
            <w:vAlign w:val="bottom"/>
            <w:hideMark/>
          </w:tcPr>
          <w:p w14:paraId="7FD58DB8" w14:textId="77777777" w:rsidR="00582954" w:rsidRDefault="00645977">
            <w:pPr>
              <w:spacing w:after="0" w:line="240" w:lineRule="auto"/>
              <w:rPr>
                <w:rFonts w:ascii="Times New Roman" w:hAnsi="Times New Roman"/>
                <w:snapToGrid w:val="0"/>
                <w:lang w:eastAsia="cs-CZ"/>
              </w:rPr>
            </w:pPr>
            <w:r>
              <w:rPr>
                <w:rFonts w:ascii="Times New Roman" w:hAnsi="Times New Roman"/>
              </w:rPr>
              <w:t>erektilná dysfunkcia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3EAACE98"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39C475B6"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40E48E73"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časté</w:t>
            </w:r>
          </w:p>
        </w:tc>
      </w:tr>
      <w:tr w:rsidR="00582954" w14:paraId="05BD2480" w14:textId="77777777">
        <w:trPr>
          <w:trHeight w:val="289"/>
          <w:jc w:val="center"/>
        </w:trPr>
        <w:tc>
          <w:tcPr>
            <w:tcW w:w="2491" w:type="dxa"/>
            <w:vMerge w:val="restart"/>
            <w:tcBorders>
              <w:top w:val="single" w:sz="4" w:space="0" w:color="auto"/>
              <w:left w:val="single" w:sz="4" w:space="0" w:color="auto"/>
              <w:right w:val="single" w:sz="4" w:space="0" w:color="auto"/>
            </w:tcBorders>
            <w:hideMark/>
          </w:tcPr>
          <w:p w14:paraId="0E06A33F"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Celkové poruchy a reakcie v mieste podania</w:t>
            </w:r>
          </w:p>
        </w:tc>
        <w:tc>
          <w:tcPr>
            <w:tcW w:w="2324" w:type="dxa"/>
            <w:tcBorders>
              <w:top w:val="single" w:sz="4" w:space="0" w:color="auto"/>
              <w:left w:val="single" w:sz="4" w:space="0" w:color="auto"/>
              <w:bottom w:val="single" w:sz="4" w:space="0" w:color="auto"/>
              <w:right w:val="single" w:sz="4" w:space="0" w:color="auto"/>
            </w:tcBorders>
            <w:vAlign w:val="bottom"/>
            <w:hideMark/>
          </w:tcPr>
          <w:p w14:paraId="2FB1664E" w14:textId="77777777" w:rsidR="00582954" w:rsidRDefault="00645977">
            <w:pPr>
              <w:spacing w:after="0" w:line="240" w:lineRule="auto"/>
              <w:rPr>
                <w:rFonts w:ascii="Times New Roman" w:hAnsi="Times New Roman"/>
                <w:snapToGrid w:val="0"/>
                <w:lang w:eastAsia="cs-CZ"/>
              </w:rPr>
            </w:pPr>
            <w:r>
              <w:rPr>
                <w:rFonts w:ascii="Times New Roman" w:hAnsi="Times New Roman"/>
              </w:rPr>
              <w:t>bolesť v hrudníku</w:t>
            </w:r>
          </w:p>
        </w:tc>
        <w:tc>
          <w:tcPr>
            <w:tcW w:w="1677" w:type="dxa"/>
            <w:tcBorders>
              <w:top w:val="single" w:sz="4" w:space="0" w:color="auto"/>
              <w:left w:val="single" w:sz="4" w:space="0" w:color="auto"/>
              <w:bottom w:val="single" w:sz="4" w:space="0" w:color="auto"/>
              <w:right w:val="single" w:sz="4" w:space="0" w:color="auto"/>
            </w:tcBorders>
            <w:vAlign w:val="bottom"/>
            <w:hideMark/>
          </w:tcPr>
          <w:p w14:paraId="43AE7D93"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181455E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5F316A05" w14:textId="77777777" w:rsidR="00582954" w:rsidRDefault="00582954">
            <w:pPr>
              <w:spacing w:after="0" w:line="240" w:lineRule="auto"/>
              <w:rPr>
                <w:rFonts w:ascii="Times New Roman" w:hAnsi="Times New Roman"/>
                <w:snapToGrid w:val="0"/>
                <w:lang w:eastAsia="cs-CZ"/>
              </w:rPr>
            </w:pPr>
          </w:p>
        </w:tc>
      </w:tr>
      <w:tr w:rsidR="00582954" w14:paraId="5B9BCDE0" w14:textId="77777777">
        <w:trPr>
          <w:trHeight w:val="289"/>
          <w:jc w:val="center"/>
        </w:trPr>
        <w:tc>
          <w:tcPr>
            <w:tcW w:w="2491" w:type="dxa"/>
            <w:vMerge/>
            <w:tcBorders>
              <w:left w:val="single" w:sz="4" w:space="0" w:color="auto"/>
              <w:right w:val="single" w:sz="4" w:space="0" w:color="auto"/>
            </w:tcBorders>
            <w:hideMark/>
          </w:tcPr>
          <w:p w14:paraId="442DFE71"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33871AE1" w14:textId="77777777" w:rsidR="00582954" w:rsidRDefault="00645977">
            <w:pPr>
              <w:spacing w:after="0" w:line="240" w:lineRule="auto"/>
              <w:rPr>
                <w:rFonts w:ascii="Times New Roman" w:hAnsi="Times New Roman"/>
                <w:snapToGrid w:val="0"/>
                <w:lang w:eastAsia="cs-CZ"/>
              </w:rPr>
            </w:pPr>
            <w:r>
              <w:rPr>
                <w:rFonts w:ascii="Times New Roman" w:hAnsi="Times New Roman"/>
              </w:rPr>
              <w:t>ochorenie podobné chrípke</w:t>
            </w:r>
          </w:p>
        </w:tc>
        <w:tc>
          <w:tcPr>
            <w:tcW w:w="1677" w:type="dxa"/>
            <w:tcBorders>
              <w:top w:val="single" w:sz="4" w:space="0" w:color="auto"/>
              <w:left w:val="single" w:sz="4" w:space="0" w:color="auto"/>
              <w:bottom w:val="single" w:sz="4" w:space="0" w:color="auto"/>
              <w:right w:val="single" w:sz="4" w:space="0" w:color="auto"/>
            </w:tcBorders>
            <w:vAlign w:val="bottom"/>
            <w:hideMark/>
          </w:tcPr>
          <w:p w14:paraId="611EFDCE"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7CFBC064"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6110C67F" w14:textId="77777777" w:rsidR="00582954" w:rsidRDefault="00582954">
            <w:pPr>
              <w:spacing w:after="0" w:line="240" w:lineRule="auto"/>
              <w:rPr>
                <w:rFonts w:ascii="Times New Roman" w:hAnsi="Times New Roman"/>
                <w:snapToGrid w:val="0"/>
                <w:lang w:eastAsia="cs-CZ"/>
              </w:rPr>
            </w:pPr>
          </w:p>
        </w:tc>
      </w:tr>
      <w:tr w:rsidR="00582954" w14:paraId="44136FC5" w14:textId="77777777">
        <w:trPr>
          <w:trHeight w:val="289"/>
          <w:jc w:val="center"/>
        </w:trPr>
        <w:tc>
          <w:tcPr>
            <w:tcW w:w="2491" w:type="dxa"/>
            <w:vMerge/>
            <w:tcBorders>
              <w:left w:val="single" w:sz="4" w:space="0" w:color="auto"/>
              <w:right w:val="single" w:sz="4" w:space="0" w:color="auto"/>
            </w:tcBorders>
            <w:hideMark/>
          </w:tcPr>
          <w:p w14:paraId="0335FF1E"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4988D539"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bolesť</w:t>
            </w:r>
          </w:p>
        </w:tc>
        <w:tc>
          <w:tcPr>
            <w:tcW w:w="1677" w:type="dxa"/>
            <w:tcBorders>
              <w:top w:val="single" w:sz="4" w:space="0" w:color="auto"/>
              <w:left w:val="single" w:sz="4" w:space="0" w:color="auto"/>
              <w:bottom w:val="single" w:sz="4" w:space="0" w:color="auto"/>
              <w:right w:val="single" w:sz="4" w:space="0" w:color="auto"/>
            </w:tcBorders>
            <w:vAlign w:val="bottom"/>
            <w:hideMark/>
          </w:tcPr>
          <w:p w14:paraId="2168D5C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4DDF3878"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07863E5F" w14:textId="77777777" w:rsidR="00582954" w:rsidRDefault="00582954">
            <w:pPr>
              <w:spacing w:after="0" w:line="240" w:lineRule="auto"/>
              <w:rPr>
                <w:rFonts w:ascii="Times New Roman" w:hAnsi="Times New Roman"/>
                <w:snapToGrid w:val="0"/>
                <w:lang w:eastAsia="cs-CZ"/>
              </w:rPr>
            </w:pPr>
          </w:p>
        </w:tc>
      </w:tr>
      <w:tr w:rsidR="00582954" w14:paraId="224DD123" w14:textId="77777777">
        <w:trPr>
          <w:trHeight w:val="289"/>
          <w:jc w:val="center"/>
        </w:trPr>
        <w:tc>
          <w:tcPr>
            <w:tcW w:w="2491" w:type="dxa"/>
            <w:vMerge/>
            <w:tcBorders>
              <w:left w:val="single" w:sz="4" w:space="0" w:color="auto"/>
              <w:right w:val="single" w:sz="4" w:space="0" w:color="auto"/>
            </w:tcBorders>
            <w:hideMark/>
          </w:tcPr>
          <w:p w14:paraId="38B3A751"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5F26A497"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asténia (slabosť)</w:t>
            </w:r>
          </w:p>
        </w:tc>
        <w:tc>
          <w:tcPr>
            <w:tcW w:w="1677" w:type="dxa"/>
            <w:tcBorders>
              <w:top w:val="single" w:sz="4" w:space="0" w:color="auto"/>
              <w:left w:val="single" w:sz="4" w:space="0" w:color="auto"/>
              <w:bottom w:val="single" w:sz="4" w:space="0" w:color="auto"/>
              <w:right w:val="single" w:sz="4" w:space="0" w:color="auto"/>
            </w:tcBorders>
            <w:vAlign w:val="bottom"/>
            <w:hideMark/>
          </w:tcPr>
          <w:p w14:paraId="688530B6"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58AA999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23D44AF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neznáme</w:t>
            </w:r>
          </w:p>
        </w:tc>
      </w:tr>
      <w:tr w:rsidR="00582954" w14:paraId="07093B78" w14:textId="77777777">
        <w:trPr>
          <w:trHeight w:val="289"/>
          <w:jc w:val="center"/>
        </w:trPr>
        <w:tc>
          <w:tcPr>
            <w:tcW w:w="2491" w:type="dxa"/>
            <w:vMerge/>
            <w:tcBorders>
              <w:left w:val="single" w:sz="4" w:space="0" w:color="auto"/>
              <w:bottom w:val="single" w:sz="4" w:space="0" w:color="auto"/>
              <w:right w:val="single" w:sz="4" w:space="0" w:color="auto"/>
            </w:tcBorders>
            <w:hideMark/>
          </w:tcPr>
          <w:p w14:paraId="1E5CDD8B" w14:textId="77777777" w:rsidR="00582954" w:rsidRDefault="00582954">
            <w:pPr>
              <w:spacing w:after="0" w:line="240" w:lineRule="auto"/>
              <w:ind w:right="-162"/>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6BABEF51"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pyrexia</w:t>
            </w:r>
          </w:p>
        </w:tc>
        <w:tc>
          <w:tcPr>
            <w:tcW w:w="1677" w:type="dxa"/>
            <w:tcBorders>
              <w:top w:val="single" w:sz="4" w:space="0" w:color="auto"/>
              <w:left w:val="single" w:sz="4" w:space="0" w:color="auto"/>
              <w:bottom w:val="single" w:sz="4" w:space="0" w:color="auto"/>
              <w:right w:val="single" w:sz="4" w:space="0" w:color="auto"/>
            </w:tcBorders>
            <w:vAlign w:val="bottom"/>
            <w:hideMark/>
          </w:tcPr>
          <w:p w14:paraId="3E08DDC1"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752FFB2B" w14:textId="77777777" w:rsidR="00582954" w:rsidRDefault="00582954">
            <w:pPr>
              <w:spacing w:after="0" w:line="240" w:lineRule="auto"/>
              <w:rPr>
                <w:rFonts w:ascii="Times New Roman" w:hAnsi="Times New Roman"/>
                <w:snapToGrid w:val="0"/>
                <w:lang w:eastAsia="cs-CZ"/>
              </w:rPr>
            </w:pPr>
          </w:p>
        </w:tc>
        <w:tc>
          <w:tcPr>
            <w:tcW w:w="1666" w:type="dxa"/>
            <w:tcBorders>
              <w:top w:val="single" w:sz="4" w:space="0" w:color="auto"/>
              <w:left w:val="single" w:sz="4" w:space="0" w:color="auto"/>
              <w:bottom w:val="single" w:sz="4" w:space="0" w:color="auto"/>
              <w:right w:val="single" w:sz="4" w:space="0" w:color="auto"/>
            </w:tcBorders>
            <w:vAlign w:val="bottom"/>
            <w:hideMark/>
          </w:tcPr>
          <w:p w14:paraId="4CC39A74"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neznáme</w:t>
            </w:r>
          </w:p>
        </w:tc>
      </w:tr>
      <w:tr w:rsidR="00582954" w14:paraId="431291B6" w14:textId="77777777">
        <w:trPr>
          <w:trHeight w:val="289"/>
          <w:jc w:val="center"/>
        </w:trPr>
        <w:tc>
          <w:tcPr>
            <w:tcW w:w="2491" w:type="dxa"/>
            <w:vMerge w:val="restart"/>
            <w:tcBorders>
              <w:top w:val="single" w:sz="4" w:space="0" w:color="auto"/>
              <w:left w:val="single" w:sz="4" w:space="0" w:color="auto"/>
              <w:right w:val="single" w:sz="4" w:space="0" w:color="auto"/>
            </w:tcBorders>
            <w:hideMark/>
          </w:tcPr>
          <w:p w14:paraId="083B3095" w14:textId="77777777" w:rsidR="00582954" w:rsidRDefault="00645977">
            <w:pPr>
              <w:spacing w:after="0" w:line="240" w:lineRule="auto"/>
              <w:ind w:right="-162"/>
              <w:rPr>
                <w:rFonts w:ascii="Times New Roman" w:hAnsi="Times New Roman"/>
                <w:b/>
                <w:bCs/>
                <w:snapToGrid w:val="0"/>
                <w:lang w:eastAsia="cs-CZ"/>
              </w:rPr>
            </w:pPr>
            <w:r>
              <w:rPr>
                <w:rFonts w:ascii="Times New Roman" w:hAnsi="Times New Roman"/>
                <w:b/>
                <w:bCs/>
                <w:snapToGrid w:val="0"/>
                <w:lang w:eastAsia="cs-CZ"/>
              </w:rPr>
              <w:t>Laboratórne a funkčné vyšetrenia</w:t>
            </w:r>
          </w:p>
        </w:tc>
        <w:tc>
          <w:tcPr>
            <w:tcW w:w="2324" w:type="dxa"/>
            <w:tcBorders>
              <w:top w:val="single" w:sz="4" w:space="0" w:color="auto"/>
              <w:left w:val="single" w:sz="4" w:space="0" w:color="auto"/>
              <w:bottom w:val="single" w:sz="4" w:space="0" w:color="auto"/>
              <w:right w:val="single" w:sz="4" w:space="0" w:color="auto"/>
            </w:tcBorders>
            <w:vAlign w:val="bottom"/>
            <w:hideMark/>
          </w:tcPr>
          <w:p w14:paraId="61C36A44" w14:textId="77777777" w:rsidR="00582954" w:rsidRDefault="00645977">
            <w:pPr>
              <w:spacing w:after="0" w:line="240" w:lineRule="auto"/>
              <w:ind w:right="-110"/>
              <w:rPr>
                <w:rFonts w:ascii="Times New Roman" w:hAnsi="Times New Roman"/>
                <w:snapToGrid w:val="0"/>
                <w:lang w:eastAsia="cs-CZ"/>
              </w:rPr>
            </w:pPr>
            <w:r>
              <w:rPr>
                <w:rFonts w:ascii="Times New Roman" w:hAnsi="Times New Roman"/>
              </w:rPr>
              <w:t>zvýšená kyselina močová v krvi</w:t>
            </w:r>
          </w:p>
        </w:tc>
        <w:tc>
          <w:tcPr>
            <w:tcW w:w="1677" w:type="dxa"/>
            <w:tcBorders>
              <w:top w:val="single" w:sz="4" w:space="0" w:color="auto"/>
              <w:left w:val="single" w:sz="4" w:space="0" w:color="auto"/>
              <w:bottom w:val="single" w:sz="4" w:space="0" w:color="auto"/>
              <w:right w:val="single" w:sz="4" w:space="0" w:color="auto"/>
            </w:tcBorders>
            <w:vAlign w:val="bottom"/>
            <w:hideMark/>
          </w:tcPr>
          <w:p w14:paraId="20D09E01"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7E4A4408"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0220E58A" w14:textId="77777777" w:rsidR="00582954" w:rsidRDefault="00582954">
            <w:pPr>
              <w:spacing w:after="0" w:line="240" w:lineRule="auto"/>
              <w:rPr>
                <w:rFonts w:ascii="Times New Roman" w:hAnsi="Times New Roman"/>
                <w:snapToGrid w:val="0"/>
                <w:lang w:eastAsia="cs-CZ"/>
              </w:rPr>
            </w:pPr>
          </w:p>
        </w:tc>
      </w:tr>
      <w:tr w:rsidR="00582954" w14:paraId="66FDC7CC" w14:textId="77777777">
        <w:trPr>
          <w:trHeight w:val="289"/>
          <w:jc w:val="center"/>
        </w:trPr>
        <w:tc>
          <w:tcPr>
            <w:tcW w:w="2491" w:type="dxa"/>
            <w:vMerge/>
            <w:tcBorders>
              <w:left w:val="single" w:sz="4" w:space="0" w:color="auto"/>
              <w:right w:val="single" w:sz="4" w:space="0" w:color="auto"/>
            </w:tcBorders>
            <w:hideMark/>
          </w:tcPr>
          <w:p w14:paraId="3A6CBDE6" w14:textId="77777777" w:rsidR="00582954" w:rsidRDefault="00582954">
            <w:pPr>
              <w:spacing w:after="0" w:line="240" w:lineRule="auto"/>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78BDF5AC" w14:textId="77777777" w:rsidR="00582954" w:rsidRDefault="00645977">
            <w:pPr>
              <w:spacing w:after="0" w:line="240" w:lineRule="auto"/>
              <w:ind w:right="-112"/>
              <w:rPr>
                <w:rFonts w:ascii="Times New Roman" w:hAnsi="Times New Roman"/>
                <w:snapToGrid w:val="0"/>
                <w:lang w:eastAsia="cs-CZ"/>
              </w:rPr>
            </w:pPr>
            <w:r>
              <w:rPr>
                <w:rFonts w:ascii="Times New Roman" w:hAnsi="Times New Roman"/>
              </w:rPr>
              <w:t>zvýšený kreatinín v krvi</w:t>
            </w:r>
          </w:p>
        </w:tc>
        <w:tc>
          <w:tcPr>
            <w:tcW w:w="1677" w:type="dxa"/>
            <w:tcBorders>
              <w:top w:val="single" w:sz="4" w:space="0" w:color="auto"/>
              <w:left w:val="single" w:sz="4" w:space="0" w:color="auto"/>
              <w:bottom w:val="single" w:sz="4" w:space="0" w:color="auto"/>
              <w:right w:val="single" w:sz="4" w:space="0" w:color="auto"/>
            </w:tcBorders>
            <w:vAlign w:val="bottom"/>
            <w:hideMark/>
          </w:tcPr>
          <w:p w14:paraId="2A86AE83"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0BE1A824"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menej časté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6AFC2AAB" w14:textId="77777777" w:rsidR="00582954" w:rsidRDefault="00582954">
            <w:pPr>
              <w:spacing w:after="0" w:line="240" w:lineRule="auto"/>
              <w:rPr>
                <w:rFonts w:ascii="Times New Roman" w:hAnsi="Times New Roman"/>
                <w:snapToGrid w:val="0"/>
                <w:lang w:eastAsia="cs-CZ"/>
              </w:rPr>
            </w:pPr>
          </w:p>
        </w:tc>
      </w:tr>
      <w:tr w:rsidR="00582954" w14:paraId="515ADE65" w14:textId="77777777">
        <w:trPr>
          <w:trHeight w:val="289"/>
          <w:jc w:val="center"/>
        </w:trPr>
        <w:tc>
          <w:tcPr>
            <w:tcW w:w="2491" w:type="dxa"/>
            <w:vMerge/>
            <w:tcBorders>
              <w:left w:val="single" w:sz="4" w:space="0" w:color="auto"/>
              <w:right w:val="single" w:sz="4" w:space="0" w:color="auto"/>
            </w:tcBorders>
            <w:hideMark/>
          </w:tcPr>
          <w:p w14:paraId="30E6C9AF" w14:textId="77777777" w:rsidR="00582954" w:rsidRDefault="00582954">
            <w:pPr>
              <w:spacing w:after="0" w:line="240" w:lineRule="auto"/>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20D3F99F" w14:textId="77777777" w:rsidR="00582954" w:rsidRDefault="00645977">
            <w:pPr>
              <w:spacing w:after="0" w:line="240" w:lineRule="auto"/>
              <w:ind w:right="-112"/>
              <w:rPr>
                <w:rFonts w:ascii="Times New Roman" w:hAnsi="Times New Roman"/>
                <w:snapToGrid w:val="0"/>
                <w:lang w:eastAsia="cs-CZ"/>
              </w:rPr>
            </w:pPr>
            <w:r>
              <w:rPr>
                <w:rFonts w:ascii="Times New Roman" w:hAnsi="Times New Roman"/>
              </w:rPr>
              <w:t>zvýšená kreatinínfosfokináza v krvi</w:t>
            </w:r>
          </w:p>
        </w:tc>
        <w:tc>
          <w:tcPr>
            <w:tcW w:w="1677" w:type="dxa"/>
            <w:tcBorders>
              <w:top w:val="single" w:sz="4" w:space="0" w:color="auto"/>
              <w:left w:val="single" w:sz="4" w:space="0" w:color="auto"/>
              <w:bottom w:val="single" w:sz="4" w:space="0" w:color="auto"/>
              <w:right w:val="single" w:sz="4" w:space="0" w:color="auto"/>
            </w:tcBorders>
            <w:vAlign w:val="bottom"/>
            <w:hideMark/>
          </w:tcPr>
          <w:p w14:paraId="7F1C0154"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706BF909"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793DC27B" w14:textId="77777777" w:rsidR="00582954" w:rsidRDefault="00582954">
            <w:pPr>
              <w:spacing w:after="0" w:line="240" w:lineRule="auto"/>
              <w:rPr>
                <w:rFonts w:ascii="Times New Roman" w:hAnsi="Times New Roman"/>
                <w:snapToGrid w:val="0"/>
                <w:lang w:eastAsia="cs-CZ"/>
              </w:rPr>
            </w:pPr>
          </w:p>
        </w:tc>
      </w:tr>
      <w:tr w:rsidR="00582954" w14:paraId="55E863B2" w14:textId="77777777">
        <w:trPr>
          <w:trHeight w:val="289"/>
          <w:jc w:val="center"/>
        </w:trPr>
        <w:tc>
          <w:tcPr>
            <w:tcW w:w="2491" w:type="dxa"/>
            <w:vMerge/>
            <w:tcBorders>
              <w:left w:val="single" w:sz="4" w:space="0" w:color="auto"/>
              <w:right w:val="single" w:sz="4" w:space="0" w:color="auto"/>
            </w:tcBorders>
            <w:hideMark/>
          </w:tcPr>
          <w:p w14:paraId="2612B052" w14:textId="77777777" w:rsidR="00582954" w:rsidRDefault="00582954">
            <w:pPr>
              <w:spacing w:after="0" w:line="240" w:lineRule="auto"/>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3602F548" w14:textId="77777777" w:rsidR="00582954" w:rsidRDefault="00645977">
            <w:pPr>
              <w:spacing w:after="0" w:line="240" w:lineRule="auto"/>
              <w:rPr>
                <w:rFonts w:ascii="Times New Roman" w:hAnsi="Times New Roman"/>
                <w:snapToGrid w:val="0"/>
                <w:lang w:eastAsia="cs-CZ"/>
              </w:rPr>
            </w:pPr>
            <w:r>
              <w:rPr>
                <w:rFonts w:ascii="Times New Roman" w:hAnsi="Times New Roman"/>
              </w:rPr>
              <w:t>zvýšené pečeňové enzýmy</w:t>
            </w:r>
          </w:p>
        </w:tc>
        <w:tc>
          <w:tcPr>
            <w:tcW w:w="1677" w:type="dxa"/>
            <w:tcBorders>
              <w:top w:val="single" w:sz="4" w:space="0" w:color="auto"/>
              <w:left w:val="single" w:sz="4" w:space="0" w:color="auto"/>
              <w:bottom w:val="single" w:sz="4" w:space="0" w:color="auto"/>
              <w:right w:val="single" w:sz="4" w:space="0" w:color="auto"/>
            </w:tcBorders>
            <w:vAlign w:val="bottom"/>
            <w:hideMark/>
          </w:tcPr>
          <w:p w14:paraId="2A88AD8A"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17" w:type="dxa"/>
            <w:tcBorders>
              <w:top w:val="single" w:sz="4" w:space="0" w:color="auto"/>
              <w:left w:val="single" w:sz="4" w:space="0" w:color="auto"/>
              <w:bottom w:val="single" w:sz="4" w:space="0" w:color="auto"/>
              <w:right w:val="single" w:sz="4" w:space="0" w:color="auto"/>
            </w:tcBorders>
            <w:vAlign w:val="bottom"/>
            <w:hideMark/>
          </w:tcPr>
          <w:p w14:paraId="58764D90"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4D8A83A0" w14:textId="77777777" w:rsidR="00582954" w:rsidRDefault="00582954">
            <w:pPr>
              <w:spacing w:after="0" w:line="240" w:lineRule="auto"/>
              <w:rPr>
                <w:rFonts w:ascii="Times New Roman" w:hAnsi="Times New Roman"/>
                <w:snapToGrid w:val="0"/>
                <w:lang w:eastAsia="cs-CZ"/>
              </w:rPr>
            </w:pPr>
          </w:p>
        </w:tc>
      </w:tr>
      <w:tr w:rsidR="00582954" w14:paraId="29E45B63" w14:textId="77777777">
        <w:trPr>
          <w:trHeight w:val="289"/>
          <w:jc w:val="center"/>
        </w:trPr>
        <w:tc>
          <w:tcPr>
            <w:tcW w:w="2491" w:type="dxa"/>
            <w:vMerge/>
            <w:tcBorders>
              <w:left w:val="single" w:sz="4" w:space="0" w:color="auto"/>
              <w:bottom w:val="single" w:sz="4" w:space="0" w:color="auto"/>
              <w:right w:val="single" w:sz="4" w:space="0" w:color="auto"/>
            </w:tcBorders>
            <w:hideMark/>
          </w:tcPr>
          <w:p w14:paraId="4F4583F2" w14:textId="77777777" w:rsidR="00582954" w:rsidRDefault="00582954">
            <w:pPr>
              <w:spacing w:after="0" w:line="240" w:lineRule="auto"/>
              <w:rPr>
                <w:rFonts w:ascii="Times New Roman" w:hAnsi="Times New Roman"/>
                <w:snapToGrid w:val="0"/>
                <w:lang w:eastAsia="cs-CZ"/>
              </w:rPr>
            </w:pPr>
          </w:p>
        </w:tc>
        <w:tc>
          <w:tcPr>
            <w:tcW w:w="2324" w:type="dxa"/>
            <w:tcBorders>
              <w:top w:val="single" w:sz="4" w:space="0" w:color="auto"/>
              <w:left w:val="single" w:sz="4" w:space="0" w:color="auto"/>
              <w:bottom w:val="single" w:sz="4" w:space="0" w:color="auto"/>
              <w:right w:val="single" w:sz="4" w:space="0" w:color="auto"/>
            </w:tcBorders>
            <w:vAlign w:val="bottom"/>
            <w:hideMark/>
          </w:tcPr>
          <w:p w14:paraId="38E3C46A" w14:textId="77777777" w:rsidR="00582954" w:rsidRDefault="00645977">
            <w:pPr>
              <w:spacing w:after="0" w:line="240" w:lineRule="auto"/>
              <w:rPr>
                <w:rFonts w:ascii="Times New Roman" w:hAnsi="Times New Roman"/>
                <w:snapToGrid w:val="0"/>
                <w:lang w:eastAsia="cs-CZ"/>
              </w:rPr>
            </w:pPr>
            <w:r>
              <w:rPr>
                <w:rFonts w:ascii="Times New Roman" w:hAnsi="Times New Roman"/>
              </w:rPr>
              <w:t>znížený hemoglobín</w:t>
            </w:r>
          </w:p>
        </w:tc>
        <w:tc>
          <w:tcPr>
            <w:tcW w:w="1677" w:type="dxa"/>
            <w:tcBorders>
              <w:top w:val="single" w:sz="4" w:space="0" w:color="auto"/>
              <w:left w:val="single" w:sz="4" w:space="0" w:color="auto"/>
              <w:bottom w:val="single" w:sz="4" w:space="0" w:color="auto"/>
              <w:right w:val="single" w:sz="4" w:space="0" w:color="auto"/>
            </w:tcBorders>
            <w:vAlign w:val="bottom"/>
            <w:hideMark/>
          </w:tcPr>
          <w:p w14:paraId="14F2E6C2" w14:textId="77777777" w:rsidR="00582954" w:rsidRDefault="00582954">
            <w:pPr>
              <w:spacing w:after="0" w:line="240" w:lineRule="auto"/>
              <w:rPr>
                <w:rFonts w:ascii="Times New Roman" w:hAnsi="Times New Roman"/>
                <w:snapToGrid w:val="0"/>
                <w:lang w:eastAsia="cs-CZ"/>
              </w:rPr>
            </w:pPr>
          </w:p>
        </w:tc>
        <w:tc>
          <w:tcPr>
            <w:tcW w:w="1617" w:type="dxa"/>
            <w:tcBorders>
              <w:top w:val="single" w:sz="4" w:space="0" w:color="auto"/>
              <w:left w:val="single" w:sz="4" w:space="0" w:color="auto"/>
              <w:bottom w:val="single" w:sz="4" w:space="0" w:color="auto"/>
              <w:right w:val="single" w:sz="4" w:space="0" w:color="auto"/>
            </w:tcBorders>
            <w:vAlign w:val="bottom"/>
            <w:hideMark/>
          </w:tcPr>
          <w:p w14:paraId="458B688F" w14:textId="77777777" w:rsidR="00582954" w:rsidRDefault="00645977">
            <w:pPr>
              <w:spacing w:after="0" w:line="240" w:lineRule="auto"/>
              <w:rPr>
                <w:rFonts w:ascii="Times New Roman" w:hAnsi="Times New Roman"/>
                <w:snapToGrid w:val="0"/>
                <w:lang w:eastAsia="cs-CZ"/>
              </w:rPr>
            </w:pPr>
            <w:r>
              <w:rPr>
                <w:rFonts w:ascii="Times New Roman" w:hAnsi="Times New Roman"/>
                <w:snapToGrid w:val="0"/>
                <w:lang w:eastAsia="cs-CZ"/>
              </w:rPr>
              <w:t>zriedkavé</w:t>
            </w:r>
          </w:p>
        </w:tc>
        <w:tc>
          <w:tcPr>
            <w:tcW w:w="1666" w:type="dxa"/>
            <w:tcBorders>
              <w:top w:val="single" w:sz="4" w:space="0" w:color="auto"/>
              <w:left w:val="single" w:sz="4" w:space="0" w:color="auto"/>
              <w:bottom w:val="single" w:sz="4" w:space="0" w:color="auto"/>
              <w:right w:val="single" w:sz="4" w:space="0" w:color="auto"/>
            </w:tcBorders>
            <w:vAlign w:val="bottom"/>
            <w:hideMark/>
          </w:tcPr>
          <w:p w14:paraId="103705C0" w14:textId="77777777" w:rsidR="00582954" w:rsidRDefault="00582954">
            <w:pPr>
              <w:spacing w:after="0" w:line="240" w:lineRule="auto"/>
              <w:rPr>
                <w:rFonts w:ascii="Times New Roman" w:hAnsi="Times New Roman"/>
                <w:snapToGrid w:val="0"/>
                <w:lang w:eastAsia="cs-CZ"/>
              </w:rPr>
            </w:pPr>
          </w:p>
        </w:tc>
      </w:tr>
    </w:tbl>
    <w:p w14:paraId="3892A721" w14:textId="77777777" w:rsidR="00582954" w:rsidRDefault="00645977">
      <w:pPr>
        <w:pStyle w:val="Textvysvetlivky"/>
        <w:spacing w:after="0" w:line="240" w:lineRule="auto"/>
        <w:rPr>
          <w:rFonts w:ascii="Times New Roman" w:hAnsi="Times New Roman"/>
          <w:sz w:val="22"/>
          <w:szCs w:val="22"/>
          <w:lang w:val="sk-SK"/>
        </w:rPr>
      </w:pPr>
      <w:r>
        <w:rPr>
          <w:rFonts w:ascii="Times New Roman" w:hAnsi="Times New Roman"/>
          <w:snapToGrid w:val="0"/>
          <w:sz w:val="22"/>
          <w:szCs w:val="22"/>
          <w:vertAlign w:val="superscript"/>
          <w:lang w:val="sk-SK" w:eastAsia="cs-CZ"/>
        </w:rPr>
        <w:t>1</w:t>
      </w:r>
      <w:r>
        <w:rPr>
          <w:rFonts w:ascii="Times New Roman" w:hAnsi="Times New Roman"/>
          <w:sz w:val="22"/>
          <w:szCs w:val="22"/>
          <w:vertAlign w:val="superscript"/>
          <w:lang w:val="sk-SK"/>
        </w:rPr>
        <w:tab/>
      </w:r>
      <w:r>
        <w:rPr>
          <w:rFonts w:ascii="Times New Roman" w:hAnsi="Times New Roman"/>
          <w:sz w:val="22"/>
          <w:szCs w:val="22"/>
          <w:lang w:val="sk-SK"/>
        </w:rPr>
        <w:t>Na základe skúseností po uvedení lieku na trh.</w:t>
      </w:r>
    </w:p>
    <w:p w14:paraId="6D225F5F" w14:textId="77777777" w:rsidR="00582954" w:rsidRDefault="00645977">
      <w:pPr>
        <w:pStyle w:val="Textvysvetlivky"/>
        <w:spacing w:after="0" w:line="240" w:lineRule="auto"/>
        <w:rPr>
          <w:rFonts w:ascii="Times New Roman" w:hAnsi="Times New Roman"/>
          <w:sz w:val="22"/>
          <w:szCs w:val="22"/>
          <w:lang w:val="sk-SK"/>
        </w:rPr>
      </w:pPr>
      <w:r>
        <w:rPr>
          <w:rFonts w:ascii="Times New Roman" w:hAnsi="Times New Roman"/>
          <w:sz w:val="22"/>
          <w:szCs w:val="22"/>
          <w:vertAlign w:val="superscript"/>
          <w:lang w:val="sk-SK"/>
        </w:rPr>
        <w:t>2</w:t>
      </w:r>
      <w:r>
        <w:rPr>
          <w:rFonts w:ascii="Times New Roman" w:hAnsi="Times New Roman"/>
          <w:sz w:val="22"/>
          <w:szCs w:val="22"/>
          <w:vertAlign w:val="superscript"/>
          <w:lang w:val="sk-SK"/>
        </w:rPr>
        <w:tab/>
      </w:r>
      <w:r>
        <w:rPr>
          <w:rFonts w:ascii="Times New Roman" w:hAnsi="Times New Roman"/>
          <w:sz w:val="22"/>
          <w:szCs w:val="22"/>
          <w:lang w:val="sk-SK"/>
        </w:rPr>
        <w:t>Ďalšie informácie pozri v odsekoch nižšie.</w:t>
      </w:r>
    </w:p>
    <w:p w14:paraId="5AB1BD2A" w14:textId="77777777" w:rsidR="00582954" w:rsidRDefault="00645977">
      <w:pPr>
        <w:spacing w:after="0" w:line="240" w:lineRule="auto"/>
        <w:ind w:left="720" w:hanging="720"/>
        <w:rPr>
          <w:rFonts w:ascii="Times New Roman" w:hAnsi="Times New Roman"/>
        </w:rPr>
      </w:pPr>
      <w:r>
        <w:rPr>
          <w:rFonts w:ascii="Times New Roman" w:hAnsi="Times New Roman"/>
          <w:vertAlign w:val="superscript"/>
        </w:rPr>
        <w:t>a</w:t>
      </w:r>
      <w:r>
        <w:rPr>
          <w:rFonts w:ascii="Times New Roman" w:hAnsi="Times New Roman"/>
        </w:rPr>
        <w:tab/>
      </w:r>
      <w:r>
        <w:rPr>
          <w:rFonts w:ascii="Times New Roman" w:hAnsi="Times New Roman"/>
          <w:snapToGrid w:val="0"/>
          <w:lang w:eastAsia="cs-CZ"/>
        </w:rPr>
        <w:t>Nežiaduce reakcie sa vyskytli s rovnakou frekvenciou u pacientov užívajúcich placebo ako aj telmisartan. Celkový výskyt nežiaducich reakcií hlásených pri telmisartanie (41,4 %) bol zvyčajne porovnateľný s placebom (43,9 %) v placebom kontrolovaných skúšaniach. Nežiaduce reakcie uvedené vyššie boli zozbierané zo všetkých klinických skúšaní s pacientmi s hypertenziou liečenými telmisartanom, pacientmi 50</w:t>
      </w:r>
      <w:r>
        <w:rPr>
          <w:rFonts w:ascii="Times New Roman" w:hAnsi="Times New Roman"/>
          <w:snapToGrid w:val="0"/>
          <w:lang w:eastAsia="cs-CZ"/>
        </w:rPr>
        <w:noBreakHyphen/>
        <w:t>ročnými alebo staršími s vysokým rizikom kardiovaskulárnych príhod.</w:t>
      </w:r>
    </w:p>
    <w:p w14:paraId="6FB2E59F" w14:textId="77777777" w:rsidR="00582954" w:rsidRDefault="00582954">
      <w:pPr>
        <w:pStyle w:val="Odsekzoznamu"/>
        <w:widowControl w:val="0"/>
        <w:spacing w:after="0" w:line="240" w:lineRule="auto"/>
        <w:ind w:left="0"/>
        <w:rPr>
          <w:rFonts w:ascii="Times New Roman" w:hAnsi="Times New Roman"/>
          <w:lang w:val="sk-SK"/>
        </w:rPr>
      </w:pPr>
    </w:p>
    <w:p w14:paraId="3D1FFE25" w14:textId="77777777" w:rsidR="00582954" w:rsidRDefault="00645977">
      <w:pPr>
        <w:pStyle w:val="Odsekzoznamu"/>
        <w:keepNext/>
        <w:widowControl w:val="0"/>
        <w:spacing w:after="0" w:line="240" w:lineRule="auto"/>
        <w:ind w:left="0"/>
        <w:rPr>
          <w:rFonts w:ascii="Times New Roman" w:hAnsi="Times New Roman"/>
          <w:u w:val="single"/>
          <w:lang w:val="sk-SK"/>
        </w:rPr>
      </w:pPr>
      <w:r>
        <w:rPr>
          <w:rFonts w:ascii="Times New Roman" w:hAnsi="Times New Roman"/>
          <w:u w:val="single"/>
          <w:lang w:val="sk-SK"/>
        </w:rPr>
        <w:t>Opis vybraných nežiaducich reakcií</w:t>
      </w:r>
    </w:p>
    <w:p w14:paraId="0F65B52D" w14:textId="77777777" w:rsidR="00582954" w:rsidRDefault="00582954">
      <w:pPr>
        <w:pStyle w:val="Odsekzoznamu"/>
        <w:keepNext/>
        <w:widowControl w:val="0"/>
        <w:spacing w:after="0" w:line="240" w:lineRule="auto"/>
        <w:ind w:left="0"/>
        <w:rPr>
          <w:rFonts w:ascii="Times New Roman" w:hAnsi="Times New Roman"/>
          <w:u w:val="single"/>
          <w:lang w:val="sk-SK"/>
        </w:rPr>
      </w:pPr>
    </w:p>
    <w:p w14:paraId="4BE429C2" w14:textId="77777777" w:rsidR="00582954" w:rsidRDefault="00645977">
      <w:pPr>
        <w:pStyle w:val="Odsekzoznamu"/>
        <w:keepNext/>
        <w:widowControl w:val="0"/>
        <w:spacing w:after="0" w:line="240" w:lineRule="auto"/>
        <w:ind w:left="0"/>
        <w:rPr>
          <w:rFonts w:ascii="Times New Roman" w:hAnsi="Times New Roman"/>
          <w:u w:val="single"/>
          <w:lang w:val="sk-SK"/>
        </w:rPr>
      </w:pPr>
      <w:r>
        <w:rPr>
          <w:rFonts w:ascii="Times New Roman" w:hAnsi="Times New Roman"/>
          <w:u w:val="single"/>
          <w:lang w:val="sk-SK"/>
        </w:rPr>
        <w:t>Abnormálna funkcia pečene/porucha pečene</w:t>
      </w:r>
    </w:p>
    <w:p w14:paraId="0B22C9FA"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 xml:space="preserve">Väčšina prípadov poruchy funkcie pečene/ochorenia pečene zo skúseností po uvedení lieku na trh sa vyskytla u japonských pacientov. Tieto nežiaduce reakcie sa s vyššou pravdepodobnosťou vyskytnú </w:t>
      </w:r>
      <w:r>
        <w:rPr>
          <w:rFonts w:ascii="Times New Roman" w:hAnsi="Times New Roman"/>
          <w:lang w:val="sk-SK"/>
        </w:rPr>
        <w:lastRenderedPageBreak/>
        <w:t>u japonských pacientov.</w:t>
      </w:r>
    </w:p>
    <w:p w14:paraId="50AB2EC5" w14:textId="77777777" w:rsidR="00582954" w:rsidRDefault="00582954">
      <w:pPr>
        <w:pStyle w:val="Odsekzoznamu"/>
        <w:widowControl w:val="0"/>
        <w:spacing w:after="0" w:line="240" w:lineRule="auto"/>
        <w:ind w:left="0"/>
        <w:rPr>
          <w:rFonts w:ascii="Times New Roman" w:hAnsi="Times New Roman"/>
          <w:lang w:val="sk-SK"/>
        </w:rPr>
      </w:pPr>
    </w:p>
    <w:p w14:paraId="522E2930"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Sepsa</w:t>
      </w:r>
    </w:p>
    <w:p w14:paraId="4FEEE64F"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V klinickom skúšaní PRoFESS sa pri telmisartane, v porovnaní s placebom, pozorovala zvýšená incidencia sepsy. Udalosť môže byť náhodným nálezom alebo môže súvisieť s mechanizmom, ktorý v súčasnosti nie je známy (pozri časť 5.1).</w:t>
      </w:r>
    </w:p>
    <w:p w14:paraId="1B0656AB" w14:textId="77777777" w:rsidR="00582954" w:rsidRDefault="00582954">
      <w:pPr>
        <w:pStyle w:val="Odsekzoznamu"/>
        <w:widowControl w:val="0"/>
        <w:spacing w:after="0" w:line="240" w:lineRule="auto"/>
        <w:ind w:left="0"/>
        <w:rPr>
          <w:rFonts w:ascii="Times New Roman" w:hAnsi="Times New Roman"/>
          <w:lang w:val="sk-SK"/>
        </w:rPr>
      </w:pPr>
    </w:p>
    <w:p w14:paraId="5D379C29"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Intersticiálne ochorenie pľúc</w:t>
      </w:r>
    </w:p>
    <w:p w14:paraId="396EBA05"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V časovej súvislosti s užívaním telmisartanu boli z údajov získaných po uvedení lieku na trh hlásené prípady intersticiálneho ochorenia pľúc. Avšak, kauzálny vzťah nebol stanovený.</w:t>
      </w:r>
    </w:p>
    <w:p w14:paraId="67E32596" w14:textId="77777777" w:rsidR="00582954" w:rsidRDefault="00582954">
      <w:pPr>
        <w:pStyle w:val="Odsekzoznamu"/>
        <w:widowControl w:val="0"/>
        <w:spacing w:after="0" w:line="240" w:lineRule="auto"/>
        <w:ind w:left="0"/>
        <w:rPr>
          <w:rFonts w:ascii="Times New Roman" w:hAnsi="Times New Roman"/>
          <w:lang w:val="sk-SK"/>
        </w:rPr>
      </w:pPr>
    </w:p>
    <w:p w14:paraId="1025C82F" w14:textId="77777777" w:rsidR="00582954" w:rsidRDefault="00645977">
      <w:pPr>
        <w:pStyle w:val="Odsekzoznamu"/>
        <w:widowControl w:val="0"/>
        <w:spacing w:after="0" w:line="240" w:lineRule="auto"/>
        <w:ind w:left="0"/>
        <w:rPr>
          <w:rFonts w:ascii="Times New Roman" w:hAnsi="Times New Roman"/>
          <w:szCs w:val="23"/>
          <w:u w:val="single"/>
        </w:rPr>
      </w:pPr>
      <w:r>
        <w:rPr>
          <w:rFonts w:ascii="Times New Roman" w:hAnsi="Times New Roman"/>
          <w:szCs w:val="23"/>
          <w:u w:val="single"/>
        </w:rPr>
        <w:t>Nemelanómová rakovina kože</w:t>
      </w:r>
    </w:p>
    <w:p w14:paraId="147D5AA4"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szCs w:val="23"/>
        </w:rPr>
        <w:t>Na základe dostupných údajov z epidemiologických štúdií sa pozorovala súvislosť medzi h</w:t>
      </w:r>
      <w:r>
        <w:rPr>
          <w:rFonts w:ascii="Times New Roman" w:hAnsi="Times New Roman"/>
          <w:lang w:val="sk-SK"/>
        </w:rPr>
        <w:t>ydrochlórtiazidom</w:t>
      </w:r>
      <w:r>
        <w:rPr>
          <w:rFonts w:ascii="Times New Roman" w:hAnsi="Times New Roman"/>
          <w:szCs w:val="23"/>
        </w:rPr>
        <w:t xml:space="preserve"> a NMSC v závislosti od kumulatívnej dávky (pozri tiež časti 4.4 a 5.1).</w:t>
      </w:r>
    </w:p>
    <w:p w14:paraId="280AF576" w14:textId="77777777" w:rsidR="00582954" w:rsidRDefault="00582954">
      <w:pPr>
        <w:pStyle w:val="Odsekzoznamu"/>
        <w:widowControl w:val="0"/>
        <w:spacing w:after="0" w:line="240" w:lineRule="auto"/>
        <w:ind w:left="0"/>
        <w:rPr>
          <w:rFonts w:ascii="Times New Roman" w:hAnsi="Times New Roman"/>
          <w:lang w:val="sk-SK"/>
        </w:rPr>
      </w:pPr>
    </w:p>
    <w:p w14:paraId="477765F7"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Intestinálny angioedém</w:t>
      </w:r>
    </w:p>
    <w:p w14:paraId="4A8F941D"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Prípady intestinálneho angioedému boli hlásené po užívaní blokátorov receptorov angiotenzínu II (pozri časť 4.4).</w:t>
      </w:r>
    </w:p>
    <w:p w14:paraId="0131FF25" w14:textId="77777777" w:rsidR="00582954" w:rsidRDefault="00582954">
      <w:pPr>
        <w:pStyle w:val="Odsekzoznamu"/>
        <w:widowControl w:val="0"/>
        <w:spacing w:after="0" w:line="240" w:lineRule="auto"/>
        <w:ind w:left="0"/>
        <w:rPr>
          <w:rFonts w:ascii="Times New Roman" w:hAnsi="Times New Roman"/>
          <w:lang w:val="sk-SK"/>
        </w:rPr>
      </w:pPr>
    </w:p>
    <w:p w14:paraId="7615E36A"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Hlásenie podozrení na nežiaduce reakcie</w:t>
      </w:r>
    </w:p>
    <w:p w14:paraId="40C24375"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Pr>
          <w:rFonts w:ascii="Times New Roman" w:eastAsia="Times New Roman" w:hAnsi="Times New Roman"/>
          <w:noProof/>
          <w:snapToGrid w:val="0"/>
          <w:highlight w:val="lightGray"/>
          <w:lang w:val="sk-SK"/>
        </w:rPr>
        <w:t>národné centrum hlásenia uvedené v </w:t>
      </w:r>
      <w:hyperlink r:id="rId11" w:history="1">
        <w:r>
          <w:rPr>
            <w:rFonts w:ascii="Times New Roman" w:eastAsia="Times New Roman" w:hAnsi="Times New Roman"/>
            <w:noProof/>
            <w:snapToGrid w:val="0"/>
            <w:color w:val="0000FF"/>
            <w:highlight w:val="lightGray"/>
            <w:u w:val="single"/>
            <w:lang w:val="sk-SK"/>
          </w:rPr>
          <w:t>P</w:t>
        </w:r>
        <w:r>
          <w:rPr>
            <w:rFonts w:ascii="Times New Roman" w:eastAsia="Times New Roman" w:hAnsi="Times New Roman"/>
            <w:snapToGrid w:val="0"/>
            <w:color w:val="0000FF"/>
            <w:szCs w:val="20"/>
            <w:highlight w:val="lightGray"/>
            <w:u w:val="single"/>
            <w:lang w:val="sk-SK"/>
          </w:rPr>
          <w:t xml:space="preserve">rílohe </w:t>
        </w:r>
        <w:r>
          <w:rPr>
            <w:rFonts w:ascii="Times New Roman" w:eastAsia="Times New Roman" w:hAnsi="Times New Roman"/>
            <w:noProof/>
            <w:snapToGrid w:val="0"/>
            <w:color w:val="0000FF"/>
            <w:highlight w:val="lightGray"/>
            <w:u w:val="single"/>
            <w:lang w:val="sk-SK"/>
          </w:rPr>
          <w:t>V</w:t>
        </w:r>
      </w:hyperlink>
      <w:r>
        <w:rPr>
          <w:rFonts w:ascii="Times New Roman" w:hAnsi="Times New Roman"/>
          <w:lang w:val="sk-SK"/>
        </w:rPr>
        <w:t>.</w:t>
      </w:r>
    </w:p>
    <w:p w14:paraId="77A2BEBC" w14:textId="77777777" w:rsidR="00582954" w:rsidRDefault="00582954">
      <w:pPr>
        <w:pStyle w:val="Odsekzoznamu"/>
        <w:widowControl w:val="0"/>
        <w:spacing w:after="0" w:line="240" w:lineRule="auto"/>
        <w:ind w:left="0"/>
        <w:rPr>
          <w:rFonts w:ascii="Times New Roman" w:hAnsi="Times New Roman"/>
          <w:lang w:val="sk-SK"/>
        </w:rPr>
      </w:pPr>
    </w:p>
    <w:p w14:paraId="397C2D54" w14:textId="77777777" w:rsidR="00582954" w:rsidRDefault="00645977">
      <w:pPr>
        <w:pStyle w:val="Odsekzoznamu"/>
        <w:widowControl w:val="0"/>
        <w:tabs>
          <w:tab w:val="left" w:pos="567"/>
        </w:tabs>
        <w:spacing w:after="0" w:line="240" w:lineRule="auto"/>
        <w:ind w:left="0"/>
        <w:rPr>
          <w:rFonts w:ascii="Times New Roman" w:hAnsi="Times New Roman"/>
          <w:b/>
          <w:lang w:val="sk-SK"/>
        </w:rPr>
      </w:pPr>
      <w:r>
        <w:rPr>
          <w:rFonts w:ascii="Times New Roman" w:hAnsi="Times New Roman"/>
          <w:b/>
          <w:lang w:val="sk-SK"/>
        </w:rPr>
        <w:t>4.9</w:t>
      </w:r>
      <w:r>
        <w:rPr>
          <w:rFonts w:ascii="Times New Roman" w:hAnsi="Times New Roman"/>
          <w:b/>
          <w:lang w:val="sk-SK"/>
        </w:rPr>
        <w:tab/>
        <w:t>Predávkovanie</w:t>
      </w:r>
    </w:p>
    <w:p w14:paraId="6BE3D33E" w14:textId="77777777" w:rsidR="00582954" w:rsidRDefault="00582954">
      <w:pPr>
        <w:pStyle w:val="Odsekzoznamu"/>
        <w:widowControl w:val="0"/>
        <w:spacing w:after="0" w:line="240" w:lineRule="auto"/>
        <w:ind w:left="0"/>
        <w:rPr>
          <w:rFonts w:ascii="Times New Roman" w:hAnsi="Times New Roman"/>
          <w:b/>
          <w:lang w:val="sk-SK"/>
        </w:rPr>
      </w:pPr>
    </w:p>
    <w:p w14:paraId="1E2BE8A9"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Sú dostupné obmedzené informácie týkajúce sa predávkovania telmisartanom u ľudí. Telmisartan sa neodstraňuje hemodialýzou. Stupeň odstránenia hydrochlórtiazidu hemodialýzou sa nestanovil.</w:t>
      </w:r>
    </w:p>
    <w:p w14:paraId="15896E0B" w14:textId="77777777" w:rsidR="00582954" w:rsidRDefault="00582954">
      <w:pPr>
        <w:pStyle w:val="Odsekzoznamu"/>
        <w:widowControl w:val="0"/>
        <w:spacing w:after="0" w:line="240" w:lineRule="auto"/>
        <w:ind w:left="0"/>
        <w:rPr>
          <w:rFonts w:ascii="Times New Roman" w:hAnsi="Times New Roman"/>
          <w:lang w:val="sk-SK"/>
        </w:rPr>
      </w:pPr>
    </w:p>
    <w:p w14:paraId="544F5CE2"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Príznaky</w:t>
      </w:r>
    </w:p>
    <w:p w14:paraId="03AB2F7C"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Najvýznamnejšími prejavmi predávkovania telmisartanom bola hypotenzia a tachykardia. Hlásila sa aj bradykardia, závrat, vracanie, zvýšenie kreatinínu v sére a akútne zlyhanie obličiek. Predávkovanie hydrochlórtiazidom je spojené s depléciou elektrolytov (hypokaliémia, hypochlorémia) a hypovolémia v dôsledku nadmernej diurézy. Najčastejšie prejavy a príznaky predávkovania sú nauzea a ospalosť. Hypokaliémia môže mať za následok svalové kŕče a/alebo zvýraznenie arytmie spojenej so súbežným používaním náprstníkových glykozidov alebo niektorých antiarytmík.</w:t>
      </w:r>
    </w:p>
    <w:p w14:paraId="5949524E" w14:textId="77777777" w:rsidR="00582954" w:rsidRDefault="00582954">
      <w:pPr>
        <w:pStyle w:val="Odsekzoznamu"/>
        <w:widowControl w:val="0"/>
        <w:spacing w:after="0" w:line="240" w:lineRule="auto"/>
        <w:ind w:left="0"/>
        <w:rPr>
          <w:rFonts w:ascii="Times New Roman" w:hAnsi="Times New Roman"/>
          <w:lang w:val="sk-SK"/>
        </w:rPr>
      </w:pPr>
    </w:p>
    <w:p w14:paraId="6CE76542"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Liečba</w:t>
      </w:r>
    </w:p>
    <w:p w14:paraId="0424768A"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Telmisartan sa neodstraňuje hemofiltráciou a nie je dialyzovateľný. Pacient musí byť starostlivo monitorovaný a liečba má byť symptomatická a podporná. Liečba závisí od času užitia a závažnosti príznakov. Navrhované opatrenia zahŕňajú vyvolanie vracania a/alebo výplach žalúdka. Aktívne uhlie môže byť užitočné pri liečbe predávkovania. Majú sa často sledovať sérové elektrolyty a kreatinín. Ak sa objaví hypotenzia, pacient sa má uložiť do polohy na chrbte a urýchlene podať náhrady solí a objemu.</w:t>
      </w:r>
    </w:p>
    <w:p w14:paraId="05E42C6E" w14:textId="77777777" w:rsidR="00582954" w:rsidRDefault="00582954">
      <w:pPr>
        <w:pStyle w:val="Odsekzoznamu"/>
        <w:widowControl w:val="0"/>
        <w:spacing w:after="0" w:line="240" w:lineRule="auto"/>
        <w:ind w:left="0"/>
        <w:rPr>
          <w:rFonts w:ascii="Times New Roman" w:hAnsi="Times New Roman"/>
          <w:lang w:val="sk-SK"/>
        </w:rPr>
      </w:pPr>
    </w:p>
    <w:p w14:paraId="1D893674" w14:textId="77777777" w:rsidR="00582954" w:rsidRDefault="00582954">
      <w:pPr>
        <w:pStyle w:val="Odsekzoznamu"/>
        <w:widowControl w:val="0"/>
        <w:spacing w:after="0" w:line="240" w:lineRule="auto"/>
        <w:ind w:left="0"/>
        <w:rPr>
          <w:rFonts w:ascii="Times New Roman" w:hAnsi="Times New Roman"/>
          <w:lang w:val="sk-SK"/>
        </w:rPr>
      </w:pPr>
    </w:p>
    <w:p w14:paraId="33FAC659" w14:textId="77777777" w:rsidR="00582954" w:rsidRDefault="00645977">
      <w:pPr>
        <w:pStyle w:val="Odsekzoznamu"/>
        <w:widowControl w:val="0"/>
        <w:tabs>
          <w:tab w:val="left" w:pos="567"/>
        </w:tabs>
        <w:spacing w:after="0" w:line="240" w:lineRule="auto"/>
        <w:ind w:left="0"/>
        <w:rPr>
          <w:rFonts w:ascii="Times New Roman" w:hAnsi="Times New Roman"/>
          <w:b/>
          <w:lang w:val="sk-SK"/>
        </w:rPr>
      </w:pPr>
      <w:r>
        <w:rPr>
          <w:rFonts w:ascii="Times New Roman" w:hAnsi="Times New Roman"/>
          <w:b/>
          <w:lang w:val="sk-SK"/>
        </w:rPr>
        <w:t>5.</w:t>
      </w:r>
      <w:r>
        <w:rPr>
          <w:rFonts w:ascii="Times New Roman" w:hAnsi="Times New Roman"/>
          <w:b/>
          <w:lang w:val="sk-SK"/>
        </w:rPr>
        <w:tab/>
        <w:t>FARMAKOLOGICKÉ VLASTNOSTI</w:t>
      </w:r>
    </w:p>
    <w:p w14:paraId="369825BD" w14:textId="77777777" w:rsidR="00582954" w:rsidRDefault="00582954">
      <w:pPr>
        <w:pStyle w:val="Odsekzoznamu"/>
        <w:widowControl w:val="0"/>
        <w:spacing w:after="0" w:line="240" w:lineRule="auto"/>
        <w:ind w:left="0"/>
        <w:rPr>
          <w:rFonts w:ascii="Times New Roman" w:hAnsi="Times New Roman"/>
          <w:b/>
          <w:lang w:val="sk-SK"/>
        </w:rPr>
      </w:pPr>
    </w:p>
    <w:p w14:paraId="05ECA299" w14:textId="77777777" w:rsidR="00582954" w:rsidRDefault="00645977">
      <w:pPr>
        <w:pStyle w:val="Odsekzoznamu"/>
        <w:widowControl w:val="0"/>
        <w:spacing w:after="0" w:line="240" w:lineRule="auto"/>
        <w:ind w:left="567" w:hanging="567"/>
        <w:rPr>
          <w:rFonts w:ascii="Times New Roman" w:hAnsi="Times New Roman"/>
          <w:b/>
          <w:lang w:val="sk-SK"/>
        </w:rPr>
      </w:pPr>
      <w:r>
        <w:rPr>
          <w:rFonts w:ascii="Times New Roman" w:hAnsi="Times New Roman"/>
          <w:b/>
          <w:lang w:val="sk-SK"/>
        </w:rPr>
        <w:t>5.1</w:t>
      </w:r>
      <w:r>
        <w:rPr>
          <w:rFonts w:ascii="Times New Roman" w:hAnsi="Times New Roman"/>
          <w:b/>
          <w:lang w:val="sk-SK"/>
        </w:rPr>
        <w:tab/>
        <w:t>Farmakodynamické vlastnosti</w:t>
      </w:r>
    </w:p>
    <w:p w14:paraId="62268060" w14:textId="77777777" w:rsidR="00582954" w:rsidRDefault="00582954">
      <w:pPr>
        <w:pStyle w:val="Odsekzoznamu"/>
        <w:widowControl w:val="0"/>
        <w:spacing w:after="0" w:line="240" w:lineRule="auto"/>
        <w:ind w:left="0"/>
        <w:rPr>
          <w:rFonts w:ascii="Times New Roman" w:hAnsi="Times New Roman"/>
          <w:b/>
          <w:lang w:val="sk-SK"/>
        </w:rPr>
      </w:pPr>
    </w:p>
    <w:p w14:paraId="7A17D6F0"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Farmakoterapeutická skupina: Blokátory receptorov angiotenzínu II (ARB) a diuretiká,</w:t>
      </w:r>
    </w:p>
    <w:p w14:paraId="7F9D9CE2"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ATC kód: C09DA07</w:t>
      </w:r>
    </w:p>
    <w:p w14:paraId="5C98994A" w14:textId="77777777" w:rsidR="00582954" w:rsidRDefault="00582954">
      <w:pPr>
        <w:pStyle w:val="Odsekzoznamu"/>
        <w:widowControl w:val="0"/>
        <w:spacing w:after="0" w:line="240" w:lineRule="auto"/>
        <w:ind w:left="0"/>
        <w:rPr>
          <w:rFonts w:ascii="Times New Roman" w:hAnsi="Times New Roman"/>
          <w:lang w:val="sk-SK"/>
        </w:rPr>
      </w:pPr>
    </w:p>
    <w:p w14:paraId="653D8A37" w14:textId="77777777" w:rsidR="00582954" w:rsidRDefault="00645977">
      <w:pPr>
        <w:pStyle w:val="Odsekzoznamu"/>
        <w:widowControl w:val="0"/>
        <w:spacing w:after="0" w:line="240" w:lineRule="auto"/>
        <w:ind w:left="0"/>
        <w:rPr>
          <w:rFonts w:ascii="Times New Roman" w:hAnsi="Times New Roman"/>
          <w:lang w:val="sk-SK"/>
        </w:rPr>
      </w:pPr>
      <w:r>
        <w:rPr>
          <w:rFonts w:ascii="Times New Roman" w:hAnsi="Times New Roman"/>
          <w:lang w:val="sk-SK"/>
        </w:rPr>
        <w:t xml:space="preserve">Tolucombi je kombinácia blokátora receptorov angiotenzínu II telmisartanu a tiazidového diuretika hydrochlórtiazidu. Kombinácia týchto liečiv má aditívny antihypertenzný účinok, znižujúci tlak krvi </w:t>
      </w:r>
      <w:r>
        <w:rPr>
          <w:rFonts w:ascii="Times New Roman" w:hAnsi="Times New Roman"/>
          <w:lang w:val="sk-SK"/>
        </w:rPr>
        <w:lastRenderedPageBreak/>
        <w:t>vo vyššej miere ako každé liečivo samostatne. Tolucombi podávané raz denne zabezpečuje účinné a rovnomerné zníženie krvného tlaku v rozpätí terapeutických dávok.</w:t>
      </w:r>
    </w:p>
    <w:p w14:paraId="04EC5420" w14:textId="77777777" w:rsidR="00582954" w:rsidRDefault="00582954">
      <w:pPr>
        <w:pStyle w:val="Odsekzoznamu"/>
        <w:widowControl w:val="0"/>
        <w:spacing w:after="0" w:line="240" w:lineRule="auto"/>
        <w:ind w:left="0"/>
        <w:rPr>
          <w:rFonts w:ascii="Times New Roman" w:hAnsi="Times New Roman"/>
          <w:lang w:val="sk-SK"/>
        </w:rPr>
      </w:pPr>
    </w:p>
    <w:p w14:paraId="7963F190" w14:textId="77777777" w:rsidR="00582954" w:rsidRDefault="00645977">
      <w:pPr>
        <w:pStyle w:val="Odsekzoznamu"/>
        <w:widowControl w:val="0"/>
        <w:spacing w:after="0" w:line="240" w:lineRule="auto"/>
        <w:ind w:left="0"/>
        <w:rPr>
          <w:rFonts w:ascii="Times New Roman" w:hAnsi="Times New Roman"/>
          <w:u w:val="single"/>
          <w:lang w:val="sk-SK"/>
        </w:rPr>
      </w:pPr>
      <w:r>
        <w:rPr>
          <w:rFonts w:ascii="Times New Roman" w:hAnsi="Times New Roman"/>
          <w:u w:val="single"/>
          <w:lang w:val="sk-SK"/>
        </w:rPr>
        <w:t>Mechanizmus účinku</w:t>
      </w:r>
    </w:p>
    <w:p w14:paraId="0A372C62"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Telmisartan je perorálne účinný a špecifický blokátor receptorov angiotenzínu II podtypu 1 (AT</w:t>
      </w:r>
      <w:r>
        <w:rPr>
          <w:rFonts w:ascii="Times New Roman" w:hAnsi="Times New Roman"/>
          <w:vertAlign w:val="subscript"/>
          <w:lang w:val="sk-SK"/>
        </w:rPr>
        <w:t>1</w:t>
      </w:r>
      <w:r>
        <w:rPr>
          <w:rFonts w:ascii="Times New Roman" w:hAnsi="Times New Roman"/>
          <w:lang w:val="sk-SK"/>
        </w:rPr>
        <w:t>). Telmisartan s veľmi vysokou afinitou vytesňuje angiotenzín II z jeho väzbového miesta na podtype receptora AT</w:t>
      </w:r>
      <w:r>
        <w:rPr>
          <w:rFonts w:ascii="Times New Roman" w:hAnsi="Times New Roman"/>
          <w:vertAlign w:val="subscript"/>
          <w:lang w:val="sk-SK"/>
        </w:rPr>
        <w:t>1</w:t>
      </w:r>
      <w:r>
        <w:rPr>
          <w:rFonts w:ascii="Times New Roman" w:hAnsi="Times New Roman"/>
          <w:lang w:val="sk-SK"/>
        </w:rPr>
        <w:t>, ktorý je zodpovedný za známe účinky angiotenzínu II. Telmisartan nevykazuje žiadnu čiastočnú agonistickú aktivitu na AT</w:t>
      </w:r>
      <w:r>
        <w:rPr>
          <w:rFonts w:ascii="Times New Roman" w:hAnsi="Times New Roman"/>
          <w:vertAlign w:val="subscript"/>
          <w:lang w:val="sk-SK"/>
        </w:rPr>
        <w:t>1</w:t>
      </w:r>
      <w:r>
        <w:rPr>
          <w:rFonts w:ascii="Times New Roman" w:hAnsi="Times New Roman"/>
          <w:lang w:val="sk-SK"/>
        </w:rPr>
        <w:t xml:space="preserve"> receptoroch. Telmisartan sa selektívne viaže na AT</w:t>
      </w:r>
      <w:r>
        <w:rPr>
          <w:rFonts w:ascii="Times New Roman" w:hAnsi="Times New Roman"/>
          <w:vertAlign w:val="subscript"/>
          <w:lang w:val="sk-SK"/>
        </w:rPr>
        <w:t>1</w:t>
      </w:r>
      <w:r>
        <w:rPr>
          <w:rFonts w:ascii="Times New Roman" w:hAnsi="Times New Roman"/>
          <w:lang w:val="sk-SK"/>
        </w:rPr>
        <w:t xml:space="preserve"> receptory.</w:t>
      </w:r>
    </w:p>
    <w:p w14:paraId="01AE63E0"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Táto väzba je dlhodobá. Telmisartan nevykazuje afinitu k iným receptorom vrátane AT</w:t>
      </w:r>
      <w:r>
        <w:rPr>
          <w:rFonts w:ascii="Times New Roman" w:hAnsi="Times New Roman"/>
          <w:vertAlign w:val="subscript"/>
          <w:lang w:val="sk-SK"/>
        </w:rPr>
        <w:t>2</w:t>
      </w:r>
      <w:r>
        <w:rPr>
          <w:rFonts w:ascii="Times New Roman" w:hAnsi="Times New Roman"/>
          <w:lang w:val="sk-SK"/>
        </w:rPr>
        <w:t xml:space="preserve"> a ďalším menej charakterizovaným AT receptorom. Funkčná úloha týchto receptorov nie je známa, ani účinok ich možnej nadmernej stimulácie angiotenzínom II, ktorého hladiny sa zvyšujú telmisartanom. Plazmatické hladiny aldosterónu sa telmisartanom znižujú. Telmisartan neinhibuje ľudský plazmatický renín ani neblokuje iónové kanály. Telmisartan neinhibuje enzým konvertujúci angiotenzín (kininázu II), enzým, ktorý tiež odbúrava bradykinín. Preto sa neočakáva potenciácia bradykinínom sprostredkovaných nežiaducich účinkov.</w:t>
      </w:r>
    </w:p>
    <w:p w14:paraId="1A3A4BAA" w14:textId="77777777" w:rsidR="00582954" w:rsidRDefault="00645977">
      <w:pPr>
        <w:widowControl w:val="0"/>
        <w:autoSpaceDE w:val="0"/>
        <w:autoSpaceDN w:val="0"/>
        <w:adjustRightInd w:val="0"/>
        <w:spacing w:after="0" w:line="240" w:lineRule="auto"/>
        <w:ind w:right="190"/>
        <w:rPr>
          <w:rFonts w:ascii="Times New Roman" w:hAnsi="Times New Roman"/>
          <w:lang w:val="sk-SK"/>
        </w:rPr>
      </w:pPr>
      <w:r>
        <w:rPr>
          <w:rFonts w:ascii="Times New Roman" w:hAnsi="Times New Roman"/>
          <w:lang w:val="sk-SK"/>
        </w:rPr>
        <w:t>Dávka 80 miligramov telmisartanu podávaná zdravým dobrovoľníkom takmer úplne inhibuje zvýšenie tlaku krvi vyvolané angiotenzínom II. Inhibičný účinok sa zachová v priebehu 24 hodín a je merateľný až do 48 hodín.</w:t>
      </w:r>
    </w:p>
    <w:p w14:paraId="49757095" w14:textId="77777777" w:rsidR="00582954" w:rsidRDefault="00582954">
      <w:pPr>
        <w:widowControl w:val="0"/>
        <w:autoSpaceDE w:val="0"/>
        <w:autoSpaceDN w:val="0"/>
        <w:adjustRightInd w:val="0"/>
        <w:spacing w:after="0" w:line="240" w:lineRule="auto"/>
        <w:rPr>
          <w:rFonts w:ascii="Times New Roman" w:hAnsi="Times New Roman"/>
          <w:lang w:val="sk-SK"/>
        </w:rPr>
      </w:pPr>
    </w:p>
    <w:p w14:paraId="396CDAF9" w14:textId="77777777" w:rsidR="00582954" w:rsidRDefault="00645977">
      <w:pPr>
        <w:widowControl w:val="0"/>
        <w:autoSpaceDE w:val="0"/>
        <w:autoSpaceDN w:val="0"/>
        <w:adjustRightInd w:val="0"/>
        <w:spacing w:after="0" w:line="240" w:lineRule="auto"/>
        <w:ind w:right="-94"/>
        <w:rPr>
          <w:rFonts w:ascii="Times New Roman" w:hAnsi="Times New Roman"/>
          <w:lang w:val="sk-SK"/>
        </w:rPr>
      </w:pPr>
      <w:r>
        <w:rPr>
          <w:rFonts w:ascii="Times New Roman" w:hAnsi="Times New Roman"/>
          <w:lang w:val="sk-SK"/>
        </w:rPr>
        <w:t>Hydrochlórtiazid je tiazidové diuretikum. Mechanizmus antihypertenzného účinku tiazidových diuretík ešte nie je úplne objasnený. Tiazidy pôsobia na renálne tubulárne mechanizmy reabsorpcie elektrolytov, priamo zvyšujúc vylučovanie sodíka a chloridu v približne rovnakých množstvách. Diuretický účinok hydrochlórtiazidu znižuje plazmatický objem, zvyšuje plazmatickú renínovú aktivitu, zvyšuje sekréciu aldosterónu s následným zvýšeným úbytkom draslíka a bikarbonátov močom a znížením sérového draslíka. Súbežné podávanie s telmisartanom vedie k zvráteniu straty draslíka spojenej s týmito diuretikami, a to pravdepodobne v dôsledku inhibície systému renín-angiotenzín-aldosterón. Po podaní hydrochlórtiazidu sa začiatok diurézy objaví do 2 hodín a vrchol dosahuje okolo 4 hodín, účinok trvá približne 6 – 12 hodín.</w:t>
      </w:r>
    </w:p>
    <w:p w14:paraId="201949F1" w14:textId="77777777" w:rsidR="00582954" w:rsidRDefault="00582954">
      <w:pPr>
        <w:widowControl w:val="0"/>
        <w:autoSpaceDE w:val="0"/>
        <w:autoSpaceDN w:val="0"/>
        <w:adjustRightInd w:val="0"/>
        <w:spacing w:after="0" w:line="240" w:lineRule="auto"/>
        <w:rPr>
          <w:rFonts w:ascii="Times New Roman" w:hAnsi="Times New Roman"/>
          <w:lang w:val="sk-SK"/>
        </w:rPr>
      </w:pPr>
    </w:p>
    <w:p w14:paraId="053660F8" w14:textId="77777777" w:rsidR="00582954" w:rsidRDefault="00645977">
      <w:pPr>
        <w:widowControl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Farmakodynamické účinky</w:t>
      </w:r>
    </w:p>
    <w:p w14:paraId="1232C956" w14:textId="77777777" w:rsidR="00582954" w:rsidRDefault="00582954">
      <w:pPr>
        <w:widowControl w:val="0"/>
        <w:autoSpaceDE w:val="0"/>
        <w:autoSpaceDN w:val="0"/>
        <w:adjustRightInd w:val="0"/>
        <w:spacing w:after="0" w:line="240" w:lineRule="auto"/>
        <w:rPr>
          <w:rFonts w:ascii="Times New Roman" w:hAnsi="Times New Roman"/>
          <w:lang w:val="sk-SK"/>
        </w:rPr>
      </w:pPr>
    </w:p>
    <w:p w14:paraId="4162A768" w14:textId="77777777" w:rsidR="00582954" w:rsidRDefault="00645977">
      <w:pPr>
        <w:widowControl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Liečba esenciálnej hypertenzie</w:t>
      </w:r>
    </w:p>
    <w:p w14:paraId="00BD1F58"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Po prvej dávke telmisartanu sa antihypertenzná účinnosť postupne prejavuje v priebehu 3 hodín.</w:t>
      </w:r>
    </w:p>
    <w:p w14:paraId="72682F49"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Maximálna redukcia krvného tlaku sa zvyčajne dosahuje 4 – 8 týždňov od začiatku liečby a pretrváva počas dlhodobej liečby. Ako sa ukázalo pri ambulantných meraniach krvného tlaku, antihypertenzný účinok pretrváva konštantne počas 24 hodín po podaní dávky vrátane posledných 4 hodín pred ďalšou dávkou. Toto potvrdzujú merania v bode maximálneho účinku a bezprostredne pred nasledujúcou dávkou (pomer najnižšej a najvyššej koncentrácie je konzistentne nad 80 % po dávkach 40 mg a 80 mg telmisartanu v placebom kontrolovaných klinických skúšaniach).</w:t>
      </w:r>
    </w:p>
    <w:p w14:paraId="21EAE5D4" w14:textId="77777777" w:rsidR="00582954" w:rsidRDefault="00582954">
      <w:pPr>
        <w:widowControl w:val="0"/>
        <w:autoSpaceDE w:val="0"/>
        <w:autoSpaceDN w:val="0"/>
        <w:adjustRightInd w:val="0"/>
        <w:spacing w:after="0" w:line="240" w:lineRule="auto"/>
        <w:rPr>
          <w:rFonts w:ascii="Times New Roman" w:hAnsi="Times New Roman"/>
          <w:lang w:val="sk-SK"/>
        </w:rPr>
      </w:pPr>
    </w:p>
    <w:p w14:paraId="4B7FC105"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U pacientov s hypertenziou telmisartan znižuje systolický aj diastolický krvný tlak bez ovplyvnenia tepovej frekvencie. Antihypertenzná účinnosť telmisartanu je porovnateľná s účinnosťou liečiv z iných tried antihypertenzív (čo sa dokázalo v klinických skúšaniach porovnávajúcich telmisartan s amlodipínom, atenololom, enalaprilom, hydrochlórtiazidom a lizinoprilom).</w:t>
      </w:r>
    </w:p>
    <w:p w14:paraId="7F1CAFD5" w14:textId="77777777" w:rsidR="00582954" w:rsidRDefault="00582954">
      <w:pPr>
        <w:widowControl w:val="0"/>
        <w:autoSpaceDE w:val="0"/>
        <w:autoSpaceDN w:val="0"/>
        <w:adjustRightInd w:val="0"/>
        <w:spacing w:after="0" w:line="240" w:lineRule="auto"/>
        <w:rPr>
          <w:rFonts w:ascii="Times New Roman" w:hAnsi="Times New Roman"/>
          <w:lang w:val="sk-SK"/>
        </w:rPr>
      </w:pPr>
    </w:p>
    <w:p w14:paraId="0A92887A" w14:textId="77777777" w:rsidR="00582954" w:rsidRDefault="00645977">
      <w:pPr>
        <w:widowControl w:val="0"/>
        <w:autoSpaceDE w:val="0"/>
        <w:autoSpaceDN w:val="0"/>
        <w:adjustRightInd w:val="0"/>
        <w:spacing w:after="0" w:line="240" w:lineRule="auto"/>
        <w:ind w:right="-235"/>
        <w:rPr>
          <w:rFonts w:ascii="Times New Roman" w:hAnsi="Times New Roman"/>
          <w:lang w:val="sk-SK"/>
        </w:rPr>
      </w:pPr>
      <w:r>
        <w:rPr>
          <w:rFonts w:ascii="Times New Roman" w:hAnsi="Times New Roman"/>
          <w:lang w:val="sk-SK"/>
        </w:rPr>
        <w:t>V dvojito zaslepenej kontrolovanej klinickej štúdii (účinnosť hodnotená u n = 687 pacientov), pacientov nepdpovedajúcich na kombináciu 80 mg/12,5 mg bol preukázaný účinok postupne znižujúci tlak krvi pri dávke 80 mg/25 mg kombinácie v porovnaní s pokračujúcou liečbou v dávkach 80 mg/12,5 mg o 2,7/1,6 mmHg (SKT/DKT) (rozdiel v upravených stredných odchýlkach od základnej hodnoty). V skúšaní s následným sledovaním dávok kombinácie 80 mg/25 mg sa krvný tlak ešte ďalej znížil (čo viedlo k celkovej redukcii o 11,5/9,9 mmHg (SKT/DKT).</w:t>
      </w:r>
    </w:p>
    <w:p w14:paraId="328A5ACE" w14:textId="77777777" w:rsidR="00582954" w:rsidRDefault="00582954">
      <w:pPr>
        <w:widowControl w:val="0"/>
        <w:autoSpaceDE w:val="0"/>
        <w:autoSpaceDN w:val="0"/>
        <w:adjustRightInd w:val="0"/>
        <w:spacing w:after="0" w:line="240" w:lineRule="auto"/>
        <w:rPr>
          <w:rFonts w:ascii="Times New Roman" w:hAnsi="Times New Roman"/>
          <w:lang w:val="sk-SK"/>
        </w:rPr>
      </w:pPr>
    </w:p>
    <w:p w14:paraId="00CA6A4E" w14:textId="77777777" w:rsidR="00582954" w:rsidRDefault="00645977">
      <w:pPr>
        <w:widowControl w:val="0"/>
        <w:autoSpaceDE w:val="0"/>
        <w:autoSpaceDN w:val="0"/>
        <w:adjustRightInd w:val="0"/>
        <w:spacing w:after="0" w:line="240" w:lineRule="auto"/>
        <w:ind w:right="-377"/>
        <w:rPr>
          <w:rFonts w:ascii="Times New Roman" w:hAnsi="Times New Roman"/>
          <w:lang w:val="sk-SK"/>
        </w:rPr>
      </w:pPr>
      <w:r>
        <w:rPr>
          <w:rFonts w:ascii="Times New Roman" w:hAnsi="Times New Roman"/>
          <w:lang w:val="sk-SK"/>
        </w:rPr>
        <w:t xml:space="preserve">V súhrnnej analýze dvoch podobných 8-týždňových dvojito zaslepených, placebom kontrolovaných klinických skúšaní oproti valsartanu/hydrochlórtiazidu 160 mg/25 mg (účinnosť hodnotená u n = 2 121 </w:t>
      </w:r>
      <w:r>
        <w:rPr>
          <w:rFonts w:ascii="Times New Roman" w:hAnsi="Times New Roman"/>
          <w:lang w:val="sk-SK"/>
        </w:rPr>
        <w:lastRenderedPageBreak/>
        <w:t>pacientov) bol preukázaný signifikantne väčší účinok na zníženie krvného tlaku o 2,2/1,2 mmHg (SKT/DKT) v prospech kombinácie telmisartanu/hydrochlórtiazidu 80 mg/25 mg (rozdiel v upravených stredných odchýlkach od základnej hodnoty).</w:t>
      </w:r>
    </w:p>
    <w:p w14:paraId="705CE12A" w14:textId="77777777" w:rsidR="00582954" w:rsidRDefault="00582954">
      <w:pPr>
        <w:widowControl w:val="0"/>
        <w:autoSpaceDE w:val="0"/>
        <w:autoSpaceDN w:val="0"/>
        <w:adjustRightInd w:val="0"/>
        <w:spacing w:after="0" w:line="240" w:lineRule="auto"/>
        <w:rPr>
          <w:rFonts w:ascii="Times New Roman" w:hAnsi="Times New Roman"/>
          <w:lang w:val="sk-SK"/>
        </w:rPr>
      </w:pPr>
    </w:p>
    <w:p w14:paraId="3636F641"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Po ukončení liečby telmisartanom sa krvný tlak postupne vracia počas niekoľkých dní na hodnoty pred liečbou bez prejavu „rebound“ hypertenzie. Výskyt suchého kašľa bol u pacientov liečených telmisartanom signifikantne nižší ako u tých, ktorí užívali inhibítory enzýmu konvertujúceho angiotenzín v klinických skúšaniach priamo porovnávajúcich tieto dve antihypertenzné liečby.</w:t>
      </w:r>
    </w:p>
    <w:p w14:paraId="7591F380" w14:textId="77777777" w:rsidR="00582954" w:rsidRDefault="00582954">
      <w:pPr>
        <w:widowControl w:val="0"/>
        <w:autoSpaceDE w:val="0"/>
        <w:autoSpaceDN w:val="0"/>
        <w:adjustRightInd w:val="0"/>
        <w:spacing w:after="0" w:line="240" w:lineRule="auto"/>
        <w:rPr>
          <w:rFonts w:ascii="Times New Roman" w:hAnsi="Times New Roman"/>
          <w:u w:val="single"/>
          <w:lang w:val="sk-SK"/>
        </w:rPr>
      </w:pPr>
    </w:p>
    <w:p w14:paraId="7B37782C" w14:textId="77777777" w:rsidR="00582954" w:rsidRDefault="00645977">
      <w:pPr>
        <w:widowControl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Klinická účinnosť a bezpečnosť</w:t>
      </w:r>
    </w:p>
    <w:p w14:paraId="1A0A27CC" w14:textId="77777777" w:rsidR="00582954" w:rsidRDefault="00582954">
      <w:pPr>
        <w:widowControl w:val="0"/>
        <w:autoSpaceDE w:val="0"/>
        <w:autoSpaceDN w:val="0"/>
        <w:adjustRightInd w:val="0"/>
        <w:spacing w:after="0" w:line="240" w:lineRule="auto"/>
        <w:rPr>
          <w:rFonts w:ascii="Times New Roman" w:hAnsi="Times New Roman"/>
          <w:u w:val="single"/>
          <w:lang w:val="sk-SK"/>
        </w:rPr>
      </w:pPr>
    </w:p>
    <w:p w14:paraId="12A581AC" w14:textId="77777777" w:rsidR="00582954" w:rsidRDefault="00645977">
      <w:pPr>
        <w:widowControl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Prevencia kardiovaskulárnych ochorení</w:t>
      </w:r>
    </w:p>
    <w:p w14:paraId="726C5EAD"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Štúdia ONTARGET (ONgoing Telmisartan Alone and in Combination with Ramipril Global Endpoint Trial) porovnávala účinky telmisartanu, ramiprilu a kombinácie telmisartanu a ramiprilu na kardiovaskulárne výsledky u 25620 pacientov vo veku 55 rokov alebo starších s predchádzajúcou ischemickou chorobou srdca, mozgovou príhodou, TIA, periférnym arteriálnym ochorením alebo diabetom mellitus 2. typu, ktoré boli sprevádzané preukázaným poškodením cieľového orgánu (napr. retinopatia, hypertrofia ľavej komory, makro - alebo mikroalbumínúria), čo je riziková populácia pre kardiovaskulárne udalosti.</w:t>
      </w:r>
    </w:p>
    <w:p w14:paraId="4278FFB8" w14:textId="77777777" w:rsidR="00582954" w:rsidRDefault="00582954">
      <w:pPr>
        <w:widowControl w:val="0"/>
        <w:autoSpaceDE w:val="0"/>
        <w:autoSpaceDN w:val="0"/>
        <w:adjustRightInd w:val="0"/>
        <w:spacing w:after="0" w:line="240" w:lineRule="auto"/>
        <w:rPr>
          <w:rFonts w:ascii="Times New Roman" w:hAnsi="Times New Roman"/>
          <w:lang w:val="sk-SK"/>
        </w:rPr>
      </w:pPr>
    </w:p>
    <w:p w14:paraId="36F70CD6"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Pacienti boli randomizovaní do jednej z troch nasledujúcich terapeutických skupín: telmisartan 80 mg (n = 8542), ramipril 10 mg (n = 8576) alebo kombinácia telmisartanu 80 mg plus ramipril 10 mg (n = 8502) a boli následne sledovaní v trvaní priemerne 4,5 roka.</w:t>
      </w:r>
    </w:p>
    <w:p w14:paraId="3EB44329" w14:textId="77777777" w:rsidR="00582954" w:rsidRDefault="00582954">
      <w:pPr>
        <w:widowControl w:val="0"/>
        <w:autoSpaceDE w:val="0"/>
        <w:autoSpaceDN w:val="0"/>
        <w:adjustRightInd w:val="0"/>
        <w:spacing w:after="0" w:line="240" w:lineRule="auto"/>
        <w:rPr>
          <w:rFonts w:ascii="Times New Roman" w:hAnsi="Times New Roman"/>
          <w:lang w:val="sk-SK"/>
        </w:rPr>
      </w:pPr>
    </w:p>
    <w:p w14:paraId="2481586F"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Telmisartan preukázal podobné účinky ako ramipril v redukcii primárneho kompozitného koncového ukazovateľa: kardiovaskulárna smrť, nefatálny infarkt myokardu, nefatálna mozgová príhoda alebo hospitalizácia v dôsledku kongestívneho zlyhávania srdca. Výskyt primárneho koncového ukazovateľa bol porovnateľný v skupine s telmisartanom (16,7 %) a ramiprilom (16,5 %). Miera rizika pre telmisartan v porovnaní s ramiprilom bola 1,01 (97,5 % CI 0,93 – 1,10, p (noninferiorita) = 0,0019 na hranici 1,13). Miera mortality zo všetkých príčin bola 11,6 % u pacientov liečených telmisartanom a 11,8 % u pacientov liečených ramiprilom.</w:t>
      </w:r>
    </w:p>
    <w:p w14:paraId="112A5A51" w14:textId="77777777" w:rsidR="00582954" w:rsidRDefault="00582954">
      <w:pPr>
        <w:widowControl w:val="0"/>
        <w:autoSpaceDE w:val="0"/>
        <w:autoSpaceDN w:val="0"/>
        <w:adjustRightInd w:val="0"/>
        <w:spacing w:after="0" w:line="240" w:lineRule="auto"/>
        <w:rPr>
          <w:rFonts w:ascii="Times New Roman" w:hAnsi="Times New Roman"/>
          <w:lang w:val="sk-SK"/>
        </w:rPr>
      </w:pPr>
    </w:p>
    <w:p w14:paraId="20D78D8D"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Pri telmisartane sa zistila účinnosť porovnateľná s ramiprilom v predšpecifikovanom sekundárnom koncovom ukazovateli: kardiovaskulárna smrť, nefatálny infarkt myokardu a nefatálna mozgová príhoda bez následkov smrti [0,99 (97,5 % CI 0,90 – 1,08), p (noninferiorita) = 0,0004], čo je primárny koncový ukazovateľ v referenčnej štúdii HOPE (The Heart Outcomes Prevention Evaluation Study), ktorá skúmala účinky ramiprilu v porovnaní s placebom.</w:t>
      </w:r>
    </w:p>
    <w:p w14:paraId="085E0F93" w14:textId="77777777" w:rsidR="00582954" w:rsidRDefault="00582954">
      <w:pPr>
        <w:widowControl w:val="0"/>
        <w:autoSpaceDE w:val="0"/>
        <w:autoSpaceDN w:val="0"/>
        <w:adjustRightInd w:val="0"/>
        <w:spacing w:after="0" w:line="240" w:lineRule="auto"/>
        <w:rPr>
          <w:rFonts w:ascii="Times New Roman" w:hAnsi="Times New Roman"/>
          <w:lang w:val="sk-SK"/>
        </w:rPr>
      </w:pPr>
    </w:p>
    <w:p w14:paraId="1B883A78"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Do štúdie TRANSCEND, ktorá mala inak podobné zaraďovacie kritériá ako štúdia ONRATGET, boli randomizovaní pacienti s neznášanlivosťou ACE inhibítorov do skupiny užívajúcej telmisartan 80 mg (n = 2 954) alebo placebo (n = 2 972), oba lieky sa podávali navyše k štandardnej starostlivosti. Priemerné trvanie následného sledovania bolo 4 roky a 8 mesiacov. Nezistil sa žiaden štatisticky signifikantný rozdiel vo výskyte primárneho kompozitného koncového ukazovateľa (kardiovaskulárna smrť, nefatálny infarkt myokardu, nefatálna mozgová príhoda alebo hospitalizácia v dôsledku kongestívneho zlyhania srdca) [15,7 % v skupine s telmisartanom a 17,0 % v skupine s placebom s mierou rizika 0,92 (95 % CI 0,81 – 1,05, p = 0,22)]. V predšpecifikovanom sekundárnom kompozitnom koncovom ukazovateli: kardiovaskulárna smrť, nefatálny infarkt myokardu a nefatálna mozgová príhoda sa dokázal prínos telmisartanu v porovnaní s placebom [0,87 (95 % CI 0,76 – 1,00, p = 0,048)]. Nepreukázal sa žiaden prínos pre kardiovaskulárnu mortalitu (miera rizika 1,03, 95 % CI 0,85 – 1,24).</w:t>
      </w:r>
    </w:p>
    <w:p w14:paraId="5437CCAF" w14:textId="77777777" w:rsidR="00582954" w:rsidRDefault="00582954">
      <w:pPr>
        <w:widowControl w:val="0"/>
        <w:autoSpaceDE w:val="0"/>
        <w:autoSpaceDN w:val="0"/>
        <w:adjustRightInd w:val="0"/>
        <w:spacing w:after="0" w:line="240" w:lineRule="auto"/>
        <w:rPr>
          <w:rFonts w:ascii="Times New Roman" w:hAnsi="Times New Roman"/>
          <w:lang w:val="sk-SK"/>
        </w:rPr>
      </w:pPr>
    </w:p>
    <w:p w14:paraId="7BB42D29"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Kašeľ a angioedém sa hlásili menej často u pacientov liečených telmisartanom ako u pacientov liečených ramiprilom, pričom hypotenzia sa častejšie hlásila pri telmisartane.</w:t>
      </w:r>
    </w:p>
    <w:p w14:paraId="4A358B0F" w14:textId="77777777" w:rsidR="00582954" w:rsidRDefault="00582954">
      <w:pPr>
        <w:widowControl w:val="0"/>
        <w:autoSpaceDE w:val="0"/>
        <w:autoSpaceDN w:val="0"/>
        <w:adjustRightInd w:val="0"/>
        <w:spacing w:after="0" w:line="240" w:lineRule="auto"/>
        <w:rPr>
          <w:rFonts w:ascii="Times New Roman" w:hAnsi="Times New Roman"/>
          <w:lang w:val="sk-SK"/>
        </w:rPr>
      </w:pPr>
    </w:p>
    <w:p w14:paraId="0324A062"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Kombinácia telmisartanu s ramiprilom nepriniesla žiaden ďalší prínos voči ramiprilu alebo telmisartanu </w:t>
      </w:r>
      <w:r>
        <w:rPr>
          <w:rFonts w:ascii="Times New Roman" w:hAnsi="Times New Roman"/>
          <w:lang w:val="sk-SK"/>
        </w:rPr>
        <w:lastRenderedPageBreak/>
        <w:t>samostatne. KV mortalita a mortalita zo všetkých príčin boli číselne vyššie pri kombinácii. Navyše bol výskyt hyperkaliémie, renálneho zlyhania, hypotenzie a synkopy významne vyšší v skupine užívajúcej kombináciu. Preto sa používanie kombinácie telmisartanu a ramiprilu v tejto populácii neodporúča.</w:t>
      </w:r>
    </w:p>
    <w:p w14:paraId="2F299297" w14:textId="77777777" w:rsidR="00582954" w:rsidRDefault="00582954">
      <w:pPr>
        <w:widowControl w:val="0"/>
        <w:autoSpaceDE w:val="0"/>
        <w:autoSpaceDN w:val="0"/>
        <w:adjustRightInd w:val="0"/>
        <w:spacing w:after="0" w:line="240" w:lineRule="auto"/>
        <w:rPr>
          <w:rFonts w:ascii="Times New Roman" w:hAnsi="Times New Roman"/>
          <w:lang w:val="sk-SK"/>
        </w:rPr>
      </w:pPr>
    </w:p>
    <w:p w14:paraId="68E96D2B"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V klinickom skúšaní "Prevention Regimen For Effectively avoiding Second Strokes" (PRoFESS) s 50</w:t>
      </w:r>
      <w:r>
        <w:rPr>
          <w:rFonts w:ascii="Times New Roman" w:hAnsi="Times New Roman"/>
          <w:lang w:val="sk-SK"/>
        </w:rPr>
        <w:noBreakHyphen/>
        <w:t>ročnými a staršími pacientmi, ktorí mali nedávno mozgovú príhodu, bola po telmisartane v porovnaní s placebom zaznamenaná zvýšená incidencia sepsy 0,70 % voči 0,49 % [RR 1,43 (95 % interval spoľahlivosti 1,00 – 2,06)]; incidencia smrteľných prípadov sepsy bola zvýšená u pacientov užívajúcich telmisartan (0,33 %) voči pacientom užívajúcim placebo (0,16 %) [RR 2,07 (95 % interval spoľahlivosti 1,14 – 3,76)]. Pozorovaná zvýšená miera výskytu sepsy v súvislosti s používaním telmisartanu môže byť buď náhodným nálezom alebo môže súvisieť s mechanizmami, ktoré v súčasnosti nie sú známe.</w:t>
      </w:r>
    </w:p>
    <w:p w14:paraId="5E0DF1F2" w14:textId="77777777" w:rsidR="00582954" w:rsidRDefault="00582954">
      <w:pPr>
        <w:spacing w:after="0" w:line="240" w:lineRule="auto"/>
        <w:rPr>
          <w:rFonts w:ascii="Times New Roman" w:hAnsi="Times New Roman"/>
          <w:bCs/>
          <w:lang w:val="sk-SK"/>
        </w:rPr>
      </w:pPr>
    </w:p>
    <w:p w14:paraId="5807BD42" w14:textId="77777777" w:rsidR="00582954" w:rsidRDefault="00645977">
      <w:pPr>
        <w:spacing w:after="0" w:line="240" w:lineRule="auto"/>
        <w:rPr>
          <w:rFonts w:ascii="Times New Roman" w:hAnsi="Times New Roman"/>
          <w:bCs/>
          <w:lang w:val="sk-SK" w:eastAsia="de-DE"/>
        </w:rPr>
      </w:pPr>
      <w:r>
        <w:rPr>
          <w:rFonts w:ascii="Times New Roman" w:hAnsi="Times New Roman"/>
          <w:bCs/>
          <w:lang w:val="sk-SK"/>
        </w:rPr>
        <w:t xml:space="preserve">Dve rozsiahle randomizované, kontrolované klinické skúšania </w:t>
      </w:r>
      <w:r>
        <w:rPr>
          <w:rFonts w:ascii="Times New Roman" w:hAnsi="Times New Roman"/>
          <w:bCs/>
          <w:lang w:val="sk-SK" w:eastAsia="de-DE"/>
        </w:rPr>
        <w:t xml:space="preserve">(ONTARGET (ONgoing Telmisartan Alone and in </w:t>
      </w:r>
      <w:r>
        <w:rPr>
          <w:rFonts w:ascii="Times New Roman" w:hAnsi="Times New Roman"/>
          <w:bCs/>
          <w:lang w:val="sk-SK"/>
        </w:rPr>
        <w:t>c</w:t>
      </w:r>
      <w:r>
        <w:rPr>
          <w:rFonts w:ascii="Times New Roman" w:hAnsi="Times New Roman"/>
          <w:bCs/>
          <w:lang w:val="sk-SK" w:eastAsia="de-DE"/>
        </w:rPr>
        <w:t>ombination with Ramipril Global Endpoint Trial) a VA NEPHRON</w:t>
      </w:r>
      <w:r>
        <w:rPr>
          <w:rFonts w:ascii="Times New Roman" w:hAnsi="Times New Roman"/>
          <w:bCs/>
          <w:lang w:val="sk-SK"/>
        </w:rPr>
        <w:t>-</w:t>
      </w:r>
      <w:r>
        <w:rPr>
          <w:rFonts w:ascii="Times New Roman" w:hAnsi="Times New Roman"/>
          <w:bCs/>
          <w:lang w:val="sk-SK" w:eastAsia="de-DE"/>
        </w:rPr>
        <w:t>D (The Veterans Affairs Nephropathy in Diabetes)) skúmali použitie kombinácie inhibítora ACE a blokátora receptorov angiotenzínu II</w:t>
      </w:r>
      <w:r>
        <w:rPr>
          <w:rFonts w:ascii="Times New Roman" w:hAnsi="Times New Roman"/>
          <w:bCs/>
          <w:lang w:val="sk-SK"/>
        </w:rPr>
        <w:t>.</w:t>
      </w:r>
    </w:p>
    <w:p w14:paraId="3BF47FD8" w14:textId="77777777" w:rsidR="00582954" w:rsidRDefault="00645977">
      <w:pPr>
        <w:spacing w:after="0" w:line="240" w:lineRule="auto"/>
        <w:rPr>
          <w:rFonts w:ascii="Times New Roman" w:hAnsi="Times New Roman"/>
          <w:bCs/>
          <w:lang w:val="sk-SK"/>
        </w:rPr>
      </w:pPr>
      <w:r>
        <w:rPr>
          <w:rFonts w:ascii="Times New Roman" w:hAnsi="Times New Roman"/>
          <w:bCs/>
          <w:lang w:val="sk-SK" w:eastAsia="de-DE"/>
        </w:rPr>
        <w:t>Skúšanie ONTARGET sa vykonalo u pacientov s kardiovaskulárnym alebo cerebrovaskulárnym ochorením v anamnéze, alebo u pacientov s diabetom mellitus 2. typu, u ktorých sa preukázalo poškodenie cieľových orgánov</w:t>
      </w:r>
      <w:r>
        <w:rPr>
          <w:rFonts w:ascii="Times New Roman" w:hAnsi="Times New Roman"/>
          <w:bCs/>
          <w:lang w:val="sk-SK"/>
        </w:rPr>
        <w:t>. Pre podrobnejšie informácie pozri vyššie časť pod názvom „</w:t>
      </w:r>
      <w:r>
        <w:rPr>
          <w:rFonts w:ascii="Times New Roman" w:hAnsi="Times New Roman"/>
          <w:lang w:val="sk-SK"/>
        </w:rPr>
        <w:t>Prevencia kardiovaskulárnych ochorení“.</w:t>
      </w:r>
    </w:p>
    <w:p w14:paraId="2DD94667" w14:textId="77777777" w:rsidR="00582954" w:rsidRDefault="00645977">
      <w:pPr>
        <w:spacing w:after="0" w:line="240" w:lineRule="auto"/>
        <w:rPr>
          <w:rFonts w:ascii="Times New Roman" w:hAnsi="Times New Roman"/>
          <w:bCs/>
          <w:lang w:val="sk-SK" w:eastAsia="de-DE"/>
        </w:rPr>
      </w:pPr>
      <w:r>
        <w:rPr>
          <w:rFonts w:ascii="Times New Roman" w:hAnsi="Times New Roman"/>
          <w:bCs/>
          <w:lang w:val="sk-SK"/>
        </w:rPr>
        <w:t>Skúšanie VA NEPHRON-</w:t>
      </w:r>
      <w:r>
        <w:rPr>
          <w:rFonts w:ascii="Times New Roman" w:hAnsi="Times New Roman"/>
          <w:bCs/>
          <w:lang w:val="sk-SK" w:eastAsia="de-DE"/>
        </w:rPr>
        <w:t>D sa vykonalo u pacientov s diabetom mellitus 2. typu a diabetickou nefropatiou.</w:t>
      </w:r>
    </w:p>
    <w:p w14:paraId="036EBB75" w14:textId="77777777" w:rsidR="00582954" w:rsidRDefault="00645977">
      <w:pPr>
        <w:spacing w:after="0" w:line="240" w:lineRule="auto"/>
        <w:rPr>
          <w:rFonts w:ascii="Times New Roman" w:hAnsi="Times New Roman"/>
          <w:bCs/>
          <w:lang w:val="sk-SK" w:eastAsia="de-DE"/>
        </w:rPr>
      </w:pPr>
      <w:r>
        <w:rPr>
          <w:rFonts w:ascii="Times New Roman" w:hAnsi="Times New Roman"/>
          <w:bCs/>
          <w:lang w:val="sk-SK" w:eastAsia="de-DE"/>
        </w:rPr>
        <w:t>Tieto skúšania neukázali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inhibítory ACE a blokátory receptorov angiotenzínu II.</w:t>
      </w:r>
    </w:p>
    <w:p w14:paraId="4A1A2968" w14:textId="77777777" w:rsidR="00582954" w:rsidRDefault="00645977">
      <w:pPr>
        <w:widowControl w:val="0"/>
        <w:spacing w:after="0" w:line="240" w:lineRule="auto"/>
        <w:rPr>
          <w:rFonts w:ascii="Times New Roman" w:hAnsi="Times New Roman"/>
          <w:bCs/>
          <w:lang w:val="sk-SK"/>
        </w:rPr>
      </w:pPr>
      <w:r>
        <w:rPr>
          <w:rFonts w:ascii="Times New Roman" w:hAnsi="Times New Roman"/>
          <w:bCs/>
          <w:lang w:val="sk-SK"/>
        </w:rPr>
        <w:t>Inhibítory ACE a blokátory receptorov angiotenzínu II</w:t>
      </w:r>
      <w:r>
        <w:rPr>
          <w:rFonts w:ascii="Times New Roman" w:hAnsi="Times New Roman"/>
          <w:bCs/>
          <w:lang w:val="sk-SK" w:eastAsia="de-DE"/>
        </w:rPr>
        <w:t xml:space="preserve"> sa preto nemajú používať súbežne u pacientov s diabetickou nefropatiou</w:t>
      </w:r>
      <w:r>
        <w:rPr>
          <w:rFonts w:ascii="Times New Roman" w:hAnsi="Times New Roman"/>
          <w:bCs/>
          <w:lang w:val="sk-SK"/>
        </w:rPr>
        <w:t>.</w:t>
      </w:r>
    </w:p>
    <w:p w14:paraId="68B35392" w14:textId="77777777" w:rsidR="00582954" w:rsidRDefault="00582954">
      <w:pPr>
        <w:widowControl w:val="0"/>
        <w:autoSpaceDE w:val="0"/>
        <w:autoSpaceDN w:val="0"/>
        <w:adjustRightInd w:val="0"/>
        <w:spacing w:after="0" w:line="240" w:lineRule="auto"/>
        <w:rPr>
          <w:rFonts w:ascii="Times New Roman" w:hAnsi="Times New Roman"/>
          <w:bCs/>
          <w:lang w:val="sk-SK" w:eastAsia="de-DE"/>
        </w:rPr>
      </w:pPr>
    </w:p>
    <w:p w14:paraId="4299EB3F" w14:textId="77777777" w:rsidR="00582954" w:rsidRDefault="00645977">
      <w:pPr>
        <w:widowControl w:val="0"/>
        <w:autoSpaceDE w:val="0"/>
        <w:autoSpaceDN w:val="0"/>
        <w:adjustRightInd w:val="0"/>
        <w:spacing w:after="0" w:line="240" w:lineRule="auto"/>
        <w:rPr>
          <w:rFonts w:ascii="Times New Roman" w:hAnsi="Times New Roman"/>
          <w:bCs/>
          <w:lang w:val="sk-SK" w:eastAsia="de-DE"/>
        </w:rPr>
      </w:pPr>
      <w:r>
        <w:rPr>
          <w:rFonts w:ascii="Times New Roman" w:hAnsi="Times New Roman"/>
          <w:bCs/>
          <w:lang w:val="sk-SK" w:eastAsia="de-DE"/>
        </w:rPr>
        <w:t>Skúšanie ALTITUDE (Aliskirén Trial in Type 2 Diabetes Using Cardiovascular and Renal Disease Endpoints) bolo navrhnuté na otestovanie prínosu pridania aliskirénu k štandardnej liečbe inhibítorom ACE alebo blokátorom receptorov angiotenzínu II u pacientov s diabetom mellitus 2. typu a chronickým ochorením obličiek, kardiovaskulárnym ochorením, alebo oboma ochoreniami. Skúšanie bolo predčasne ukončené pre zvýšené riziko nežiaducich udalostí. V skupine aliskirénu bolo numericky viac úmrtí z kardiovaskulárnej príčiny a cievnych mozgových príhod ako v skupine placeba a v skupine aliskirénu boli častejšie hlásené sledované nežiaduce udalosti a závažné nežiaduce udalosti (hyperkaliémia, hypotenzia a renálna dysfunkcia) ako v skupine placeba.</w:t>
      </w:r>
    </w:p>
    <w:p w14:paraId="25E2963F" w14:textId="77777777" w:rsidR="00582954" w:rsidRDefault="00582954">
      <w:pPr>
        <w:widowControl w:val="0"/>
        <w:autoSpaceDE w:val="0"/>
        <w:autoSpaceDN w:val="0"/>
        <w:adjustRightInd w:val="0"/>
        <w:spacing w:after="0" w:line="240" w:lineRule="auto"/>
        <w:rPr>
          <w:rFonts w:ascii="Times New Roman" w:hAnsi="Times New Roman"/>
          <w:lang w:val="sk-SK"/>
        </w:rPr>
      </w:pPr>
    </w:p>
    <w:p w14:paraId="00AAB7DF"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Epidemiologické štúdie ukázali, že dlhodobá liečba hydrochlórtiazidom znižuje riziko kardiovaskulárnej morbidity a mortality.</w:t>
      </w:r>
    </w:p>
    <w:p w14:paraId="305C9657" w14:textId="77777777" w:rsidR="00582954" w:rsidRDefault="00582954">
      <w:pPr>
        <w:widowControl w:val="0"/>
        <w:autoSpaceDE w:val="0"/>
        <w:autoSpaceDN w:val="0"/>
        <w:adjustRightInd w:val="0"/>
        <w:spacing w:after="0" w:line="240" w:lineRule="auto"/>
        <w:rPr>
          <w:rFonts w:ascii="Times New Roman" w:hAnsi="Times New Roman"/>
          <w:lang w:val="sk-SK"/>
        </w:rPr>
      </w:pPr>
    </w:p>
    <w:p w14:paraId="6B006783"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Účinky fixnej dávky kombinácie telmisartan/hydrochlórtiazid na mortalitu a kardiovaskulárnu morbiditu nie sú v súčasnosti známe.</w:t>
      </w:r>
    </w:p>
    <w:p w14:paraId="0990051E" w14:textId="77777777" w:rsidR="00582954" w:rsidRDefault="00582954">
      <w:pPr>
        <w:widowControl w:val="0"/>
        <w:autoSpaceDE w:val="0"/>
        <w:autoSpaceDN w:val="0"/>
        <w:adjustRightInd w:val="0"/>
        <w:spacing w:after="0" w:line="240" w:lineRule="auto"/>
        <w:rPr>
          <w:rFonts w:ascii="Times New Roman" w:hAnsi="Times New Roman"/>
          <w:lang w:val="sk-SK"/>
        </w:rPr>
      </w:pPr>
    </w:p>
    <w:p w14:paraId="7520F6C9" w14:textId="77777777" w:rsidR="00582954" w:rsidRDefault="00645977">
      <w:pPr>
        <w:spacing w:after="0" w:line="240" w:lineRule="auto"/>
        <w:rPr>
          <w:rFonts w:ascii="Times New Roman" w:hAnsi="Times New Roman"/>
          <w:szCs w:val="23"/>
        </w:rPr>
      </w:pPr>
      <w:r>
        <w:rPr>
          <w:rFonts w:ascii="Times New Roman" w:hAnsi="Times New Roman"/>
          <w:szCs w:val="23"/>
        </w:rPr>
        <w:t>Nemelanómová rakovina kože</w:t>
      </w:r>
    </w:p>
    <w:p w14:paraId="0CA86147" w14:textId="77777777" w:rsidR="00582954" w:rsidRDefault="00645977">
      <w:pPr>
        <w:spacing w:after="0" w:line="240" w:lineRule="auto"/>
        <w:rPr>
          <w:rFonts w:ascii="Times New Roman" w:hAnsi="Times New Roman"/>
          <w:sz w:val="20"/>
        </w:rPr>
      </w:pPr>
      <w:r>
        <w:rPr>
          <w:rFonts w:ascii="Times New Roman" w:hAnsi="Times New Roman"/>
          <w:szCs w:val="23"/>
        </w:rPr>
        <w:t xml:space="preserve">Na základe dostupných údajov z epidemiologických štúdií sa pozorovala súvislosť medzi hydrochlórtiazidom a NMSC v závislosti od kumulatívnej dávky. Jedna štúdia zahŕňala populáciu, v ktorej sa vyskytlo 71 533 prípadov BCC a 8 629 prípadov SCC, čo zodpovedalo 1 430 833 a 172 462 kontrolám populácie. Používanie vysokých dávok </w:t>
      </w:r>
      <w:r>
        <w:rPr>
          <w:rFonts w:ascii="Times New Roman" w:hAnsi="Times New Roman"/>
          <w:lang w:val="sk-SK"/>
        </w:rPr>
        <w:t>hydrochlórtiazidu</w:t>
      </w:r>
      <w:r>
        <w:rPr>
          <w:rFonts w:ascii="Times New Roman" w:hAnsi="Times New Roman"/>
          <w:szCs w:val="23"/>
        </w:rPr>
        <w:t xml:space="preserve"> (≥ 50 000 mg kumulatívne) súviselo s upravenou OR 1,29 (95 % IS: 1,23 – 1,35) pre BCC a 3,98 (95 % IS: 3,68 – 4,31) pre SCC. V prípade BCC aj SCC sa pozoroval zjavný vzťah medzi odpoveďou a kumulatívnou dávkou. V ďalšej štúdii sa preukázala možná súvislosť medzi rakovinou pier (SCC) a vystavením </w:t>
      </w:r>
      <w:r>
        <w:rPr>
          <w:rFonts w:ascii="Times New Roman" w:hAnsi="Times New Roman"/>
          <w:lang w:val="sk-SK"/>
        </w:rPr>
        <w:t>hydrochlórtiazidu</w:t>
      </w:r>
      <w:r>
        <w:rPr>
          <w:rFonts w:ascii="Times New Roman" w:hAnsi="Times New Roman"/>
          <w:szCs w:val="23"/>
        </w:rPr>
        <w:t xml:space="preserve">: 633 prípadov rakoviny pier zodpovedalo 63 067 kontrolám populácie s použitím stratégie vzorkovania riziko-súbor. </w:t>
      </w:r>
      <w:r>
        <w:rPr>
          <w:rFonts w:ascii="Times New Roman" w:hAnsi="Times New Roman"/>
          <w:szCs w:val="23"/>
        </w:rPr>
        <w:lastRenderedPageBreak/>
        <w:t>Preukázal sa vzťah odpovede a kumulatívnej dávky s upravenou OR 2,1 (95 % IS: 1,7 – 2,6), ktorá sa zvýšila na OR 3,9 (3,0 –4,9) pre používanie vysokých dávok (~ 25 000 mg) a OR 7,7 (5,7 – 10,5) pre najvyššiu kumulatívnu dávku (~100 000 mg) (pozri aj časť 4.4).</w:t>
      </w:r>
    </w:p>
    <w:p w14:paraId="32A895C5" w14:textId="77777777" w:rsidR="00582954" w:rsidRDefault="00582954">
      <w:pPr>
        <w:widowControl w:val="0"/>
        <w:autoSpaceDE w:val="0"/>
        <w:autoSpaceDN w:val="0"/>
        <w:adjustRightInd w:val="0"/>
        <w:spacing w:after="0" w:line="240" w:lineRule="auto"/>
        <w:rPr>
          <w:rFonts w:ascii="Times New Roman" w:hAnsi="Times New Roman"/>
          <w:lang w:val="sk-SK"/>
        </w:rPr>
      </w:pPr>
    </w:p>
    <w:p w14:paraId="08866A28" w14:textId="77777777" w:rsidR="00582954" w:rsidRDefault="00645977">
      <w:pPr>
        <w:keepNext/>
        <w:spacing w:after="0" w:line="240" w:lineRule="auto"/>
        <w:rPr>
          <w:rFonts w:ascii="Times New Roman" w:hAnsi="Times New Roman"/>
          <w:u w:val="single"/>
        </w:rPr>
      </w:pPr>
      <w:r>
        <w:rPr>
          <w:rFonts w:ascii="Times New Roman" w:hAnsi="Times New Roman"/>
          <w:u w:val="single"/>
        </w:rPr>
        <w:t>Pediatrická populácia</w:t>
      </w:r>
    </w:p>
    <w:p w14:paraId="27A32DDD" w14:textId="77777777" w:rsidR="00582954" w:rsidRDefault="00645977">
      <w:pPr>
        <w:widowControl w:val="0"/>
        <w:autoSpaceDE w:val="0"/>
        <w:autoSpaceDN w:val="0"/>
        <w:adjustRightInd w:val="0"/>
        <w:spacing w:after="0" w:line="240" w:lineRule="auto"/>
        <w:ind w:right="-143"/>
        <w:rPr>
          <w:rFonts w:ascii="Times New Roman" w:hAnsi="Times New Roman"/>
        </w:rPr>
      </w:pPr>
      <w:r>
        <w:rPr>
          <w:rFonts w:ascii="Times New Roman" w:hAnsi="Times New Roman"/>
        </w:rPr>
        <w:t>Európska agentúra pre lieky udelila výnimku z povinnosti predložiť výsledky štúdií s referenčným liekom obsahujúcim telmisartan/</w:t>
      </w:r>
      <w:r>
        <w:rPr>
          <w:rFonts w:ascii="Times New Roman" w:hAnsi="Times New Roman"/>
          <w:lang w:val="sk-SK"/>
        </w:rPr>
        <w:t>hydrochlórtiazid</w:t>
      </w:r>
      <w:r>
        <w:rPr>
          <w:rFonts w:ascii="Times New Roman" w:hAnsi="Times New Roman"/>
        </w:rPr>
        <w:t xml:space="preserve"> vo všetkých podskupinách pediatrickej populácie pre hypertenziu (informácie o použití v pediatrickej populácii, pozri časť 4.2).</w:t>
      </w:r>
    </w:p>
    <w:p w14:paraId="3A234D01" w14:textId="77777777" w:rsidR="00582954" w:rsidRDefault="00582954">
      <w:pPr>
        <w:widowControl w:val="0"/>
        <w:autoSpaceDE w:val="0"/>
        <w:autoSpaceDN w:val="0"/>
        <w:adjustRightInd w:val="0"/>
        <w:spacing w:after="0" w:line="240" w:lineRule="auto"/>
        <w:rPr>
          <w:rFonts w:ascii="Times New Roman" w:hAnsi="Times New Roman"/>
          <w:lang w:val="sk-SK"/>
        </w:rPr>
      </w:pPr>
    </w:p>
    <w:p w14:paraId="774DF168" w14:textId="77777777" w:rsidR="00582954" w:rsidRDefault="00645977">
      <w:pPr>
        <w:widowControl w:val="0"/>
        <w:autoSpaceDE w:val="0"/>
        <w:autoSpaceDN w:val="0"/>
        <w:adjustRightInd w:val="0"/>
        <w:spacing w:after="0" w:line="240" w:lineRule="auto"/>
        <w:ind w:left="567" w:hanging="567"/>
        <w:rPr>
          <w:rFonts w:ascii="Times New Roman" w:hAnsi="Times New Roman"/>
          <w:b/>
          <w:lang w:val="sk-SK"/>
        </w:rPr>
      </w:pPr>
      <w:r>
        <w:rPr>
          <w:rFonts w:ascii="Times New Roman" w:hAnsi="Times New Roman"/>
          <w:b/>
          <w:lang w:val="sk-SK"/>
        </w:rPr>
        <w:t>5.2</w:t>
      </w:r>
      <w:r>
        <w:rPr>
          <w:rFonts w:ascii="Times New Roman" w:hAnsi="Times New Roman"/>
          <w:b/>
          <w:lang w:val="sk-SK"/>
        </w:rPr>
        <w:tab/>
        <w:t>Farmakokinetické vlastnosti</w:t>
      </w:r>
    </w:p>
    <w:p w14:paraId="04331F04" w14:textId="77777777" w:rsidR="00582954" w:rsidRDefault="00582954">
      <w:pPr>
        <w:widowControl w:val="0"/>
        <w:autoSpaceDE w:val="0"/>
        <w:autoSpaceDN w:val="0"/>
        <w:adjustRightInd w:val="0"/>
        <w:spacing w:after="0" w:line="240" w:lineRule="auto"/>
        <w:rPr>
          <w:rFonts w:ascii="Times New Roman" w:hAnsi="Times New Roman"/>
          <w:b/>
          <w:lang w:val="sk-SK"/>
        </w:rPr>
      </w:pPr>
    </w:p>
    <w:p w14:paraId="38399639"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U zdravých osôb nemá súbežné podávanie hydrochlórtiazidu a telmisartanu vplyv na farmakokinetiku jednotlivých súčastí.</w:t>
      </w:r>
    </w:p>
    <w:p w14:paraId="1444E446" w14:textId="77777777" w:rsidR="00582954" w:rsidRDefault="00582954">
      <w:pPr>
        <w:widowControl w:val="0"/>
        <w:autoSpaceDE w:val="0"/>
        <w:autoSpaceDN w:val="0"/>
        <w:adjustRightInd w:val="0"/>
        <w:spacing w:after="0" w:line="240" w:lineRule="auto"/>
        <w:rPr>
          <w:rFonts w:ascii="Times New Roman" w:hAnsi="Times New Roman"/>
          <w:lang w:val="sk-SK"/>
        </w:rPr>
      </w:pPr>
    </w:p>
    <w:p w14:paraId="31F6038F" w14:textId="77777777" w:rsidR="00582954" w:rsidRDefault="00645977">
      <w:pPr>
        <w:widowControl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Absorpcia</w:t>
      </w:r>
    </w:p>
    <w:p w14:paraId="45F34C48" w14:textId="77777777" w:rsidR="00582954" w:rsidRDefault="00645977">
      <w:pPr>
        <w:widowControl w:val="0"/>
        <w:autoSpaceDE w:val="0"/>
        <w:autoSpaceDN w:val="0"/>
        <w:adjustRightInd w:val="0"/>
        <w:spacing w:after="0" w:line="240" w:lineRule="auto"/>
        <w:ind w:right="190"/>
        <w:rPr>
          <w:rFonts w:ascii="Times New Roman" w:hAnsi="Times New Roman"/>
          <w:lang w:val="sk-SK"/>
        </w:rPr>
      </w:pPr>
      <w:r>
        <w:rPr>
          <w:rFonts w:ascii="Times New Roman" w:hAnsi="Times New Roman"/>
          <w:lang w:val="sk-SK"/>
        </w:rPr>
        <w:t>Telmisartan: Po perorálnom podaní sa maximálne koncentrácie telmisartanu dosahujú 0,5</w:t>
      </w:r>
      <w:r>
        <w:rPr>
          <w:rFonts w:ascii="Times New Roman" w:hAnsi="Times New Roman"/>
          <w:szCs w:val="23"/>
        </w:rPr>
        <w:t xml:space="preserve"> – </w:t>
      </w:r>
      <w:r>
        <w:rPr>
          <w:rFonts w:ascii="Times New Roman" w:hAnsi="Times New Roman"/>
          <w:lang w:val="sk-SK"/>
        </w:rPr>
        <w:t>1,5 hodiny po užití. Absolútna biologická dostupnosť telmisartanu 40 mg bola 42 % a pri 160 mg bola 58 %. Jedlo mierne znižuje biologickú dostupnosť telmisartanu s redukciou plochy pod krivkou závislosti plazmatických koncentrácií od času (AUC) približne o 6 % pri dávke 40 mg tablety a približne o 19 % pri dávke 160 mg. Od 3 hodín po podaní telmisartanu nalačno alebo s jedlom sú plazmatické koncentrácie podobné. Nepredpokladá sa, že by malé zníženie AUC zapríčiňovalo zníženie terapeutickej účinnosti. Pri opakovanom podávaní sa telmisartan výrazne nekumuluje v plazme.</w:t>
      </w:r>
    </w:p>
    <w:p w14:paraId="21C23D00" w14:textId="77777777" w:rsidR="00582954" w:rsidRDefault="00582954">
      <w:pPr>
        <w:widowControl w:val="0"/>
        <w:autoSpaceDE w:val="0"/>
        <w:autoSpaceDN w:val="0"/>
        <w:adjustRightInd w:val="0"/>
        <w:spacing w:after="0" w:line="240" w:lineRule="auto"/>
        <w:rPr>
          <w:rFonts w:ascii="Times New Roman" w:hAnsi="Times New Roman"/>
          <w:lang w:val="sk-SK"/>
        </w:rPr>
      </w:pPr>
    </w:p>
    <w:p w14:paraId="33AAF07C"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Hydrochlórtiazid: Po perorálnom podaní fixnej kombinácie dávok sa maximálne koncentrácie hydrochlórtiazidu dosahujú približne po 1,0 – 3,0 hodinách od podania. Vychádzajúc z kumulatívnej renálnej exkrécie hydrochlórtiazidu bola absolútna biologická dostupnosť približne 60 %.</w:t>
      </w:r>
    </w:p>
    <w:p w14:paraId="3FD88376" w14:textId="77777777" w:rsidR="00582954" w:rsidRDefault="00582954">
      <w:pPr>
        <w:widowControl w:val="0"/>
        <w:autoSpaceDE w:val="0"/>
        <w:autoSpaceDN w:val="0"/>
        <w:adjustRightInd w:val="0"/>
        <w:spacing w:after="0" w:line="240" w:lineRule="auto"/>
        <w:rPr>
          <w:rFonts w:ascii="Times New Roman" w:hAnsi="Times New Roman"/>
          <w:lang w:val="sk-SK"/>
        </w:rPr>
      </w:pPr>
    </w:p>
    <w:p w14:paraId="70382B78" w14:textId="77777777" w:rsidR="00582954" w:rsidRDefault="00645977">
      <w:pPr>
        <w:widowControl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Distribúcia</w:t>
      </w:r>
    </w:p>
    <w:p w14:paraId="35E8801F"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Telmisartan sa vo vysokej miere viaže na plazmatické proteíny (&gt; 99,5 %), zväčša na albumín a kyslý alfa</w:t>
      </w:r>
      <w:r>
        <w:rPr>
          <w:rFonts w:ascii="Times New Roman" w:hAnsi="Times New Roman"/>
          <w:lang w:val="sk-SK"/>
        </w:rPr>
        <w:noBreakHyphen/>
        <w:t>1 glykoproteín. Zdanlivý distribučný objem telmisartanu je približne 500 litrov, čo svedčí o aditívnej tkanivovej väzbe.</w:t>
      </w:r>
    </w:p>
    <w:p w14:paraId="338803E6" w14:textId="77777777" w:rsidR="00582954" w:rsidRDefault="00645977">
      <w:pPr>
        <w:widowControl w:val="0"/>
        <w:autoSpaceDE w:val="0"/>
        <w:autoSpaceDN w:val="0"/>
        <w:adjustRightInd w:val="0"/>
        <w:spacing w:after="0" w:line="240" w:lineRule="auto"/>
        <w:ind w:right="-235"/>
        <w:rPr>
          <w:rFonts w:ascii="Times New Roman" w:hAnsi="Times New Roman"/>
          <w:lang w:val="sk-SK"/>
        </w:rPr>
      </w:pPr>
      <w:r>
        <w:rPr>
          <w:rFonts w:ascii="Times New Roman" w:hAnsi="Times New Roman"/>
          <w:lang w:val="sk-SK"/>
        </w:rPr>
        <w:t>Hydrochlórtiazid sa viaže zo 64 % na proteíny plazmy a jeho zdanlivý distribučný objem je 0,8</w:t>
      </w:r>
      <w:r>
        <w:t>±</w:t>
      </w:r>
      <w:r>
        <w:rPr>
          <w:rFonts w:ascii="Times New Roman" w:hAnsi="Times New Roman"/>
          <w:szCs w:val="23"/>
        </w:rPr>
        <w:t>0,</w:t>
      </w:r>
      <w:r>
        <w:rPr>
          <w:rFonts w:ascii="Times New Roman" w:hAnsi="Times New Roman"/>
          <w:lang w:val="sk-SK"/>
        </w:rPr>
        <w:t>3 l/kg.</w:t>
      </w:r>
    </w:p>
    <w:p w14:paraId="040A51D8" w14:textId="77777777" w:rsidR="00582954" w:rsidRDefault="00582954">
      <w:pPr>
        <w:widowControl w:val="0"/>
        <w:autoSpaceDE w:val="0"/>
        <w:autoSpaceDN w:val="0"/>
        <w:adjustRightInd w:val="0"/>
        <w:spacing w:after="0" w:line="240" w:lineRule="auto"/>
        <w:rPr>
          <w:rFonts w:ascii="Times New Roman" w:hAnsi="Times New Roman"/>
          <w:lang w:val="sk-SK"/>
        </w:rPr>
      </w:pPr>
    </w:p>
    <w:p w14:paraId="1AF2834B" w14:textId="77777777" w:rsidR="00582954" w:rsidRDefault="00645977">
      <w:pPr>
        <w:widowControl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Biotransformácia</w:t>
      </w:r>
    </w:p>
    <w:p w14:paraId="64A39415"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Telmisartan sa metabolizuje konjugáciou na farmakologicky neúčinný acylglukuronid. Glukuronid materskej zlúčeniny je jediný metabolit, ktorý bol identifikovaný u ľudí. Po jednorazovej dávke </w:t>
      </w:r>
      <w:r>
        <w:rPr>
          <w:rFonts w:ascii="Times New Roman" w:hAnsi="Times New Roman"/>
          <w:vertAlign w:val="superscript"/>
          <w:lang w:val="sk-SK"/>
        </w:rPr>
        <w:t>14</w:t>
      </w:r>
      <w:r>
        <w:rPr>
          <w:rFonts w:ascii="Times New Roman" w:hAnsi="Times New Roman"/>
          <w:lang w:val="sk-SK"/>
        </w:rPr>
        <w:t>C značeného telmisartanu, glukuronid predstavuje asi 11 % meranej rádioaktivity v plazme. Izoenzýmy cytochrómu P450 nie sú zapojené do metabolizmu telmisartanu.</w:t>
      </w:r>
    </w:p>
    <w:p w14:paraId="7274E08A"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Hydrochlórtiazid sa u ľudí nemetabolizuje.</w:t>
      </w:r>
    </w:p>
    <w:p w14:paraId="08D6F217" w14:textId="77777777" w:rsidR="00582954" w:rsidRDefault="00582954">
      <w:pPr>
        <w:widowControl w:val="0"/>
        <w:autoSpaceDE w:val="0"/>
        <w:autoSpaceDN w:val="0"/>
        <w:adjustRightInd w:val="0"/>
        <w:spacing w:after="0" w:line="240" w:lineRule="auto"/>
        <w:rPr>
          <w:rFonts w:ascii="Times New Roman" w:hAnsi="Times New Roman"/>
          <w:lang w:val="sk-SK"/>
        </w:rPr>
      </w:pPr>
    </w:p>
    <w:p w14:paraId="39121BD2" w14:textId="77777777" w:rsidR="00582954" w:rsidRDefault="00645977">
      <w:pPr>
        <w:widowControl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Eliminácia</w:t>
      </w:r>
    </w:p>
    <w:p w14:paraId="06C21B5D"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Telmisartan: Po intravenóznom alebo perorálnom podaní </w:t>
      </w:r>
      <w:r>
        <w:rPr>
          <w:rFonts w:ascii="Times New Roman" w:hAnsi="Times New Roman"/>
          <w:vertAlign w:val="superscript"/>
          <w:lang w:val="sk-SK"/>
        </w:rPr>
        <w:t>14</w:t>
      </w:r>
      <w:r>
        <w:rPr>
          <w:rFonts w:ascii="Times New Roman" w:hAnsi="Times New Roman"/>
          <w:lang w:val="sk-SK"/>
        </w:rPr>
        <w:t>C značeného telmisartanu sa väčšina podanej dávky (&gt; 97 %) vylúčila stolicou cestou biliárnej exkrécie. V moči sa zistilo len nepatrné množstvo. Celkový plazmatický klírens telmisartanu po perorálnom podaní je &gt; 1 500 ml/min.</w:t>
      </w:r>
    </w:p>
    <w:p w14:paraId="5FA06A9E"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Terminálny polčas vylučovania bol &gt; 20 hodín.</w:t>
      </w:r>
    </w:p>
    <w:p w14:paraId="28271334" w14:textId="77777777" w:rsidR="00582954" w:rsidRDefault="00582954">
      <w:pPr>
        <w:widowControl w:val="0"/>
        <w:autoSpaceDE w:val="0"/>
        <w:autoSpaceDN w:val="0"/>
        <w:adjustRightInd w:val="0"/>
        <w:spacing w:after="0" w:line="240" w:lineRule="auto"/>
        <w:rPr>
          <w:rFonts w:ascii="Times New Roman" w:hAnsi="Times New Roman"/>
          <w:lang w:val="sk-SK"/>
        </w:rPr>
      </w:pPr>
    </w:p>
    <w:p w14:paraId="7E1889A1"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Hydrochlórtiazid sa vylučuje takmer výhradne močom ako nezmenené liečivo. Približne 60 % perorálne podanej dávky sa vylúči v priebehu 48 hodín. Renálny klírens je približne 250 – 300 ml/min.</w:t>
      </w:r>
    </w:p>
    <w:p w14:paraId="0E64DA3B"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Terminálny polčas eliminácie hydrochlórtiazidu je 10 – 15 hodín.</w:t>
      </w:r>
    </w:p>
    <w:p w14:paraId="4E14BCE9" w14:textId="77777777" w:rsidR="00582954" w:rsidRDefault="00582954">
      <w:pPr>
        <w:widowControl w:val="0"/>
        <w:autoSpaceDE w:val="0"/>
        <w:autoSpaceDN w:val="0"/>
        <w:adjustRightInd w:val="0"/>
        <w:spacing w:after="0" w:line="240" w:lineRule="auto"/>
        <w:rPr>
          <w:rFonts w:ascii="Times New Roman" w:hAnsi="Times New Roman"/>
          <w:lang w:val="sk-SK"/>
        </w:rPr>
      </w:pPr>
    </w:p>
    <w:p w14:paraId="0CA00852" w14:textId="77777777" w:rsidR="00582954" w:rsidRDefault="00645977">
      <w:pPr>
        <w:widowControl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Linearita/nelinearita</w:t>
      </w:r>
    </w:p>
    <w:p w14:paraId="726BE4D0"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Telmisartan: Farmakokinetika perorálne podaného telmisartanu je nelineárna po dávkach 20 – 160 mg s väčším ako proporcionálnym zvýšením plazmatických koncentrácií (C</w:t>
      </w:r>
      <w:r>
        <w:rPr>
          <w:rFonts w:ascii="Times New Roman" w:hAnsi="Times New Roman"/>
          <w:vertAlign w:val="subscript"/>
          <w:lang w:val="sk-SK"/>
        </w:rPr>
        <w:t>max</w:t>
      </w:r>
      <w:r>
        <w:rPr>
          <w:rFonts w:ascii="Times New Roman" w:hAnsi="Times New Roman"/>
          <w:lang w:val="sk-SK"/>
        </w:rPr>
        <w:t xml:space="preserve"> a AUC) pri zvyšujúcich sa dávkach. Po opakovanom podávaní sa telmisartan výrazne nekumuluje v plazme.</w:t>
      </w:r>
    </w:p>
    <w:p w14:paraId="3035F427"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lastRenderedPageBreak/>
        <w:t>Hydrochlórtiazid vykazuje lineárnu farmakokinetiku.</w:t>
      </w:r>
    </w:p>
    <w:p w14:paraId="20E447EC" w14:textId="77777777" w:rsidR="00582954" w:rsidRDefault="00582954">
      <w:pPr>
        <w:widowControl w:val="0"/>
        <w:autoSpaceDE w:val="0"/>
        <w:autoSpaceDN w:val="0"/>
        <w:adjustRightInd w:val="0"/>
        <w:spacing w:after="0" w:line="240" w:lineRule="auto"/>
        <w:rPr>
          <w:rFonts w:ascii="Times New Roman" w:hAnsi="Times New Roman"/>
          <w:i/>
          <w:iCs/>
          <w:lang w:val="sk-SK"/>
        </w:rPr>
      </w:pPr>
    </w:p>
    <w:p w14:paraId="70A7F4B6" w14:textId="77777777" w:rsidR="00582954" w:rsidRDefault="00645977">
      <w:pPr>
        <w:widowControl w:val="0"/>
        <w:autoSpaceDE w:val="0"/>
        <w:autoSpaceDN w:val="0"/>
        <w:adjustRightInd w:val="0"/>
        <w:spacing w:after="0" w:line="240" w:lineRule="auto"/>
        <w:rPr>
          <w:rFonts w:ascii="Times New Roman" w:hAnsi="Times New Roman"/>
          <w:u w:val="single"/>
          <w:lang w:val="sk-SK"/>
        </w:rPr>
      </w:pPr>
      <w:r>
        <w:rPr>
          <w:rFonts w:ascii="Times New Roman" w:hAnsi="Times New Roman"/>
          <w:i/>
          <w:iCs/>
          <w:snapToGrid w:val="0"/>
          <w:u w:val="single"/>
          <w:lang w:eastAsia="cs-CZ"/>
        </w:rPr>
        <w:t>Farmakokinetika v špecifických populáciách</w:t>
      </w:r>
    </w:p>
    <w:p w14:paraId="7663CAFF" w14:textId="77777777" w:rsidR="00582954" w:rsidRDefault="00645977">
      <w:pPr>
        <w:widowControl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Starší ľudia</w:t>
      </w:r>
    </w:p>
    <w:p w14:paraId="6D6F9397"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U starších a mladších pacientov sa farmakokinetika telmisartanu nelíši.</w:t>
      </w:r>
    </w:p>
    <w:p w14:paraId="6C7E0AE7" w14:textId="77777777" w:rsidR="00582954" w:rsidRDefault="00582954">
      <w:pPr>
        <w:widowControl w:val="0"/>
        <w:autoSpaceDE w:val="0"/>
        <w:autoSpaceDN w:val="0"/>
        <w:adjustRightInd w:val="0"/>
        <w:spacing w:after="0" w:line="240" w:lineRule="auto"/>
        <w:rPr>
          <w:rFonts w:ascii="Times New Roman" w:hAnsi="Times New Roman"/>
          <w:lang w:val="sk-SK"/>
        </w:rPr>
      </w:pPr>
    </w:p>
    <w:p w14:paraId="3A753448" w14:textId="77777777" w:rsidR="00582954" w:rsidRDefault="00645977">
      <w:pPr>
        <w:widowControl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Pohlavie</w:t>
      </w:r>
    </w:p>
    <w:p w14:paraId="3D638B71"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Plazmatické koncentrácie telmisartanu sú všeobecne 2</w:t>
      </w:r>
      <w:r>
        <w:rPr>
          <w:rFonts w:ascii="Times New Roman" w:hAnsi="Times New Roman"/>
          <w:szCs w:val="23"/>
        </w:rPr>
        <w:t xml:space="preserve"> – </w:t>
      </w:r>
      <w:r>
        <w:rPr>
          <w:rFonts w:ascii="Times New Roman" w:hAnsi="Times New Roman"/>
          <w:lang w:val="sk-SK"/>
        </w:rPr>
        <w:t>3-krát vyššie u žien ako u mužov. V klinických skúšaniach sa však u žien nepozoroval signifikantý nárast v odpovedi krvného tlaku alebo výskyt ortostatickej hypotenzie. Nie je potrebná úprava dávky. U žien bola náchylnosť k vyšším plazmatickým koncentráciám hydrochlórtiazidu ako u mužov. Nepovažuje sa to za klinicky významné.</w:t>
      </w:r>
    </w:p>
    <w:p w14:paraId="2EE94D5C" w14:textId="77777777" w:rsidR="00582954" w:rsidRDefault="00582954">
      <w:pPr>
        <w:widowControl w:val="0"/>
        <w:autoSpaceDE w:val="0"/>
        <w:autoSpaceDN w:val="0"/>
        <w:adjustRightInd w:val="0"/>
        <w:spacing w:after="0" w:line="240" w:lineRule="auto"/>
        <w:rPr>
          <w:rFonts w:ascii="Times New Roman" w:hAnsi="Times New Roman"/>
          <w:lang w:val="sk-SK"/>
        </w:rPr>
      </w:pPr>
    </w:p>
    <w:p w14:paraId="47499E0F" w14:textId="77777777" w:rsidR="00582954" w:rsidRDefault="00645977">
      <w:pPr>
        <w:widowControl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Porucha funkcie obličiek</w:t>
      </w:r>
    </w:p>
    <w:p w14:paraId="6E4184E8"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U pacientov s insuficienciou obličiek podstupujúcich dialýzu sa pozorovali nižšie plazmatické koncentrácie. Telmisartan sa u ľudí s renálnou insuficienciou vo vysokej miere viaže na plazmatické proteíny a nie je možné ho odstrániť dialýzou. Polčas eliminácie sa u pacientov s poruchou funkcie obličiek nemení. U pacientov s poruchou funkcie obličiek je rýchlosť eliminácie hydrochlórtiazidu znížená. V typickej štúdii s pacientmi s priemerným klírensom kreatinínu 90 ml/min bol polčas eliminácie hydrochlórtiazidu zvýšený. U funkčne anefrických pacientov je polčas eliminácie približne 34 hodín.</w:t>
      </w:r>
    </w:p>
    <w:p w14:paraId="6294A1DA" w14:textId="77777777" w:rsidR="00582954" w:rsidRDefault="00582954">
      <w:pPr>
        <w:widowControl w:val="0"/>
        <w:autoSpaceDE w:val="0"/>
        <w:autoSpaceDN w:val="0"/>
        <w:adjustRightInd w:val="0"/>
        <w:spacing w:after="0" w:line="240" w:lineRule="auto"/>
        <w:rPr>
          <w:rFonts w:ascii="Times New Roman" w:hAnsi="Times New Roman"/>
          <w:lang w:val="sk-SK"/>
        </w:rPr>
      </w:pPr>
    </w:p>
    <w:p w14:paraId="7B1225D9" w14:textId="77777777" w:rsidR="00582954" w:rsidRDefault="00645977">
      <w:pPr>
        <w:widowControl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Porucha funkcie pečene</w:t>
      </w:r>
    </w:p>
    <w:p w14:paraId="0242E721"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Farmakokinetické štúdie u pacientov s poruchou funkcie pečene ukázali zvýšenú absolútnu biologickú dostupnosť až do takmer 100 %. Polčas eliminácie sa u pacientov s poruchou funkcie pečene nemení.</w:t>
      </w:r>
    </w:p>
    <w:p w14:paraId="5BA982AD" w14:textId="77777777" w:rsidR="00582954" w:rsidRDefault="00582954">
      <w:pPr>
        <w:widowControl w:val="0"/>
        <w:autoSpaceDE w:val="0"/>
        <w:autoSpaceDN w:val="0"/>
        <w:adjustRightInd w:val="0"/>
        <w:spacing w:after="0" w:line="240" w:lineRule="auto"/>
        <w:rPr>
          <w:rFonts w:ascii="Times New Roman" w:hAnsi="Times New Roman"/>
          <w:lang w:val="sk-SK"/>
        </w:rPr>
      </w:pPr>
    </w:p>
    <w:p w14:paraId="11070EB4" w14:textId="77777777" w:rsidR="00582954" w:rsidRDefault="00645977">
      <w:pPr>
        <w:widowControl w:val="0"/>
        <w:autoSpaceDE w:val="0"/>
        <w:autoSpaceDN w:val="0"/>
        <w:adjustRightInd w:val="0"/>
        <w:spacing w:after="0" w:line="240" w:lineRule="auto"/>
        <w:ind w:left="567" w:hanging="567"/>
        <w:rPr>
          <w:rFonts w:ascii="Times New Roman" w:hAnsi="Times New Roman"/>
          <w:b/>
          <w:bCs/>
          <w:lang w:val="sk-SK"/>
        </w:rPr>
      </w:pPr>
      <w:r>
        <w:rPr>
          <w:rFonts w:ascii="Times New Roman" w:hAnsi="Times New Roman"/>
          <w:b/>
          <w:bCs/>
          <w:lang w:val="sk-SK"/>
        </w:rPr>
        <w:t>5.3</w:t>
      </w:r>
      <w:r>
        <w:rPr>
          <w:rFonts w:ascii="Times New Roman" w:hAnsi="Times New Roman"/>
          <w:b/>
          <w:bCs/>
          <w:lang w:val="sk-SK"/>
        </w:rPr>
        <w:tab/>
        <w:t>Predklinické údaje o bezpečnosti</w:t>
      </w:r>
    </w:p>
    <w:p w14:paraId="56CBD06D" w14:textId="77777777" w:rsidR="00582954" w:rsidRDefault="00582954">
      <w:pPr>
        <w:widowControl w:val="0"/>
        <w:autoSpaceDE w:val="0"/>
        <w:autoSpaceDN w:val="0"/>
        <w:adjustRightInd w:val="0"/>
        <w:spacing w:after="0" w:line="240" w:lineRule="auto"/>
        <w:rPr>
          <w:rFonts w:ascii="Times New Roman" w:hAnsi="Times New Roman"/>
          <w:b/>
          <w:bCs/>
          <w:lang w:val="sk-SK"/>
        </w:rPr>
      </w:pPr>
    </w:p>
    <w:p w14:paraId="6407D8E9"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Nevykonali sa žiadne dodatočné predklinické štúdie fixnej kombinácie dávky lieku 80 mg/25 mg.</w:t>
      </w:r>
    </w:p>
    <w:p w14:paraId="1C195164" w14:textId="77777777" w:rsidR="00582954" w:rsidRDefault="00582954">
      <w:pPr>
        <w:widowControl w:val="0"/>
        <w:autoSpaceDE w:val="0"/>
        <w:autoSpaceDN w:val="0"/>
        <w:adjustRightInd w:val="0"/>
        <w:spacing w:after="0" w:line="240" w:lineRule="auto"/>
        <w:rPr>
          <w:rFonts w:ascii="Times New Roman" w:hAnsi="Times New Roman"/>
          <w:b/>
          <w:bCs/>
          <w:lang w:val="sk-SK"/>
        </w:rPr>
      </w:pPr>
    </w:p>
    <w:p w14:paraId="12542EA4"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V predklinických štúdiách bezpečnosti so súbežným podávaním telmisartanu a hydrochlórtiazidu normotenzným potkanom a psom expozícia dávkam porovnateľným s klinickými terapeutickými dávkami nevyvolala iné ďalšie nálezy, ako boli pozorované pri podávaní jednotlivých liečiv samostatne. Pozorované toxikologické nálezy pravdepodobne nemajú význam pri terapeutickom použití u ľudí.</w:t>
      </w:r>
    </w:p>
    <w:p w14:paraId="428DFDBA" w14:textId="77777777" w:rsidR="00582954" w:rsidRDefault="00582954">
      <w:pPr>
        <w:widowControl w:val="0"/>
        <w:autoSpaceDE w:val="0"/>
        <w:autoSpaceDN w:val="0"/>
        <w:adjustRightInd w:val="0"/>
        <w:spacing w:after="0" w:line="240" w:lineRule="auto"/>
        <w:rPr>
          <w:rFonts w:ascii="Times New Roman" w:hAnsi="Times New Roman"/>
          <w:lang w:val="sk-SK"/>
        </w:rPr>
      </w:pPr>
    </w:p>
    <w:p w14:paraId="5C4BB298"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Toxikologické nálezy tiež dobre známe z predklinických štúdií s inhibítormi angiotenzín konvertujúceho enzýmu a blokátormi receptorov angiotenzínu II boli: pokles parametrov červených krviniek (erytrocyty, hemoglobín, hematokrit), zmeny v renálnej hemodynamike (zvýšený dusík močoviny v krvi a kreatinín), zvýšená plazmatická renínová aktivita, hypertrofia/hyperplázia juxtaglomerulárnych buniek a poškodenie žalúdočnej sliznice. Léziám na žalúdku možno predísť/zmierniť ich perorálnou suplementáciou solí a skupinovým chovom zvierat. U psov sa pozorovala dilatácia a atrofia obličkových tubulov. Tieto nálezy sa považujú za následok farmakologických účinkov telmisartanu.</w:t>
      </w:r>
    </w:p>
    <w:p w14:paraId="5F0F4BE1" w14:textId="77777777" w:rsidR="00582954" w:rsidRDefault="00645977">
      <w:pPr>
        <w:spacing w:after="0" w:line="240" w:lineRule="auto"/>
        <w:rPr>
          <w:rFonts w:ascii="Times New Roman" w:hAnsi="Times New Roman"/>
          <w:lang w:val="sk-SK"/>
        </w:rPr>
      </w:pPr>
      <w:r>
        <w:rPr>
          <w:rFonts w:ascii="Times New Roman" w:hAnsi="Times New Roman"/>
          <w:snapToGrid w:val="0"/>
          <w:lang w:eastAsia="cs-CZ"/>
        </w:rPr>
        <w:t>Nepozorovali sa žiadne účinky telmisartanu na samčiu ani samičiu fertilitu</w:t>
      </w:r>
      <w:r>
        <w:rPr>
          <w:snapToGrid w:val="0"/>
          <w:lang w:eastAsia="cs-CZ"/>
        </w:rPr>
        <w:t>.</w:t>
      </w:r>
    </w:p>
    <w:p w14:paraId="68DEEEB2" w14:textId="77777777" w:rsidR="00582954" w:rsidRDefault="00582954">
      <w:pPr>
        <w:widowControl w:val="0"/>
        <w:autoSpaceDE w:val="0"/>
        <w:autoSpaceDN w:val="0"/>
        <w:adjustRightInd w:val="0"/>
        <w:spacing w:after="0" w:line="240" w:lineRule="auto"/>
        <w:rPr>
          <w:rFonts w:ascii="Times New Roman" w:hAnsi="Times New Roman"/>
          <w:lang w:val="sk-SK"/>
        </w:rPr>
      </w:pPr>
    </w:p>
    <w:p w14:paraId="4B781B73"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Nepozoroval sa priamy dôkaz teratogénneho účinku, ale pozorovalo sa, že hladiny toxickej dávky telmisartanu majú mierny vplyv na postnatálny vývoj plodu ako sú nižšia telesná hmotnosť a oneskorené otvorenie očí.</w:t>
      </w:r>
    </w:p>
    <w:p w14:paraId="59C1DD1F"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U potkanov a myší sa v </w:t>
      </w:r>
      <w:r>
        <w:rPr>
          <w:rFonts w:ascii="Times New Roman" w:hAnsi="Times New Roman"/>
          <w:i/>
          <w:iCs/>
          <w:lang w:val="sk-SK"/>
        </w:rPr>
        <w:t xml:space="preserve">in vitro </w:t>
      </w:r>
      <w:r>
        <w:rPr>
          <w:rFonts w:ascii="Times New Roman" w:hAnsi="Times New Roman"/>
          <w:lang w:val="sk-SK"/>
        </w:rPr>
        <w:t>štúdiách po podávaní telmisartanu nepotvrdili prejavy mutagenity ani relevantnej klastogénnej aktivity a tiež žiadny dôkaz karcinogenity. Štúdie s hydrochlórtiazidom ukázali nejednoznačný dôkaz genotoxického alebo karcinogénneho účinku na niektorých pokusných modeloch. Pre možné toxické pôsobenie kombinácie telmisartan/hydrochlórtiazid na plod pozri časť 4.6.</w:t>
      </w:r>
    </w:p>
    <w:p w14:paraId="7D4CE000" w14:textId="77777777" w:rsidR="00582954" w:rsidRDefault="00582954">
      <w:pPr>
        <w:widowControl w:val="0"/>
        <w:spacing w:after="0" w:line="240" w:lineRule="auto"/>
        <w:rPr>
          <w:rFonts w:ascii="Times New Roman" w:hAnsi="Times New Roman"/>
          <w:lang w:val="sk-SK"/>
        </w:rPr>
      </w:pPr>
    </w:p>
    <w:p w14:paraId="093A55DE" w14:textId="77777777" w:rsidR="00582954" w:rsidRDefault="00582954">
      <w:pPr>
        <w:widowControl w:val="0"/>
        <w:spacing w:after="0" w:line="240" w:lineRule="auto"/>
        <w:rPr>
          <w:rFonts w:ascii="Times New Roman" w:hAnsi="Times New Roman"/>
          <w:lang w:val="sk-SK"/>
        </w:rPr>
      </w:pPr>
    </w:p>
    <w:p w14:paraId="1DFCCE7D" w14:textId="77777777" w:rsidR="00582954" w:rsidRDefault="00645977">
      <w:pPr>
        <w:widowControl w:val="0"/>
        <w:tabs>
          <w:tab w:val="left" w:pos="567"/>
        </w:tabs>
        <w:autoSpaceDE w:val="0"/>
        <w:autoSpaceDN w:val="0"/>
        <w:adjustRightInd w:val="0"/>
        <w:spacing w:after="0" w:line="240" w:lineRule="auto"/>
        <w:rPr>
          <w:rFonts w:ascii="Times New Roman" w:hAnsi="Times New Roman"/>
          <w:b/>
          <w:bCs/>
          <w:lang w:val="sk-SK"/>
        </w:rPr>
      </w:pPr>
      <w:r>
        <w:rPr>
          <w:rFonts w:ascii="Times New Roman" w:hAnsi="Times New Roman"/>
          <w:b/>
          <w:bCs/>
          <w:lang w:val="sk-SK"/>
        </w:rPr>
        <w:t>6.</w:t>
      </w:r>
      <w:r>
        <w:rPr>
          <w:rFonts w:ascii="Times New Roman" w:hAnsi="Times New Roman"/>
          <w:b/>
          <w:bCs/>
          <w:lang w:val="sk-SK"/>
        </w:rPr>
        <w:tab/>
        <w:t>FARMACEUTICKÉ INFORMÁCIE</w:t>
      </w:r>
    </w:p>
    <w:p w14:paraId="068A44AA" w14:textId="77777777" w:rsidR="00582954" w:rsidRDefault="00582954">
      <w:pPr>
        <w:widowControl w:val="0"/>
        <w:autoSpaceDE w:val="0"/>
        <w:autoSpaceDN w:val="0"/>
        <w:adjustRightInd w:val="0"/>
        <w:spacing w:after="0" w:line="240" w:lineRule="auto"/>
        <w:rPr>
          <w:rFonts w:ascii="Times New Roman" w:hAnsi="Times New Roman"/>
          <w:b/>
          <w:bCs/>
          <w:lang w:val="sk-SK"/>
        </w:rPr>
      </w:pPr>
    </w:p>
    <w:p w14:paraId="0178EA87" w14:textId="77777777" w:rsidR="00582954" w:rsidRDefault="00645977">
      <w:pPr>
        <w:widowControl w:val="0"/>
        <w:autoSpaceDE w:val="0"/>
        <w:autoSpaceDN w:val="0"/>
        <w:adjustRightInd w:val="0"/>
        <w:spacing w:after="0" w:line="240" w:lineRule="auto"/>
        <w:ind w:left="567" w:hanging="567"/>
        <w:rPr>
          <w:rFonts w:ascii="Times New Roman" w:hAnsi="Times New Roman"/>
          <w:b/>
          <w:bCs/>
          <w:lang w:val="sk-SK"/>
        </w:rPr>
      </w:pPr>
      <w:r>
        <w:rPr>
          <w:rFonts w:ascii="Times New Roman" w:hAnsi="Times New Roman"/>
          <w:b/>
          <w:bCs/>
          <w:lang w:val="sk-SK"/>
        </w:rPr>
        <w:t>6.1</w:t>
      </w:r>
      <w:r>
        <w:rPr>
          <w:rFonts w:ascii="Times New Roman" w:hAnsi="Times New Roman"/>
          <w:b/>
          <w:bCs/>
          <w:lang w:val="sk-SK"/>
        </w:rPr>
        <w:tab/>
        <w:t>Zoznam pomocných látok</w:t>
      </w:r>
    </w:p>
    <w:p w14:paraId="16C9FC6F" w14:textId="77777777" w:rsidR="00582954" w:rsidRDefault="00582954">
      <w:pPr>
        <w:widowControl w:val="0"/>
        <w:autoSpaceDE w:val="0"/>
        <w:autoSpaceDN w:val="0"/>
        <w:adjustRightInd w:val="0"/>
        <w:spacing w:after="0" w:line="240" w:lineRule="auto"/>
        <w:rPr>
          <w:rFonts w:ascii="Times New Roman" w:hAnsi="Times New Roman"/>
          <w:b/>
          <w:bCs/>
          <w:lang w:val="sk-SK"/>
        </w:rPr>
      </w:pPr>
    </w:p>
    <w:p w14:paraId="5DE5FB6D"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Povidón K30</w:t>
      </w:r>
    </w:p>
    <w:p w14:paraId="5AEB666A"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Hydroxid sodný</w:t>
      </w:r>
    </w:p>
    <w:p w14:paraId="13C4E28D"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Manitol</w:t>
      </w:r>
    </w:p>
    <w:p w14:paraId="0334003C"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Mikrokryštalická celulóza</w:t>
      </w:r>
    </w:p>
    <w:p w14:paraId="7CF9BC6F"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Meglumín</w:t>
      </w:r>
    </w:p>
    <w:p w14:paraId="13BEE8D6" w14:textId="77777777" w:rsidR="00582954" w:rsidRDefault="00645977">
      <w:pPr>
        <w:autoSpaceDE w:val="0"/>
        <w:autoSpaceDN w:val="0"/>
        <w:adjustRightInd w:val="0"/>
        <w:spacing w:after="0" w:line="240" w:lineRule="auto"/>
        <w:rPr>
          <w:rFonts w:ascii="Times New Roman" w:hAnsi="Times New Roman"/>
          <w:lang w:eastAsia="sk-SK"/>
        </w:rPr>
      </w:pPr>
      <w:r>
        <w:rPr>
          <w:rFonts w:ascii="Times New Roman" w:hAnsi="Times New Roman"/>
          <w:lang w:eastAsia="sk-SK"/>
        </w:rPr>
        <w:t>Sodná soľ kroskarmelózy</w:t>
      </w:r>
    </w:p>
    <w:p w14:paraId="1DF7238D"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Stearyl</w:t>
      </w:r>
      <w:r>
        <w:rPr>
          <w:rFonts w:ascii="Times New Roman" w:hAnsi="Times New Roman"/>
          <w:lang w:val="sk-SK"/>
        </w:rPr>
        <w:noBreakHyphen/>
        <w:t>fumarát sodný</w:t>
      </w:r>
    </w:p>
    <w:p w14:paraId="2D1B887A" w14:textId="77777777" w:rsidR="00582954" w:rsidRDefault="00645977">
      <w:pPr>
        <w:widowControl w:val="0"/>
        <w:autoSpaceDE w:val="0"/>
        <w:autoSpaceDN w:val="0"/>
        <w:adjustRightInd w:val="0"/>
        <w:spacing w:after="0" w:line="240" w:lineRule="auto"/>
        <w:rPr>
          <w:rFonts w:ascii="Times New Roman" w:hAnsi="Times New Roman"/>
          <w:lang w:eastAsia="sk-SK"/>
        </w:rPr>
      </w:pPr>
      <w:r>
        <w:rPr>
          <w:rFonts w:ascii="Times New Roman" w:hAnsi="Times New Roman"/>
          <w:lang w:val="sk-SK"/>
        </w:rPr>
        <w:t>Koloidný oxid kremičitý, bezvodý</w:t>
      </w:r>
    </w:p>
    <w:p w14:paraId="144F8943"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Žltý oxid železitý (E172)</w:t>
      </w:r>
    </w:p>
    <w:p w14:paraId="4A519A1E" w14:textId="77777777" w:rsidR="00582954" w:rsidRDefault="00582954">
      <w:pPr>
        <w:widowControl w:val="0"/>
        <w:autoSpaceDE w:val="0"/>
        <w:autoSpaceDN w:val="0"/>
        <w:adjustRightInd w:val="0"/>
        <w:spacing w:after="0" w:line="240" w:lineRule="auto"/>
        <w:rPr>
          <w:rFonts w:ascii="Times New Roman" w:hAnsi="Times New Roman"/>
          <w:lang w:val="sk-SK"/>
        </w:rPr>
      </w:pPr>
    </w:p>
    <w:p w14:paraId="37925561" w14:textId="77777777" w:rsidR="00582954" w:rsidRDefault="00645977">
      <w:pPr>
        <w:widowControl w:val="0"/>
        <w:autoSpaceDE w:val="0"/>
        <w:autoSpaceDN w:val="0"/>
        <w:adjustRightInd w:val="0"/>
        <w:spacing w:after="0" w:line="240" w:lineRule="auto"/>
        <w:ind w:left="567" w:hanging="567"/>
        <w:rPr>
          <w:rFonts w:ascii="Times New Roman" w:hAnsi="Times New Roman"/>
          <w:b/>
          <w:bCs/>
          <w:lang w:val="sk-SK"/>
        </w:rPr>
      </w:pPr>
      <w:r>
        <w:rPr>
          <w:rFonts w:ascii="Times New Roman" w:hAnsi="Times New Roman"/>
          <w:b/>
          <w:bCs/>
          <w:lang w:val="sk-SK"/>
        </w:rPr>
        <w:t>6.2</w:t>
      </w:r>
      <w:r>
        <w:rPr>
          <w:rFonts w:ascii="Times New Roman" w:hAnsi="Times New Roman"/>
          <w:b/>
          <w:bCs/>
          <w:lang w:val="sk-SK"/>
        </w:rPr>
        <w:tab/>
        <w:t>Inkompatibility</w:t>
      </w:r>
    </w:p>
    <w:p w14:paraId="03E233F9" w14:textId="77777777" w:rsidR="00582954" w:rsidRDefault="00582954">
      <w:pPr>
        <w:widowControl w:val="0"/>
        <w:autoSpaceDE w:val="0"/>
        <w:autoSpaceDN w:val="0"/>
        <w:adjustRightInd w:val="0"/>
        <w:spacing w:after="0" w:line="240" w:lineRule="auto"/>
        <w:rPr>
          <w:rFonts w:ascii="Times New Roman" w:hAnsi="Times New Roman"/>
          <w:b/>
          <w:bCs/>
          <w:lang w:val="sk-SK"/>
        </w:rPr>
      </w:pPr>
    </w:p>
    <w:p w14:paraId="17F080BF"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Neaplikovateľné.</w:t>
      </w:r>
    </w:p>
    <w:p w14:paraId="0087D617" w14:textId="77777777" w:rsidR="00582954" w:rsidRDefault="00582954">
      <w:pPr>
        <w:widowControl w:val="0"/>
        <w:autoSpaceDE w:val="0"/>
        <w:autoSpaceDN w:val="0"/>
        <w:adjustRightInd w:val="0"/>
        <w:spacing w:after="0" w:line="240" w:lineRule="auto"/>
        <w:rPr>
          <w:rFonts w:ascii="Times New Roman" w:hAnsi="Times New Roman"/>
          <w:lang w:val="sk-SK"/>
        </w:rPr>
      </w:pPr>
    </w:p>
    <w:p w14:paraId="762CD465" w14:textId="77777777" w:rsidR="00582954" w:rsidRDefault="00645977">
      <w:pPr>
        <w:widowControl w:val="0"/>
        <w:autoSpaceDE w:val="0"/>
        <w:autoSpaceDN w:val="0"/>
        <w:adjustRightInd w:val="0"/>
        <w:spacing w:after="0" w:line="240" w:lineRule="auto"/>
        <w:ind w:left="567" w:hanging="567"/>
        <w:rPr>
          <w:rFonts w:ascii="Times New Roman" w:hAnsi="Times New Roman"/>
          <w:b/>
          <w:bCs/>
          <w:lang w:val="sk-SK"/>
        </w:rPr>
      </w:pPr>
      <w:r>
        <w:rPr>
          <w:rFonts w:ascii="Times New Roman" w:hAnsi="Times New Roman"/>
          <w:b/>
          <w:bCs/>
          <w:lang w:val="sk-SK"/>
        </w:rPr>
        <w:t>6.3</w:t>
      </w:r>
      <w:r>
        <w:rPr>
          <w:rFonts w:ascii="Times New Roman" w:hAnsi="Times New Roman"/>
          <w:b/>
          <w:bCs/>
          <w:lang w:val="sk-SK"/>
        </w:rPr>
        <w:tab/>
        <w:t>Čas použiteľnosti</w:t>
      </w:r>
    </w:p>
    <w:p w14:paraId="30DD0EB2" w14:textId="77777777" w:rsidR="00582954" w:rsidRDefault="00582954">
      <w:pPr>
        <w:widowControl w:val="0"/>
        <w:autoSpaceDE w:val="0"/>
        <w:autoSpaceDN w:val="0"/>
        <w:adjustRightInd w:val="0"/>
        <w:spacing w:after="0" w:line="240" w:lineRule="auto"/>
        <w:rPr>
          <w:rFonts w:ascii="Times New Roman" w:hAnsi="Times New Roman"/>
          <w:b/>
          <w:bCs/>
          <w:lang w:val="sk-SK"/>
        </w:rPr>
      </w:pPr>
    </w:p>
    <w:p w14:paraId="2B89862D"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2 roky</w:t>
      </w:r>
    </w:p>
    <w:p w14:paraId="55ED3913" w14:textId="77777777" w:rsidR="00582954" w:rsidRDefault="00582954">
      <w:pPr>
        <w:widowControl w:val="0"/>
        <w:spacing w:after="0" w:line="240" w:lineRule="auto"/>
        <w:rPr>
          <w:rFonts w:ascii="Times New Roman" w:hAnsi="Times New Roman"/>
          <w:lang w:val="sk-SK"/>
        </w:rPr>
      </w:pPr>
    </w:p>
    <w:p w14:paraId="08B367BF" w14:textId="77777777" w:rsidR="00582954" w:rsidRDefault="00645977">
      <w:pPr>
        <w:widowControl w:val="0"/>
        <w:autoSpaceDE w:val="0"/>
        <w:autoSpaceDN w:val="0"/>
        <w:adjustRightInd w:val="0"/>
        <w:spacing w:after="0" w:line="240" w:lineRule="auto"/>
        <w:ind w:left="567" w:hanging="567"/>
        <w:rPr>
          <w:rFonts w:ascii="Times New Roman" w:hAnsi="Times New Roman"/>
          <w:b/>
          <w:bCs/>
          <w:color w:val="000000"/>
          <w:lang w:val="sk-SK"/>
        </w:rPr>
      </w:pPr>
      <w:r>
        <w:rPr>
          <w:rFonts w:ascii="Times New Roman" w:hAnsi="Times New Roman"/>
          <w:b/>
          <w:bCs/>
          <w:color w:val="000000"/>
          <w:lang w:val="sk-SK"/>
        </w:rPr>
        <w:t>6.4</w:t>
      </w:r>
      <w:r>
        <w:rPr>
          <w:rFonts w:ascii="Times New Roman" w:hAnsi="Times New Roman"/>
          <w:b/>
          <w:bCs/>
          <w:color w:val="000000"/>
          <w:lang w:val="sk-SK"/>
        </w:rPr>
        <w:tab/>
        <w:t>Špeciálne upozornenia na uchovávanie</w:t>
      </w:r>
    </w:p>
    <w:p w14:paraId="659FB5B1" w14:textId="77777777" w:rsidR="00582954" w:rsidRDefault="00582954">
      <w:pPr>
        <w:widowControl w:val="0"/>
        <w:autoSpaceDE w:val="0"/>
        <w:autoSpaceDN w:val="0"/>
        <w:adjustRightInd w:val="0"/>
        <w:spacing w:after="0" w:line="240" w:lineRule="auto"/>
        <w:rPr>
          <w:rFonts w:ascii="Times New Roman" w:hAnsi="Times New Roman"/>
          <w:b/>
          <w:bCs/>
          <w:color w:val="000000"/>
          <w:lang w:val="sk-SK"/>
        </w:rPr>
      </w:pPr>
    </w:p>
    <w:p w14:paraId="3B0A470E" w14:textId="77777777" w:rsidR="00582954" w:rsidRDefault="00645977">
      <w:pPr>
        <w:widowControl w:val="0"/>
        <w:autoSpaceDE w:val="0"/>
        <w:autoSpaceDN w:val="0"/>
        <w:adjustRightInd w:val="0"/>
        <w:spacing w:after="0" w:line="240" w:lineRule="auto"/>
        <w:rPr>
          <w:rFonts w:ascii="Times New Roman" w:hAnsi="Times New Roman"/>
          <w:color w:val="000000"/>
          <w:lang w:val="sk-SK"/>
        </w:rPr>
      </w:pPr>
      <w:r>
        <w:rPr>
          <w:rFonts w:ascii="Times New Roman" w:hAnsi="Times New Roman"/>
          <w:color w:val="000000"/>
          <w:lang w:val="sk-SK"/>
        </w:rPr>
        <w:t>Tento liek nevyžaduje žiadne zvláštne teplotné podmienky na uchovávanie.</w:t>
      </w:r>
    </w:p>
    <w:p w14:paraId="1454B250" w14:textId="77777777" w:rsidR="00582954" w:rsidRDefault="00645977">
      <w:pPr>
        <w:widowControl w:val="0"/>
        <w:autoSpaceDE w:val="0"/>
        <w:autoSpaceDN w:val="0"/>
        <w:adjustRightInd w:val="0"/>
        <w:spacing w:after="0" w:line="240" w:lineRule="auto"/>
        <w:rPr>
          <w:rFonts w:ascii="Times New Roman" w:hAnsi="Times New Roman"/>
          <w:color w:val="000000"/>
          <w:lang w:val="sk-SK"/>
        </w:rPr>
      </w:pPr>
      <w:r>
        <w:rPr>
          <w:rFonts w:ascii="Times New Roman" w:hAnsi="Times New Roman"/>
          <w:color w:val="000000"/>
          <w:lang w:val="sk-SK"/>
        </w:rPr>
        <w:t>Uchovávajte v pôvodnom obale na ochranu pred svetlom a vlhkosťou.</w:t>
      </w:r>
    </w:p>
    <w:p w14:paraId="104972D1" w14:textId="77777777" w:rsidR="00582954" w:rsidRDefault="00582954">
      <w:pPr>
        <w:widowControl w:val="0"/>
        <w:autoSpaceDE w:val="0"/>
        <w:autoSpaceDN w:val="0"/>
        <w:adjustRightInd w:val="0"/>
        <w:spacing w:after="0" w:line="240" w:lineRule="auto"/>
        <w:rPr>
          <w:rFonts w:ascii="Times New Roman" w:hAnsi="Times New Roman"/>
          <w:color w:val="000000"/>
          <w:lang w:val="sk-SK"/>
        </w:rPr>
      </w:pPr>
    </w:p>
    <w:p w14:paraId="6CC687E7" w14:textId="77777777" w:rsidR="00582954" w:rsidRDefault="00645977">
      <w:pPr>
        <w:widowControl w:val="0"/>
        <w:autoSpaceDE w:val="0"/>
        <w:autoSpaceDN w:val="0"/>
        <w:adjustRightInd w:val="0"/>
        <w:spacing w:after="0" w:line="240" w:lineRule="auto"/>
        <w:ind w:left="567" w:hanging="567"/>
        <w:rPr>
          <w:rFonts w:ascii="Times New Roman" w:hAnsi="Times New Roman"/>
          <w:b/>
          <w:bCs/>
          <w:color w:val="000000"/>
          <w:lang w:val="sk-SK"/>
        </w:rPr>
      </w:pPr>
      <w:r>
        <w:rPr>
          <w:rFonts w:ascii="Times New Roman" w:hAnsi="Times New Roman"/>
          <w:b/>
          <w:bCs/>
          <w:color w:val="000000"/>
          <w:lang w:val="sk-SK"/>
        </w:rPr>
        <w:t>6.5</w:t>
      </w:r>
      <w:r>
        <w:rPr>
          <w:rFonts w:ascii="Times New Roman" w:hAnsi="Times New Roman"/>
          <w:b/>
          <w:bCs/>
          <w:color w:val="000000"/>
          <w:lang w:val="sk-SK"/>
        </w:rPr>
        <w:tab/>
        <w:t>Druh obalu a obsah balenia</w:t>
      </w:r>
    </w:p>
    <w:p w14:paraId="175889CE" w14:textId="77777777" w:rsidR="00582954" w:rsidRDefault="00582954">
      <w:pPr>
        <w:widowControl w:val="0"/>
        <w:autoSpaceDE w:val="0"/>
        <w:autoSpaceDN w:val="0"/>
        <w:adjustRightInd w:val="0"/>
        <w:spacing w:after="0" w:line="240" w:lineRule="auto"/>
        <w:rPr>
          <w:rFonts w:ascii="Times New Roman" w:hAnsi="Times New Roman"/>
          <w:b/>
          <w:bCs/>
          <w:color w:val="000000"/>
          <w:lang w:val="sk-SK"/>
        </w:rPr>
      </w:pPr>
    </w:p>
    <w:p w14:paraId="3AAB5211"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Blistre (OPA/Alu/PVC fólia//Alu fólia): 14 x 1, 28 x 1, 30 x 1, 56 x 1, 60 x 1, 84 x 1, 90 x 1, 98 x 1 a 100 x 1 tableta v škatuľke.</w:t>
      </w:r>
    </w:p>
    <w:p w14:paraId="597832C9" w14:textId="77777777" w:rsidR="00582954" w:rsidRDefault="00582954">
      <w:pPr>
        <w:widowControl w:val="0"/>
        <w:autoSpaceDE w:val="0"/>
        <w:autoSpaceDN w:val="0"/>
        <w:adjustRightInd w:val="0"/>
        <w:spacing w:after="0" w:line="240" w:lineRule="auto"/>
        <w:rPr>
          <w:rFonts w:ascii="Times New Roman" w:hAnsi="Times New Roman"/>
          <w:color w:val="000000"/>
          <w:lang w:val="sk-SK"/>
        </w:rPr>
      </w:pPr>
    </w:p>
    <w:p w14:paraId="73413656" w14:textId="77777777" w:rsidR="00582954" w:rsidRDefault="00645977">
      <w:pPr>
        <w:widowControl w:val="0"/>
        <w:autoSpaceDE w:val="0"/>
        <w:autoSpaceDN w:val="0"/>
        <w:adjustRightInd w:val="0"/>
        <w:spacing w:after="0" w:line="240" w:lineRule="auto"/>
        <w:rPr>
          <w:rFonts w:ascii="Times New Roman" w:hAnsi="Times New Roman"/>
          <w:color w:val="000000"/>
          <w:lang w:val="sk-SK"/>
        </w:rPr>
      </w:pPr>
      <w:r>
        <w:rPr>
          <w:rFonts w:ascii="Times New Roman" w:hAnsi="Times New Roman"/>
          <w:color w:val="000000"/>
          <w:lang w:val="sk-SK"/>
        </w:rPr>
        <w:t>Na trh nemusia byť uvedené všetky veľkosti balenia.</w:t>
      </w:r>
    </w:p>
    <w:p w14:paraId="27CE81F9" w14:textId="77777777" w:rsidR="00582954" w:rsidRDefault="00582954">
      <w:pPr>
        <w:widowControl w:val="0"/>
        <w:autoSpaceDE w:val="0"/>
        <w:autoSpaceDN w:val="0"/>
        <w:adjustRightInd w:val="0"/>
        <w:spacing w:after="0" w:line="240" w:lineRule="auto"/>
        <w:rPr>
          <w:rFonts w:ascii="Times New Roman" w:hAnsi="Times New Roman"/>
          <w:color w:val="000000"/>
          <w:lang w:val="sk-SK"/>
        </w:rPr>
      </w:pPr>
    </w:p>
    <w:p w14:paraId="385CE355" w14:textId="77777777" w:rsidR="00582954" w:rsidRDefault="00645977">
      <w:pPr>
        <w:widowControl w:val="0"/>
        <w:autoSpaceDE w:val="0"/>
        <w:autoSpaceDN w:val="0"/>
        <w:adjustRightInd w:val="0"/>
        <w:spacing w:after="0" w:line="240" w:lineRule="auto"/>
        <w:ind w:left="567" w:hanging="567"/>
        <w:rPr>
          <w:rFonts w:ascii="Times New Roman" w:hAnsi="Times New Roman"/>
          <w:b/>
          <w:bCs/>
          <w:color w:val="000000"/>
          <w:lang w:val="sk-SK"/>
        </w:rPr>
      </w:pPr>
      <w:r>
        <w:rPr>
          <w:rFonts w:ascii="Times New Roman" w:hAnsi="Times New Roman"/>
          <w:b/>
          <w:bCs/>
          <w:color w:val="000000"/>
          <w:lang w:val="sk-SK"/>
        </w:rPr>
        <w:t>6.6</w:t>
      </w:r>
      <w:r>
        <w:rPr>
          <w:rFonts w:ascii="Times New Roman" w:hAnsi="Times New Roman"/>
          <w:b/>
          <w:bCs/>
          <w:color w:val="000000"/>
          <w:lang w:val="sk-SK"/>
        </w:rPr>
        <w:tab/>
        <w:t>Špeciálne opatrenia na likvidáciu a iné zaobchádzanie s liekom</w:t>
      </w:r>
    </w:p>
    <w:p w14:paraId="5E89FE5B" w14:textId="77777777" w:rsidR="00582954" w:rsidRDefault="00582954">
      <w:pPr>
        <w:widowControl w:val="0"/>
        <w:autoSpaceDE w:val="0"/>
        <w:autoSpaceDN w:val="0"/>
        <w:adjustRightInd w:val="0"/>
        <w:spacing w:after="0" w:line="240" w:lineRule="auto"/>
        <w:rPr>
          <w:rFonts w:ascii="Times New Roman" w:hAnsi="Times New Roman"/>
          <w:b/>
          <w:bCs/>
          <w:color w:val="000000"/>
          <w:lang w:val="sk-SK"/>
        </w:rPr>
      </w:pPr>
    </w:p>
    <w:p w14:paraId="6EEFD806" w14:textId="77777777" w:rsidR="00582954" w:rsidRDefault="00645977">
      <w:pPr>
        <w:spacing w:after="0" w:line="240" w:lineRule="auto"/>
        <w:rPr>
          <w:rFonts w:ascii="Times New Roman" w:hAnsi="Times New Roman"/>
          <w:lang w:val="sk-SK"/>
        </w:rPr>
      </w:pPr>
      <w:r>
        <w:rPr>
          <w:rFonts w:ascii="Times New Roman" w:hAnsi="Times New Roman"/>
          <w:lang w:val="sk-SK"/>
        </w:rPr>
        <w:t>Tolucombi sa má uchovávať v uzavretom blistri kvôli hygroskopickým vlastnostiam tabliet.</w:t>
      </w:r>
    </w:p>
    <w:p w14:paraId="023F5EC3" w14:textId="77777777" w:rsidR="00582954" w:rsidRDefault="00645977">
      <w:pPr>
        <w:spacing w:after="0" w:line="240" w:lineRule="auto"/>
        <w:rPr>
          <w:rFonts w:ascii="Times New Roman" w:hAnsi="Times New Roman"/>
          <w:lang w:val="sk-SK"/>
        </w:rPr>
      </w:pPr>
      <w:r>
        <w:rPr>
          <w:rFonts w:ascii="Times New Roman" w:hAnsi="Times New Roman"/>
          <w:lang w:val="sk-SK"/>
        </w:rPr>
        <w:t>Tablety sa majú vyberať z blistra krátko pred podaním.</w:t>
      </w:r>
    </w:p>
    <w:p w14:paraId="542306A0" w14:textId="77777777" w:rsidR="00582954" w:rsidRDefault="00582954">
      <w:pPr>
        <w:spacing w:after="0" w:line="240" w:lineRule="auto"/>
        <w:rPr>
          <w:rFonts w:ascii="Times New Roman" w:hAnsi="Times New Roman"/>
          <w:noProof/>
          <w:lang w:eastAsia="sk-SK"/>
        </w:rPr>
      </w:pPr>
    </w:p>
    <w:p w14:paraId="5EC21346" w14:textId="77777777" w:rsidR="00582954" w:rsidRDefault="00645977">
      <w:pPr>
        <w:spacing w:after="0" w:line="240" w:lineRule="auto"/>
        <w:rPr>
          <w:rFonts w:ascii="Times New Roman" w:hAnsi="Times New Roman"/>
          <w:lang w:val="sk-SK"/>
        </w:rPr>
      </w:pPr>
      <w:r>
        <w:rPr>
          <w:rFonts w:ascii="Times New Roman" w:hAnsi="Times New Roman"/>
          <w:noProof/>
          <w:lang w:eastAsia="sk-SK"/>
        </w:rPr>
        <w:t>Všetok nepoužitý liek alebo odpad vzniknutý z lieku sa má zlikvidovať v súlade s národnými požiadavkami.</w:t>
      </w:r>
    </w:p>
    <w:p w14:paraId="566A4B88" w14:textId="77777777" w:rsidR="00582954" w:rsidRDefault="00582954">
      <w:pPr>
        <w:widowControl w:val="0"/>
        <w:autoSpaceDE w:val="0"/>
        <w:autoSpaceDN w:val="0"/>
        <w:adjustRightInd w:val="0"/>
        <w:spacing w:after="0" w:line="240" w:lineRule="auto"/>
        <w:rPr>
          <w:rFonts w:ascii="Times New Roman" w:hAnsi="Times New Roman"/>
          <w:lang w:val="sk-SK"/>
        </w:rPr>
      </w:pPr>
    </w:p>
    <w:p w14:paraId="46E077D9" w14:textId="77777777" w:rsidR="00582954" w:rsidRDefault="00582954">
      <w:pPr>
        <w:widowControl w:val="0"/>
        <w:autoSpaceDE w:val="0"/>
        <w:autoSpaceDN w:val="0"/>
        <w:adjustRightInd w:val="0"/>
        <w:spacing w:after="0" w:line="240" w:lineRule="auto"/>
        <w:rPr>
          <w:rFonts w:ascii="Times New Roman" w:hAnsi="Times New Roman"/>
          <w:lang w:val="sk-SK"/>
        </w:rPr>
      </w:pPr>
    </w:p>
    <w:p w14:paraId="2C6298B3" w14:textId="77777777" w:rsidR="00582954" w:rsidRDefault="00645977">
      <w:pPr>
        <w:widowControl w:val="0"/>
        <w:tabs>
          <w:tab w:val="left" w:pos="567"/>
        </w:tabs>
        <w:autoSpaceDE w:val="0"/>
        <w:autoSpaceDN w:val="0"/>
        <w:adjustRightInd w:val="0"/>
        <w:spacing w:after="0" w:line="240" w:lineRule="auto"/>
        <w:rPr>
          <w:rFonts w:ascii="Times New Roman" w:hAnsi="Times New Roman"/>
          <w:b/>
          <w:bCs/>
          <w:color w:val="000000"/>
          <w:lang w:val="sk-SK"/>
        </w:rPr>
      </w:pPr>
      <w:r>
        <w:rPr>
          <w:rFonts w:ascii="Times New Roman" w:hAnsi="Times New Roman"/>
          <w:b/>
          <w:bCs/>
          <w:color w:val="000000"/>
          <w:lang w:val="sk-SK"/>
        </w:rPr>
        <w:t>7.</w:t>
      </w:r>
      <w:r>
        <w:rPr>
          <w:rFonts w:ascii="Times New Roman" w:hAnsi="Times New Roman"/>
          <w:b/>
          <w:bCs/>
          <w:color w:val="000000"/>
          <w:lang w:val="sk-SK"/>
        </w:rPr>
        <w:tab/>
        <w:t>DRŽITEĽ ROZHODNUTIA O REGISTRÁCII</w:t>
      </w:r>
    </w:p>
    <w:p w14:paraId="5D88CED6" w14:textId="77777777" w:rsidR="00582954" w:rsidRDefault="00582954">
      <w:pPr>
        <w:widowControl w:val="0"/>
        <w:autoSpaceDE w:val="0"/>
        <w:autoSpaceDN w:val="0"/>
        <w:adjustRightInd w:val="0"/>
        <w:spacing w:after="0" w:line="240" w:lineRule="auto"/>
        <w:rPr>
          <w:rFonts w:ascii="Times New Roman" w:hAnsi="Times New Roman"/>
          <w:b/>
          <w:bCs/>
          <w:color w:val="000000"/>
          <w:lang w:val="sk-SK"/>
        </w:rPr>
      </w:pPr>
    </w:p>
    <w:p w14:paraId="6473D057"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KRKA, d.d., Novo mesto, Šmarješka cesta 6, 8501 Novo mesto, Slovinsko</w:t>
      </w:r>
    </w:p>
    <w:p w14:paraId="4A0C8953" w14:textId="77777777" w:rsidR="00582954" w:rsidRDefault="00582954">
      <w:pPr>
        <w:widowControl w:val="0"/>
        <w:spacing w:after="0" w:line="240" w:lineRule="auto"/>
        <w:rPr>
          <w:rFonts w:ascii="Times New Roman" w:hAnsi="Times New Roman"/>
          <w:lang w:val="sk-SK"/>
        </w:rPr>
      </w:pPr>
    </w:p>
    <w:p w14:paraId="5DFD0852" w14:textId="77777777" w:rsidR="00582954" w:rsidRDefault="00582954">
      <w:pPr>
        <w:widowControl w:val="0"/>
        <w:spacing w:after="0" w:line="240" w:lineRule="auto"/>
        <w:rPr>
          <w:rFonts w:ascii="Times New Roman" w:hAnsi="Times New Roman"/>
          <w:lang w:val="sk-SK"/>
        </w:rPr>
      </w:pPr>
    </w:p>
    <w:p w14:paraId="4F352374" w14:textId="77777777" w:rsidR="00582954" w:rsidRDefault="00645977">
      <w:pPr>
        <w:widowControl w:val="0"/>
        <w:tabs>
          <w:tab w:val="left" w:pos="567"/>
        </w:tabs>
        <w:spacing w:after="0" w:line="240" w:lineRule="auto"/>
        <w:rPr>
          <w:rFonts w:ascii="Times New Roman" w:hAnsi="Times New Roman"/>
          <w:b/>
          <w:lang w:val="sk-SK"/>
        </w:rPr>
      </w:pPr>
      <w:r>
        <w:rPr>
          <w:rFonts w:ascii="Times New Roman" w:hAnsi="Times New Roman"/>
          <w:b/>
          <w:lang w:val="sk-SK"/>
        </w:rPr>
        <w:t>8.</w:t>
      </w:r>
      <w:r>
        <w:rPr>
          <w:rFonts w:ascii="Times New Roman" w:hAnsi="Times New Roman"/>
          <w:b/>
          <w:lang w:val="sk-SK"/>
        </w:rPr>
        <w:tab/>
        <w:t>REGISTRAČNÉ ČÍSLO</w:t>
      </w:r>
    </w:p>
    <w:p w14:paraId="449E0809" w14:textId="77777777" w:rsidR="00582954" w:rsidRDefault="00582954">
      <w:pPr>
        <w:widowControl w:val="0"/>
        <w:spacing w:after="0" w:line="240" w:lineRule="auto"/>
        <w:rPr>
          <w:rFonts w:ascii="Times New Roman" w:hAnsi="Times New Roman"/>
          <w:b/>
          <w:lang w:val="sk-SK"/>
        </w:rPr>
      </w:pPr>
    </w:p>
    <w:p w14:paraId="7DA71483"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EU/1/13/821/023</w:t>
      </w:r>
    </w:p>
    <w:p w14:paraId="0DCADE3A"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EU/1/13/821/024</w:t>
      </w:r>
    </w:p>
    <w:p w14:paraId="3ABC1BA1"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EU/1/13/821/025</w:t>
      </w:r>
    </w:p>
    <w:p w14:paraId="5D7CD10B"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EU/1/13/821/026</w:t>
      </w:r>
    </w:p>
    <w:p w14:paraId="186C7FDF"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EU/1/13/821/027</w:t>
      </w:r>
    </w:p>
    <w:p w14:paraId="15723E91"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EU/1/13/821/028</w:t>
      </w:r>
    </w:p>
    <w:p w14:paraId="5AD70F20"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EU/1/13/821/029</w:t>
      </w:r>
    </w:p>
    <w:p w14:paraId="076C1F49"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lastRenderedPageBreak/>
        <w:t>EU/1/13/821/030</w:t>
      </w:r>
    </w:p>
    <w:p w14:paraId="59F8F322"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EU/1/13/821/033</w:t>
      </w:r>
    </w:p>
    <w:p w14:paraId="3E94415C" w14:textId="77777777" w:rsidR="00582954" w:rsidRDefault="00582954">
      <w:pPr>
        <w:widowControl w:val="0"/>
        <w:spacing w:after="0" w:line="240" w:lineRule="auto"/>
        <w:rPr>
          <w:rFonts w:ascii="Times New Roman" w:hAnsi="Times New Roman"/>
          <w:noProof/>
          <w:lang w:val="sk-SK"/>
        </w:rPr>
      </w:pPr>
    </w:p>
    <w:p w14:paraId="589C3060" w14:textId="77777777" w:rsidR="00582954" w:rsidRDefault="00582954">
      <w:pPr>
        <w:widowControl w:val="0"/>
        <w:spacing w:after="0" w:line="240" w:lineRule="auto"/>
        <w:rPr>
          <w:rFonts w:ascii="Times New Roman" w:hAnsi="Times New Roman"/>
          <w:b/>
          <w:lang w:val="sk-SK"/>
        </w:rPr>
      </w:pPr>
    </w:p>
    <w:p w14:paraId="7AF8B76D" w14:textId="77777777" w:rsidR="00582954" w:rsidRDefault="00645977">
      <w:pPr>
        <w:widowControl w:val="0"/>
        <w:tabs>
          <w:tab w:val="left" w:pos="567"/>
        </w:tabs>
        <w:spacing w:after="0" w:line="240" w:lineRule="auto"/>
        <w:rPr>
          <w:rFonts w:ascii="Times New Roman" w:hAnsi="Times New Roman"/>
          <w:b/>
          <w:lang w:val="sk-SK"/>
        </w:rPr>
      </w:pPr>
      <w:r>
        <w:rPr>
          <w:rFonts w:ascii="Times New Roman" w:hAnsi="Times New Roman"/>
          <w:b/>
          <w:lang w:val="sk-SK"/>
        </w:rPr>
        <w:t>9.</w:t>
      </w:r>
      <w:r>
        <w:rPr>
          <w:rFonts w:ascii="Times New Roman" w:hAnsi="Times New Roman"/>
          <w:b/>
          <w:lang w:val="sk-SK"/>
        </w:rPr>
        <w:tab/>
        <w:t>DÁTUM PRVEJ REGISTRÁCIE/PREDĹŽENIA REGISTRÁCIE</w:t>
      </w:r>
    </w:p>
    <w:p w14:paraId="32A1C7A9" w14:textId="77777777" w:rsidR="00582954" w:rsidRDefault="00582954">
      <w:pPr>
        <w:widowControl w:val="0"/>
        <w:spacing w:after="0" w:line="240" w:lineRule="auto"/>
        <w:rPr>
          <w:rFonts w:ascii="Times New Roman" w:hAnsi="Times New Roman"/>
          <w:b/>
          <w:lang w:val="sk-SK"/>
        </w:rPr>
      </w:pPr>
    </w:p>
    <w:p w14:paraId="03756A00" w14:textId="77777777" w:rsidR="00582954" w:rsidRDefault="00645977">
      <w:pPr>
        <w:widowControl w:val="0"/>
        <w:spacing w:after="0" w:line="240" w:lineRule="auto"/>
        <w:rPr>
          <w:rFonts w:ascii="Times New Roman" w:hAnsi="Times New Roman"/>
          <w:lang w:val="sk-SK"/>
        </w:rPr>
      </w:pPr>
      <w:r>
        <w:rPr>
          <w:rFonts w:ascii="Times New Roman" w:hAnsi="Times New Roman"/>
          <w:noProof/>
          <w:lang w:val="sk-SK"/>
        </w:rPr>
        <w:t>Dátum prvej registrácie:</w:t>
      </w:r>
      <w:r>
        <w:rPr>
          <w:rFonts w:ascii="Times New Roman" w:hAnsi="Times New Roman"/>
          <w:lang w:val="sk-SK"/>
        </w:rPr>
        <w:t xml:space="preserve"> 13. marec 2013</w:t>
      </w:r>
    </w:p>
    <w:p w14:paraId="4A70400A"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Dátum posledného predĺženia registrácie: 8. január 2018</w:t>
      </w:r>
    </w:p>
    <w:p w14:paraId="4F55A8C2" w14:textId="77777777" w:rsidR="00582954" w:rsidRDefault="00582954">
      <w:pPr>
        <w:widowControl w:val="0"/>
        <w:spacing w:after="0" w:line="240" w:lineRule="auto"/>
        <w:rPr>
          <w:rFonts w:ascii="Times New Roman" w:hAnsi="Times New Roman"/>
          <w:b/>
          <w:lang w:val="sk-SK"/>
        </w:rPr>
      </w:pPr>
    </w:p>
    <w:p w14:paraId="2437EE40" w14:textId="77777777" w:rsidR="00582954" w:rsidRDefault="00582954">
      <w:pPr>
        <w:widowControl w:val="0"/>
        <w:spacing w:after="0" w:line="240" w:lineRule="auto"/>
        <w:rPr>
          <w:rFonts w:ascii="Times New Roman" w:hAnsi="Times New Roman"/>
          <w:b/>
          <w:lang w:val="sk-SK"/>
        </w:rPr>
      </w:pPr>
    </w:p>
    <w:p w14:paraId="10BBC394" w14:textId="77777777" w:rsidR="00582954" w:rsidRDefault="00645977">
      <w:pPr>
        <w:widowControl w:val="0"/>
        <w:tabs>
          <w:tab w:val="left" w:pos="567"/>
        </w:tabs>
        <w:spacing w:after="0" w:line="240" w:lineRule="auto"/>
        <w:rPr>
          <w:rFonts w:ascii="Times New Roman" w:hAnsi="Times New Roman"/>
          <w:b/>
          <w:lang w:val="sk-SK"/>
        </w:rPr>
      </w:pPr>
      <w:r>
        <w:rPr>
          <w:rFonts w:ascii="Times New Roman" w:hAnsi="Times New Roman"/>
          <w:b/>
          <w:lang w:val="sk-SK"/>
        </w:rPr>
        <w:t>10.</w:t>
      </w:r>
      <w:r>
        <w:rPr>
          <w:rFonts w:ascii="Times New Roman" w:hAnsi="Times New Roman"/>
          <w:b/>
          <w:lang w:val="sk-SK"/>
        </w:rPr>
        <w:tab/>
        <w:t>DÁTUM REVÍZIE TEXTU</w:t>
      </w:r>
    </w:p>
    <w:p w14:paraId="0E4AAC55" w14:textId="77777777" w:rsidR="00582954" w:rsidRDefault="00582954">
      <w:pPr>
        <w:widowControl w:val="0"/>
        <w:spacing w:after="0" w:line="240" w:lineRule="auto"/>
        <w:rPr>
          <w:rFonts w:ascii="Times New Roman" w:hAnsi="Times New Roman"/>
          <w:b/>
          <w:lang w:val="sk-SK"/>
        </w:rPr>
      </w:pPr>
    </w:p>
    <w:p w14:paraId="61C1E8C2" w14:textId="55C915AB" w:rsidR="00582954" w:rsidRDefault="00FA378D">
      <w:pPr>
        <w:widowControl w:val="0"/>
        <w:spacing w:after="0" w:line="240" w:lineRule="auto"/>
        <w:rPr>
          <w:rFonts w:ascii="Times New Roman" w:hAnsi="Times New Roman"/>
          <w:lang w:val="sk-SK"/>
        </w:rPr>
      </w:pPr>
      <w:r>
        <w:rPr>
          <w:rFonts w:ascii="Times New Roman" w:hAnsi="Times New Roman"/>
          <w:lang w:val="sk-SK"/>
        </w:rPr>
        <w:t>07/2025</w:t>
      </w:r>
    </w:p>
    <w:p w14:paraId="670B36F0" w14:textId="77777777" w:rsidR="00582954" w:rsidRDefault="00582954">
      <w:pPr>
        <w:widowControl w:val="0"/>
        <w:spacing w:after="0" w:line="240" w:lineRule="auto"/>
        <w:rPr>
          <w:rFonts w:ascii="Times New Roman" w:hAnsi="Times New Roman"/>
          <w:lang w:val="sk-SK"/>
        </w:rPr>
      </w:pPr>
    </w:p>
    <w:p w14:paraId="34477492"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 xml:space="preserve">Podrobné informácie o tomto lieku sú dostupné na internetovej stránke Európskej agentúry pre lieky </w:t>
      </w:r>
      <w:hyperlink r:id="rId12" w:history="1">
        <w:r>
          <w:rPr>
            <w:rStyle w:val="Hypertextovprepojenie"/>
            <w:rFonts w:ascii="Times New Roman" w:hAnsi="Times New Roman"/>
            <w:lang w:val="sk-SK"/>
          </w:rPr>
          <w:t>https://www.ema.europa.eu</w:t>
        </w:r>
      </w:hyperlink>
      <w:r>
        <w:rPr>
          <w:rFonts w:ascii="Times New Roman" w:hAnsi="Times New Roman"/>
          <w:lang w:val="sk-SK"/>
        </w:rPr>
        <w:t>.</w:t>
      </w:r>
    </w:p>
    <w:p w14:paraId="344FE7A5"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br w:type="page"/>
      </w:r>
    </w:p>
    <w:p w14:paraId="78768047" w14:textId="77777777" w:rsidR="00582954" w:rsidRDefault="00582954">
      <w:pPr>
        <w:widowControl w:val="0"/>
        <w:autoSpaceDE w:val="0"/>
        <w:autoSpaceDN w:val="0"/>
        <w:adjustRightInd w:val="0"/>
        <w:spacing w:after="0" w:line="240" w:lineRule="auto"/>
        <w:rPr>
          <w:rFonts w:ascii="Times New Roman" w:hAnsi="Times New Roman"/>
          <w:lang w:val="sk-SK"/>
        </w:rPr>
      </w:pPr>
    </w:p>
    <w:p w14:paraId="75240DBD" w14:textId="77777777" w:rsidR="00582954" w:rsidRDefault="00582954">
      <w:pPr>
        <w:widowControl w:val="0"/>
        <w:autoSpaceDE w:val="0"/>
        <w:autoSpaceDN w:val="0"/>
        <w:adjustRightInd w:val="0"/>
        <w:spacing w:after="0" w:line="240" w:lineRule="auto"/>
        <w:rPr>
          <w:rFonts w:ascii="Times New Roman" w:hAnsi="Times New Roman"/>
          <w:lang w:val="sk-SK"/>
        </w:rPr>
      </w:pPr>
    </w:p>
    <w:p w14:paraId="033005DF" w14:textId="77777777" w:rsidR="00582954" w:rsidRDefault="00582954">
      <w:pPr>
        <w:widowControl w:val="0"/>
        <w:autoSpaceDE w:val="0"/>
        <w:autoSpaceDN w:val="0"/>
        <w:adjustRightInd w:val="0"/>
        <w:spacing w:after="0" w:line="240" w:lineRule="auto"/>
        <w:rPr>
          <w:rFonts w:ascii="Times New Roman" w:hAnsi="Times New Roman"/>
          <w:lang w:val="sk-SK"/>
        </w:rPr>
      </w:pPr>
    </w:p>
    <w:p w14:paraId="645DF960" w14:textId="77777777" w:rsidR="00582954" w:rsidRDefault="00582954">
      <w:pPr>
        <w:widowControl w:val="0"/>
        <w:autoSpaceDE w:val="0"/>
        <w:autoSpaceDN w:val="0"/>
        <w:adjustRightInd w:val="0"/>
        <w:spacing w:after="0" w:line="240" w:lineRule="auto"/>
        <w:rPr>
          <w:rFonts w:ascii="Times New Roman" w:hAnsi="Times New Roman"/>
          <w:lang w:val="sk-SK"/>
        </w:rPr>
      </w:pPr>
    </w:p>
    <w:p w14:paraId="0434CF04" w14:textId="77777777" w:rsidR="00582954" w:rsidRDefault="00582954">
      <w:pPr>
        <w:widowControl w:val="0"/>
        <w:autoSpaceDE w:val="0"/>
        <w:autoSpaceDN w:val="0"/>
        <w:adjustRightInd w:val="0"/>
        <w:spacing w:after="0" w:line="240" w:lineRule="auto"/>
        <w:rPr>
          <w:rFonts w:ascii="Times New Roman" w:hAnsi="Times New Roman"/>
          <w:lang w:val="sk-SK"/>
        </w:rPr>
      </w:pPr>
    </w:p>
    <w:p w14:paraId="78F68F96" w14:textId="77777777" w:rsidR="00582954" w:rsidRDefault="00582954">
      <w:pPr>
        <w:widowControl w:val="0"/>
        <w:autoSpaceDE w:val="0"/>
        <w:autoSpaceDN w:val="0"/>
        <w:adjustRightInd w:val="0"/>
        <w:spacing w:after="0" w:line="240" w:lineRule="auto"/>
        <w:rPr>
          <w:rFonts w:ascii="Times New Roman" w:hAnsi="Times New Roman"/>
          <w:lang w:val="sk-SK"/>
        </w:rPr>
      </w:pPr>
    </w:p>
    <w:p w14:paraId="25EF641B" w14:textId="77777777" w:rsidR="00582954" w:rsidRDefault="00582954">
      <w:pPr>
        <w:widowControl w:val="0"/>
        <w:autoSpaceDE w:val="0"/>
        <w:autoSpaceDN w:val="0"/>
        <w:adjustRightInd w:val="0"/>
        <w:spacing w:after="0" w:line="240" w:lineRule="auto"/>
        <w:rPr>
          <w:rFonts w:ascii="Times New Roman" w:hAnsi="Times New Roman"/>
          <w:lang w:val="sk-SK"/>
        </w:rPr>
      </w:pPr>
    </w:p>
    <w:p w14:paraId="6BE027F6" w14:textId="77777777" w:rsidR="00582954" w:rsidRDefault="00582954">
      <w:pPr>
        <w:widowControl w:val="0"/>
        <w:autoSpaceDE w:val="0"/>
        <w:autoSpaceDN w:val="0"/>
        <w:adjustRightInd w:val="0"/>
        <w:spacing w:after="0" w:line="240" w:lineRule="auto"/>
        <w:rPr>
          <w:rFonts w:ascii="Times New Roman" w:hAnsi="Times New Roman"/>
          <w:lang w:val="sk-SK"/>
        </w:rPr>
      </w:pPr>
    </w:p>
    <w:p w14:paraId="116A0580" w14:textId="77777777" w:rsidR="00582954" w:rsidRDefault="00582954">
      <w:pPr>
        <w:widowControl w:val="0"/>
        <w:autoSpaceDE w:val="0"/>
        <w:autoSpaceDN w:val="0"/>
        <w:adjustRightInd w:val="0"/>
        <w:spacing w:after="0" w:line="240" w:lineRule="auto"/>
        <w:rPr>
          <w:rFonts w:ascii="Times New Roman" w:hAnsi="Times New Roman"/>
          <w:lang w:val="sk-SK"/>
        </w:rPr>
      </w:pPr>
    </w:p>
    <w:p w14:paraId="2B61C02A" w14:textId="77777777" w:rsidR="00582954" w:rsidRDefault="00582954">
      <w:pPr>
        <w:widowControl w:val="0"/>
        <w:autoSpaceDE w:val="0"/>
        <w:autoSpaceDN w:val="0"/>
        <w:adjustRightInd w:val="0"/>
        <w:spacing w:after="0" w:line="240" w:lineRule="auto"/>
        <w:rPr>
          <w:rFonts w:ascii="Times New Roman" w:hAnsi="Times New Roman"/>
          <w:lang w:val="sk-SK"/>
        </w:rPr>
      </w:pPr>
    </w:p>
    <w:p w14:paraId="6015DBBB" w14:textId="77777777" w:rsidR="00582954" w:rsidRDefault="00582954">
      <w:pPr>
        <w:widowControl w:val="0"/>
        <w:autoSpaceDE w:val="0"/>
        <w:autoSpaceDN w:val="0"/>
        <w:adjustRightInd w:val="0"/>
        <w:spacing w:after="0" w:line="240" w:lineRule="auto"/>
        <w:rPr>
          <w:rFonts w:ascii="Times New Roman" w:hAnsi="Times New Roman"/>
          <w:lang w:val="sk-SK"/>
        </w:rPr>
      </w:pPr>
    </w:p>
    <w:p w14:paraId="419B71EB" w14:textId="77777777" w:rsidR="00582954" w:rsidRDefault="00582954">
      <w:pPr>
        <w:widowControl w:val="0"/>
        <w:autoSpaceDE w:val="0"/>
        <w:autoSpaceDN w:val="0"/>
        <w:adjustRightInd w:val="0"/>
        <w:spacing w:after="0" w:line="240" w:lineRule="auto"/>
        <w:rPr>
          <w:rFonts w:ascii="Times New Roman" w:hAnsi="Times New Roman"/>
          <w:lang w:val="sk-SK"/>
        </w:rPr>
      </w:pPr>
    </w:p>
    <w:p w14:paraId="036E2E2D" w14:textId="77777777" w:rsidR="00582954" w:rsidRDefault="00582954">
      <w:pPr>
        <w:widowControl w:val="0"/>
        <w:autoSpaceDE w:val="0"/>
        <w:autoSpaceDN w:val="0"/>
        <w:adjustRightInd w:val="0"/>
        <w:spacing w:after="0" w:line="240" w:lineRule="auto"/>
        <w:rPr>
          <w:rFonts w:ascii="Times New Roman" w:hAnsi="Times New Roman"/>
          <w:lang w:val="sk-SK"/>
        </w:rPr>
      </w:pPr>
    </w:p>
    <w:p w14:paraId="34EE13BE" w14:textId="77777777" w:rsidR="00582954" w:rsidRDefault="00582954">
      <w:pPr>
        <w:widowControl w:val="0"/>
        <w:autoSpaceDE w:val="0"/>
        <w:autoSpaceDN w:val="0"/>
        <w:adjustRightInd w:val="0"/>
        <w:spacing w:after="0" w:line="240" w:lineRule="auto"/>
        <w:rPr>
          <w:rFonts w:ascii="Times New Roman" w:hAnsi="Times New Roman"/>
          <w:lang w:val="sk-SK"/>
        </w:rPr>
      </w:pPr>
    </w:p>
    <w:p w14:paraId="2C783DFC" w14:textId="77777777" w:rsidR="00582954" w:rsidRDefault="00582954">
      <w:pPr>
        <w:widowControl w:val="0"/>
        <w:autoSpaceDE w:val="0"/>
        <w:autoSpaceDN w:val="0"/>
        <w:adjustRightInd w:val="0"/>
        <w:spacing w:after="0" w:line="240" w:lineRule="auto"/>
        <w:rPr>
          <w:rFonts w:ascii="Times New Roman" w:hAnsi="Times New Roman"/>
          <w:lang w:val="sk-SK"/>
        </w:rPr>
      </w:pPr>
    </w:p>
    <w:p w14:paraId="1BEEBDD9" w14:textId="77777777" w:rsidR="00582954" w:rsidRDefault="00582954">
      <w:pPr>
        <w:widowControl w:val="0"/>
        <w:autoSpaceDE w:val="0"/>
        <w:autoSpaceDN w:val="0"/>
        <w:adjustRightInd w:val="0"/>
        <w:spacing w:after="0" w:line="240" w:lineRule="auto"/>
        <w:rPr>
          <w:rFonts w:ascii="Times New Roman" w:hAnsi="Times New Roman"/>
          <w:lang w:val="sk-SK"/>
        </w:rPr>
      </w:pPr>
    </w:p>
    <w:p w14:paraId="30F5E462" w14:textId="77777777" w:rsidR="00582954" w:rsidRDefault="00582954">
      <w:pPr>
        <w:widowControl w:val="0"/>
        <w:autoSpaceDE w:val="0"/>
        <w:autoSpaceDN w:val="0"/>
        <w:adjustRightInd w:val="0"/>
        <w:spacing w:after="0" w:line="240" w:lineRule="auto"/>
        <w:rPr>
          <w:rFonts w:ascii="Times New Roman" w:hAnsi="Times New Roman"/>
          <w:lang w:val="sk-SK"/>
        </w:rPr>
      </w:pPr>
    </w:p>
    <w:p w14:paraId="64474011" w14:textId="77777777" w:rsidR="00582954" w:rsidRDefault="00582954">
      <w:pPr>
        <w:widowControl w:val="0"/>
        <w:autoSpaceDE w:val="0"/>
        <w:autoSpaceDN w:val="0"/>
        <w:adjustRightInd w:val="0"/>
        <w:spacing w:after="0" w:line="240" w:lineRule="auto"/>
        <w:rPr>
          <w:rFonts w:ascii="Times New Roman" w:hAnsi="Times New Roman"/>
          <w:lang w:val="sk-SK"/>
        </w:rPr>
      </w:pPr>
    </w:p>
    <w:p w14:paraId="1C71BC6C" w14:textId="77777777" w:rsidR="00582954" w:rsidRDefault="00582954">
      <w:pPr>
        <w:widowControl w:val="0"/>
        <w:autoSpaceDE w:val="0"/>
        <w:autoSpaceDN w:val="0"/>
        <w:adjustRightInd w:val="0"/>
        <w:spacing w:after="0" w:line="240" w:lineRule="auto"/>
        <w:rPr>
          <w:rFonts w:ascii="Times New Roman" w:hAnsi="Times New Roman"/>
          <w:lang w:val="sk-SK"/>
        </w:rPr>
      </w:pPr>
    </w:p>
    <w:p w14:paraId="52563275" w14:textId="77777777" w:rsidR="00582954" w:rsidRDefault="00582954">
      <w:pPr>
        <w:widowControl w:val="0"/>
        <w:autoSpaceDE w:val="0"/>
        <w:autoSpaceDN w:val="0"/>
        <w:adjustRightInd w:val="0"/>
        <w:spacing w:after="0" w:line="240" w:lineRule="auto"/>
        <w:rPr>
          <w:rFonts w:ascii="Times New Roman" w:hAnsi="Times New Roman"/>
          <w:lang w:val="sk-SK"/>
        </w:rPr>
      </w:pPr>
    </w:p>
    <w:p w14:paraId="4FDA8752" w14:textId="77777777" w:rsidR="00582954" w:rsidRDefault="00582954">
      <w:pPr>
        <w:widowControl w:val="0"/>
        <w:autoSpaceDE w:val="0"/>
        <w:autoSpaceDN w:val="0"/>
        <w:adjustRightInd w:val="0"/>
        <w:spacing w:after="0" w:line="240" w:lineRule="auto"/>
        <w:rPr>
          <w:rFonts w:ascii="Times New Roman" w:hAnsi="Times New Roman"/>
          <w:lang w:val="sk-SK"/>
        </w:rPr>
      </w:pPr>
    </w:p>
    <w:p w14:paraId="0D86464F" w14:textId="77777777" w:rsidR="00582954" w:rsidRDefault="00582954">
      <w:pPr>
        <w:widowControl w:val="0"/>
        <w:autoSpaceDE w:val="0"/>
        <w:autoSpaceDN w:val="0"/>
        <w:adjustRightInd w:val="0"/>
        <w:spacing w:after="0" w:line="240" w:lineRule="auto"/>
        <w:rPr>
          <w:rFonts w:ascii="Times New Roman" w:hAnsi="Times New Roman"/>
          <w:lang w:val="sk-SK"/>
        </w:rPr>
      </w:pPr>
    </w:p>
    <w:p w14:paraId="7343FF4A" w14:textId="77777777" w:rsidR="00582954" w:rsidRDefault="00645977">
      <w:pPr>
        <w:widowControl w:val="0"/>
        <w:tabs>
          <w:tab w:val="left" w:pos="567"/>
        </w:tabs>
        <w:spacing w:after="0" w:line="260" w:lineRule="exact"/>
        <w:jc w:val="center"/>
        <w:rPr>
          <w:rFonts w:ascii="Times New Roman" w:eastAsia="Times New Roman" w:hAnsi="Times New Roman"/>
          <w:noProof/>
          <w:snapToGrid w:val="0"/>
          <w:szCs w:val="24"/>
          <w:lang w:val="sk-SK"/>
        </w:rPr>
      </w:pPr>
      <w:r>
        <w:rPr>
          <w:rFonts w:ascii="Times New Roman" w:eastAsia="Times New Roman" w:hAnsi="Times New Roman"/>
          <w:b/>
          <w:snapToGrid w:val="0"/>
          <w:szCs w:val="24"/>
          <w:lang w:val="sk-SK"/>
        </w:rPr>
        <w:t>PRÍLOHA II</w:t>
      </w:r>
    </w:p>
    <w:p w14:paraId="12A5BBBD" w14:textId="77777777" w:rsidR="00582954" w:rsidRDefault="00582954">
      <w:pPr>
        <w:widowControl w:val="0"/>
        <w:tabs>
          <w:tab w:val="left" w:pos="567"/>
        </w:tabs>
        <w:spacing w:after="0" w:line="260" w:lineRule="exact"/>
        <w:ind w:left="1701" w:right="1416" w:hanging="567"/>
        <w:rPr>
          <w:rFonts w:ascii="Times New Roman" w:eastAsia="Times New Roman" w:hAnsi="Times New Roman"/>
          <w:noProof/>
          <w:snapToGrid w:val="0"/>
          <w:szCs w:val="24"/>
          <w:lang w:val="sk-SK"/>
        </w:rPr>
      </w:pPr>
    </w:p>
    <w:p w14:paraId="7B1FECE4" w14:textId="77777777" w:rsidR="00582954" w:rsidRDefault="00645977">
      <w:pPr>
        <w:widowControl w:val="0"/>
        <w:tabs>
          <w:tab w:val="left" w:pos="567"/>
        </w:tabs>
        <w:spacing w:after="0" w:line="260" w:lineRule="exact"/>
        <w:ind w:left="1701" w:right="1416" w:hanging="708"/>
        <w:rPr>
          <w:rFonts w:ascii="Times New Roman" w:eastAsia="Times New Roman" w:hAnsi="Times New Roman"/>
          <w:noProof/>
          <w:snapToGrid w:val="0"/>
          <w:szCs w:val="24"/>
          <w:lang w:val="sk-SK"/>
        </w:rPr>
      </w:pPr>
      <w:r>
        <w:rPr>
          <w:rFonts w:ascii="Times New Roman" w:eastAsia="Times New Roman" w:hAnsi="Times New Roman"/>
          <w:b/>
          <w:snapToGrid w:val="0"/>
          <w:szCs w:val="24"/>
          <w:lang w:val="sk-SK"/>
        </w:rPr>
        <w:t>A.</w:t>
      </w:r>
      <w:r>
        <w:rPr>
          <w:rFonts w:ascii="Times New Roman" w:eastAsia="Times New Roman" w:hAnsi="Times New Roman"/>
          <w:b/>
          <w:noProof/>
          <w:snapToGrid w:val="0"/>
          <w:szCs w:val="24"/>
          <w:lang w:val="sk-SK"/>
        </w:rPr>
        <w:tab/>
      </w:r>
      <w:r>
        <w:rPr>
          <w:rFonts w:ascii="Times New Roman" w:eastAsia="Times New Roman" w:hAnsi="Times New Roman"/>
          <w:b/>
          <w:snapToGrid w:val="0"/>
          <w:szCs w:val="24"/>
          <w:lang w:val="sk-SK"/>
        </w:rPr>
        <w:t>VÝROBCOVIA ZODPOVEDNÍ ZA UVOĽNENIE ŠARŽE</w:t>
      </w:r>
    </w:p>
    <w:p w14:paraId="12CFDF9E" w14:textId="77777777" w:rsidR="00582954" w:rsidRDefault="00582954">
      <w:pPr>
        <w:widowControl w:val="0"/>
        <w:tabs>
          <w:tab w:val="left" w:pos="567"/>
        </w:tabs>
        <w:spacing w:after="0" w:line="260" w:lineRule="exact"/>
        <w:ind w:left="567" w:hanging="567"/>
        <w:rPr>
          <w:rFonts w:ascii="Times New Roman" w:eastAsia="Times New Roman" w:hAnsi="Times New Roman"/>
          <w:noProof/>
          <w:snapToGrid w:val="0"/>
          <w:szCs w:val="24"/>
          <w:lang w:val="sk-SK"/>
        </w:rPr>
      </w:pPr>
    </w:p>
    <w:p w14:paraId="4BC25C62" w14:textId="77777777" w:rsidR="00582954" w:rsidRDefault="00645977">
      <w:pPr>
        <w:widowControl w:val="0"/>
        <w:tabs>
          <w:tab w:val="left" w:pos="567"/>
        </w:tabs>
        <w:spacing w:after="0" w:line="260" w:lineRule="exact"/>
        <w:ind w:left="1701" w:right="1418" w:hanging="709"/>
        <w:rPr>
          <w:rFonts w:ascii="Times New Roman" w:eastAsia="Times New Roman" w:hAnsi="Times New Roman"/>
          <w:noProof/>
          <w:snapToGrid w:val="0"/>
          <w:szCs w:val="24"/>
          <w:lang w:val="sk-SK"/>
        </w:rPr>
      </w:pPr>
      <w:r>
        <w:rPr>
          <w:rFonts w:ascii="Times New Roman" w:eastAsia="Times New Roman" w:hAnsi="Times New Roman"/>
          <w:b/>
          <w:snapToGrid w:val="0"/>
          <w:szCs w:val="24"/>
          <w:lang w:val="sk-SK"/>
        </w:rPr>
        <w:t>B.</w:t>
      </w:r>
      <w:r>
        <w:rPr>
          <w:rFonts w:ascii="Times New Roman" w:eastAsia="Times New Roman" w:hAnsi="Times New Roman"/>
          <w:b/>
          <w:noProof/>
          <w:snapToGrid w:val="0"/>
          <w:szCs w:val="24"/>
          <w:lang w:val="sk-SK"/>
        </w:rPr>
        <w:tab/>
      </w:r>
      <w:r>
        <w:rPr>
          <w:rFonts w:ascii="Times New Roman" w:eastAsia="Times New Roman" w:hAnsi="Times New Roman"/>
          <w:b/>
          <w:snapToGrid w:val="0"/>
          <w:szCs w:val="24"/>
          <w:lang w:val="sk-SK"/>
        </w:rPr>
        <w:t>PODMIENKY ALEBO OBMEDZENIA TÝKAJÚCE SA VÝDAJA A POUŽITIA</w:t>
      </w:r>
    </w:p>
    <w:p w14:paraId="7A5EE6FA" w14:textId="77777777" w:rsidR="00582954" w:rsidRDefault="00582954">
      <w:pPr>
        <w:widowControl w:val="0"/>
        <w:tabs>
          <w:tab w:val="left" w:pos="567"/>
        </w:tabs>
        <w:spacing w:after="0" w:line="260" w:lineRule="exact"/>
        <w:ind w:left="567" w:hanging="567"/>
        <w:rPr>
          <w:rFonts w:ascii="Times New Roman" w:eastAsia="Times New Roman" w:hAnsi="Times New Roman"/>
          <w:noProof/>
          <w:snapToGrid w:val="0"/>
          <w:szCs w:val="24"/>
          <w:lang w:val="sk-SK"/>
        </w:rPr>
      </w:pPr>
    </w:p>
    <w:p w14:paraId="25CFFAAF" w14:textId="77777777" w:rsidR="00582954" w:rsidRDefault="00645977">
      <w:pPr>
        <w:widowControl w:val="0"/>
        <w:tabs>
          <w:tab w:val="left" w:pos="567"/>
        </w:tabs>
        <w:spacing w:after="0" w:line="260" w:lineRule="exact"/>
        <w:ind w:left="1701" w:right="1559" w:hanging="709"/>
        <w:rPr>
          <w:rFonts w:ascii="Times New Roman" w:eastAsia="Times New Roman" w:hAnsi="Times New Roman"/>
          <w:noProof/>
          <w:snapToGrid w:val="0"/>
          <w:szCs w:val="24"/>
          <w:lang w:val="sk-SK"/>
        </w:rPr>
      </w:pPr>
      <w:r>
        <w:rPr>
          <w:rFonts w:ascii="Times New Roman" w:eastAsia="Times New Roman" w:hAnsi="Times New Roman"/>
          <w:b/>
          <w:snapToGrid w:val="0"/>
          <w:szCs w:val="24"/>
          <w:lang w:val="sk-SK"/>
        </w:rPr>
        <w:t>C.</w:t>
      </w:r>
      <w:r>
        <w:rPr>
          <w:rFonts w:ascii="Times New Roman" w:eastAsia="Times New Roman" w:hAnsi="Times New Roman"/>
          <w:b/>
          <w:noProof/>
          <w:snapToGrid w:val="0"/>
          <w:szCs w:val="24"/>
          <w:lang w:val="sk-SK"/>
        </w:rPr>
        <w:tab/>
      </w:r>
      <w:r>
        <w:rPr>
          <w:rFonts w:ascii="Times New Roman" w:eastAsia="Times New Roman" w:hAnsi="Times New Roman"/>
          <w:b/>
          <w:snapToGrid w:val="0"/>
          <w:szCs w:val="24"/>
          <w:lang w:val="sk-SK"/>
        </w:rPr>
        <w:t>ĎALŠIE PODMIENKY A POŽIADAVKY REGISTRÁCIE</w:t>
      </w:r>
    </w:p>
    <w:p w14:paraId="36D0DAC6" w14:textId="77777777" w:rsidR="00582954" w:rsidRDefault="00582954">
      <w:pPr>
        <w:widowControl w:val="0"/>
        <w:tabs>
          <w:tab w:val="left" w:pos="567"/>
        </w:tabs>
        <w:spacing w:after="0" w:line="260" w:lineRule="exact"/>
        <w:ind w:left="1701" w:right="1558" w:hanging="850"/>
        <w:rPr>
          <w:rFonts w:ascii="Times New Roman" w:eastAsia="Times New Roman" w:hAnsi="Times New Roman"/>
          <w:b/>
          <w:noProof/>
          <w:snapToGrid w:val="0"/>
          <w:szCs w:val="24"/>
          <w:lang w:val="sk-SK"/>
        </w:rPr>
      </w:pPr>
    </w:p>
    <w:p w14:paraId="0565B78C" w14:textId="77777777" w:rsidR="00582954" w:rsidRDefault="00645977">
      <w:pPr>
        <w:widowControl w:val="0"/>
        <w:tabs>
          <w:tab w:val="left" w:pos="567"/>
        </w:tabs>
        <w:spacing w:after="0" w:line="260" w:lineRule="exact"/>
        <w:ind w:left="1701" w:right="1416" w:hanging="708"/>
        <w:rPr>
          <w:rFonts w:ascii="Times New Roman" w:eastAsia="Times New Roman" w:hAnsi="Times New Roman"/>
          <w:b/>
          <w:snapToGrid w:val="0"/>
          <w:szCs w:val="24"/>
          <w:lang w:val="sk-SK"/>
        </w:rPr>
      </w:pPr>
      <w:r>
        <w:rPr>
          <w:rFonts w:ascii="Times New Roman" w:eastAsia="Times New Roman" w:hAnsi="Times New Roman"/>
          <w:b/>
          <w:snapToGrid w:val="0"/>
          <w:szCs w:val="24"/>
          <w:lang w:val="sk-SK"/>
        </w:rPr>
        <w:t>D.</w:t>
      </w:r>
      <w:r>
        <w:rPr>
          <w:rFonts w:ascii="Times New Roman" w:eastAsia="Times New Roman" w:hAnsi="Times New Roman"/>
          <w:b/>
          <w:snapToGrid w:val="0"/>
          <w:szCs w:val="24"/>
          <w:lang w:val="sk-SK"/>
        </w:rPr>
        <w:tab/>
      </w:r>
      <w:r>
        <w:rPr>
          <w:rFonts w:ascii="Times New Roman" w:eastAsia="Times New Roman" w:hAnsi="Times New Roman"/>
          <w:b/>
          <w:caps/>
          <w:snapToGrid w:val="0"/>
          <w:szCs w:val="24"/>
          <w:lang w:val="sk-SK"/>
        </w:rPr>
        <w:t>PODMIENKY ALEBO OBMEDZENIA tÝkajúce sa BEZPEČNÉho A ÚČINNÉho POUŽÍVANIA LIEKU</w:t>
      </w:r>
    </w:p>
    <w:p w14:paraId="2A3F32A1" w14:textId="77777777" w:rsidR="00582954" w:rsidRDefault="00645977">
      <w:pPr>
        <w:pStyle w:val="TitleB"/>
        <w:widowControl w:val="0"/>
      </w:pPr>
      <w:r>
        <w:rPr>
          <w:szCs w:val="24"/>
        </w:rPr>
        <w:br w:type="page"/>
      </w:r>
      <w:r>
        <w:lastRenderedPageBreak/>
        <w:t>A.</w:t>
      </w:r>
      <w:r>
        <w:tab/>
        <w:t>VÝROBCOVIA ZODPOVEDNÍ ZA UVOĽNENIE ŠARŽE</w:t>
      </w:r>
    </w:p>
    <w:p w14:paraId="558609E0" w14:textId="77777777" w:rsidR="00582954" w:rsidRDefault="00582954">
      <w:pPr>
        <w:widowControl w:val="0"/>
        <w:tabs>
          <w:tab w:val="left" w:pos="567"/>
        </w:tabs>
        <w:overflowPunct w:val="0"/>
        <w:autoSpaceDE w:val="0"/>
        <w:autoSpaceDN w:val="0"/>
        <w:adjustRightInd w:val="0"/>
        <w:spacing w:after="0" w:line="260" w:lineRule="exact"/>
        <w:textAlignment w:val="baseline"/>
        <w:rPr>
          <w:rFonts w:ascii="Times New Roman" w:eastAsia="Times New Roman" w:hAnsi="Times New Roman"/>
          <w:snapToGrid w:val="0"/>
          <w:lang w:val="sk-SK" w:eastAsia="cs-CZ"/>
        </w:rPr>
      </w:pPr>
    </w:p>
    <w:p w14:paraId="1235C9D8" w14:textId="77777777" w:rsidR="00582954" w:rsidRDefault="00645977">
      <w:pPr>
        <w:widowControl w:val="0"/>
        <w:tabs>
          <w:tab w:val="left" w:pos="567"/>
        </w:tabs>
        <w:overflowPunct w:val="0"/>
        <w:autoSpaceDE w:val="0"/>
        <w:autoSpaceDN w:val="0"/>
        <w:adjustRightInd w:val="0"/>
        <w:spacing w:after="0" w:line="260" w:lineRule="exact"/>
        <w:textAlignment w:val="baseline"/>
        <w:rPr>
          <w:rFonts w:ascii="Times New Roman" w:eastAsia="Times New Roman" w:hAnsi="Times New Roman"/>
          <w:snapToGrid w:val="0"/>
          <w:u w:val="single"/>
          <w:lang w:val="sk-SK" w:eastAsia="cs-CZ"/>
        </w:rPr>
      </w:pPr>
      <w:r>
        <w:rPr>
          <w:rFonts w:ascii="Times New Roman" w:eastAsia="Times New Roman" w:hAnsi="Times New Roman"/>
          <w:snapToGrid w:val="0"/>
          <w:u w:val="single"/>
          <w:lang w:val="sk-SK" w:eastAsia="cs-CZ"/>
        </w:rPr>
        <w:t>Názov a adresa výrobcov zodpovedných za uvoľnenie šarže</w:t>
      </w:r>
    </w:p>
    <w:p w14:paraId="348D136D" w14:textId="77777777" w:rsidR="00582954" w:rsidRDefault="00582954">
      <w:pPr>
        <w:widowControl w:val="0"/>
        <w:tabs>
          <w:tab w:val="left" w:pos="567"/>
        </w:tabs>
        <w:overflowPunct w:val="0"/>
        <w:autoSpaceDE w:val="0"/>
        <w:autoSpaceDN w:val="0"/>
        <w:adjustRightInd w:val="0"/>
        <w:spacing w:after="0" w:line="260" w:lineRule="exact"/>
        <w:textAlignment w:val="baseline"/>
        <w:rPr>
          <w:rFonts w:ascii="Times New Roman" w:eastAsia="Times New Roman" w:hAnsi="Times New Roman"/>
          <w:snapToGrid w:val="0"/>
          <w:lang w:val="sk-SK" w:eastAsia="cs-CZ"/>
        </w:rPr>
      </w:pPr>
    </w:p>
    <w:p w14:paraId="232EF9AB" w14:textId="77777777" w:rsidR="00582954" w:rsidRDefault="00645977">
      <w:pPr>
        <w:widowControl w:val="0"/>
        <w:tabs>
          <w:tab w:val="left" w:pos="567"/>
        </w:tabs>
        <w:spacing w:after="0" w:line="260" w:lineRule="exact"/>
        <w:rPr>
          <w:rFonts w:ascii="Times New Roman" w:eastAsia="SimSun" w:hAnsi="Times New Roman"/>
          <w:snapToGrid w:val="0"/>
          <w:color w:val="000000"/>
          <w:highlight w:val="lightGray"/>
          <w:lang w:val="sk-SK"/>
        </w:rPr>
      </w:pPr>
      <w:r>
        <w:rPr>
          <w:rFonts w:ascii="Times New Roman" w:eastAsia="SimSun" w:hAnsi="Times New Roman"/>
          <w:snapToGrid w:val="0"/>
          <w:color w:val="000000"/>
          <w:highlight w:val="lightGray"/>
          <w:lang w:val="sk-SK"/>
        </w:rPr>
        <w:t>KRKA-POLSKA Sp.z. o.o.</w:t>
      </w:r>
    </w:p>
    <w:p w14:paraId="5C2CCA05" w14:textId="77777777" w:rsidR="00582954" w:rsidRDefault="00645977">
      <w:pPr>
        <w:widowControl w:val="0"/>
        <w:tabs>
          <w:tab w:val="left" w:pos="567"/>
        </w:tabs>
        <w:spacing w:after="0" w:line="260" w:lineRule="exact"/>
        <w:rPr>
          <w:rFonts w:ascii="Times New Roman" w:eastAsia="SimSun" w:hAnsi="Times New Roman"/>
          <w:snapToGrid w:val="0"/>
          <w:color w:val="000000"/>
          <w:highlight w:val="lightGray"/>
          <w:lang w:val="sk-SK"/>
        </w:rPr>
      </w:pPr>
      <w:r>
        <w:rPr>
          <w:rFonts w:ascii="Times New Roman" w:eastAsia="SimSun" w:hAnsi="Times New Roman"/>
          <w:snapToGrid w:val="0"/>
          <w:color w:val="000000"/>
          <w:highlight w:val="lightGray"/>
          <w:lang w:val="sk-SK"/>
        </w:rPr>
        <w:t>ul. Równolegla 5</w:t>
      </w:r>
    </w:p>
    <w:p w14:paraId="3D4F04CC" w14:textId="77777777" w:rsidR="00582954" w:rsidRDefault="00645977">
      <w:pPr>
        <w:widowControl w:val="0"/>
        <w:tabs>
          <w:tab w:val="left" w:pos="567"/>
        </w:tabs>
        <w:spacing w:after="0" w:line="260" w:lineRule="exact"/>
        <w:rPr>
          <w:rFonts w:ascii="Times New Roman" w:eastAsia="SimSun" w:hAnsi="Times New Roman"/>
          <w:snapToGrid w:val="0"/>
          <w:color w:val="000000"/>
          <w:highlight w:val="lightGray"/>
          <w:lang w:val="sk-SK"/>
        </w:rPr>
      </w:pPr>
      <w:r>
        <w:rPr>
          <w:rFonts w:ascii="Times New Roman" w:hAnsi="Times New Roman"/>
          <w:highlight w:val="lightGray"/>
          <w:lang w:val="sk-SK" w:eastAsia="cs-CZ"/>
        </w:rPr>
        <w:t xml:space="preserve">02-235 </w:t>
      </w:r>
      <w:r>
        <w:rPr>
          <w:rFonts w:ascii="Times New Roman" w:eastAsia="SimSun" w:hAnsi="Times New Roman"/>
          <w:snapToGrid w:val="0"/>
          <w:color w:val="000000"/>
          <w:highlight w:val="lightGray"/>
          <w:lang w:val="sk-SK"/>
        </w:rPr>
        <w:t>Warszawa</w:t>
      </w:r>
    </w:p>
    <w:p w14:paraId="1B77DDEE" w14:textId="77777777" w:rsidR="00582954" w:rsidRDefault="00645977">
      <w:pPr>
        <w:widowControl w:val="0"/>
        <w:tabs>
          <w:tab w:val="left" w:pos="567"/>
        </w:tabs>
        <w:spacing w:after="0" w:line="260" w:lineRule="exact"/>
        <w:rPr>
          <w:rFonts w:ascii="Times New Roman" w:eastAsia="SimSun" w:hAnsi="Times New Roman"/>
          <w:snapToGrid w:val="0"/>
          <w:color w:val="000000"/>
          <w:lang w:val="sk-SK"/>
        </w:rPr>
      </w:pPr>
      <w:r>
        <w:rPr>
          <w:rFonts w:ascii="Times New Roman" w:eastAsia="SimSun" w:hAnsi="Times New Roman"/>
          <w:snapToGrid w:val="0"/>
          <w:color w:val="000000"/>
          <w:highlight w:val="lightGray"/>
          <w:lang w:val="sk-SK"/>
        </w:rPr>
        <w:t>Poľsko</w:t>
      </w:r>
    </w:p>
    <w:p w14:paraId="6089A270" w14:textId="77777777" w:rsidR="00582954" w:rsidRDefault="00582954">
      <w:pPr>
        <w:widowControl w:val="0"/>
        <w:tabs>
          <w:tab w:val="left" w:pos="567"/>
        </w:tabs>
        <w:overflowPunct w:val="0"/>
        <w:autoSpaceDE w:val="0"/>
        <w:autoSpaceDN w:val="0"/>
        <w:adjustRightInd w:val="0"/>
        <w:spacing w:after="0" w:line="260" w:lineRule="exact"/>
        <w:textAlignment w:val="baseline"/>
        <w:rPr>
          <w:rFonts w:ascii="Times New Roman" w:eastAsia="Times New Roman" w:hAnsi="Times New Roman"/>
          <w:snapToGrid w:val="0"/>
          <w:lang w:val="sk-SK" w:eastAsia="cs-CZ"/>
        </w:rPr>
      </w:pPr>
    </w:p>
    <w:p w14:paraId="1B299E9F" w14:textId="77777777" w:rsidR="00582954" w:rsidRDefault="00645977">
      <w:pPr>
        <w:widowControl w:val="0"/>
        <w:tabs>
          <w:tab w:val="left" w:pos="567"/>
        </w:tabs>
        <w:overflowPunct w:val="0"/>
        <w:autoSpaceDE w:val="0"/>
        <w:autoSpaceDN w:val="0"/>
        <w:adjustRightInd w:val="0"/>
        <w:spacing w:after="0" w:line="260" w:lineRule="exact"/>
        <w:textAlignment w:val="baseline"/>
        <w:rPr>
          <w:rFonts w:ascii="Times New Roman" w:eastAsia="SimSun" w:hAnsi="Times New Roman"/>
          <w:snapToGrid w:val="0"/>
          <w:color w:val="000000"/>
          <w:lang w:val="sk-SK"/>
        </w:rPr>
      </w:pPr>
      <w:r>
        <w:rPr>
          <w:rFonts w:ascii="Times New Roman" w:eastAsia="SimSun" w:hAnsi="Times New Roman"/>
          <w:snapToGrid w:val="0"/>
          <w:color w:val="000000"/>
          <w:lang w:val="sk-SK"/>
        </w:rPr>
        <w:t>KRKA, d.d., Novo mesto</w:t>
      </w:r>
    </w:p>
    <w:p w14:paraId="26B6FDE0" w14:textId="77777777" w:rsidR="00582954" w:rsidRDefault="00645977">
      <w:pPr>
        <w:widowControl w:val="0"/>
        <w:tabs>
          <w:tab w:val="left" w:pos="567"/>
        </w:tabs>
        <w:overflowPunct w:val="0"/>
        <w:autoSpaceDE w:val="0"/>
        <w:autoSpaceDN w:val="0"/>
        <w:adjustRightInd w:val="0"/>
        <w:spacing w:after="0" w:line="260" w:lineRule="exact"/>
        <w:textAlignment w:val="baseline"/>
        <w:rPr>
          <w:rFonts w:ascii="Times New Roman" w:eastAsia="SimSun" w:hAnsi="Times New Roman"/>
          <w:snapToGrid w:val="0"/>
          <w:color w:val="000000"/>
          <w:lang w:val="sk-SK"/>
        </w:rPr>
      </w:pPr>
      <w:r>
        <w:rPr>
          <w:rFonts w:ascii="Times New Roman" w:eastAsia="SimSun" w:hAnsi="Times New Roman"/>
          <w:snapToGrid w:val="0"/>
          <w:color w:val="000000"/>
          <w:lang w:val="sk-SK"/>
        </w:rPr>
        <w:t>Šmarješka cesta 6</w:t>
      </w:r>
    </w:p>
    <w:p w14:paraId="5536321F" w14:textId="77777777" w:rsidR="00582954" w:rsidRDefault="00645977">
      <w:pPr>
        <w:widowControl w:val="0"/>
        <w:tabs>
          <w:tab w:val="left" w:pos="567"/>
        </w:tabs>
        <w:overflowPunct w:val="0"/>
        <w:autoSpaceDE w:val="0"/>
        <w:autoSpaceDN w:val="0"/>
        <w:adjustRightInd w:val="0"/>
        <w:spacing w:after="0" w:line="260" w:lineRule="exact"/>
        <w:textAlignment w:val="baseline"/>
        <w:rPr>
          <w:rFonts w:ascii="Times New Roman" w:eastAsia="SimSun" w:hAnsi="Times New Roman"/>
          <w:snapToGrid w:val="0"/>
          <w:color w:val="000000"/>
          <w:lang w:val="sk-SK"/>
        </w:rPr>
      </w:pPr>
      <w:r>
        <w:rPr>
          <w:rFonts w:ascii="Times New Roman" w:eastAsia="SimSun" w:hAnsi="Times New Roman"/>
          <w:snapToGrid w:val="0"/>
          <w:color w:val="000000"/>
          <w:lang w:val="sk-SK"/>
        </w:rPr>
        <w:t>8501 Novo mesto</w:t>
      </w:r>
    </w:p>
    <w:p w14:paraId="1B2DAE80" w14:textId="77777777" w:rsidR="00582954" w:rsidRDefault="00645977">
      <w:pPr>
        <w:widowControl w:val="0"/>
        <w:tabs>
          <w:tab w:val="left" w:pos="567"/>
        </w:tabs>
        <w:overflowPunct w:val="0"/>
        <w:autoSpaceDE w:val="0"/>
        <w:autoSpaceDN w:val="0"/>
        <w:adjustRightInd w:val="0"/>
        <w:spacing w:after="0" w:line="260" w:lineRule="exact"/>
        <w:textAlignment w:val="baseline"/>
        <w:rPr>
          <w:rFonts w:ascii="Times New Roman" w:eastAsia="Times New Roman" w:hAnsi="Times New Roman"/>
          <w:snapToGrid w:val="0"/>
          <w:lang w:val="sk-SK" w:eastAsia="cs-CZ"/>
        </w:rPr>
      </w:pPr>
      <w:r>
        <w:rPr>
          <w:rFonts w:ascii="Times New Roman" w:eastAsia="SimSun" w:hAnsi="Times New Roman"/>
          <w:snapToGrid w:val="0"/>
          <w:color w:val="000000"/>
          <w:lang w:val="sk-SK"/>
        </w:rPr>
        <w:t>Slovinsko</w:t>
      </w:r>
    </w:p>
    <w:p w14:paraId="428C12CE" w14:textId="77777777" w:rsidR="00582954" w:rsidRDefault="00582954">
      <w:pPr>
        <w:widowControl w:val="0"/>
        <w:tabs>
          <w:tab w:val="left" w:pos="567"/>
        </w:tabs>
        <w:overflowPunct w:val="0"/>
        <w:autoSpaceDE w:val="0"/>
        <w:autoSpaceDN w:val="0"/>
        <w:adjustRightInd w:val="0"/>
        <w:spacing w:after="0" w:line="260" w:lineRule="exact"/>
        <w:textAlignment w:val="baseline"/>
        <w:rPr>
          <w:rFonts w:ascii="Times New Roman" w:eastAsia="Times New Roman" w:hAnsi="Times New Roman"/>
          <w:snapToGrid w:val="0"/>
          <w:lang w:val="sk-SK" w:eastAsia="cs-CZ"/>
        </w:rPr>
      </w:pPr>
    </w:p>
    <w:p w14:paraId="12BA4C6B" w14:textId="77777777" w:rsidR="00582954" w:rsidRDefault="00645977">
      <w:pPr>
        <w:widowControl w:val="0"/>
        <w:tabs>
          <w:tab w:val="left" w:pos="567"/>
        </w:tabs>
        <w:overflowPunct w:val="0"/>
        <w:autoSpaceDE w:val="0"/>
        <w:autoSpaceDN w:val="0"/>
        <w:adjustRightInd w:val="0"/>
        <w:spacing w:after="0" w:line="260" w:lineRule="exact"/>
        <w:textAlignment w:val="baseline"/>
        <w:rPr>
          <w:rFonts w:ascii="Times New Roman" w:eastAsia="Times New Roman" w:hAnsi="Times New Roman"/>
          <w:snapToGrid w:val="0"/>
          <w:highlight w:val="lightGray"/>
          <w:lang w:val="sk-SK" w:eastAsia="cs-CZ"/>
        </w:rPr>
      </w:pPr>
      <w:r>
        <w:rPr>
          <w:rFonts w:ascii="Times New Roman" w:eastAsia="SimSun" w:hAnsi="Times New Roman"/>
          <w:snapToGrid w:val="0"/>
          <w:color w:val="000000"/>
          <w:highlight w:val="lightGray"/>
          <w:lang w:val="sk-SK"/>
        </w:rPr>
        <w:t>TAD Pharma GmbH</w:t>
      </w:r>
    </w:p>
    <w:p w14:paraId="101267B6" w14:textId="77777777" w:rsidR="00582954" w:rsidRDefault="00645977">
      <w:pPr>
        <w:widowControl w:val="0"/>
        <w:tabs>
          <w:tab w:val="left" w:pos="567"/>
        </w:tabs>
        <w:autoSpaceDE w:val="0"/>
        <w:autoSpaceDN w:val="0"/>
        <w:adjustRightInd w:val="0"/>
        <w:spacing w:after="0" w:line="260" w:lineRule="exact"/>
        <w:ind w:right="120"/>
        <w:rPr>
          <w:rFonts w:ascii="Times New Roman" w:eastAsia="SimSun" w:hAnsi="Times New Roman"/>
          <w:color w:val="000000"/>
          <w:highlight w:val="lightGray"/>
          <w:lang w:val="sk-SK"/>
        </w:rPr>
      </w:pPr>
      <w:r>
        <w:rPr>
          <w:rFonts w:ascii="Times New Roman" w:eastAsia="SimSun" w:hAnsi="Times New Roman"/>
          <w:color w:val="000000"/>
          <w:highlight w:val="lightGray"/>
          <w:lang w:val="sk-SK"/>
        </w:rPr>
        <w:t>Heinz-Lohmann-Straße 5</w:t>
      </w:r>
    </w:p>
    <w:p w14:paraId="2D21657E" w14:textId="77777777" w:rsidR="00582954" w:rsidRDefault="00645977">
      <w:pPr>
        <w:widowControl w:val="0"/>
        <w:tabs>
          <w:tab w:val="left" w:pos="567"/>
        </w:tabs>
        <w:autoSpaceDE w:val="0"/>
        <w:autoSpaceDN w:val="0"/>
        <w:adjustRightInd w:val="0"/>
        <w:spacing w:after="0" w:line="260" w:lineRule="exact"/>
        <w:ind w:right="120"/>
        <w:rPr>
          <w:rFonts w:ascii="Times New Roman" w:eastAsia="SimSun" w:hAnsi="Times New Roman"/>
          <w:snapToGrid w:val="0"/>
          <w:color w:val="000000"/>
          <w:lang w:val="sk-SK"/>
        </w:rPr>
      </w:pPr>
      <w:r>
        <w:rPr>
          <w:rFonts w:ascii="Times New Roman" w:eastAsia="SimSun" w:hAnsi="Times New Roman"/>
          <w:snapToGrid w:val="0"/>
          <w:color w:val="000000"/>
          <w:highlight w:val="lightGray"/>
          <w:lang w:val="sk-SK"/>
        </w:rPr>
        <w:t>27472 Cuxhaven</w:t>
      </w:r>
    </w:p>
    <w:p w14:paraId="753F6B56" w14:textId="77777777" w:rsidR="00582954" w:rsidRDefault="00645977">
      <w:pPr>
        <w:widowControl w:val="0"/>
        <w:tabs>
          <w:tab w:val="left" w:pos="567"/>
        </w:tabs>
        <w:autoSpaceDE w:val="0"/>
        <w:autoSpaceDN w:val="0"/>
        <w:adjustRightInd w:val="0"/>
        <w:spacing w:after="0" w:line="260" w:lineRule="exact"/>
        <w:ind w:right="120"/>
        <w:rPr>
          <w:rFonts w:ascii="Times New Roman" w:eastAsia="SimSun" w:hAnsi="Times New Roman"/>
          <w:snapToGrid w:val="0"/>
          <w:color w:val="000000"/>
          <w:lang w:val="sk-SK"/>
        </w:rPr>
      </w:pPr>
      <w:r>
        <w:rPr>
          <w:rFonts w:ascii="Times New Roman" w:eastAsia="SimSun" w:hAnsi="Times New Roman"/>
          <w:snapToGrid w:val="0"/>
          <w:color w:val="000000"/>
          <w:highlight w:val="lightGray"/>
          <w:lang w:val="sk-SK"/>
        </w:rPr>
        <w:t>Nemecko</w:t>
      </w:r>
    </w:p>
    <w:p w14:paraId="1D05B6E8" w14:textId="77777777" w:rsidR="00582954" w:rsidRDefault="00582954">
      <w:pPr>
        <w:widowControl w:val="0"/>
        <w:tabs>
          <w:tab w:val="left" w:pos="567"/>
        </w:tabs>
        <w:overflowPunct w:val="0"/>
        <w:autoSpaceDE w:val="0"/>
        <w:autoSpaceDN w:val="0"/>
        <w:adjustRightInd w:val="0"/>
        <w:spacing w:after="0" w:line="260" w:lineRule="exact"/>
        <w:textAlignment w:val="baseline"/>
        <w:rPr>
          <w:rFonts w:ascii="Times New Roman" w:eastAsia="Times New Roman" w:hAnsi="Times New Roman"/>
          <w:snapToGrid w:val="0"/>
          <w:lang w:val="sk-SK" w:eastAsia="cs-CZ"/>
        </w:rPr>
      </w:pPr>
    </w:p>
    <w:p w14:paraId="7F46B513" w14:textId="77777777" w:rsidR="00582954" w:rsidRDefault="00582954">
      <w:pPr>
        <w:widowControl w:val="0"/>
        <w:tabs>
          <w:tab w:val="left" w:pos="567"/>
        </w:tabs>
        <w:overflowPunct w:val="0"/>
        <w:autoSpaceDE w:val="0"/>
        <w:autoSpaceDN w:val="0"/>
        <w:adjustRightInd w:val="0"/>
        <w:spacing w:after="0" w:line="260" w:lineRule="exact"/>
        <w:textAlignment w:val="baseline"/>
        <w:rPr>
          <w:rFonts w:ascii="Times New Roman" w:eastAsia="Times New Roman" w:hAnsi="Times New Roman"/>
          <w:snapToGrid w:val="0"/>
          <w:lang w:val="sk-SK" w:eastAsia="cs-CZ"/>
        </w:rPr>
      </w:pPr>
    </w:p>
    <w:p w14:paraId="569D8F17" w14:textId="77777777" w:rsidR="00582954" w:rsidRDefault="00645977">
      <w:pPr>
        <w:widowControl w:val="0"/>
        <w:tabs>
          <w:tab w:val="left" w:pos="567"/>
        </w:tabs>
        <w:overflowPunct w:val="0"/>
        <w:autoSpaceDE w:val="0"/>
        <w:autoSpaceDN w:val="0"/>
        <w:adjustRightInd w:val="0"/>
        <w:spacing w:after="0" w:line="260" w:lineRule="exact"/>
        <w:textAlignment w:val="baseline"/>
        <w:rPr>
          <w:rFonts w:ascii="Times New Roman" w:eastAsia="SimSun" w:hAnsi="Times New Roman"/>
          <w:snapToGrid w:val="0"/>
          <w:color w:val="000000"/>
          <w:lang w:val="sk-SK"/>
        </w:rPr>
      </w:pPr>
      <w:r>
        <w:rPr>
          <w:rFonts w:ascii="Times New Roman" w:eastAsia="SimSun" w:hAnsi="Times New Roman"/>
          <w:snapToGrid w:val="0"/>
          <w:color w:val="000000"/>
          <w:lang w:val="sk-SK"/>
        </w:rPr>
        <w:t>Tlačená písomná informácia pre používateľa lieku musí obsahovať názov a adresu výrobcu zodpovedného za uvoľnenie príslušnej šarže.</w:t>
      </w:r>
    </w:p>
    <w:p w14:paraId="7587427D" w14:textId="77777777" w:rsidR="00582954" w:rsidRDefault="00582954">
      <w:pPr>
        <w:widowControl w:val="0"/>
        <w:tabs>
          <w:tab w:val="left" w:pos="567"/>
        </w:tabs>
        <w:overflowPunct w:val="0"/>
        <w:autoSpaceDE w:val="0"/>
        <w:autoSpaceDN w:val="0"/>
        <w:adjustRightInd w:val="0"/>
        <w:spacing w:after="0" w:line="260" w:lineRule="exact"/>
        <w:textAlignment w:val="baseline"/>
        <w:rPr>
          <w:rFonts w:ascii="Times New Roman" w:eastAsia="Times New Roman" w:hAnsi="Times New Roman"/>
          <w:snapToGrid w:val="0"/>
          <w:lang w:val="sk-SK" w:eastAsia="cs-CZ"/>
        </w:rPr>
      </w:pPr>
    </w:p>
    <w:p w14:paraId="610EAD25" w14:textId="77777777" w:rsidR="00582954" w:rsidRDefault="00582954">
      <w:pPr>
        <w:widowControl w:val="0"/>
        <w:tabs>
          <w:tab w:val="left" w:pos="567"/>
        </w:tabs>
        <w:overflowPunct w:val="0"/>
        <w:autoSpaceDE w:val="0"/>
        <w:autoSpaceDN w:val="0"/>
        <w:adjustRightInd w:val="0"/>
        <w:spacing w:after="0" w:line="260" w:lineRule="exact"/>
        <w:textAlignment w:val="baseline"/>
        <w:rPr>
          <w:rFonts w:ascii="Times New Roman" w:eastAsia="Times New Roman" w:hAnsi="Times New Roman"/>
          <w:snapToGrid w:val="0"/>
          <w:lang w:val="sk-SK" w:eastAsia="cs-CZ"/>
        </w:rPr>
      </w:pPr>
    </w:p>
    <w:p w14:paraId="0B154879" w14:textId="77777777" w:rsidR="00582954" w:rsidRDefault="00645977">
      <w:pPr>
        <w:pStyle w:val="TitleB"/>
        <w:widowControl w:val="0"/>
      </w:pPr>
      <w:bookmarkStart w:id="26" w:name="OLE_LINK2"/>
      <w:r>
        <w:t>B.</w:t>
      </w:r>
      <w:r>
        <w:tab/>
        <w:t>PODMIENKY ALEBO OBMEDZENIA TÝKAJÚCE SA VÝDAJA A POUŽITIA</w:t>
      </w:r>
    </w:p>
    <w:bookmarkEnd w:id="26"/>
    <w:p w14:paraId="4A8A103D" w14:textId="77777777" w:rsidR="00582954" w:rsidRDefault="00582954">
      <w:pPr>
        <w:widowControl w:val="0"/>
        <w:tabs>
          <w:tab w:val="left" w:pos="567"/>
        </w:tabs>
        <w:overflowPunct w:val="0"/>
        <w:autoSpaceDE w:val="0"/>
        <w:autoSpaceDN w:val="0"/>
        <w:adjustRightInd w:val="0"/>
        <w:spacing w:after="0" w:line="260" w:lineRule="exact"/>
        <w:textAlignment w:val="baseline"/>
        <w:rPr>
          <w:rFonts w:ascii="Times New Roman" w:eastAsia="Times New Roman" w:hAnsi="Times New Roman"/>
          <w:snapToGrid w:val="0"/>
          <w:lang w:val="sk-SK" w:eastAsia="cs-CZ"/>
        </w:rPr>
      </w:pPr>
    </w:p>
    <w:p w14:paraId="2D9DDC89" w14:textId="77777777" w:rsidR="00582954" w:rsidRDefault="00645977">
      <w:pPr>
        <w:widowControl w:val="0"/>
        <w:tabs>
          <w:tab w:val="left" w:pos="567"/>
        </w:tabs>
        <w:overflowPunct w:val="0"/>
        <w:autoSpaceDE w:val="0"/>
        <w:autoSpaceDN w:val="0"/>
        <w:adjustRightInd w:val="0"/>
        <w:spacing w:after="0" w:line="260" w:lineRule="exact"/>
        <w:textAlignment w:val="baseline"/>
        <w:rPr>
          <w:rFonts w:ascii="Times New Roman" w:eastAsia="SimSun" w:hAnsi="Times New Roman"/>
          <w:snapToGrid w:val="0"/>
          <w:color w:val="000000"/>
          <w:lang w:val="sk-SK"/>
        </w:rPr>
      </w:pPr>
      <w:r>
        <w:rPr>
          <w:rFonts w:ascii="Times New Roman" w:eastAsia="SimSun" w:hAnsi="Times New Roman"/>
          <w:snapToGrid w:val="0"/>
          <w:color w:val="000000"/>
          <w:lang w:val="sk-SK"/>
        </w:rPr>
        <w:t>Výdaj lieku je viazaný na lekársky predpis.</w:t>
      </w:r>
    </w:p>
    <w:p w14:paraId="1C224E96" w14:textId="77777777" w:rsidR="00582954" w:rsidRDefault="00582954">
      <w:pPr>
        <w:widowControl w:val="0"/>
        <w:tabs>
          <w:tab w:val="left" w:pos="567"/>
        </w:tabs>
        <w:overflowPunct w:val="0"/>
        <w:autoSpaceDE w:val="0"/>
        <w:autoSpaceDN w:val="0"/>
        <w:adjustRightInd w:val="0"/>
        <w:spacing w:after="0" w:line="260" w:lineRule="exact"/>
        <w:textAlignment w:val="baseline"/>
        <w:rPr>
          <w:rFonts w:ascii="Times New Roman" w:eastAsia="Times New Roman" w:hAnsi="Times New Roman"/>
          <w:snapToGrid w:val="0"/>
          <w:lang w:val="sk-SK" w:eastAsia="cs-CZ"/>
        </w:rPr>
      </w:pPr>
    </w:p>
    <w:p w14:paraId="6B2D89A9" w14:textId="77777777" w:rsidR="00582954" w:rsidRDefault="00582954">
      <w:pPr>
        <w:widowControl w:val="0"/>
        <w:tabs>
          <w:tab w:val="left" w:pos="567"/>
        </w:tabs>
        <w:overflowPunct w:val="0"/>
        <w:autoSpaceDE w:val="0"/>
        <w:autoSpaceDN w:val="0"/>
        <w:adjustRightInd w:val="0"/>
        <w:spacing w:after="0" w:line="260" w:lineRule="exact"/>
        <w:textAlignment w:val="baseline"/>
        <w:rPr>
          <w:rFonts w:ascii="Times New Roman" w:eastAsia="Times New Roman" w:hAnsi="Times New Roman"/>
          <w:snapToGrid w:val="0"/>
          <w:lang w:val="sk-SK" w:eastAsia="cs-CZ"/>
        </w:rPr>
      </w:pPr>
    </w:p>
    <w:p w14:paraId="4D0708F0" w14:textId="77777777" w:rsidR="00582954" w:rsidRDefault="00645977">
      <w:pPr>
        <w:pStyle w:val="TitleB"/>
        <w:widowControl w:val="0"/>
      </w:pPr>
      <w:r>
        <w:t>C.</w:t>
      </w:r>
      <w:r>
        <w:tab/>
        <w:t>ĎALŠIE PODMIENKY A POŽIADAVKY REGISTRÁCIE</w:t>
      </w:r>
    </w:p>
    <w:p w14:paraId="21EEB26F" w14:textId="77777777" w:rsidR="00582954" w:rsidRDefault="00582954">
      <w:pPr>
        <w:widowControl w:val="0"/>
        <w:tabs>
          <w:tab w:val="left" w:pos="567"/>
        </w:tabs>
        <w:overflowPunct w:val="0"/>
        <w:autoSpaceDE w:val="0"/>
        <w:autoSpaceDN w:val="0"/>
        <w:adjustRightInd w:val="0"/>
        <w:spacing w:after="0" w:line="260" w:lineRule="exact"/>
        <w:textAlignment w:val="baseline"/>
        <w:rPr>
          <w:rFonts w:ascii="Times New Roman" w:eastAsia="Times New Roman" w:hAnsi="Times New Roman"/>
          <w:snapToGrid w:val="0"/>
          <w:lang w:val="sk-SK" w:eastAsia="cs-CZ"/>
        </w:rPr>
      </w:pPr>
    </w:p>
    <w:p w14:paraId="5D401E98" w14:textId="77777777" w:rsidR="00582954" w:rsidRDefault="00645977">
      <w:pPr>
        <w:widowControl w:val="0"/>
        <w:numPr>
          <w:ilvl w:val="0"/>
          <w:numId w:val="12"/>
        </w:numPr>
        <w:tabs>
          <w:tab w:val="left" w:pos="567"/>
        </w:tabs>
        <w:spacing w:after="0" w:line="240" w:lineRule="auto"/>
        <w:ind w:hanging="720"/>
        <w:rPr>
          <w:rFonts w:ascii="Times New Roman" w:eastAsia="Times New Roman" w:hAnsi="Times New Roman"/>
          <w:b/>
          <w:noProof/>
          <w:snapToGrid w:val="0"/>
          <w:lang w:val="sk-SK"/>
        </w:rPr>
      </w:pPr>
      <w:r>
        <w:rPr>
          <w:rFonts w:ascii="Times New Roman" w:eastAsia="Times New Roman" w:hAnsi="Times New Roman"/>
          <w:b/>
          <w:noProof/>
          <w:snapToGrid w:val="0"/>
          <w:lang w:val="sk-SK"/>
        </w:rPr>
        <w:t>Periodicky aktualizované správy o bezpečnosti (PSUR)</w:t>
      </w:r>
    </w:p>
    <w:p w14:paraId="7FE297FD" w14:textId="77777777" w:rsidR="00582954" w:rsidRDefault="00582954">
      <w:pPr>
        <w:pStyle w:val="Bezriadkovania"/>
        <w:rPr>
          <w:rFonts w:ascii="Times New Roman" w:hAnsi="Times New Roman"/>
          <w:noProof/>
          <w:lang w:val="sk-SK"/>
        </w:rPr>
      </w:pPr>
    </w:p>
    <w:p w14:paraId="32EDBEE5" w14:textId="77777777" w:rsidR="00582954" w:rsidRDefault="00645977">
      <w:pPr>
        <w:pStyle w:val="Bezriadkovania"/>
        <w:rPr>
          <w:rFonts w:ascii="Times New Roman" w:hAnsi="Times New Roman"/>
          <w:noProof/>
          <w:lang w:val="sk-SK"/>
        </w:rPr>
      </w:pPr>
      <w:r>
        <w:rPr>
          <w:rFonts w:ascii="Times New Roman" w:hAnsi="Times New Roman"/>
          <w:noProof/>
          <w:lang w:val="sk-SK"/>
        </w:rPr>
        <w:t>Požiadavky na predloženie PSUR tohto lieku sú stanovené v zozname referenčných dátumov Únie (zoznam EURD) v súlade s článkom 107c ods. 7 smernice 2001/83/ES a všetkých následných aktualizácií uverejnených na európskom internetovom portáli pre lieky.</w:t>
      </w:r>
    </w:p>
    <w:p w14:paraId="65C125F0" w14:textId="77777777" w:rsidR="00582954" w:rsidRDefault="00582954">
      <w:pPr>
        <w:pStyle w:val="Bezriadkovania"/>
        <w:rPr>
          <w:rFonts w:ascii="Times New Roman" w:hAnsi="Times New Roman"/>
          <w:noProof/>
          <w:lang w:val="sk-SK"/>
        </w:rPr>
      </w:pPr>
    </w:p>
    <w:p w14:paraId="3DD964B8" w14:textId="77777777" w:rsidR="00582954" w:rsidRDefault="00582954">
      <w:pPr>
        <w:widowControl w:val="0"/>
        <w:tabs>
          <w:tab w:val="left" w:pos="567"/>
        </w:tabs>
        <w:overflowPunct w:val="0"/>
        <w:autoSpaceDE w:val="0"/>
        <w:autoSpaceDN w:val="0"/>
        <w:adjustRightInd w:val="0"/>
        <w:spacing w:after="0" w:line="260" w:lineRule="exact"/>
        <w:textAlignment w:val="baseline"/>
        <w:rPr>
          <w:rFonts w:ascii="Times New Roman" w:eastAsia="Times New Roman" w:hAnsi="Times New Roman"/>
          <w:snapToGrid w:val="0"/>
          <w:lang w:val="sk-SK" w:eastAsia="cs-CZ"/>
        </w:rPr>
      </w:pPr>
    </w:p>
    <w:p w14:paraId="57F9BC56" w14:textId="77777777" w:rsidR="00582954" w:rsidRDefault="00645977">
      <w:pPr>
        <w:pStyle w:val="TitleB"/>
        <w:widowControl w:val="0"/>
      </w:pPr>
      <w:r>
        <w:t>D.</w:t>
      </w:r>
      <w:r>
        <w:tab/>
        <w:t>PODMIENKY ALEBO OBMEDZENIA TÝKAJÚCE SA BEZPEČNÉHO A ÚČINNÉHO POUŽÍVANIA LIEKU</w:t>
      </w:r>
    </w:p>
    <w:p w14:paraId="22BB12C0" w14:textId="77777777" w:rsidR="00582954" w:rsidRDefault="00582954">
      <w:pPr>
        <w:widowControl w:val="0"/>
        <w:tabs>
          <w:tab w:val="left" w:pos="567"/>
        </w:tabs>
        <w:overflowPunct w:val="0"/>
        <w:autoSpaceDE w:val="0"/>
        <w:autoSpaceDN w:val="0"/>
        <w:adjustRightInd w:val="0"/>
        <w:spacing w:after="0" w:line="260" w:lineRule="exact"/>
        <w:textAlignment w:val="baseline"/>
        <w:rPr>
          <w:rFonts w:ascii="Times New Roman" w:eastAsia="Times New Roman" w:hAnsi="Times New Roman"/>
          <w:snapToGrid w:val="0"/>
          <w:lang w:val="sk-SK" w:eastAsia="cs-CZ"/>
        </w:rPr>
      </w:pPr>
    </w:p>
    <w:p w14:paraId="7DCB0B9D" w14:textId="77777777" w:rsidR="00582954" w:rsidRDefault="00645977">
      <w:pPr>
        <w:widowControl w:val="0"/>
        <w:numPr>
          <w:ilvl w:val="0"/>
          <w:numId w:val="12"/>
        </w:numPr>
        <w:tabs>
          <w:tab w:val="left" w:pos="567"/>
        </w:tabs>
        <w:spacing w:after="0" w:line="240" w:lineRule="auto"/>
        <w:ind w:hanging="720"/>
        <w:rPr>
          <w:rFonts w:ascii="Times New Roman" w:eastAsia="Times New Roman" w:hAnsi="Times New Roman"/>
          <w:b/>
          <w:noProof/>
          <w:snapToGrid w:val="0"/>
          <w:lang w:val="sk-SK"/>
        </w:rPr>
      </w:pPr>
      <w:r>
        <w:rPr>
          <w:rFonts w:ascii="Times New Roman" w:eastAsia="Times New Roman" w:hAnsi="Times New Roman"/>
          <w:b/>
          <w:noProof/>
          <w:snapToGrid w:val="0"/>
          <w:lang w:val="sk-SK"/>
        </w:rPr>
        <w:t>Plán riadenia rizík (RMP)</w:t>
      </w:r>
    </w:p>
    <w:p w14:paraId="71898B41" w14:textId="77777777" w:rsidR="00582954" w:rsidRDefault="00582954">
      <w:pPr>
        <w:widowControl w:val="0"/>
        <w:tabs>
          <w:tab w:val="left" w:pos="567"/>
        </w:tabs>
        <w:overflowPunct w:val="0"/>
        <w:autoSpaceDE w:val="0"/>
        <w:autoSpaceDN w:val="0"/>
        <w:adjustRightInd w:val="0"/>
        <w:spacing w:after="0" w:line="260" w:lineRule="exact"/>
        <w:textAlignment w:val="baseline"/>
        <w:rPr>
          <w:rFonts w:ascii="Times New Roman" w:eastAsia="Times New Roman" w:hAnsi="Times New Roman"/>
          <w:snapToGrid w:val="0"/>
          <w:lang w:val="sk-SK" w:eastAsia="cs-CZ"/>
        </w:rPr>
      </w:pPr>
    </w:p>
    <w:p w14:paraId="44B03B51" w14:textId="77777777" w:rsidR="00582954" w:rsidRDefault="00645977">
      <w:pPr>
        <w:widowControl w:val="0"/>
        <w:tabs>
          <w:tab w:val="left" w:pos="567"/>
        </w:tabs>
        <w:overflowPunct w:val="0"/>
        <w:autoSpaceDE w:val="0"/>
        <w:autoSpaceDN w:val="0"/>
        <w:adjustRightInd w:val="0"/>
        <w:spacing w:after="0" w:line="260" w:lineRule="exact"/>
        <w:textAlignment w:val="baseline"/>
        <w:rPr>
          <w:rFonts w:ascii="Times New Roman" w:eastAsia="SimSun" w:hAnsi="Times New Roman"/>
          <w:snapToGrid w:val="0"/>
          <w:color w:val="000000"/>
          <w:lang w:val="sk-SK"/>
        </w:rPr>
      </w:pPr>
      <w:r>
        <w:rPr>
          <w:rFonts w:ascii="Times New Roman" w:eastAsia="SimSun" w:hAnsi="Times New Roman"/>
          <w:snapToGrid w:val="0"/>
          <w:color w:val="000000"/>
          <w:lang w:val="sk-SK"/>
        </w:rPr>
        <w:t xml:space="preserve">Držiteľ rozhodnutia o registrácii (MAH) vykoná požadované činnosti a zásahy v rámci dohľadu nad liekmi, ktoré sú podrobne opísané v odsúhlasenom </w:t>
      </w:r>
      <w:r>
        <w:rPr>
          <w:rFonts w:ascii="Times New Roman" w:eastAsia="Times New Roman" w:hAnsi="Times New Roman"/>
          <w:noProof/>
          <w:snapToGrid w:val="0"/>
          <w:lang w:val="sk-SK"/>
        </w:rPr>
        <w:t xml:space="preserve">RMP </w:t>
      </w:r>
      <w:r>
        <w:rPr>
          <w:rFonts w:ascii="Times New Roman" w:eastAsia="SimSun" w:hAnsi="Times New Roman"/>
          <w:snapToGrid w:val="0"/>
          <w:color w:val="000000"/>
          <w:lang w:val="sk-SK"/>
        </w:rPr>
        <w:t>predloženom v module 1.8.2 registračnej dokumentácie a vo všetkých ďalších odsúhlasených aktualizáciách RMP.</w:t>
      </w:r>
    </w:p>
    <w:p w14:paraId="37E07243" w14:textId="77777777" w:rsidR="00582954" w:rsidRDefault="00582954">
      <w:pPr>
        <w:widowControl w:val="0"/>
        <w:tabs>
          <w:tab w:val="left" w:pos="567"/>
        </w:tabs>
        <w:overflowPunct w:val="0"/>
        <w:autoSpaceDE w:val="0"/>
        <w:autoSpaceDN w:val="0"/>
        <w:adjustRightInd w:val="0"/>
        <w:spacing w:after="0" w:line="260" w:lineRule="exact"/>
        <w:textAlignment w:val="baseline"/>
        <w:rPr>
          <w:rFonts w:ascii="Times New Roman" w:eastAsia="Times New Roman" w:hAnsi="Times New Roman"/>
          <w:snapToGrid w:val="0"/>
          <w:lang w:val="sk-SK" w:eastAsia="cs-CZ"/>
        </w:rPr>
      </w:pPr>
    </w:p>
    <w:p w14:paraId="388C3408" w14:textId="77777777" w:rsidR="00582954" w:rsidRDefault="00645977">
      <w:pPr>
        <w:widowControl w:val="0"/>
        <w:tabs>
          <w:tab w:val="left" w:pos="567"/>
        </w:tabs>
        <w:overflowPunct w:val="0"/>
        <w:autoSpaceDE w:val="0"/>
        <w:autoSpaceDN w:val="0"/>
        <w:adjustRightInd w:val="0"/>
        <w:spacing w:after="0" w:line="260" w:lineRule="exact"/>
        <w:textAlignment w:val="baseline"/>
        <w:rPr>
          <w:rFonts w:ascii="Times New Roman" w:eastAsia="SimSun" w:hAnsi="Times New Roman"/>
          <w:snapToGrid w:val="0"/>
          <w:color w:val="000000"/>
          <w:lang w:val="sk-SK"/>
        </w:rPr>
      </w:pPr>
      <w:r>
        <w:rPr>
          <w:rFonts w:ascii="Times New Roman" w:eastAsia="SimSun" w:hAnsi="Times New Roman"/>
          <w:snapToGrid w:val="0"/>
          <w:color w:val="000000"/>
          <w:lang w:val="sk-SK"/>
        </w:rPr>
        <w:t>Aktualizovaný RMP je potrebné predložiť.</w:t>
      </w:r>
    </w:p>
    <w:p w14:paraId="75B4D984" w14:textId="77777777" w:rsidR="00582954" w:rsidRDefault="00645977">
      <w:pPr>
        <w:widowControl w:val="0"/>
        <w:numPr>
          <w:ilvl w:val="0"/>
          <w:numId w:val="12"/>
        </w:numPr>
        <w:tabs>
          <w:tab w:val="left" w:pos="567"/>
        </w:tabs>
        <w:spacing w:after="0" w:line="240" w:lineRule="auto"/>
        <w:ind w:left="567" w:hanging="567"/>
        <w:rPr>
          <w:rFonts w:ascii="Times New Roman" w:eastAsia="Times New Roman" w:hAnsi="Times New Roman"/>
          <w:noProof/>
          <w:snapToGrid w:val="0"/>
          <w:lang w:val="sk-SK"/>
        </w:rPr>
      </w:pPr>
      <w:r>
        <w:rPr>
          <w:rFonts w:ascii="Times New Roman" w:eastAsia="Times New Roman" w:hAnsi="Times New Roman"/>
          <w:noProof/>
          <w:snapToGrid w:val="0"/>
          <w:lang w:val="sk-SK"/>
        </w:rPr>
        <w:t>na žiadosť Európskej agentúry pre lieky,</w:t>
      </w:r>
    </w:p>
    <w:p w14:paraId="36098927" w14:textId="77777777" w:rsidR="00582954" w:rsidRDefault="00645977">
      <w:pPr>
        <w:widowControl w:val="0"/>
        <w:numPr>
          <w:ilvl w:val="0"/>
          <w:numId w:val="12"/>
        </w:numPr>
        <w:tabs>
          <w:tab w:val="left" w:pos="567"/>
        </w:tabs>
        <w:spacing w:after="0" w:line="240" w:lineRule="auto"/>
        <w:ind w:left="567" w:hanging="567"/>
        <w:rPr>
          <w:rFonts w:ascii="Times New Roman" w:eastAsia="Times New Roman" w:hAnsi="Times New Roman"/>
          <w:noProof/>
          <w:snapToGrid w:val="0"/>
          <w:lang w:val="sk-SK"/>
        </w:rPr>
      </w:pPr>
      <w:r>
        <w:rPr>
          <w:rFonts w:ascii="Times New Roman" w:eastAsia="Times New Roman" w:hAnsi="Times New Roman"/>
          <w:noProof/>
          <w:snapToGrid w:val="0"/>
          <w:lang w:val="sk-SK"/>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26DF5BBC" w14:textId="77777777" w:rsidR="00582954" w:rsidRDefault="00582954">
      <w:pPr>
        <w:widowControl w:val="0"/>
        <w:tabs>
          <w:tab w:val="left" w:pos="567"/>
        </w:tabs>
        <w:spacing w:after="0" w:line="240" w:lineRule="auto"/>
        <w:ind w:left="567"/>
        <w:rPr>
          <w:rFonts w:ascii="Times New Roman" w:eastAsia="Times New Roman" w:hAnsi="Times New Roman"/>
          <w:noProof/>
          <w:snapToGrid w:val="0"/>
          <w:lang w:val="sk-SK"/>
        </w:rPr>
      </w:pPr>
    </w:p>
    <w:p w14:paraId="61CF0879" w14:textId="77777777" w:rsidR="00582954" w:rsidRDefault="00645977">
      <w:pPr>
        <w:widowControl w:val="0"/>
        <w:spacing w:after="0" w:line="240" w:lineRule="auto"/>
        <w:rPr>
          <w:rFonts w:ascii="Times New Roman" w:hAnsi="Times New Roman"/>
          <w:noProof/>
          <w:lang w:val="sk-SK"/>
        </w:rPr>
      </w:pPr>
      <w:r>
        <w:rPr>
          <w:rFonts w:ascii="Times New Roman" w:hAnsi="Times New Roman"/>
          <w:noProof/>
          <w:lang w:val="sk-SK"/>
        </w:rPr>
        <w:lastRenderedPageBreak/>
        <w:t>V prípade, že sa dátum predloženia periodicky aktualizovanej správy o bezpečnosti lieku (PSUR) zhoduje s dátumom aktualizácie RMP, môžu sa predložiť súčasne.</w:t>
      </w:r>
    </w:p>
    <w:p w14:paraId="5E84E73E" w14:textId="77777777" w:rsidR="00582954" w:rsidRDefault="00582954">
      <w:pPr>
        <w:widowControl w:val="0"/>
        <w:spacing w:after="0" w:line="240" w:lineRule="auto"/>
        <w:ind w:right="-1"/>
        <w:rPr>
          <w:rFonts w:ascii="Times New Roman" w:hAnsi="Times New Roman"/>
          <w:szCs w:val="24"/>
          <w:lang w:val="sk-SK"/>
        </w:rPr>
      </w:pPr>
    </w:p>
    <w:p w14:paraId="2BA814D5" w14:textId="77777777" w:rsidR="00582954" w:rsidRDefault="00645977">
      <w:pPr>
        <w:widowControl w:val="0"/>
        <w:spacing w:after="0" w:line="240" w:lineRule="auto"/>
        <w:ind w:right="-1"/>
        <w:rPr>
          <w:rFonts w:ascii="Times New Roman" w:hAnsi="Times New Roman"/>
          <w:i/>
          <w:lang w:val="sk-SK"/>
        </w:rPr>
      </w:pPr>
      <w:r>
        <w:rPr>
          <w:rFonts w:ascii="Times New Roman" w:hAnsi="Times New Roman"/>
          <w:szCs w:val="24"/>
          <w:lang w:val="sk-SK"/>
        </w:rPr>
        <w:t>Aktualizovaný RMP sa predkladá na základe časového harmonogramu schváleného výborom CHMP.</w:t>
      </w:r>
    </w:p>
    <w:p w14:paraId="6A340B04" w14:textId="77777777" w:rsidR="00582954" w:rsidRDefault="00582954">
      <w:pPr>
        <w:widowControl w:val="0"/>
        <w:tabs>
          <w:tab w:val="left" w:pos="567"/>
        </w:tabs>
        <w:spacing w:after="0" w:line="240" w:lineRule="auto"/>
        <w:rPr>
          <w:rFonts w:ascii="Times New Roman" w:eastAsia="Times New Roman" w:hAnsi="Times New Roman"/>
          <w:noProof/>
          <w:snapToGrid w:val="0"/>
          <w:lang w:val="sk-SK"/>
        </w:rPr>
      </w:pPr>
    </w:p>
    <w:p w14:paraId="699777E9" w14:textId="77777777" w:rsidR="00582954" w:rsidRDefault="00645977">
      <w:pPr>
        <w:widowControl w:val="0"/>
        <w:autoSpaceDE w:val="0"/>
        <w:autoSpaceDN w:val="0"/>
        <w:adjustRightInd w:val="0"/>
        <w:spacing w:after="0" w:line="240" w:lineRule="auto"/>
        <w:jc w:val="center"/>
        <w:rPr>
          <w:rFonts w:ascii="Times New Roman" w:hAnsi="Times New Roman"/>
          <w:lang w:val="sk-SK"/>
        </w:rPr>
      </w:pPr>
      <w:r>
        <w:rPr>
          <w:rFonts w:ascii="Times New Roman" w:hAnsi="Times New Roman"/>
          <w:lang w:val="sk-SK"/>
        </w:rPr>
        <w:br w:type="page"/>
      </w:r>
    </w:p>
    <w:p w14:paraId="72E00F37" w14:textId="77777777" w:rsidR="00582954" w:rsidRDefault="00582954">
      <w:pPr>
        <w:widowControl w:val="0"/>
        <w:autoSpaceDE w:val="0"/>
        <w:autoSpaceDN w:val="0"/>
        <w:adjustRightInd w:val="0"/>
        <w:spacing w:after="0" w:line="240" w:lineRule="auto"/>
        <w:jc w:val="center"/>
        <w:rPr>
          <w:rFonts w:ascii="Times New Roman" w:hAnsi="Times New Roman"/>
          <w:lang w:val="sk-SK"/>
        </w:rPr>
      </w:pPr>
    </w:p>
    <w:p w14:paraId="18B4AE90" w14:textId="77777777" w:rsidR="00582954" w:rsidRDefault="00582954">
      <w:pPr>
        <w:widowControl w:val="0"/>
        <w:autoSpaceDE w:val="0"/>
        <w:autoSpaceDN w:val="0"/>
        <w:adjustRightInd w:val="0"/>
        <w:spacing w:after="0" w:line="240" w:lineRule="auto"/>
        <w:jc w:val="center"/>
        <w:rPr>
          <w:rFonts w:ascii="Times New Roman" w:hAnsi="Times New Roman"/>
          <w:lang w:val="sk-SK"/>
        </w:rPr>
      </w:pPr>
    </w:p>
    <w:p w14:paraId="66998E45" w14:textId="77777777" w:rsidR="00582954" w:rsidRDefault="00582954">
      <w:pPr>
        <w:widowControl w:val="0"/>
        <w:autoSpaceDE w:val="0"/>
        <w:autoSpaceDN w:val="0"/>
        <w:adjustRightInd w:val="0"/>
        <w:spacing w:after="0" w:line="240" w:lineRule="auto"/>
        <w:jc w:val="center"/>
        <w:rPr>
          <w:rFonts w:ascii="Times New Roman" w:hAnsi="Times New Roman"/>
          <w:lang w:val="sk-SK"/>
        </w:rPr>
      </w:pPr>
    </w:p>
    <w:p w14:paraId="2BF3E39B" w14:textId="77777777" w:rsidR="00582954" w:rsidRDefault="00582954">
      <w:pPr>
        <w:widowControl w:val="0"/>
        <w:autoSpaceDE w:val="0"/>
        <w:autoSpaceDN w:val="0"/>
        <w:adjustRightInd w:val="0"/>
        <w:spacing w:after="0" w:line="240" w:lineRule="auto"/>
        <w:jc w:val="center"/>
        <w:rPr>
          <w:rFonts w:ascii="Times New Roman" w:hAnsi="Times New Roman"/>
          <w:lang w:val="sk-SK"/>
        </w:rPr>
      </w:pPr>
    </w:p>
    <w:p w14:paraId="466F726C" w14:textId="77777777" w:rsidR="00582954" w:rsidRDefault="00582954">
      <w:pPr>
        <w:widowControl w:val="0"/>
        <w:autoSpaceDE w:val="0"/>
        <w:autoSpaceDN w:val="0"/>
        <w:adjustRightInd w:val="0"/>
        <w:spacing w:after="0" w:line="240" w:lineRule="auto"/>
        <w:jc w:val="center"/>
        <w:rPr>
          <w:rFonts w:ascii="Times New Roman" w:hAnsi="Times New Roman"/>
          <w:lang w:val="sk-SK"/>
        </w:rPr>
      </w:pPr>
    </w:p>
    <w:p w14:paraId="3C856D28" w14:textId="77777777" w:rsidR="00582954" w:rsidRDefault="00582954">
      <w:pPr>
        <w:widowControl w:val="0"/>
        <w:autoSpaceDE w:val="0"/>
        <w:autoSpaceDN w:val="0"/>
        <w:adjustRightInd w:val="0"/>
        <w:spacing w:after="0" w:line="240" w:lineRule="auto"/>
        <w:jc w:val="center"/>
        <w:rPr>
          <w:rFonts w:ascii="Times New Roman" w:hAnsi="Times New Roman"/>
          <w:lang w:val="sk-SK"/>
        </w:rPr>
      </w:pPr>
    </w:p>
    <w:p w14:paraId="65B95BCA" w14:textId="77777777" w:rsidR="00582954" w:rsidRDefault="00582954">
      <w:pPr>
        <w:widowControl w:val="0"/>
        <w:autoSpaceDE w:val="0"/>
        <w:autoSpaceDN w:val="0"/>
        <w:adjustRightInd w:val="0"/>
        <w:spacing w:after="0" w:line="240" w:lineRule="auto"/>
        <w:jc w:val="center"/>
        <w:rPr>
          <w:rFonts w:ascii="Times New Roman" w:hAnsi="Times New Roman"/>
          <w:lang w:val="sk-SK"/>
        </w:rPr>
      </w:pPr>
    </w:p>
    <w:p w14:paraId="1303406F" w14:textId="77777777" w:rsidR="00582954" w:rsidRDefault="00582954">
      <w:pPr>
        <w:widowControl w:val="0"/>
        <w:autoSpaceDE w:val="0"/>
        <w:autoSpaceDN w:val="0"/>
        <w:adjustRightInd w:val="0"/>
        <w:spacing w:after="0" w:line="240" w:lineRule="auto"/>
        <w:jc w:val="center"/>
        <w:rPr>
          <w:rFonts w:ascii="Times New Roman" w:hAnsi="Times New Roman"/>
          <w:lang w:val="sk-SK"/>
        </w:rPr>
      </w:pPr>
    </w:p>
    <w:p w14:paraId="7ECB92F3" w14:textId="77777777" w:rsidR="00582954" w:rsidRDefault="00582954">
      <w:pPr>
        <w:widowControl w:val="0"/>
        <w:autoSpaceDE w:val="0"/>
        <w:autoSpaceDN w:val="0"/>
        <w:adjustRightInd w:val="0"/>
        <w:spacing w:after="0" w:line="240" w:lineRule="auto"/>
        <w:jc w:val="center"/>
        <w:rPr>
          <w:rFonts w:ascii="Times New Roman" w:hAnsi="Times New Roman"/>
          <w:lang w:val="sk-SK"/>
        </w:rPr>
      </w:pPr>
    </w:p>
    <w:p w14:paraId="62D1700F" w14:textId="77777777" w:rsidR="00582954" w:rsidRDefault="00582954">
      <w:pPr>
        <w:widowControl w:val="0"/>
        <w:autoSpaceDE w:val="0"/>
        <w:autoSpaceDN w:val="0"/>
        <w:adjustRightInd w:val="0"/>
        <w:spacing w:after="0" w:line="240" w:lineRule="auto"/>
        <w:jc w:val="center"/>
        <w:rPr>
          <w:rFonts w:ascii="Times New Roman" w:hAnsi="Times New Roman"/>
          <w:lang w:val="sk-SK"/>
        </w:rPr>
      </w:pPr>
    </w:p>
    <w:p w14:paraId="17C4CBFD" w14:textId="77777777" w:rsidR="00582954" w:rsidRDefault="00582954">
      <w:pPr>
        <w:widowControl w:val="0"/>
        <w:autoSpaceDE w:val="0"/>
        <w:autoSpaceDN w:val="0"/>
        <w:adjustRightInd w:val="0"/>
        <w:spacing w:after="0" w:line="240" w:lineRule="auto"/>
        <w:jc w:val="center"/>
        <w:rPr>
          <w:rFonts w:ascii="Times New Roman" w:hAnsi="Times New Roman"/>
          <w:lang w:val="sk-SK"/>
        </w:rPr>
      </w:pPr>
    </w:p>
    <w:p w14:paraId="73D268E5" w14:textId="77777777" w:rsidR="00582954" w:rsidRDefault="00582954">
      <w:pPr>
        <w:widowControl w:val="0"/>
        <w:autoSpaceDE w:val="0"/>
        <w:autoSpaceDN w:val="0"/>
        <w:adjustRightInd w:val="0"/>
        <w:spacing w:after="0" w:line="240" w:lineRule="auto"/>
        <w:jc w:val="center"/>
        <w:rPr>
          <w:rFonts w:ascii="Times New Roman" w:hAnsi="Times New Roman"/>
          <w:lang w:val="sk-SK"/>
        </w:rPr>
      </w:pPr>
    </w:p>
    <w:p w14:paraId="6A0F1E09" w14:textId="77777777" w:rsidR="00582954" w:rsidRDefault="00582954">
      <w:pPr>
        <w:widowControl w:val="0"/>
        <w:autoSpaceDE w:val="0"/>
        <w:autoSpaceDN w:val="0"/>
        <w:adjustRightInd w:val="0"/>
        <w:spacing w:after="0" w:line="240" w:lineRule="auto"/>
        <w:jc w:val="center"/>
        <w:rPr>
          <w:rFonts w:ascii="Times New Roman" w:hAnsi="Times New Roman"/>
          <w:lang w:val="sk-SK"/>
        </w:rPr>
      </w:pPr>
    </w:p>
    <w:p w14:paraId="6100416B" w14:textId="77777777" w:rsidR="00582954" w:rsidRDefault="00582954">
      <w:pPr>
        <w:widowControl w:val="0"/>
        <w:autoSpaceDE w:val="0"/>
        <w:autoSpaceDN w:val="0"/>
        <w:adjustRightInd w:val="0"/>
        <w:spacing w:after="0" w:line="240" w:lineRule="auto"/>
        <w:jc w:val="center"/>
        <w:rPr>
          <w:rFonts w:ascii="Times New Roman" w:hAnsi="Times New Roman"/>
          <w:lang w:val="sk-SK"/>
        </w:rPr>
      </w:pPr>
    </w:p>
    <w:p w14:paraId="61DA9344" w14:textId="77777777" w:rsidR="00582954" w:rsidRDefault="00582954">
      <w:pPr>
        <w:widowControl w:val="0"/>
        <w:autoSpaceDE w:val="0"/>
        <w:autoSpaceDN w:val="0"/>
        <w:adjustRightInd w:val="0"/>
        <w:spacing w:after="0" w:line="240" w:lineRule="auto"/>
        <w:jc w:val="center"/>
        <w:rPr>
          <w:rFonts w:ascii="Times New Roman" w:hAnsi="Times New Roman"/>
          <w:lang w:val="sk-SK"/>
        </w:rPr>
      </w:pPr>
    </w:p>
    <w:p w14:paraId="1950790A" w14:textId="77777777" w:rsidR="00582954" w:rsidRDefault="00582954">
      <w:pPr>
        <w:widowControl w:val="0"/>
        <w:autoSpaceDE w:val="0"/>
        <w:autoSpaceDN w:val="0"/>
        <w:adjustRightInd w:val="0"/>
        <w:spacing w:after="0" w:line="240" w:lineRule="auto"/>
        <w:jc w:val="center"/>
        <w:rPr>
          <w:rFonts w:ascii="Times New Roman" w:hAnsi="Times New Roman"/>
          <w:lang w:val="sk-SK"/>
        </w:rPr>
      </w:pPr>
    </w:p>
    <w:p w14:paraId="3F40263C" w14:textId="77777777" w:rsidR="00582954" w:rsidRDefault="00582954">
      <w:pPr>
        <w:widowControl w:val="0"/>
        <w:autoSpaceDE w:val="0"/>
        <w:autoSpaceDN w:val="0"/>
        <w:adjustRightInd w:val="0"/>
        <w:spacing w:after="0" w:line="240" w:lineRule="auto"/>
        <w:jc w:val="center"/>
        <w:rPr>
          <w:rFonts w:ascii="Times New Roman" w:hAnsi="Times New Roman"/>
          <w:lang w:val="sk-SK"/>
        </w:rPr>
      </w:pPr>
    </w:p>
    <w:p w14:paraId="1B07AF14" w14:textId="77777777" w:rsidR="00582954" w:rsidRDefault="00582954">
      <w:pPr>
        <w:widowControl w:val="0"/>
        <w:autoSpaceDE w:val="0"/>
        <w:autoSpaceDN w:val="0"/>
        <w:adjustRightInd w:val="0"/>
        <w:spacing w:after="0" w:line="240" w:lineRule="auto"/>
        <w:jc w:val="center"/>
        <w:rPr>
          <w:rFonts w:ascii="Times New Roman" w:hAnsi="Times New Roman"/>
          <w:lang w:val="sk-SK"/>
        </w:rPr>
      </w:pPr>
    </w:p>
    <w:p w14:paraId="10D45F98" w14:textId="77777777" w:rsidR="00582954" w:rsidRDefault="00582954">
      <w:pPr>
        <w:widowControl w:val="0"/>
        <w:autoSpaceDE w:val="0"/>
        <w:autoSpaceDN w:val="0"/>
        <w:adjustRightInd w:val="0"/>
        <w:spacing w:after="0" w:line="240" w:lineRule="auto"/>
        <w:jc w:val="center"/>
        <w:rPr>
          <w:rFonts w:ascii="Times New Roman" w:hAnsi="Times New Roman"/>
          <w:lang w:val="sk-SK"/>
        </w:rPr>
      </w:pPr>
    </w:p>
    <w:p w14:paraId="3E640F14" w14:textId="77777777" w:rsidR="00582954" w:rsidRDefault="00582954">
      <w:pPr>
        <w:widowControl w:val="0"/>
        <w:autoSpaceDE w:val="0"/>
        <w:autoSpaceDN w:val="0"/>
        <w:adjustRightInd w:val="0"/>
        <w:spacing w:after="0" w:line="240" w:lineRule="auto"/>
        <w:jc w:val="center"/>
        <w:rPr>
          <w:rFonts w:ascii="Times New Roman" w:hAnsi="Times New Roman"/>
          <w:lang w:val="sk-SK"/>
        </w:rPr>
      </w:pPr>
    </w:p>
    <w:p w14:paraId="1FA34956" w14:textId="77777777" w:rsidR="00582954" w:rsidRDefault="00582954">
      <w:pPr>
        <w:widowControl w:val="0"/>
        <w:autoSpaceDE w:val="0"/>
        <w:autoSpaceDN w:val="0"/>
        <w:adjustRightInd w:val="0"/>
        <w:spacing w:after="0" w:line="240" w:lineRule="auto"/>
        <w:jc w:val="center"/>
        <w:rPr>
          <w:rFonts w:ascii="Times New Roman" w:hAnsi="Times New Roman"/>
          <w:lang w:val="sk-SK"/>
        </w:rPr>
      </w:pPr>
    </w:p>
    <w:p w14:paraId="56411E44" w14:textId="77777777" w:rsidR="00582954" w:rsidRDefault="00582954">
      <w:pPr>
        <w:widowControl w:val="0"/>
        <w:autoSpaceDE w:val="0"/>
        <w:autoSpaceDN w:val="0"/>
        <w:adjustRightInd w:val="0"/>
        <w:spacing w:after="0" w:line="240" w:lineRule="auto"/>
        <w:jc w:val="center"/>
        <w:rPr>
          <w:rFonts w:ascii="Times New Roman" w:hAnsi="Times New Roman"/>
          <w:lang w:val="sk-SK"/>
        </w:rPr>
      </w:pPr>
    </w:p>
    <w:p w14:paraId="1B32EF1F" w14:textId="77777777" w:rsidR="00582954" w:rsidRDefault="00645977">
      <w:pPr>
        <w:widowControl w:val="0"/>
        <w:autoSpaceDE w:val="0"/>
        <w:autoSpaceDN w:val="0"/>
        <w:adjustRightInd w:val="0"/>
        <w:spacing w:after="0" w:line="240" w:lineRule="auto"/>
        <w:jc w:val="center"/>
        <w:rPr>
          <w:rFonts w:ascii="Times New Roman" w:hAnsi="Times New Roman"/>
          <w:b/>
          <w:bCs/>
          <w:lang w:val="sk-SK"/>
        </w:rPr>
      </w:pPr>
      <w:r>
        <w:rPr>
          <w:rFonts w:ascii="Times New Roman" w:hAnsi="Times New Roman"/>
          <w:b/>
          <w:bCs/>
          <w:lang w:val="sk-SK"/>
        </w:rPr>
        <w:t>PRÍLOHA III</w:t>
      </w:r>
    </w:p>
    <w:p w14:paraId="0C0C38A1" w14:textId="77777777" w:rsidR="00582954" w:rsidRDefault="00582954">
      <w:pPr>
        <w:widowControl w:val="0"/>
        <w:autoSpaceDE w:val="0"/>
        <w:autoSpaceDN w:val="0"/>
        <w:adjustRightInd w:val="0"/>
        <w:spacing w:after="0" w:line="240" w:lineRule="auto"/>
        <w:jc w:val="center"/>
        <w:rPr>
          <w:rFonts w:ascii="Times New Roman" w:hAnsi="Times New Roman"/>
          <w:b/>
          <w:bCs/>
          <w:lang w:val="sk-SK"/>
        </w:rPr>
      </w:pPr>
    </w:p>
    <w:p w14:paraId="4BE52D16" w14:textId="77777777" w:rsidR="00582954" w:rsidRDefault="00645977">
      <w:pPr>
        <w:widowControl w:val="0"/>
        <w:autoSpaceDE w:val="0"/>
        <w:autoSpaceDN w:val="0"/>
        <w:adjustRightInd w:val="0"/>
        <w:spacing w:after="0" w:line="240" w:lineRule="auto"/>
        <w:jc w:val="center"/>
        <w:rPr>
          <w:rFonts w:ascii="Times New Roman" w:hAnsi="Times New Roman"/>
          <w:b/>
          <w:bCs/>
          <w:lang w:val="sk-SK"/>
        </w:rPr>
      </w:pPr>
      <w:r>
        <w:rPr>
          <w:rFonts w:ascii="Times New Roman" w:hAnsi="Times New Roman"/>
          <w:b/>
          <w:bCs/>
          <w:lang w:val="sk-SK"/>
        </w:rPr>
        <w:t>OZNAČENIE OBALU A PÍSOMNÁ INFORMÁCIA PRE POUŽÍVATEĽA</w:t>
      </w:r>
    </w:p>
    <w:p w14:paraId="31FF9277" w14:textId="77777777" w:rsidR="00582954" w:rsidRDefault="00582954">
      <w:pPr>
        <w:widowControl w:val="0"/>
        <w:autoSpaceDE w:val="0"/>
        <w:autoSpaceDN w:val="0"/>
        <w:adjustRightInd w:val="0"/>
        <w:spacing w:after="0" w:line="240" w:lineRule="auto"/>
        <w:jc w:val="center"/>
        <w:rPr>
          <w:rFonts w:ascii="Times New Roman" w:hAnsi="Times New Roman"/>
          <w:b/>
          <w:bCs/>
          <w:lang w:val="sk-SK"/>
        </w:rPr>
      </w:pPr>
    </w:p>
    <w:p w14:paraId="34A2A12B" w14:textId="77777777" w:rsidR="00582954" w:rsidRDefault="00645977">
      <w:pPr>
        <w:widowControl w:val="0"/>
        <w:autoSpaceDE w:val="0"/>
        <w:autoSpaceDN w:val="0"/>
        <w:adjustRightInd w:val="0"/>
        <w:spacing w:after="0" w:line="240" w:lineRule="auto"/>
        <w:jc w:val="center"/>
        <w:rPr>
          <w:rFonts w:ascii="Times New Roman" w:hAnsi="Times New Roman"/>
          <w:b/>
          <w:bCs/>
          <w:lang w:val="sk-SK"/>
        </w:rPr>
      </w:pPr>
      <w:r>
        <w:rPr>
          <w:rFonts w:ascii="Times New Roman" w:hAnsi="Times New Roman"/>
          <w:b/>
          <w:bCs/>
          <w:lang w:val="sk-SK"/>
        </w:rPr>
        <w:br w:type="page"/>
      </w:r>
    </w:p>
    <w:p w14:paraId="5E0DC277" w14:textId="77777777" w:rsidR="00582954" w:rsidRDefault="00582954">
      <w:pPr>
        <w:widowControl w:val="0"/>
        <w:autoSpaceDE w:val="0"/>
        <w:autoSpaceDN w:val="0"/>
        <w:adjustRightInd w:val="0"/>
        <w:spacing w:after="0" w:line="240" w:lineRule="auto"/>
        <w:jc w:val="center"/>
        <w:rPr>
          <w:rFonts w:ascii="Times New Roman" w:hAnsi="Times New Roman"/>
          <w:b/>
          <w:bCs/>
          <w:lang w:val="sk-SK"/>
        </w:rPr>
      </w:pPr>
    </w:p>
    <w:p w14:paraId="50EA32E2" w14:textId="77777777" w:rsidR="00582954" w:rsidRDefault="00582954">
      <w:pPr>
        <w:widowControl w:val="0"/>
        <w:autoSpaceDE w:val="0"/>
        <w:autoSpaceDN w:val="0"/>
        <w:adjustRightInd w:val="0"/>
        <w:spacing w:after="0" w:line="240" w:lineRule="auto"/>
        <w:jc w:val="center"/>
        <w:rPr>
          <w:rFonts w:ascii="Times New Roman" w:hAnsi="Times New Roman"/>
          <w:b/>
          <w:bCs/>
          <w:lang w:val="sk-SK"/>
        </w:rPr>
      </w:pPr>
    </w:p>
    <w:p w14:paraId="43AEF845" w14:textId="77777777" w:rsidR="00582954" w:rsidRDefault="00582954">
      <w:pPr>
        <w:widowControl w:val="0"/>
        <w:autoSpaceDE w:val="0"/>
        <w:autoSpaceDN w:val="0"/>
        <w:adjustRightInd w:val="0"/>
        <w:spacing w:after="0" w:line="240" w:lineRule="auto"/>
        <w:jc w:val="center"/>
        <w:rPr>
          <w:rFonts w:ascii="Times New Roman" w:hAnsi="Times New Roman"/>
          <w:b/>
          <w:bCs/>
          <w:lang w:val="sk-SK"/>
        </w:rPr>
      </w:pPr>
    </w:p>
    <w:p w14:paraId="2A7745AF" w14:textId="77777777" w:rsidR="00582954" w:rsidRDefault="00582954">
      <w:pPr>
        <w:widowControl w:val="0"/>
        <w:autoSpaceDE w:val="0"/>
        <w:autoSpaceDN w:val="0"/>
        <w:adjustRightInd w:val="0"/>
        <w:spacing w:after="0" w:line="240" w:lineRule="auto"/>
        <w:jc w:val="center"/>
        <w:rPr>
          <w:rFonts w:ascii="Times New Roman" w:hAnsi="Times New Roman"/>
          <w:b/>
          <w:bCs/>
          <w:lang w:val="sk-SK"/>
        </w:rPr>
      </w:pPr>
    </w:p>
    <w:p w14:paraId="3CB92384" w14:textId="77777777" w:rsidR="00582954" w:rsidRDefault="00582954">
      <w:pPr>
        <w:widowControl w:val="0"/>
        <w:autoSpaceDE w:val="0"/>
        <w:autoSpaceDN w:val="0"/>
        <w:adjustRightInd w:val="0"/>
        <w:spacing w:after="0" w:line="240" w:lineRule="auto"/>
        <w:jc w:val="center"/>
        <w:rPr>
          <w:rFonts w:ascii="Times New Roman" w:hAnsi="Times New Roman"/>
          <w:b/>
          <w:bCs/>
          <w:lang w:val="sk-SK"/>
        </w:rPr>
      </w:pPr>
    </w:p>
    <w:p w14:paraId="259449BC" w14:textId="77777777" w:rsidR="00582954" w:rsidRDefault="00582954">
      <w:pPr>
        <w:widowControl w:val="0"/>
        <w:autoSpaceDE w:val="0"/>
        <w:autoSpaceDN w:val="0"/>
        <w:adjustRightInd w:val="0"/>
        <w:spacing w:after="0" w:line="240" w:lineRule="auto"/>
        <w:jc w:val="center"/>
        <w:rPr>
          <w:rFonts w:ascii="Times New Roman" w:hAnsi="Times New Roman"/>
          <w:b/>
          <w:bCs/>
          <w:lang w:val="sk-SK"/>
        </w:rPr>
      </w:pPr>
    </w:p>
    <w:p w14:paraId="44DD6F6A" w14:textId="77777777" w:rsidR="00582954" w:rsidRDefault="00582954">
      <w:pPr>
        <w:widowControl w:val="0"/>
        <w:autoSpaceDE w:val="0"/>
        <w:autoSpaceDN w:val="0"/>
        <w:adjustRightInd w:val="0"/>
        <w:spacing w:after="0" w:line="240" w:lineRule="auto"/>
        <w:jc w:val="center"/>
        <w:rPr>
          <w:rFonts w:ascii="Times New Roman" w:hAnsi="Times New Roman"/>
          <w:b/>
          <w:bCs/>
          <w:lang w:val="sk-SK"/>
        </w:rPr>
      </w:pPr>
    </w:p>
    <w:p w14:paraId="7E07FF3C" w14:textId="77777777" w:rsidR="00582954" w:rsidRDefault="00582954">
      <w:pPr>
        <w:widowControl w:val="0"/>
        <w:autoSpaceDE w:val="0"/>
        <w:autoSpaceDN w:val="0"/>
        <w:adjustRightInd w:val="0"/>
        <w:spacing w:after="0" w:line="240" w:lineRule="auto"/>
        <w:jc w:val="center"/>
        <w:rPr>
          <w:rFonts w:ascii="Times New Roman" w:hAnsi="Times New Roman"/>
          <w:b/>
          <w:bCs/>
          <w:lang w:val="sk-SK"/>
        </w:rPr>
      </w:pPr>
    </w:p>
    <w:p w14:paraId="13D796D0" w14:textId="77777777" w:rsidR="00582954" w:rsidRDefault="00582954">
      <w:pPr>
        <w:widowControl w:val="0"/>
        <w:autoSpaceDE w:val="0"/>
        <w:autoSpaceDN w:val="0"/>
        <w:adjustRightInd w:val="0"/>
        <w:spacing w:after="0" w:line="240" w:lineRule="auto"/>
        <w:jc w:val="center"/>
        <w:rPr>
          <w:rFonts w:ascii="Times New Roman" w:hAnsi="Times New Roman"/>
          <w:b/>
          <w:bCs/>
          <w:lang w:val="sk-SK"/>
        </w:rPr>
      </w:pPr>
    </w:p>
    <w:p w14:paraId="50C16056" w14:textId="77777777" w:rsidR="00582954" w:rsidRDefault="00582954">
      <w:pPr>
        <w:widowControl w:val="0"/>
        <w:autoSpaceDE w:val="0"/>
        <w:autoSpaceDN w:val="0"/>
        <w:adjustRightInd w:val="0"/>
        <w:spacing w:after="0" w:line="240" w:lineRule="auto"/>
        <w:jc w:val="center"/>
        <w:rPr>
          <w:rFonts w:ascii="Times New Roman" w:hAnsi="Times New Roman"/>
          <w:b/>
          <w:bCs/>
          <w:lang w:val="sk-SK"/>
        </w:rPr>
      </w:pPr>
    </w:p>
    <w:p w14:paraId="2599949E" w14:textId="77777777" w:rsidR="00582954" w:rsidRDefault="00582954">
      <w:pPr>
        <w:widowControl w:val="0"/>
        <w:autoSpaceDE w:val="0"/>
        <w:autoSpaceDN w:val="0"/>
        <w:adjustRightInd w:val="0"/>
        <w:spacing w:after="0" w:line="240" w:lineRule="auto"/>
        <w:jc w:val="center"/>
        <w:rPr>
          <w:rFonts w:ascii="Times New Roman" w:hAnsi="Times New Roman"/>
          <w:b/>
          <w:bCs/>
          <w:lang w:val="sk-SK"/>
        </w:rPr>
      </w:pPr>
    </w:p>
    <w:p w14:paraId="0FE72EEB" w14:textId="77777777" w:rsidR="00582954" w:rsidRDefault="00582954">
      <w:pPr>
        <w:widowControl w:val="0"/>
        <w:autoSpaceDE w:val="0"/>
        <w:autoSpaceDN w:val="0"/>
        <w:adjustRightInd w:val="0"/>
        <w:spacing w:after="0" w:line="240" w:lineRule="auto"/>
        <w:jc w:val="center"/>
        <w:rPr>
          <w:rFonts w:ascii="Times New Roman" w:hAnsi="Times New Roman"/>
          <w:b/>
          <w:bCs/>
          <w:lang w:val="sk-SK"/>
        </w:rPr>
      </w:pPr>
    </w:p>
    <w:p w14:paraId="32FFA5B8" w14:textId="77777777" w:rsidR="00582954" w:rsidRDefault="00582954">
      <w:pPr>
        <w:widowControl w:val="0"/>
        <w:autoSpaceDE w:val="0"/>
        <w:autoSpaceDN w:val="0"/>
        <w:adjustRightInd w:val="0"/>
        <w:spacing w:after="0" w:line="240" w:lineRule="auto"/>
        <w:jc w:val="center"/>
        <w:rPr>
          <w:rFonts w:ascii="Times New Roman" w:hAnsi="Times New Roman"/>
          <w:b/>
          <w:bCs/>
          <w:lang w:val="sk-SK"/>
        </w:rPr>
      </w:pPr>
    </w:p>
    <w:p w14:paraId="14854E1A" w14:textId="77777777" w:rsidR="00582954" w:rsidRDefault="00582954">
      <w:pPr>
        <w:widowControl w:val="0"/>
        <w:autoSpaceDE w:val="0"/>
        <w:autoSpaceDN w:val="0"/>
        <w:adjustRightInd w:val="0"/>
        <w:spacing w:after="0" w:line="240" w:lineRule="auto"/>
        <w:jc w:val="center"/>
        <w:rPr>
          <w:rFonts w:ascii="Times New Roman" w:hAnsi="Times New Roman"/>
          <w:b/>
          <w:bCs/>
          <w:lang w:val="sk-SK"/>
        </w:rPr>
      </w:pPr>
    </w:p>
    <w:p w14:paraId="5911EF25" w14:textId="77777777" w:rsidR="00582954" w:rsidRDefault="00582954">
      <w:pPr>
        <w:widowControl w:val="0"/>
        <w:autoSpaceDE w:val="0"/>
        <w:autoSpaceDN w:val="0"/>
        <w:adjustRightInd w:val="0"/>
        <w:spacing w:after="0" w:line="240" w:lineRule="auto"/>
        <w:jc w:val="center"/>
        <w:rPr>
          <w:rFonts w:ascii="Times New Roman" w:hAnsi="Times New Roman"/>
          <w:b/>
          <w:bCs/>
          <w:lang w:val="sk-SK"/>
        </w:rPr>
      </w:pPr>
    </w:p>
    <w:p w14:paraId="20104505" w14:textId="77777777" w:rsidR="00582954" w:rsidRDefault="00582954">
      <w:pPr>
        <w:widowControl w:val="0"/>
        <w:autoSpaceDE w:val="0"/>
        <w:autoSpaceDN w:val="0"/>
        <w:adjustRightInd w:val="0"/>
        <w:spacing w:after="0" w:line="240" w:lineRule="auto"/>
        <w:jc w:val="center"/>
        <w:rPr>
          <w:rFonts w:ascii="Times New Roman" w:hAnsi="Times New Roman"/>
          <w:b/>
          <w:bCs/>
          <w:lang w:val="sk-SK"/>
        </w:rPr>
      </w:pPr>
    </w:p>
    <w:p w14:paraId="2B349DD8" w14:textId="77777777" w:rsidR="00582954" w:rsidRDefault="00582954">
      <w:pPr>
        <w:widowControl w:val="0"/>
        <w:autoSpaceDE w:val="0"/>
        <w:autoSpaceDN w:val="0"/>
        <w:adjustRightInd w:val="0"/>
        <w:spacing w:after="0" w:line="240" w:lineRule="auto"/>
        <w:jc w:val="center"/>
        <w:rPr>
          <w:rFonts w:ascii="Times New Roman" w:hAnsi="Times New Roman"/>
          <w:b/>
          <w:bCs/>
          <w:lang w:val="sk-SK"/>
        </w:rPr>
      </w:pPr>
    </w:p>
    <w:p w14:paraId="1C9836D2" w14:textId="77777777" w:rsidR="00582954" w:rsidRDefault="00582954">
      <w:pPr>
        <w:widowControl w:val="0"/>
        <w:autoSpaceDE w:val="0"/>
        <w:autoSpaceDN w:val="0"/>
        <w:adjustRightInd w:val="0"/>
        <w:spacing w:after="0" w:line="240" w:lineRule="auto"/>
        <w:jc w:val="center"/>
        <w:rPr>
          <w:rFonts w:ascii="Times New Roman" w:hAnsi="Times New Roman"/>
          <w:b/>
          <w:bCs/>
          <w:lang w:val="sk-SK"/>
        </w:rPr>
      </w:pPr>
    </w:p>
    <w:p w14:paraId="167BD77B" w14:textId="77777777" w:rsidR="00582954" w:rsidRDefault="00582954">
      <w:pPr>
        <w:widowControl w:val="0"/>
        <w:autoSpaceDE w:val="0"/>
        <w:autoSpaceDN w:val="0"/>
        <w:adjustRightInd w:val="0"/>
        <w:spacing w:after="0" w:line="240" w:lineRule="auto"/>
        <w:jc w:val="center"/>
        <w:rPr>
          <w:rFonts w:ascii="Times New Roman" w:hAnsi="Times New Roman"/>
          <w:b/>
          <w:bCs/>
          <w:lang w:val="sk-SK"/>
        </w:rPr>
      </w:pPr>
    </w:p>
    <w:p w14:paraId="28063E36" w14:textId="77777777" w:rsidR="00582954" w:rsidRDefault="00582954">
      <w:pPr>
        <w:widowControl w:val="0"/>
        <w:autoSpaceDE w:val="0"/>
        <w:autoSpaceDN w:val="0"/>
        <w:adjustRightInd w:val="0"/>
        <w:spacing w:after="0" w:line="240" w:lineRule="auto"/>
        <w:jc w:val="center"/>
        <w:rPr>
          <w:rFonts w:ascii="Times New Roman" w:hAnsi="Times New Roman"/>
          <w:b/>
          <w:bCs/>
          <w:lang w:val="sk-SK"/>
        </w:rPr>
      </w:pPr>
    </w:p>
    <w:p w14:paraId="128D5DC2" w14:textId="77777777" w:rsidR="00582954" w:rsidRDefault="00582954">
      <w:pPr>
        <w:widowControl w:val="0"/>
        <w:autoSpaceDE w:val="0"/>
        <w:autoSpaceDN w:val="0"/>
        <w:adjustRightInd w:val="0"/>
        <w:spacing w:after="0" w:line="240" w:lineRule="auto"/>
        <w:jc w:val="center"/>
        <w:rPr>
          <w:rFonts w:ascii="Times New Roman" w:hAnsi="Times New Roman"/>
          <w:b/>
          <w:bCs/>
          <w:lang w:val="sk-SK"/>
        </w:rPr>
      </w:pPr>
    </w:p>
    <w:p w14:paraId="5452A189" w14:textId="77777777" w:rsidR="00582954" w:rsidRDefault="00582954">
      <w:pPr>
        <w:widowControl w:val="0"/>
        <w:autoSpaceDE w:val="0"/>
        <w:autoSpaceDN w:val="0"/>
        <w:adjustRightInd w:val="0"/>
        <w:spacing w:after="0" w:line="240" w:lineRule="auto"/>
        <w:jc w:val="center"/>
        <w:rPr>
          <w:rFonts w:ascii="Times New Roman" w:hAnsi="Times New Roman"/>
          <w:b/>
          <w:bCs/>
          <w:lang w:val="sk-SK"/>
        </w:rPr>
      </w:pPr>
    </w:p>
    <w:p w14:paraId="010BD83E" w14:textId="77777777" w:rsidR="00582954" w:rsidRDefault="00645977">
      <w:pPr>
        <w:pStyle w:val="TitleA"/>
        <w:rPr>
          <w:lang w:val="sk-SK"/>
        </w:rPr>
      </w:pPr>
      <w:r>
        <w:rPr>
          <w:lang w:val="sk-SK"/>
        </w:rPr>
        <w:t>A. OZNAČENIE OBALU</w:t>
      </w:r>
    </w:p>
    <w:p w14:paraId="3E738356" w14:textId="77777777" w:rsidR="00582954" w:rsidRDefault="00645977">
      <w:pPr>
        <w:widowControl w:val="0"/>
        <w:pBdr>
          <w:top w:val="single" w:sz="4" w:space="5"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lang w:val="sk-SK"/>
        </w:rPr>
      </w:pPr>
      <w:r>
        <w:rPr>
          <w:rFonts w:ascii="Times New Roman" w:hAnsi="Times New Roman"/>
          <w:b/>
          <w:bCs/>
          <w:lang w:val="sk-SK"/>
        </w:rPr>
        <w:br w:type="page"/>
      </w:r>
      <w:r>
        <w:rPr>
          <w:rFonts w:ascii="Times New Roman" w:hAnsi="Times New Roman"/>
          <w:b/>
          <w:bCs/>
          <w:lang w:val="sk-SK"/>
        </w:rPr>
        <w:lastRenderedPageBreak/>
        <w:t>ÚDAJE, KTORÉ MAJÚ UVEDENÉ NA VONKAJŠOM OBALE A VNÚTORNOM OBALE</w:t>
      </w:r>
    </w:p>
    <w:p w14:paraId="708258A6" w14:textId="77777777" w:rsidR="00582954" w:rsidRDefault="00582954">
      <w:pPr>
        <w:widowControl w:val="0"/>
        <w:pBdr>
          <w:top w:val="single" w:sz="4" w:space="5"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lang w:val="sk-SK"/>
        </w:rPr>
      </w:pPr>
    </w:p>
    <w:p w14:paraId="538FDEE0" w14:textId="77777777" w:rsidR="00582954" w:rsidRDefault="00645977">
      <w:pPr>
        <w:widowControl w:val="0"/>
        <w:pBdr>
          <w:top w:val="single" w:sz="4" w:space="5"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lang w:val="sk-SK"/>
        </w:rPr>
      </w:pPr>
      <w:r>
        <w:rPr>
          <w:rFonts w:ascii="Times New Roman" w:hAnsi="Times New Roman"/>
          <w:b/>
          <w:bCs/>
          <w:lang w:val="sk-SK"/>
        </w:rPr>
        <w:t>ŠKATUĽKA</w:t>
      </w:r>
    </w:p>
    <w:p w14:paraId="516619E8" w14:textId="77777777" w:rsidR="00582954" w:rsidRDefault="00582954">
      <w:pPr>
        <w:widowControl w:val="0"/>
        <w:spacing w:after="0" w:line="240" w:lineRule="auto"/>
        <w:contextualSpacing/>
        <w:rPr>
          <w:rFonts w:ascii="Times New Roman" w:hAnsi="Times New Roman"/>
          <w:lang w:val="sk-SK"/>
        </w:rPr>
      </w:pPr>
    </w:p>
    <w:p w14:paraId="54FCADA6" w14:textId="77777777" w:rsidR="00582954" w:rsidRDefault="00582954">
      <w:pPr>
        <w:widowControl w:val="0"/>
        <w:spacing w:after="0" w:line="240" w:lineRule="auto"/>
        <w:contextualSpacing/>
        <w:rPr>
          <w:rFonts w:ascii="Times New Roman" w:hAnsi="Times New Roman"/>
          <w:lang w:val="sk-SK"/>
        </w:rPr>
      </w:pPr>
    </w:p>
    <w:p w14:paraId="7C9EA75F" w14:textId="77777777" w:rsidR="00582954" w:rsidRDefault="00645977">
      <w:pPr>
        <w:widowControl w:val="0"/>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contextualSpacing/>
        <w:rPr>
          <w:rFonts w:ascii="Times New Roman" w:hAnsi="Times New Roman"/>
          <w:b/>
          <w:lang w:val="sk-SK"/>
        </w:rPr>
      </w:pPr>
      <w:r>
        <w:rPr>
          <w:rFonts w:ascii="Times New Roman" w:hAnsi="Times New Roman"/>
          <w:b/>
          <w:lang w:val="sk-SK"/>
        </w:rPr>
        <w:t>NÁZOV LIEKU</w:t>
      </w:r>
    </w:p>
    <w:p w14:paraId="6D87E131" w14:textId="77777777" w:rsidR="00582954" w:rsidRDefault="00582954">
      <w:pPr>
        <w:widowControl w:val="0"/>
        <w:spacing w:after="0" w:line="240" w:lineRule="auto"/>
        <w:rPr>
          <w:rFonts w:ascii="Times New Roman" w:hAnsi="Times New Roman"/>
          <w:lang w:val="sk-SK"/>
        </w:rPr>
      </w:pPr>
    </w:p>
    <w:p w14:paraId="10D71468"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Tolucombi 40 mg/12,5 mg tablety</w:t>
      </w:r>
    </w:p>
    <w:p w14:paraId="26369A26"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telmisartan/hydrochlórtiazid</w:t>
      </w:r>
    </w:p>
    <w:p w14:paraId="17C45868" w14:textId="77777777" w:rsidR="00582954" w:rsidRDefault="00582954">
      <w:pPr>
        <w:widowControl w:val="0"/>
        <w:spacing w:after="0" w:line="240" w:lineRule="auto"/>
        <w:rPr>
          <w:rFonts w:ascii="Times New Roman" w:hAnsi="Times New Roman"/>
          <w:lang w:val="sk-SK"/>
        </w:rPr>
      </w:pPr>
    </w:p>
    <w:p w14:paraId="628054E3" w14:textId="77777777" w:rsidR="00582954" w:rsidRDefault="00582954">
      <w:pPr>
        <w:widowControl w:val="0"/>
        <w:spacing w:after="0" w:line="240" w:lineRule="auto"/>
        <w:rPr>
          <w:rFonts w:ascii="Times New Roman" w:hAnsi="Times New Roman"/>
          <w:lang w:val="sk-SK"/>
        </w:rPr>
      </w:pPr>
    </w:p>
    <w:p w14:paraId="704570C3" w14:textId="77777777" w:rsidR="00582954" w:rsidRDefault="00645977">
      <w:pPr>
        <w:widowControl w:val="0"/>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imes New Roman" w:hAnsi="Times New Roman"/>
          <w:b/>
          <w:lang w:val="sk-SK"/>
        </w:rPr>
      </w:pPr>
      <w:r>
        <w:rPr>
          <w:rFonts w:ascii="Times New Roman" w:hAnsi="Times New Roman"/>
          <w:b/>
          <w:lang w:val="sk-SK"/>
        </w:rPr>
        <w:t>LIEČIVO (LIEČIVÁ)</w:t>
      </w:r>
    </w:p>
    <w:p w14:paraId="3303E30D" w14:textId="77777777" w:rsidR="00582954" w:rsidRDefault="00582954">
      <w:pPr>
        <w:widowControl w:val="0"/>
        <w:spacing w:after="0" w:line="240" w:lineRule="auto"/>
        <w:rPr>
          <w:rFonts w:ascii="Times New Roman" w:hAnsi="Times New Roman"/>
          <w:lang w:val="sk-SK"/>
        </w:rPr>
      </w:pPr>
    </w:p>
    <w:p w14:paraId="372A2717"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Každá tableta obsahuje 40 mg telmisartanu a 12,5 mg hydrochlórtiazidu.</w:t>
      </w:r>
    </w:p>
    <w:p w14:paraId="672A6E20" w14:textId="77777777" w:rsidR="00582954" w:rsidRDefault="00582954">
      <w:pPr>
        <w:widowControl w:val="0"/>
        <w:spacing w:after="0" w:line="240" w:lineRule="auto"/>
        <w:rPr>
          <w:rFonts w:ascii="Times New Roman" w:hAnsi="Times New Roman"/>
          <w:lang w:val="sk-SK"/>
        </w:rPr>
      </w:pPr>
    </w:p>
    <w:p w14:paraId="61CFBA7C" w14:textId="77777777" w:rsidR="00582954" w:rsidRDefault="00582954">
      <w:pPr>
        <w:widowControl w:val="0"/>
        <w:spacing w:after="0" w:line="240" w:lineRule="auto"/>
        <w:rPr>
          <w:rFonts w:ascii="Times New Roman" w:hAnsi="Times New Roman"/>
          <w:lang w:val="sk-SK"/>
        </w:rPr>
      </w:pPr>
    </w:p>
    <w:p w14:paraId="7932005C" w14:textId="77777777" w:rsidR="00582954" w:rsidRDefault="00645977">
      <w:pPr>
        <w:widowControl w:val="0"/>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imes New Roman" w:hAnsi="Times New Roman"/>
          <w:b/>
          <w:lang w:val="sk-SK"/>
        </w:rPr>
      </w:pPr>
      <w:r>
        <w:rPr>
          <w:rFonts w:ascii="Times New Roman" w:hAnsi="Times New Roman"/>
          <w:b/>
          <w:lang w:val="sk-SK"/>
        </w:rPr>
        <w:t>ZOZNAM POMOCNÝCH LÁTOK</w:t>
      </w:r>
    </w:p>
    <w:p w14:paraId="0E44B70C" w14:textId="77777777" w:rsidR="00582954" w:rsidRDefault="00582954">
      <w:pPr>
        <w:widowControl w:val="0"/>
        <w:spacing w:after="0" w:line="240" w:lineRule="auto"/>
        <w:contextualSpacing/>
        <w:rPr>
          <w:rFonts w:ascii="Times New Roman" w:hAnsi="Times New Roman"/>
          <w:lang w:val="sk-SK"/>
        </w:rPr>
      </w:pPr>
    </w:p>
    <w:p w14:paraId="7D2EF0F1" w14:textId="77777777" w:rsidR="00582954" w:rsidRDefault="00582954">
      <w:pPr>
        <w:widowControl w:val="0"/>
        <w:spacing w:after="0" w:line="240" w:lineRule="auto"/>
        <w:contextualSpacing/>
        <w:rPr>
          <w:rFonts w:ascii="Times New Roman" w:hAnsi="Times New Roman"/>
          <w:lang w:val="sk-SK"/>
        </w:rPr>
      </w:pPr>
    </w:p>
    <w:p w14:paraId="0CDE467D" w14:textId="77777777" w:rsidR="00582954" w:rsidRDefault="00645977">
      <w:pPr>
        <w:widowControl w:val="0"/>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contextualSpacing/>
        <w:rPr>
          <w:rFonts w:ascii="Times New Roman" w:hAnsi="Times New Roman"/>
          <w:lang w:val="sk-SK"/>
        </w:rPr>
      </w:pPr>
      <w:r>
        <w:rPr>
          <w:rFonts w:ascii="Times New Roman" w:hAnsi="Times New Roman"/>
          <w:b/>
          <w:lang w:val="sk-SK"/>
        </w:rPr>
        <w:t>LIEKOVÁ FORMA A OBSAH</w:t>
      </w:r>
    </w:p>
    <w:p w14:paraId="4642E37B" w14:textId="77777777" w:rsidR="00582954" w:rsidRDefault="00582954">
      <w:pPr>
        <w:widowControl w:val="0"/>
        <w:spacing w:after="0" w:line="240" w:lineRule="auto"/>
        <w:contextualSpacing/>
        <w:rPr>
          <w:rFonts w:ascii="Times New Roman" w:hAnsi="Times New Roman"/>
          <w:lang w:val="sk-SK"/>
        </w:rPr>
      </w:pPr>
    </w:p>
    <w:p w14:paraId="0F1DB6C2" w14:textId="77777777" w:rsidR="00582954" w:rsidRDefault="00645977">
      <w:pPr>
        <w:widowControl w:val="0"/>
        <w:spacing w:after="0" w:line="240" w:lineRule="auto"/>
        <w:contextualSpacing/>
        <w:rPr>
          <w:rFonts w:ascii="Times New Roman" w:hAnsi="Times New Roman"/>
          <w:lang w:val="sk-SK"/>
        </w:rPr>
      </w:pPr>
      <w:r>
        <w:rPr>
          <w:rFonts w:ascii="Times New Roman" w:hAnsi="Times New Roman"/>
          <w:highlight w:val="lightGray"/>
          <w:lang w:val="sk-SK"/>
        </w:rPr>
        <w:t>Tableta.</w:t>
      </w:r>
    </w:p>
    <w:p w14:paraId="01F8F87D" w14:textId="77777777" w:rsidR="00582954" w:rsidRDefault="00582954">
      <w:pPr>
        <w:widowControl w:val="0"/>
        <w:spacing w:after="0" w:line="240" w:lineRule="auto"/>
        <w:contextualSpacing/>
        <w:rPr>
          <w:rFonts w:ascii="Times New Roman" w:hAnsi="Times New Roman"/>
          <w:i/>
          <w:highlight w:val="lightGray"/>
          <w:u w:val="single"/>
          <w:lang w:val="sk-SK"/>
        </w:rPr>
      </w:pPr>
    </w:p>
    <w:p w14:paraId="476175E1" w14:textId="77777777" w:rsidR="00582954" w:rsidRDefault="00645977">
      <w:pPr>
        <w:widowControl w:val="0"/>
        <w:tabs>
          <w:tab w:val="left" w:pos="1440"/>
        </w:tabs>
        <w:spacing w:after="0" w:line="240" w:lineRule="auto"/>
        <w:contextualSpacing/>
        <w:rPr>
          <w:rFonts w:ascii="Times New Roman" w:hAnsi="Times New Roman"/>
          <w:iCs/>
          <w:lang w:val="sk-SK"/>
        </w:rPr>
      </w:pPr>
      <w:r>
        <w:rPr>
          <w:rFonts w:ascii="Times New Roman" w:hAnsi="Times New Roman"/>
          <w:iCs/>
          <w:lang w:val="sk-SK"/>
        </w:rPr>
        <w:t>14 x 1 tableta</w:t>
      </w:r>
    </w:p>
    <w:p w14:paraId="00F40180" w14:textId="77777777" w:rsidR="00582954" w:rsidRDefault="00645977">
      <w:pPr>
        <w:widowControl w:val="0"/>
        <w:tabs>
          <w:tab w:val="left" w:pos="1440"/>
        </w:tabs>
        <w:spacing w:after="0" w:line="240" w:lineRule="auto"/>
        <w:contextualSpacing/>
        <w:rPr>
          <w:rFonts w:ascii="Times New Roman" w:hAnsi="Times New Roman"/>
          <w:iCs/>
          <w:highlight w:val="lightGray"/>
          <w:lang w:val="sk-SK"/>
        </w:rPr>
      </w:pPr>
      <w:r>
        <w:rPr>
          <w:rFonts w:ascii="Times New Roman" w:hAnsi="Times New Roman"/>
          <w:iCs/>
          <w:highlight w:val="lightGray"/>
          <w:lang w:val="sk-SK"/>
        </w:rPr>
        <w:t>28 x 1 tabletat</w:t>
      </w:r>
    </w:p>
    <w:p w14:paraId="2BEA3DEE" w14:textId="77777777" w:rsidR="00582954" w:rsidRDefault="00645977">
      <w:pPr>
        <w:widowControl w:val="0"/>
        <w:tabs>
          <w:tab w:val="left" w:pos="1440"/>
        </w:tabs>
        <w:spacing w:after="0" w:line="240" w:lineRule="auto"/>
        <w:contextualSpacing/>
        <w:rPr>
          <w:rFonts w:ascii="Times New Roman" w:hAnsi="Times New Roman"/>
          <w:iCs/>
          <w:highlight w:val="lightGray"/>
          <w:lang w:val="sk-SK"/>
        </w:rPr>
      </w:pPr>
      <w:r>
        <w:rPr>
          <w:rFonts w:ascii="Times New Roman" w:hAnsi="Times New Roman"/>
          <w:iCs/>
          <w:highlight w:val="lightGray"/>
          <w:lang w:val="sk-SK"/>
        </w:rPr>
        <w:t>30 x 1 tableta</w:t>
      </w:r>
    </w:p>
    <w:p w14:paraId="5456904E" w14:textId="77777777" w:rsidR="00582954" w:rsidRDefault="00645977">
      <w:pPr>
        <w:widowControl w:val="0"/>
        <w:tabs>
          <w:tab w:val="left" w:pos="1440"/>
        </w:tabs>
        <w:spacing w:after="0" w:line="240" w:lineRule="auto"/>
        <w:contextualSpacing/>
        <w:rPr>
          <w:rFonts w:ascii="Times New Roman" w:hAnsi="Times New Roman"/>
          <w:iCs/>
          <w:highlight w:val="lightGray"/>
          <w:lang w:val="sk-SK"/>
        </w:rPr>
      </w:pPr>
      <w:r>
        <w:rPr>
          <w:rFonts w:ascii="Times New Roman" w:hAnsi="Times New Roman"/>
          <w:iCs/>
          <w:highlight w:val="lightGray"/>
          <w:lang w:val="sk-SK"/>
        </w:rPr>
        <w:t>56 x 1 tableta</w:t>
      </w:r>
    </w:p>
    <w:p w14:paraId="17EAD233" w14:textId="77777777" w:rsidR="00582954" w:rsidRDefault="00645977">
      <w:pPr>
        <w:widowControl w:val="0"/>
        <w:tabs>
          <w:tab w:val="left" w:pos="1440"/>
        </w:tabs>
        <w:spacing w:after="0" w:line="240" w:lineRule="auto"/>
        <w:contextualSpacing/>
        <w:rPr>
          <w:rFonts w:ascii="Times New Roman" w:hAnsi="Times New Roman"/>
          <w:iCs/>
          <w:highlight w:val="lightGray"/>
          <w:lang w:val="sk-SK"/>
        </w:rPr>
      </w:pPr>
      <w:r>
        <w:rPr>
          <w:rFonts w:ascii="Times New Roman" w:hAnsi="Times New Roman"/>
          <w:iCs/>
          <w:highlight w:val="lightGray"/>
          <w:lang w:val="sk-SK"/>
        </w:rPr>
        <w:t>60 x 1 tableta</w:t>
      </w:r>
    </w:p>
    <w:p w14:paraId="268E9FD5" w14:textId="77777777" w:rsidR="00582954" w:rsidRDefault="00645977">
      <w:pPr>
        <w:widowControl w:val="0"/>
        <w:tabs>
          <w:tab w:val="left" w:pos="1440"/>
        </w:tabs>
        <w:spacing w:after="0" w:line="240" w:lineRule="auto"/>
        <w:contextualSpacing/>
        <w:rPr>
          <w:rFonts w:ascii="Times New Roman" w:hAnsi="Times New Roman"/>
          <w:iCs/>
          <w:highlight w:val="lightGray"/>
          <w:lang w:val="sk-SK"/>
        </w:rPr>
      </w:pPr>
      <w:r>
        <w:rPr>
          <w:rFonts w:ascii="Times New Roman" w:hAnsi="Times New Roman"/>
          <w:iCs/>
          <w:highlight w:val="lightGray"/>
          <w:lang w:val="sk-SK"/>
        </w:rPr>
        <w:t>84 x 1 tableta</w:t>
      </w:r>
    </w:p>
    <w:p w14:paraId="489675C9" w14:textId="77777777" w:rsidR="00582954" w:rsidRDefault="00645977">
      <w:pPr>
        <w:widowControl w:val="0"/>
        <w:tabs>
          <w:tab w:val="left" w:pos="1440"/>
        </w:tabs>
        <w:spacing w:after="0" w:line="240" w:lineRule="auto"/>
        <w:contextualSpacing/>
        <w:rPr>
          <w:rFonts w:ascii="Times New Roman" w:hAnsi="Times New Roman"/>
          <w:iCs/>
          <w:highlight w:val="lightGray"/>
          <w:lang w:val="sk-SK"/>
        </w:rPr>
      </w:pPr>
      <w:r>
        <w:rPr>
          <w:rFonts w:ascii="Times New Roman" w:hAnsi="Times New Roman"/>
          <w:iCs/>
          <w:highlight w:val="lightGray"/>
          <w:lang w:val="sk-SK"/>
        </w:rPr>
        <w:t>90 x 1 tableta</w:t>
      </w:r>
    </w:p>
    <w:p w14:paraId="4F317DD4" w14:textId="77777777" w:rsidR="00582954" w:rsidRDefault="00645977">
      <w:pPr>
        <w:widowControl w:val="0"/>
        <w:tabs>
          <w:tab w:val="left" w:pos="1440"/>
        </w:tabs>
        <w:spacing w:after="0" w:line="240" w:lineRule="auto"/>
        <w:contextualSpacing/>
        <w:rPr>
          <w:rFonts w:ascii="Times New Roman" w:hAnsi="Times New Roman"/>
          <w:iCs/>
          <w:highlight w:val="lightGray"/>
          <w:lang w:val="sk-SK"/>
        </w:rPr>
      </w:pPr>
      <w:r>
        <w:rPr>
          <w:rFonts w:ascii="Times New Roman" w:hAnsi="Times New Roman"/>
          <w:iCs/>
          <w:highlight w:val="lightGray"/>
          <w:lang w:val="sk-SK"/>
        </w:rPr>
        <w:t>98 x 1 tableta</w:t>
      </w:r>
    </w:p>
    <w:p w14:paraId="38B517BD" w14:textId="77777777" w:rsidR="00582954" w:rsidRDefault="00645977">
      <w:pPr>
        <w:widowControl w:val="0"/>
        <w:tabs>
          <w:tab w:val="left" w:pos="1440"/>
        </w:tabs>
        <w:spacing w:after="0" w:line="240" w:lineRule="auto"/>
        <w:contextualSpacing/>
        <w:rPr>
          <w:rFonts w:ascii="Times New Roman" w:hAnsi="Times New Roman"/>
          <w:iCs/>
          <w:highlight w:val="lightGray"/>
          <w:lang w:val="sk-SK"/>
        </w:rPr>
      </w:pPr>
      <w:r>
        <w:rPr>
          <w:rFonts w:ascii="Times New Roman" w:hAnsi="Times New Roman"/>
          <w:iCs/>
          <w:highlight w:val="lightGray"/>
          <w:lang w:val="sk-SK"/>
        </w:rPr>
        <w:t>100 x 1 tableta</w:t>
      </w:r>
    </w:p>
    <w:p w14:paraId="165C92D1" w14:textId="77777777" w:rsidR="00582954" w:rsidRDefault="00582954">
      <w:pPr>
        <w:widowControl w:val="0"/>
        <w:spacing w:after="0" w:line="240" w:lineRule="auto"/>
        <w:contextualSpacing/>
        <w:rPr>
          <w:rFonts w:ascii="Times New Roman" w:hAnsi="Times New Roman"/>
          <w:noProof/>
          <w:lang w:val="sk-SK"/>
        </w:rPr>
      </w:pPr>
    </w:p>
    <w:p w14:paraId="787917A4" w14:textId="77777777" w:rsidR="00582954" w:rsidRDefault="00582954">
      <w:pPr>
        <w:widowControl w:val="0"/>
        <w:spacing w:after="0" w:line="240" w:lineRule="auto"/>
        <w:rPr>
          <w:rFonts w:ascii="Times New Roman" w:hAnsi="Times New Roman"/>
          <w:lang w:val="sk-SK"/>
        </w:rPr>
      </w:pPr>
    </w:p>
    <w:p w14:paraId="588CE5DD" w14:textId="77777777" w:rsidR="00582954" w:rsidRDefault="00645977">
      <w:pPr>
        <w:widowControl w:val="0"/>
        <w:numPr>
          <w:ilvl w:val="0"/>
          <w:numId w:val="2"/>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k-SK"/>
        </w:rPr>
      </w:pPr>
      <w:r>
        <w:rPr>
          <w:rFonts w:ascii="Times New Roman" w:hAnsi="Times New Roman"/>
          <w:b/>
          <w:lang w:val="sk-SK"/>
        </w:rPr>
        <w:t>SP</w:t>
      </w:r>
      <w:r>
        <w:rPr>
          <w:rFonts w:ascii="Times New Roman" w:hAnsi="Times New Roman"/>
          <w:b/>
          <w:bCs/>
          <w:lang w:val="sk-SK"/>
        </w:rPr>
        <w:t>Ô</w:t>
      </w:r>
      <w:r>
        <w:rPr>
          <w:rFonts w:ascii="Times New Roman" w:hAnsi="Times New Roman"/>
          <w:b/>
          <w:lang w:val="sk-SK"/>
        </w:rPr>
        <w:t>SOB A CESTA (CESTY) PODÁVANIA</w:t>
      </w:r>
    </w:p>
    <w:p w14:paraId="305B2FB8" w14:textId="77777777" w:rsidR="00582954" w:rsidRDefault="00582954">
      <w:pPr>
        <w:widowControl w:val="0"/>
        <w:spacing w:after="0" w:line="240" w:lineRule="auto"/>
        <w:rPr>
          <w:rFonts w:ascii="Times New Roman" w:hAnsi="Times New Roman"/>
          <w:lang w:val="sk-SK"/>
        </w:rPr>
      </w:pPr>
    </w:p>
    <w:p w14:paraId="354276EB"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Pred použitím si prečítajte písomnú informáciu pre používateľa.</w:t>
      </w:r>
    </w:p>
    <w:p w14:paraId="51D8DD60"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Na perorálne použitie.</w:t>
      </w:r>
    </w:p>
    <w:p w14:paraId="07B19B13" w14:textId="77777777" w:rsidR="00582954" w:rsidRDefault="00582954">
      <w:pPr>
        <w:widowControl w:val="0"/>
        <w:spacing w:after="0" w:line="240" w:lineRule="auto"/>
        <w:rPr>
          <w:rFonts w:ascii="Times New Roman" w:hAnsi="Times New Roman"/>
          <w:lang w:val="sk-SK"/>
        </w:rPr>
      </w:pPr>
    </w:p>
    <w:p w14:paraId="4396CA4B" w14:textId="77777777" w:rsidR="00582954" w:rsidRDefault="00582954">
      <w:pPr>
        <w:widowControl w:val="0"/>
        <w:spacing w:after="0" w:line="240" w:lineRule="auto"/>
        <w:rPr>
          <w:rFonts w:ascii="Times New Roman" w:hAnsi="Times New Roman"/>
          <w:lang w:val="sk-SK"/>
        </w:rPr>
      </w:pPr>
    </w:p>
    <w:p w14:paraId="0ADB8766" w14:textId="77777777" w:rsidR="00582954" w:rsidRDefault="00645977">
      <w:pPr>
        <w:widowControl w:val="0"/>
        <w:numPr>
          <w:ilvl w:val="0"/>
          <w:numId w:val="2"/>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k-SK"/>
        </w:rPr>
      </w:pPr>
      <w:r>
        <w:rPr>
          <w:rFonts w:ascii="Times New Roman" w:hAnsi="Times New Roman"/>
          <w:b/>
          <w:lang w:val="sk-SK"/>
        </w:rPr>
        <w:t>ŠPECIÁLNE UPOZORNENIE, ŽE LIEK SA MUSÍ UCHOVÁVAŤ MIMO DOHĽADU A DOSAHU DETÍ</w:t>
      </w:r>
    </w:p>
    <w:p w14:paraId="22E619F7" w14:textId="77777777" w:rsidR="00582954" w:rsidRDefault="00582954">
      <w:pPr>
        <w:widowControl w:val="0"/>
        <w:spacing w:after="0" w:line="240" w:lineRule="auto"/>
        <w:rPr>
          <w:rFonts w:ascii="Times New Roman" w:hAnsi="Times New Roman"/>
          <w:lang w:val="sk-SK"/>
        </w:rPr>
      </w:pPr>
    </w:p>
    <w:p w14:paraId="707EDE43"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Uchovávajte mimo dohľadu a dosahu detí.</w:t>
      </w:r>
    </w:p>
    <w:p w14:paraId="4E219FC2" w14:textId="77777777" w:rsidR="00582954" w:rsidRDefault="00582954">
      <w:pPr>
        <w:widowControl w:val="0"/>
        <w:spacing w:after="0" w:line="240" w:lineRule="auto"/>
        <w:rPr>
          <w:rFonts w:ascii="Times New Roman" w:hAnsi="Times New Roman"/>
          <w:lang w:val="sk-SK"/>
        </w:rPr>
      </w:pPr>
    </w:p>
    <w:p w14:paraId="7AFAB335" w14:textId="77777777" w:rsidR="00582954" w:rsidRDefault="00582954">
      <w:pPr>
        <w:widowControl w:val="0"/>
        <w:spacing w:after="0" w:line="240" w:lineRule="auto"/>
        <w:rPr>
          <w:rFonts w:ascii="Times New Roman" w:hAnsi="Times New Roman"/>
          <w:lang w:val="sk-SK"/>
        </w:rPr>
      </w:pPr>
    </w:p>
    <w:p w14:paraId="7EBA015F" w14:textId="77777777" w:rsidR="00582954" w:rsidRDefault="00645977">
      <w:pPr>
        <w:widowControl w:val="0"/>
        <w:numPr>
          <w:ilvl w:val="0"/>
          <w:numId w:val="2"/>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k-SK"/>
        </w:rPr>
      </w:pPr>
      <w:r>
        <w:rPr>
          <w:rFonts w:ascii="Times New Roman" w:hAnsi="Times New Roman"/>
          <w:b/>
          <w:lang w:val="sk-SK"/>
        </w:rPr>
        <w:t>INÉ ŠPECIÁLNE UPOZORNENIE (UPOZORNENIA), AK JE TO POTREBNÉ</w:t>
      </w:r>
    </w:p>
    <w:p w14:paraId="40D382F0" w14:textId="77777777" w:rsidR="00582954" w:rsidRDefault="00582954">
      <w:pPr>
        <w:widowControl w:val="0"/>
        <w:spacing w:after="0" w:line="240" w:lineRule="auto"/>
        <w:rPr>
          <w:rFonts w:ascii="Times New Roman" w:hAnsi="Times New Roman"/>
          <w:lang w:val="sk-SK"/>
        </w:rPr>
      </w:pPr>
    </w:p>
    <w:p w14:paraId="0D52FA8C" w14:textId="77777777" w:rsidR="00582954" w:rsidRDefault="00582954">
      <w:pPr>
        <w:widowControl w:val="0"/>
        <w:spacing w:after="0" w:line="240" w:lineRule="auto"/>
        <w:rPr>
          <w:rFonts w:ascii="Times New Roman" w:hAnsi="Times New Roman"/>
          <w:lang w:val="sk-SK"/>
        </w:rPr>
      </w:pPr>
    </w:p>
    <w:p w14:paraId="436279AB" w14:textId="77777777" w:rsidR="00582954" w:rsidRDefault="00645977">
      <w:pPr>
        <w:widowControl w:val="0"/>
        <w:numPr>
          <w:ilvl w:val="0"/>
          <w:numId w:val="2"/>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k-SK"/>
        </w:rPr>
      </w:pPr>
      <w:r>
        <w:rPr>
          <w:rFonts w:ascii="Times New Roman" w:hAnsi="Times New Roman"/>
          <w:b/>
          <w:lang w:val="sk-SK"/>
        </w:rPr>
        <w:t>DÁTUM EXSPIRÁCIE</w:t>
      </w:r>
    </w:p>
    <w:p w14:paraId="33E2606D" w14:textId="77777777" w:rsidR="00582954" w:rsidRDefault="00582954">
      <w:pPr>
        <w:widowControl w:val="0"/>
        <w:spacing w:after="0" w:line="240" w:lineRule="auto"/>
        <w:rPr>
          <w:rFonts w:ascii="Times New Roman" w:hAnsi="Times New Roman"/>
          <w:lang w:val="sk-SK"/>
        </w:rPr>
      </w:pPr>
    </w:p>
    <w:p w14:paraId="0E99FE22"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EXP</w:t>
      </w:r>
    </w:p>
    <w:p w14:paraId="44B70B3C" w14:textId="77777777" w:rsidR="00582954" w:rsidRDefault="00582954">
      <w:pPr>
        <w:widowControl w:val="0"/>
        <w:spacing w:after="0" w:line="240" w:lineRule="auto"/>
        <w:rPr>
          <w:rFonts w:ascii="Times New Roman" w:hAnsi="Times New Roman"/>
          <w:lang w:val="sk-SK"/>
        </w:rPr>
      </w:pPr>
    </w:p>
    <w:p w14:paraId="3D36CF12" w14:textId="77777777" w:rsidR="00582954" w:rsidRDefault="00582954">
      <w:pPr>
        <w:widowControl w:val="0"/>
        <w:spacing w:after="0" w:line="240" w:lineRule="auto"/>
        <w:rPr>
          <w:rFonts w:ascii="Times New Roman" w:hAnsi="Times New Roman"/>
          <w:lang w:val="sk-SK"/>
        </w:rPr>
      </w:pPr>
    </w:p>
    <w:p w14:paraId="7AB2A9F2" w14:textId="77777777" w:rsidR="00582954" w:rsidRDefault="00645977">
      <w:pPr>
        <w:widowControl w:val="0"/>
        <w:numPr>
          <w:ilvl w:val="0"/>
          <w:numId w:val="2"/>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k-SK"/>
        </w:rPr>
      </w:pPr>
      <w:r>
        <w:rPr>
          <w:rFonts w:ascii="Times New Roman" w:hAnsi="Times New Roman"/>
          <w:b/>
          <w:lang w:val="sk-SK"/>
        </w:rPr>
        <w:t>ŠPECIÁLNE PODMIENKY NA UCHOVÁVANIE</w:t>
      </w:r>
    </w:p>
    <w:p w14:paraId="332EA2E6" w14:textId="77777777" w:rsidR="00582954" w:rsidRDefault="00582954">
      <w:pPr>
        <w:widowControl w:val="0"/>
        <w:spacing w:after="0" w:line="240" w:lineRule="auto"/>
        <w:rPr>
          <w:rFonts w:ascii="Times New Roman" w:hAnsi="Times New Roman"/>
          <w:lang w:val="sk-SK"/>
        </w:rPr>
      </w:pPr>
    </w:p>
    <w:p w14:paraId="1F2C204F" w14:textId="77777777" w:rsidR="00582954" w:rsidRDefault="00645977">
      <w:pPr>
        <w:widowControl w:val="0"/>
        <w:autoSpaceDE w:val="0"/>
        <w:autoSpaceDN w:val="0"/>
        <w:adjustRightInd w:val="0"/>
        <w:spacing w:after="0" w:line="240" w:lineRule="auto"/>
        <w:rPr>
          <w:rFonts w:ascii="Times New Roman" w:hAnsi="Times New Roman"/>
          <w:color w:val="000000"/>
          <w:lang w:val="sk-SK"/>
        </w:rPr>
      </w:pPr>
      <w:r>
        <w:rPr>
          <w:rFonts w:ascii="Times New Roman" w:hAnsi="Times New Roman"/>
          <w:color w:val="000000"/>
          <w:lang w:val="sk-SK"/>
        </w:rPr>
        <w:t>Uchovávajte v pôvodnom obale na ochranu pred svetlom a vlhkosťou.</w:t>
      </w:r>
    </w:p>
    <w:p w14:paraId="7AE02680" w14:textId="77777777" w:rsidR="00582954" w:rsidRDefault="00582954">
      <w:pPr>
        <w:widowControl w:val="0"/>
        <w:spacing w:after="0" w:line="240" w:lineRule="auto"/>
        <w:rPr>
          <w:rFonts w:ascii="Times New Roman" w:hAnsi="Times New Roman"/>
          <w:lang w:val="sk-SK"/>
        </w:rPr>
      </w:pPr>
    </w:p>
    <w:p w14:paraId="0431F85C" w14:textId="77777777" w:rsidR="00582954" w:rsidRDefault="00582954">
      <w:pPr>
        <w:widowControl w:val="0"/>
        <w:spacing w:after="0" w:line="240" w:lineRule="auto"/>
        <w:rPr>
          <w:rFonts w:ascii="Times New Roman" w:hAnsi="Times New Roman"/>
          <w:lang w:val="sk-SK"/>
        </w:rPr>
      </w:pPr>
    </w:p>
    <w:p w14:paraId="0C119EA4" w14:textId="77777777" w:rsidR="00582954" w:rsidRDefault="00645977">
      <w:pPr>
        <w:widowControl w:val="0"/>
        <w:numPr>
          <w:ilvl w:val="0"/>
          <w:numId w:val="2"/>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k-SK"/>
        </w:rPr>
      </w:pPr>
      <w:r>
        <w:rPr>
          <w:rFonts w:ascii="Times New Roman" w:hAnsi="Times New Roman"/>
          <w:b/>
          <w:lang w:val="sk-SK"/>
        </w:rPr>
        <w:t>ŠPECIÁLNE UPOZORNENIA NA LIKVIDÁCIU NEPOUŽITÝCH LIEKOV ALEBO ODPADOV Z NICH VZNIKNUTÝCH, AK JE TO VHODNÉ</w:t>
      </w:r>
    </w:p>
    <w:p w14:paraId="1AFFBC6B" w14:textId="77777777" w:rsidR="00582954" w:rsidRDefault="00582954">
      <w:pPr>
        <w:widowControl w:val="0"/>
        <w:spacing w:after="0" w:line="240" w:lineRule="auto"/>
        <w:rPr>
          <w:rFonts w:ascii="Times New Roman" w:hAnsi="Times New Roman"/>
          <w:lang w:val="sk-SK"/>
        </w:rPr>
      </w:pPr>
    </w:p>
    <w:p w14:paraId="5FEC093F" w14:textId="77777777" w:rsidR="00582954" w:rsidRDefault="00582954">
      <w:pPr>
        <w:widowControl w:val="0"/>
        <w:spacing w:after="0" w:line="240" w:lineRule="auto"/>
        <w:rPr>
          <w:rFonts w:ascii="Times New Roman" w:hAnsi="Times New Roman"/>
          <w:lang w:val="sk-SK"/>
        </w:rPr>
      </w:pPr>
    </w:p>
    <w:p w14:paraId="7D2B8E73" w14:textId="77777777" w:rsidR="00582954" w:rsidRDefault="00645977">
      <w:pPr>
        <w:widowControl w:val="0"/>
        <w:numPr>
          <w:ilvl w:val="0"/>
          <w:numId w:val="2"/>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k-SK"/>
        </w:rPr>
      </w:pPr>
      <w:r>
        <w:rPr>
          <w:rFonts w:ascii="Times New Roman" w:hAnsi="Times New Roman"/>
          <w:b/>
          <w:lang w:val="sk-SK"/>
        </w:rPr>
        <w:t>NÁZOV A ADRESA DRŽITEĽA ROZHODNUTIA O REGISTRÁCII</w:t>
      </w:r>
    </w:p>
    <w:p w14:paraId="0B04C672" w14:textId="77777777" w:rsidR="00582954" w:rsidRDefault="00582954">
      <w:pPr>
        <w:widowControl w:val="0"/>
        <w:spacing w:after="0" w:line="240" w:lineRule="auto"/>
        <w:jc w:val="both"/>
        <w:rPr>
          <w:rFonts w:ascii="Times New Roman" w:hAnsi="Times New Roman"/>
          <w:lang w:val="sk-SK"/>
        </w:rPr>
      </w:pPr>
    </w:p>
    <w:p w14:paraId="513DAFD9" w14:textId="77777777" w:rsidR="00582954" w:rsidRDefault="00645977">
      <w:pPr>
        <w:widowControl w:val="0"/>
        <w:spacing w:after="0" w:line="240" w:lineRule="auto"/>
        <w:jc w:val="both"/>
        <w:rPr>
          <w:rFonts w:ascii="Times New Roman" w:hAnsi="Times New Roman"/>
          <w:lang w:val="sk-SK"/>
        </w:rPr>
      </w:pPr>
      <w:r>
        <w:rPr>
          <w:rFonts w:ascii="Times New Roman" w:hAnsi="Times New Roman"/>
          <w:lang w:val="sk-SK"/>
        </w:rPr>
        <w:t>KRKA, d.d., Novo mesto, Šmarješka cesta 6, 8501 Novo mesto, Slovinsko</w:t>
      </w:r>
    </w:p>
    <w:p w14:paraId="468FE6A8" w14:textId="77777777" w:rsidR="00582954" w:rsidRDefault="00582954">
      <w:pPr>
        <w:widowControl w:val="0"/>
        <w:spacing w:after="0" w:line="240" w:lineRule="auto"/>
        <w:rPr>
          <w:rFonts w:ascii="Times New Roman" w:hAnsi="Times New Roman"/>
          <w:lang w:val="sk-SK"/>
        </w:rPr>
      </w:pPr>
    </w:p>
    <w:p w14:paraId="1990982B" w14:textId="77777777" w:rsidR="00582954" w:rsidRDefault="00582954">
      <w:pPr>
        <w:widowControl w:val="0"/>
        <w:spacing w:after="0" w:line="240" w:lineRule="auto"/>
        <w:rPr>
          <w:rFonts w:ascii="Times New Roman" w:hAnsi="Times New Roman"/>
          <w:lang w:val="sk-SK"/>
        </w:rPr>
      </w:pPr>
    </w:p>
    <w:p w14:paraId="5B2A7AFE" w14:textId="77777777" w:rsidR="00582954" w:rsidRDefault="00645977">
      <w:pPr>
        <w:widowControl w:val="0"/>
        <w:numPr>
          <w:ilvl w:val="0"/>
          <w:numId w:val="2"/>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k-SK"/>
        </w:rPr>
      </w:pPr>
      <w:r>
        <w:rPr>
          <w:rFonts w:ascii="Times New Roman" w:hAnsi="Times New Roman"/>
          <w:b/>
          <w:lang w:val="sk-SK"/>
        </w:rPr>
        <w:t>REGISTRAČNÉ ČÍSLA</w:t>
      </w:r>
    </w:p>
    <w:p w14:paraId="07BD4628" w14:textId="77777777" w:rsidR="00582954" w:rsidRDefault="00582954">
      <w:pPr>
        <w:widowControl w:val="0"/>
        <w:spacing w:after="0" w:line="240" w:lineRule="auto"/>
        <w:rPr>
          <w:rFonts w:ascii="Times New Roman" w:hAnsi="Times New Roman"/>
          <w:lang w:val="sk-SK"/>
        </w:rPr>
      </w:pPr>
    </w:p>
    <w:p w14:paraId="033924E2"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EU/1/13/821/003</w:t>
      </w:r>
    </w:p>
    <w:p w14:paraId="424895FE" w14:textId="77777777" w:rsidR="00582954" w:rsidRDefault="00645977">
      <w:pPr>
        <w:widowControl w:val="0"/>
        <w:spacing w:after="0" w:line="240" w:lineRule="auto"/>
        <w:rPr>
          <w:rFonts w:ascii="Times New Roman" w:hAnsi="Times New Roman"/>
          <w:highlight w:val="lightGray"/>
          <w:lang w:val="sk-SK"/>
        </w:rPr>
      </w:pPr>
      <w:r>
        <w:rPr>
          <w:rFonts w:ascii="Times New Roman" w:hAnsi="Times New Roman"/>
          <w:highlight w:val="lightGray"/>
          <w:lang w:val="sk-SK"/>
        </w:rPr>
        <w:t>EU/1/13/821/004</w:t>
      </w:r>
    </w:p>
    <w:p w14:paraId="75AF0B56" w14:textId="77777777" w:rsidR="00582954" w:rsidRDefault="00645977">
      <w:pPr>
        <w:widowControl w:val="0"/>
        <w:spacing w:after="0" w:line="240" w:lineRule="auto"/>
        <w:rPr>
          <w:rFonts w:ascii="Times New Roman" w:hAnsi="Times New Roman"/>
          <w:highlight w:val="lightGray"/>
          <w:lang w:val="sk-SK"/>
        </w:rPr>
      </w:pPr>
      <w:r>
        <w:rPr>
          <w:rFonts w:ascii="Times New Roman" w:hAnsi="Times New Roman"/>
          <w:highlight w:val="lightGray"/>
          <w:lang w:val="sk-SK"/>
        </w:rPr>
        <w:t>EU/1/13/821/005</w:t>
      </w:r>
    </w:p>
    <w:p w14:paraId="5752DFD2" w14:textId="77777777" w:rsidR="00582954" w:rsidRDefault="00645977">
      <w:pPr>
        <w:widowControl w:val="0"/>
        <w:spacing w:after="0" w:line="240" w:lineRule="auto"/>
        <w:rPr>
          <w:rFonts w:ascii="Times New Roman" w:hAnsi="Times New Roman"/>
          <w:highlight w:val="lightGray"/>
          <w:lang w:val="sk-SK"/>
        </w:rPr>
      </w:pPr>
      <w:r>
        <w:rPr>
          <w:rFonts w:ascii="Times New Roman" w:hAnsi="Times New Roman"/>
          <w:highlight w:val="lightGray"/>
          <w:lang w:val="sk-SK"/>
        </w:rPr>
        <w:t>EU/1/13/821/006</w:t>
      </w:r>
    </w:p>
    <w:p w14:paraId="2161659D" w14:textId="77777777" w:rsidR="00582954" w:rsidRDefault="00645977">
      <w:pPr>
        <w:widowControl w:val="0"/>
        <w:spacing w:after="0" w:line="240" w:lineRule="auto"/>
        <w:rPr>
          <w:rFonts w:ascii="Times New Roman" w:hAnsi="Times New Roman"/>
          <w:highlight w:val="lightGray"/>
          <w:lang w:val="sk-SK"/>
        </w:rPr>
      </w:pPr>
      <w:r>
        <w:rPr>
          <w:rFonts w:ascii="Times New Roman" w:hAnsi="Times New Roman"/>
          <w:highlight w:val="lightGray"/>
          <w:lang w:val="sk-SK"/>
        </w:rPr>
        <w:t>EU/1/13/821/007</w:t>
      </w:r>
    </w:p>
    <w:p w14:paraId="30840836" w14:textId="77777777" w:rsidR="00582954" w:rsidRDefault="00645977">
      <w:pPr>
        <w:widowControl w:val="0"/>
        <w:spacing w:after="0" w:line="240" w:lineRule="auto"/>
        <w:rPr>
          <w:rFonts w:ascii="Times New Roman" w:hAnsi="Times New Roman"/>
          <w:highlight w:val="lightGray"/>
          <w:lang w:val="sk-SK"/>
        </w:rPr>
      </w:pPr>
      <w:r>
        <w:rPr>
          <w:rFonts w:ascii="Times New Roman" w:hAnsi="Times New Roman"/>
          <w:highlight w:val="lightGray"/>
          <w:lang w:val="sk-SK"/>
        </w:rPr>
        <w:t>EU/1/13/821/008</w:t>
      </w:r>
    </w:p>
    <w:p w14:paraId="543BC0BB" w14:textId="77777777" w:rsidR="00582954" w:rsidRDefault="00645977">
      <w:pPr>
        <w:widowControl w:val="0"/>
        <w:spacing w:after="0" w:line="240" w:lineRule="auto"/>
        <w:rPr>
          <w:rFonts w:ascii="Times New Roman" w:hAnsi="Times New Roman"/>
          <w:highlight w:val="lightGray"/>
          <w:lang w:val="sk-SK"/>
        </w:rPr>
      </w:pPr>
      <w:r>
        <w:rPr>
          <w:rFonts w:ascii="Times New Roman" w:hAnsi="Times New Roman"/>
          <w:highlight w:val="lightGray"/>
          <w:lang w:val="sk-SK"/>
        </w:rPr>
        <w:t>EU/1/13/821/009</w:t>
      </w:r>
    </w:p>
    <w:p w14:paraId="135D99DB" w14:textId="77777777" w:rsidR="00582954" w:rsidRDefault="00645977">
      <w:pPr>
        <w:widowControl w:val="0"/>
        <w:spacing w:after="0" w:line="240" w:lineRule="auto"/>
        <w:rPr>
          <w:rFonts w:ascii="Times New Roman" w:hAnsi="Times New Roman"/>
          <w:lang w:val="sk-SK"/>
        </w:rPr>
      </w:pPr>
      <w:r>
        <w:rPr>
          <w:rFonts w:ascii="Times New Roman" w:hAnsi="Times New Roman"/>
          <w:highlight w:val="lightGray"/>
          <w:lang w:val="sk-SK"/>
        </w:rPr>
        <w:t>EU/1/13/821/010</w:t>
      </w:r>
    </w:p>
    <w:p w14:paraId="08E42AD2" w14:textId="77777777" w:rsidR="00582954" w:rsidRDefault="00645977">
      <w:pPr>
        <w:widowControl w:val="0"/>
        <w:spacing w:after="0" w:line="240" w:lineRule="auto"/>
        <w:rPr>
          <w:rFonts w:ascii="Times New Roman" w:hAnsi="Times New Roman"/>
          <w:lang w:val="sk-SK"/>
        </w:rPr>
      </w:pPr>
      <w:r>
        <w:rPr>
          <w:rFonts w:ascii="Times New Roman" w:hAnsi="Times New Roman"/>
          <w:highlight w:val="lightGray"/>
          <w:lang w:val="sk-SK"/>
        </w:rPr>
        <w:t>EU/1/13/821/031</w:t>
      </w:r>
    </w:p>
    <w:p w14:paraId="344B7FF9" w14:textId="77777777" w:rsidR="00582954" w:rsidRDefault="00582954">
      <w:pPr>
        <w:widowControl w:val="0"/>
        <w:spacing w:after="0" w:line="240" w:lineRule="auto"/>
        <w:rPr>
          <w:rFonts w:ascii="Times New Roman" w:hAnsi="Times New Roman"/>
          <w:noProof/>
          <w:lang w:val="sk-SK"/>
        </w:rPr>
      </w:pPr>
    </w:p>
    <w:p w14:paraId="4F794A73" w14:textId="77777777" w:rsidR="00582954" w:rsidRDefault="00582954">
      <w:pPr>
        <w:widowControl w:val="0"/>
        <w:spacing w:after="0" w:line="240" w:lineRule="auto"/>
        <w:rPr>
          <w:rFonts w:ascii="Times New Roman" w:hAnsi="Times New Roman"/>
          <w:noProof/>
          <w:lang w:val="sk-SK"/>
        </w:rPr>
      </w:pPr>
    </w:p>
    <w:p w14:paraId="7B29F331" w14:textId="77777777" w:rsidR="00582954" w:rsidRDefault="00645977">
      <w:pPr>
        <w:widowControl w:val="0"/>
        <w:numPr>
          <w:ilvl w:val="0"/>
          <w:numId w:val="2"/>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k-SK"/>
        </w:rPr>
      </w:pPr>
      <w:r>
        <w:rPr>
          <w:rFonts w:ascii="Times New Roman" w:hAnsi="Times New Roman"/>
          <w:b/>
          <w:lang w:val="sk-SK"/>
        </w:rPr>
        <w:t>ČÍSLO VÝROBNEJ ŠARŽE</w:t>
      </w:r>
    </w:p>
    <w:p w14:paraId="1363A1B4" w14:textId="77777777" w:rsidR="00582954" w:rsidRDefault="00582954">
      <w:pPr>
        <w:widowControl w:val="0"/>
        <w:spacing w:after="0" w:line="240" w:lineRule="auto"/>
        <w:rPr>
          <w:rFonts w:ascii="Times New Roman" w:hAnsi="Times New Roman"/>
          <w:lang w:val="sk-SK"/>
        </w:rPr>
      </w:pPr>
    </w:p>
    <w:p w14:paraId="703F3674"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Lot</w:t>
      </w:r>
    </w:p>
    <w:p w14:paraId="4418E598" w14:textId="77777777" w:rsidR="00582954" w:rsidRDefault="00582954">
      <w:pPr>
        <w:widowControl w:val="0"/>
        <w:spacing w:after="0" w:line="240" w:lineRule="auto"/>
        <w:rPr>
          <w:rFonts w:ascii="Times New Roman" w:hAnsi="Times New Roman"/>
          <w:lang w:val="sk-SK"/>
        </w:rPr>
      </w:pPr>
    </w:p>
    <w:p w14:paraId="0A2CCFF7" w14:textId="77777777" w:rsidR="00582954" w:rsidRDefault="00582954">
      <w:pPr>
        <w:widowControl w:val="0"/>
        <w:spacing w:after="0" w:line="240" w:lineRule="auto"/>
        <w:rPr>
          <w:rFonts w:ascii="Times New Roman" w:hAnsi="Times New Roman"/>
          <w:lang w:val="sk-SK"/>
        </w:rPr>
      </w:pPr>
    </w:p>
    <w:p w14:paraId="7432DEBD" w14:textId="77777777" w:rsidR="00582954" w:rsidRDefault="00645977">
      <w:pPr>
        <w:widowControl w:val="0"/>
        <w:numPr>
          <w:ilvl w:val="0"/>
          <w:numId w:val="2"/>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sk-SK"/>
        </w:rPr>
      </w:pPr>
      <w:r>
        <w:rPr>
          <w:rFonts w:ascii="Times New Roman" w:hAnsi="Times New Roman"/>
          <w:b/>
          <w:lang w:val="sk-SK"/>
        </w:rPr>
        <w:t>ZATRIEDENIE LIEKU PODĽA SP</w:t>
      </w:r>
      <w:r>
        <w:rPr>
          <w:rFonts w:ascii="Times New Roman" w:hAnsi="Times New Roman"/>
          <w:b/>
          <w:bCs/>
          <w:lang w:val="sk-SK"/>
        </w:rPr>
        <w:t>ÔSOBU VÝDAJA</w:t>
      </w:r>
    </w:p>
    <w:p w14:paraId="5E97F8B6" w14:textId="77777777" w:rsidR="00582954" w:rsidRDefault="00582954">
      <w:pPr>
        <w:widowControl w:val="0"/>
        <w:spacing w:after="0" w:line="240" w:lineRule="auto"/>
        <w:rPr>
          <w:rFonts w:ascii="Times New Roman" w:hAnsi="Times New Roman"/>
          <w:lang w:val="sk-SK"/>
        </w:rPr>
      </w:pPr>
    </w:p>
    <w:p w14:paraId="072D484B" w14:textId="77777777" w:rsidR="00582954" w:rsidRDefault="00582954">
      <w:pPr>
        <w:widowControl w:val="0"/>
        <w:spacing w:after="0" w:line="240" w:lineRule="auto"/>
        <w:rPr>
          <w:rFonts w:ascii="Times New Roman" w:hAnsi="Times New Roman"/>
          <w:lang w:val="sk-SK"/>
        </w:rPr>
      </w:pPr>
    </w:p>
    <w:p w14:paraId="6F3B277B" w14:textId="77777777" w:rsidR="00582954" w:rsidRDefault="00582954">
      <w:pPr>
        <w:widowControl w:val="0"/>
        <w:spacing w:after="0" w:line="240" w:lineRule="auto"/>
        <w:rPr>
          <w:rFonts w:ascii="Times New Roman" w:hAnsi="Times New Roman"/>
          <w:lang w:val="sk-SK"/>
        </w:rPr>
      </w:pPr>
    </w:p>
    <w:p w14:paraId="4B668967" w14:textId="77777777" w:rsidR="00582954" w:rsidRDefault="00645977">
      <w:pPr>
        <w:widowControl w:val="0"/>
        <w:numPr>
          <w:ilvl w:val="0"/>
          <w:numId w:val="2"/>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k-SK"/>
        </w:rPr>
      </w:pPr>
      <w:r>
        <w:rPr>
          <w:rFonts w:ascii="Times New Roman" w:hAnsi="Times New Roman"/>
          <w:b/>
          <w:lang w:val="sk-SK"/>
        </w:rPr>
        <w:t>POKYNY NA POUŽITIE</w:t>
      </w:r>
    </w:p>
    <w:p w14:paraId="37B207AA" w14:textId="77777777" w:rsidR="00582954" w:rsidRDefault="00582954">
      <w:pPr>
        <w:widowControl w:val="0"/>
        <w:spacing w:after="0" w:line="240" w:lineRule="auto"/>
        <w:rPr>
          <w:rFonts w:ascii="Times New Roman" w:hAnsi="Times New Roman"/>
          <w:lang w:val="sk-SK"/>
        </w:rPr>
      </w:pPr>
    </w:p>
    <w:p w14:paraId="43DCD707" w14:textId="77777777" w:rsidR="00582954" w:rsidRDefault="00582954">
      <w:pPr>
        <w:widowControl w:val="0"/>
        <w:spacing w:after="0" w:line="240" w:lineRule="auto"/>
        <w:rPr>
          <w:rFonts w:ascii="Times New Roman" w:hAnsi="Times New Roman"/>
          <w:lang w:val="sk-SK"/>
        </w:rPr>
      </w:pPr>
    </w:p>
    <w:p w14:paraId="0A321252" w14:textId="77777777" w:rsidR="00582954" w:rsidRDefault="00645977">
      <w:pPr>
        <w:widowControl w:val="0"/>
        <w:numPr>
          <w:ilvl w:val="0"/>
          <w:numId w:val="2"/>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k-SK"/>
        </w:rPr>
      </w:pPr>
      <w:r>
        <w:rPr>
          <w:rFonts w:ascii="Times New Roman" w:hAnsi="Times New Roman"/>
          <w:b/>
          <w:lang w:val="sk-SK"/>
        </w:rPr>
        <w:t>INFORMÁCIE V BRAILLOVOM PÍSME</w:t>
      </w:r>
    </w:p>
    <w:p w14:paraId="3DF5810C" w14:textId="77777777" w:rsidR="00582954" w:rsidRDefault="00582954">
      <w:pPr>
        <w:widowControl w:val="0"/>
        <w:spacing w:after="0" w:line="240" w:lineRule="auto"/>
        <w:rPr>
          <w:rFonts w:ascii="Times New Roman" w:hAnsi="Times New Roman"/>
          <w:lang w:val="sk-SK"/>
        </w:rPr>
      </w:pPr>
    </w:p>
    <w:p w14:paraId="0E64781D"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Tolucombi 40 mg/12,5 mg</w:t>
      </w:r>
    </w:p>
    <w:p w14:paraId="3F60A057" w14:textId="77777777" w:rsidR="00582954" w:rsidRDefault="00582954">
      <w:pPr>
        <w:widowControl w:val="0"/>
        <w:tabs>
          <w:tab w:val="left" w:pos="0"/>
        </w:tabs>
        <w:spacing w:after="0" w:line="240" w:lineRule="auto"/>
        <w:rPr>
          <w:rFonts w:ascii="Times New Roman" w:eastAsia="Times New Roman" w:hAnsi="Times New Roman"/>
          <w:noProof/>
          <w:lang w:val="pl-PL"/>
        </w:rPr>
      </w:pPr>
    </w:p>
    <w:p w14:paraId="78F3FF18" w14:textId="77777777" w:rsidR="00582954" w:rsidRDefault="00582954">
      <w:pPr>
        <w:widowControl w:val="0"/>
        <w:tabs>
          <w:tab w:val="left" w:pos="567"/>
        </w:tabs>
        <w:spacing w:after="0" w:line="240" w:lineRule="auto"/>
        <w:ind w:left="567" w:hanging="567"/>
        <w:rPr>
          <w:rFonts w:ascii="Times New Roman" w:eastAsia="Times New Roman" w:hAnsi="Times New Roman"/>
          <w:szCs w:val="20"/>
          <w:lang w:val="sk-SK" w:eastAsia="sk-SK"/>
        </w:rPr>
      </w:pPr>
    </w:p>
    <w:p w14:paraId="438E4596" w14:textId="77777777" w:rsidR="00582954" w:rsidRDefault="0064597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szCs w:val="20"/>
          <w:lang w:val="sk-SK"/>
        </w:rPr>
      </w:pPr>
      <w:r>
        <w:rPr>
          <w:rFonts w:ascii="Times New Roman" w:eastAsia="Times New Roman" w:hAnsi="Times New Roman"/>
          <w:b/>
          <w:noProof/>
          <w:szCs w:val="20"/>
          <w:lang w:val="sk-SK"/>
        </w:rPr>
        <w:t>17.</w:t>
      </w:r>
      <w:r>
        <w:rPr>
          <w:rFonts w:ascii="Times New Roman" w:eastAsia="Times New Roman" w:hAnsi="Times New Roman"/>
          <w:b/>
          <w:noProof/>
          <w:szCs w:val="20"/>
          <w:lang w:val="sk-SK"/>
        </w:rPr>
        <w:tab/>
        <w:t>ŠPECIFICKÝ IDENTIFIKÁTOR – DVOJROZMERNÝ ČIAROVÝ KÓD</w:t>
      </w:r>
    </w:p>
    <w:p w14:paraId="44106DB9" w14:textId="77777777" w:rsidR="00582954" w:rsidRDefault="00582954">
      <w:pPr>
        <w:widowControl w:val="0"/>
        <w:tabs>
          <w:tab w:val="left" w:pos="567"/>
        </w:tabs>
        <w:spacing w:after="0" w:line="240" w:lineRule="auto"/>
        <w:rPr>
          <w:rFonts w:ascii="Times New Roman" w:eastAsia="Times New Roman" w:hAnsi="Times New Roman"/>
          <w:noProof/>
          <w:szCs w:val="20"/>
          <w:lang w:val="sk-SK"/>
        </w:rPr>
      </w:pPr>
    </w:p>
    <w:p w14:paraId="454E3111" w14:textId="77777777" w:rsidR="00582954" w:rsidRDefault="00645977">
      <w:pPr>
        <w:widowControl w:val="0"/>
        <w:tabs>
          <w:tab w:val="left" w:pos="567"/>
        </w:tabs>
        <w:spacing w:after="0" w:line="240" w:lineRule="auto"/>
        <w:rPr>
          <w:rFonts w:ascii="Times New Roman" w:eastAsia="Times New Roman" w:hAnsi="Times New Roman"/>
          <w:noProof/>
          <w:szCs w:val="20"/>
          <w:shd w:val="clear" w:color="auto" w:fill="CCCCCC"/>
          <w:lang w:val="sk-SK"/>
        </w:rPr>
      </w:pPr>
      <w:r>
        <w:rPr>
          <w:rFonts w:ascii="Times New Roman" w:eastAsia="Times New Roman" w:hAnsi="Times New Roman"/>
          <w:noProof/>
          <w:szCs w:val="20"/>
          <w:highlight w:val="lightGray"/>
          <w:lang w:val="sk-SK"/>
        </w:rPr>
        <w:t>Dvojrozmerný čiarový kód so špecifickým identifikátorom.</w:t>
      </w:r>
    </w:p>
    <w:p w14:paraId="63BD315D" w14:textId="77777777" w:rsidR="00582954" w:rsidRDefault="00582954">
      <w:pPr>
        <w:widowControl w:val="0"/>
        <w:tabs>
          <w:tab w:val="left" w:pos="567"/>
        </w:tabs>
        <w:spacing w:after="0" w:line="240" w:lineRule="auto"/>
        <w:rPr>
          <w:rFonts w:ascii="Times New Roman" w:eastAsia="Times New Roman" w:hAnsi="Times New Roman"/>
          <w:b/>
          <w:noProof/>
          <w:szCs w:val="20"/>
          <w:u w:val="single"/>
          <w:lang w:val="sk-SK"/>
        </w:rPr>
      </w:pPr>
    </w:p>
    <w:p w14:paraId="6C1BB4F8" w14:textId="77777777" w:rsidR="00582954" w:rsidRDefault="00582954">
      <w:pPr>
        <w:widowControl w:val="0"/>
        <w:tabs>
          <w:tab w:val="left" w:pos="567"/>
        </w:tabs>
        <w:spacing w:after="0" w:line="240" w:lineRule="auto"/>
        <w:rPr>
          <w:rFonts w:ascii="Times New Roman" w:eastAsia="Times New Roman" w:hAnsi="Times New Roman"/>
          <w:b/>
          <w:noProof/>
          <w:szCs w:val="20"/>
          <w:u w:val="single"/>
          <w:lang w:val="sk-SK"/>
        </w:rPr>
      </w:pPr>
    </w:p>
    <w:p w14:paraId="7DFA756B" w14:textId="77777777" w:rsidR="00582954" w:rsidRDefault="0064597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noProof/>
          <w:szCs w:val="20"/>
          <w:lang w:val="sk-SK"/>
        </w:rPr>
      </w:pPr>
      <w:r>
        <w:rPr>
          <w:rFonts w:ascii="Times New Roman" w:eastAsia="Times New Roman" w:hAnsi="Times New Roman"/>
          <w:b/>
          <w:noProof/>
          <w:szCs w:val="20"/>
          <w:lang w:val="sk-SK"/>
        </w:rPr>
        <w:t>18.</w:t>
      </w:r>
      <w:r>
        <w:rPr>
          <w:rFonts w:ascii="Times New Roman" w:eastAsia="Times New Roman" w:hAnsi="Times New Roman"/>
          <w:b/>
          <w:noProof/>
          <w:szCs w:val="20"/>
          <w:lang w:val="sk-SK"/>
        </w:rPr>
        <w:tab/>
        <w:t>ŠPECIFICKÝ IDENTIFIKÁTOR – ÚDAJE ČITATEĽNÉ ĽUDSKÝM OKOM</w:t>
      </w:r>
    </w:p>
    <w:p w14:paraId="0C77764C" w14:textId="77777777" w:rsidR="00582954" w:rsidRDefault="00582954">
      <w:pPr>
        <w:widowControl w:val="0"/>
        <w:tabs>
          <w:tab w:val="left" w:pos="567"/>
        </w:tabs>
        <w:spacing w:after="0" w:line="240" w:lineRule="auto"/>
        <w:rPr>
          <w:rFonts w:ascii="Times New Roman" w:eastAsia="Times New Roman" w:hAnsi="Times New Roman"/>
          <w:szCs w:val="20"/>
          <w:lang w:val="sk-SK"/>
        </w:rPr>
      </w:pPr>
    </w:p>
    <w:p w14:paraId="5E01EECA" w14:textId="77777777" w:rsidR="00582954" w:rsidRDefault="00645977">
      <w:pPr>
        <w:widowControl w:val="0"/>
        <w:tabs>
          <w:tab w:val="left" w:pos="567"/>
        </w:tabs>
        <w:spacing w:after="0" w:line="240" w:lineRule="auto"/>
        <w:rPr>
          <w:rFonts w:ascii="Times New Roman" w:eastAsia="Times New Roman" w:hAnsi="Times New Roman"/>
          <w:szCs w:val="20"/>
          <w:lang w:val="sk-SK"/>
        </w:rPr>
      </w:pPr>
      <w:r>
        <w:rPr>
          <w:rFonts w:ascii="Times New Roman" w:eastAsia="Times New Roman" w:hAnsi="Times New Roman"/>
          <w:szCs w:val="20"/>
          <w:lang w:val="sk-SK"/>
        </w:rPr>
        <w:t>PC</w:t>
      </w:r>
    </w:p>
    <w:p w14:paraId="0B32A988" w14:textId="77777777" w:rsidR="00582954" w:rsidRDefault="00645977">
      <w:pPr>
        <w:widowControl w:val="0"/>
        <w:tabs>
          <w:tab w:val="left" w:pos="567"/>
        </w:tabs>
        <w:spacing w:after="0" w:line="240" w:lineRule="auto"/>
        <w:rPr>
          <w:rFonts w:ascii="Times New Roman" w:eastAsia="Times New Roman" w:hAnsi="Times New Roman"/>
          <w:noProof/>
          <w:vanish/>
          <w:szCs w:val="20"/>
          <w:lang w:val="sk-SK"/>
        </w:rPr>
      </w:pPr>
      <w:r>
        <w:rPr>
          <w:rFonts w:ascii="Times New Roman" w:eastAsia="Times New Roman" w:hAnsi="Times New Roman"/>
          <w:szCs w:val="20"/>
          <w:lang w:val="sk-SK"/>
        </w:rPr>
        <w:t>SN</w:t>
      </w:r>
    </w:p>
    <w:p w14:paraId="319E7A55" w14:textId="77777777" w:rsidR="00582954" w:rsidRDefault="00645977">
      <w:pPr>
        <w:widowControl w:val="0"/>
        <w:pBdr>
          <w:top w:val="single" w:sz="4" w:space="1" w:color="auto"/>
          <w:left w:val="single" w:sz="4" w:space="4" w:color="auto"/>
          <w:bottom w:val="single" w:sz="4" w:space="3" w:color="auto"/>
          <w:right w:val="single" w:sz="4" w:space="4" w:color="auto"/>
        </w:pBdr>
        <w:spacing w:after="0" w:line="240" w:lineRule="auto"/>
        <w:rPr>
          <w:rFonts w:ascii="Times New Roman" w:hAnsi="Times New Roman"/>
          <w:lang w:val="sk-SK"/>
        </w:rPr>
      </w:pPr>
      <w:r>
        <w:rPr>
          <w:rFonts w:ascii="Times New Roman" w:hAnsi="Times New Roman"/>
          <w:lang w:val="sk-SK"/>
        </w:rPr>
        <w:br w:type="page"/>
      </w:r>
    </w:p>
    <w:p w14:paraId="27C7E400" w14:textId="77777777" w:rsidR="00582954" w:rsidRDefault="00645977">
      <w:pPr>
        <w:widowControl w:val="0"/>
        <w:pBdr>
          <w:top w:val="single" w:sz="4" w:space="1" w:color="auto"/>
          <w:left w:val="single" w:sz="4" w:space="4" w:color="auto"/>
          <w:bottom w:val="single" w:sz="4" w:space="3" w:color="auto"/>
          <w:right w:val="single" w:sz="4" w:space="4" w:color="auto"/>
        </w:pBdr>
        <w:spacing w:after="0" w:line="240" w:lineRule="auto"/>
        <w:rPr>
          <w:rFonts w:ascii="Times New Roman" w:hAnsi="Times New Roman"/>
          <w:b/>
          <w:lang w:val="sk-SK"/>
        </w:rPr>
      </w:pPr>
      <w:r>
        <w:rPr>
          <w:rFonts w:ascii="Times New Roman" w:hAnsi="Times New Roman"/>
          <w:b/>
          <w:lang w:val="sk-SK"/>
        </w:rPr>
        <w:lastRenderedPageBreak/>
        <w:t>MINIMÁLNE ÚDAJE, KTORÉ MAJÚ BYŤ UVEDENÉ NA BLISTROCH ALEBO STRIPOCH</w:t>
      </w:r>
    </w:p>
    <w:p w14:paraId="3A8294AA" w14:textId="77777777" w:rsidR="00582954" w:rsidRDefault="00582954">
      <w:pPr>
        <w:widowControl w:val="0"/>
        <w:pBdr>
          <w:top w:val="single" w:sz="4" w:space="1" w:color="auto"/>
          <w:left w:val="single" w:sz="4" w:space="4" w:color="auto"/>
          <w:bottom w:val="single" w:sz="4" w:space="3" w:color="auto"/>
          <w:right w:val="single" w:sz="4" w:space="4" w:color="auto"/>
        </w:pBdr>
        <w:spacing w:after="0" w:line="240" w:lineRule="auto"/>
        <w:rPr>
          <w:rFonts w:ascii="Times New Roman" w:hAnsi="Times New Roman"/>
          <w:b/>
          <w:lang w:val="sk-SK"/>
        </w:rPr>
      </w:pPr>
    </w:p>
    <w:p w14:paraId="3E8E0E3B" w14:textId="77777777" w:rsidR="00582954" w:rsidRDefault="00645977">
      <w:pPr>
        <w:widowControl w:val="0"/>
        <w:pBdr>
          <w:top w:val="single" w:sz="4" w:space="1" w:color="auto"/>
          <w:left w:val="single" w:sz="4" w:space="4" w:color="auto"/>
          <w:bottom w:val="single" w:sz="4" w:space="3" w:color="auto"/>
          <w:right w:val="single" w:sz="4" w:space="4" w:color="auto"/>
        </w:pBdr>
        <w:spacing w:after="0" w:line="240" w:lineRule="auto"/>
        <w:rPr>
          <w:rFonts w:ascii="Times New Roman" w:hAnsi="Times New Roman"/>
          <w:lang w:val="sk-SK"/>
        </w:rPr>
      </w:pPr>
      <w:r>
        <w:rPr>
          <w:rFonts w:ascii="Times New Roman" w:hAnsi="Times New Roman"/>
          <w:b/>
          <w:lang w:val="sk-SK"/>
        </w:rPr>
        <w:t>BLISTER</w:t>
      </w:r>
    </w:p>
    <w:p w14:paraId="6AC4CA6B" w14:textId="77777777" w:rsidR="00582954" w:rsidRDefault="00582954">
      <w:pPr>
        <w:widowControl w:val="0"/>
        <w:spacing w:after="0" w:line="240" w:lineRule="auto"/>
        <w:rPr>
          <w:rFonts w:ascii="Times New Roman" w:hAnsi="Times New Roman"/>
          <w:lang w:val="sk-SK"/>
        </w:rPr>
      </w:pPr>
    </w:p>
    <w:p w14:paraId="6FC42B13" w14:textId="77777777" w:rsidR="00C27525" w:rsidRDefault="00C27525">
      <w:pPr>
        <w:widowControl w:val="0"/>
        <w:spacing w:after="0" w:line="240" w:lineRule="auto"/>
        <w:rPr>
          <w:rFonts w:ascii="Times New Roman" w:hAnsi="Times New Roman"/>
          <w:lang w:val="sk-SK"/>
        </w:rPr>
      </w:pPr>
    </w:p>
    <w:p w14:paraId="1A9654AC" w14:textId="77777777" w:rsidR="00582954" w:rsidRDefault="00645977">
      <w:pPr>
        <w:widowControl w:val="0"/>
        <w:numPr>
          <w:ilvl w:val="0"/>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imes New Roman" w:hAnsi="Times New Roman"/>
          <w:b/>
          <w:lang w:val="sk-SK"/>
        </w:rPr>
      </w:pPr>
      <w:r>
        <w:rPr>
          <w:rFonts w:ascii="Times New Roman" w:hAnsi="Times New Roman"/>
          <w:b/>
          <w:lang w:val="sk-SK"/>
        </w:rPr>
        <w:t>NÁZOV LIEKU</w:t>
      </w:r>
    </w:p>
    <w:p w14:paraId="143B103F" w14:textId="77777777" w:rsidR="00582954" w:rsidRDefault="00582954">
      <w:pPr>
        <w:widowControl w:val="0"/>
        <w:spacing w:after="0" w:line="240" w:lineRule="auto"/>
        <w:rPr>
          <w:rFonts w:ascii="Times New Roman" w:hAnsi="Times New Roman"/>
          <w:lang w:val="sk-SK"/>
        </w:rPr>
      </w:pPr>
    </w:p>
    <w:p w14:paraId="38EAF87C"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Tolucombi 40 mg/12,5 mg tablety</w:t>
      </w:r>
    </w:p>
    <w:p w14:paraId="294B7E59"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telmisartan/hydrochlórtiazid</w:t>
      </w:r>
    </w:p>
    <w:p w14:paraId="503AD2E1" w14:textId="77777777" w:rsidR="00582954" w:rsidRDefault="00582954">
      <w:pPr>
        <w:widowControl w:val="0"/>
        <w:spacing w:after="0" w:line="240" w:lineRule="auto"/>
        <w:rPr>
          <w:rFonts w:ascii="Times New Roman" w:hAnsi="Times New Roman"/>
          <w:lang w:val="sk-SK"/>
        </w:rPr>
      </w:pPr>
    </w:p>
    <w:p w14:paraId="7BB8E491" w14:textId="77777777" w:rsidR="00582954" w:rsidRDefault="00582954">
      <w:pPr>
        <w:widowControl w:val="0"/>
        <w:spacing w:after="0" w:line="240" w:lineRule="auto"/>
        <w:rPr>
          <w:rFonts w:ascii="Times New Roman" w:hAnsi="Times New Roman"/>
          <w:lang w:val="sk-SK"/>
        </w:rPr>
      </w:pPr>
    </w:p>
    <w:p w14:paraId="7F257EEA" w14:textId="77777777" w:rsidR="00582954" w:rsidRDefault="00645977">
      <w:pPr>
        <w:widowControl w:val="0"/>
        <w:numPr>
          <w:ilvl w:val="0"/>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imes New Roman" w:hAnsi="Times New Roman"/>
          <w:b/>
          <w:lang w:val="sk-SK"/>
        </w:rPr>
      </w:pPr>
      <w:r>
        <w:rPr>
          <w:rFonts w:ascii="Times New Roman" w:hAnsi="Times New Roman"/>
          <w:b/>
          <w:lang w:val="sk-SK"/>
        </w:rPr>
        <w:t>NÁZOV DRŽITEĽA ROZHODNUTIA O REGISTRÁCII</w:t>
      </w:r>
    </w:p>
    <w:p w14:paraId="5C82DB1B" w14:textId="77777777" w:rsidR="00582954" w:rsidRDefault="00582954">
      <w:pPr>
        <w:widowControl w:val="0"/>
        <w:spacing w:after="0" w:line="240" w:lineRule="auto"/>
        <w:rPr>
          <w:rFonts w:ascii="Times New Roman" w:hAnsi="Times New Roman"/>
          <w:lang w:val="sk-SK"/>
        </w:rPr>
      </w:pPr>
    </w:p>
    <w:p w14:paraId="231C7DA4"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KRKA</w:t>
      </w:r>
    </w:p>
    <w:p w14:paraId="170CC676" w14:textId="77777777" w:rsidR="00582954" w:rsidRDefault="00582954">
      <w:pPr>
        <w:widowControl w:val="0"/>
        <w:spacing w:after="0" w:line="240" w:lineRule="auto"/>
        <w:rPr>
          <w:rFonts w:ascii="Times New Roman" w:hAnsi="Times New Roman"/>
          <w:lang w:val="sk-SK"/>
        </w:rPr>
      </w:pPr>
    </w:p>
    <w:p w14:paraId="60265416" w14:textId="77777777" w:rsidR="00582954" w:rsidRDefault="00582954">
      <w:pPr>
        <w:widowControl w:val="0"/>
        <w:spacing w:after="0" w:line="240" w:lineRule="auto"/>
        <w:rPr>
          <w:rFonts w:ascii="Times New Roman" w:hAnsi="Times New Roman"/>
          <w:lang w:val="sk-SK"/>
        </w:rPr>
      </w:pPr>
    </w:p>
    <w:p w14:paraId="3974CB2D" w14:textId="77777777" w:rsidR="00582954" w:rsidRDefault="00645977">
      <w:pPr>
        <w:widowControl w:val="0"/>
        <w:numPr>
          <w:ilvl w:val="0"/>
          <w:numId w:val="3"/>
        </w:numPr>
        <w:pBdr>
          <w:top w:val="single" w:sz="4" w:space="2" w:color="auto"/>
          <w:left w:val="single" w:sz="4" w:space="4" w:color="auto"/>
          <w:bottom w:val="single" w:sz="4" w:space="1" w:color="auto"/>
          <w:right w:val="single" w:sz="4" w:space="4" w:color="auto"/>
        </w:pBdr>
        <w:tabs>
          <w:tab w:val="left" w:pos="567"/>
        </w:tabs>
        <w:spacing w:after="0" w:line="240" w:lineRule="auto"/>
        <w:ind w:left="0" w:firstLine="0"/>
        <w:rPr>
          <w:rFonts w:ascii="Times New Roman" w:hAnsi="Times New Roman"/>
          <w:b/>
          <w:lang w:val="sk-SK"/>
        </w:rPr>
      </w:pPr>
      <w:r>
        <w:rPr>
          <w:rFonts w:ascii="Times New Roman" w:hAnsi="Times New Roman"/>
          <w:b/>
          <w:lang w:val="sk-SK"/>
        </w:rPr>
        <w:t>DÁTUM EXSPIRÁCIE</w:t>
      </w:r>
    </w:p>
    <w:p w14:paraId="50A34880" w14:textId="77777777" w:rsidR="00582954" w:rsidRDefault="00582954">
      <w:pPr>
        <w:widowControl w:val="0"/>
        <w:spacing w:after="0" w:line="240" w:lineRule="auto"/>
        <w:rPr>
          <w:rFonts w:ascii="Times New Roman" w:hAnsi="Times New Roman"/>
          <w:lang w:val="sk-SK"/>
        </w:rPr>
      </w:pPr>
    </w:p>
    <w:p w14:paraId="23213776"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EXP</w:t>
      </w:r>
    </w:p>
    <w:p w14:paraId="4C595EFE" w14:textId="77777777" w:rsidR="00582954" w:rsidRDefault="00582954">
      <w:pPr>
        <w:widowControl w:val="0"/>
        <w:spacing w:after="0" w:line="240" w:lineRule="auto"/>
        <w:rPr>
          <w:rFonts w:ascii="Times New Roman" w:hAnsi="Times New Roman"/>
          <w:lang w:val="sk-SK"/>
        </w:rPr>
      </w:pPr>
    </w:p>
    <w:p w14:paraId="1B9E07CC" w14:textId="77777777" w:rsidR="00582954" w:rsidRDefault="00582954">
      <w:pPr>
        <w:widowControl w:val="0"/>
        <w:spacing w:after="0" w:line="240" w:lineRule="auto"/>
        <w:rPr>
          <w:rFonts w:ascii="Times New Roman" w:hAnsi="Times New Roman"/>
          <w:lang w:val="sk-SK"/>
        </w:rPr>
      </w:pPr>
    </w:p>
    <w:p w14:paraId="189DE891" w14:textId="77777777" w:rsidR="00582954" w:rsidRDefault="00645977">
      <w:pPr>
        <w:widowControl w:val="0"/>
        <w:numPr>
          <w:ilvl w:val="0"/>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imes New Roman" w:hAnsi="Times New Roman"/>
          <w:b/>
          <w:lang w:val="sk-SK"/>
        </w:rPr>
      </w:pPr>
      <w:r>
        <w:rPr>
          <w:rFonts w:ascii="Times New Roman" w:hAnsi="Times New Roman"/>
          <w:b/>
          <w:lang w:val="sk-SK"/>
        </w:rPr>
        <w:t>ČÍSLO VÝROBNEJ ŠARŽE</w:t>
      </w:r>
    </w:p>
    <w:p w14:paraId="7CEFB2C7" w14:textId="77777777" w:rsidR="00582954" w:rsidRDefault="00582954">
      <w:pPr>
        <w:widowControl w:val="0"/>
        <w:spacing w:after="0" w:line="240" w:lineRule="auto"/>
        <w:rPr>
          <w:rFonts w:ascii="Times New Roman" w:hAnsi="Times New Roman"/>
          <w:lang w:val="sk-SK"/>
        </w:rPr>
      </w:pPr>
    </w:p>
    <w:p w14:paraId="12AA6DAA"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Lot</w:t>
      </w:r>
    </w:p>
    <w:p w14:paraId="2F3DBF7E" w14:textId="77777777" w:rsidR="00582954" w:rsidRDefault="00582954">
      <w:pPr>
        <w:widowControl w:val="0"/>
        <w:spacing w:after="0" w:line="240" w:lineRule="auto"/>
        <w:rPr>
          <w:rFonts w:ascii="Times New Roman" w:hAnsi="Times New Roman"/>
          <w:lang w:val="sk-SK"/>
        </w:rPr>
      </w:pPr>
    </w:p>
    <w:p w14:paraId="6EE8091B" w14:textId="77777777" w:rsidR="00582954" w:rsidRDefault="00582954">
      <w:pPr>
        <w:widowControl w:val="0"/>
        <w:spacing w:after="0" w:line="240" w:lineRule="auto"/>
        <w:rPr>
          <w:rFonts w:ascii="Times New Roman" w:hAnsi="Times New Roman"/>
          <w:lang w:val="sk-SK"/>
        </w:rPr>
      </w:pPr>
    </w:p>
    <w:p w14:paraId="56B243D3" w14:textId="77777777" w:rsidR="00582954" w:rsidRDefault="00645977">
      <w:pPr>
        <w:widowControl w:val="0"/>
        <w:numPr>
          <w:ilvl w:val="0"/>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imes New Roman" w:hAnsi="Times New Roman"/>
          <w:b/>
          <w:lang w:val="sk-SK"/>
        </w:rPr>
      </w:pPr>
      <w:r>
        <w:rPr>
          <w:rFonts w:ascii="Times New Roman" w:hAnsi="Times New Roman"/>
          <w:b/>
          <w:lang w:val="sk-SK"/>
        </w:rPr>
        <w:t>INÉ</w:t>
      </w:r>
    </w:p>
    <w:p w14:paraId="0FE0C89A" w14:textId="77777777" w:rsidR="00582954" w:rsidRDefault="00582954">
      <w:pPr>
        <w:widowControl w:val="0"/>
        <w:spacing w:after="0" w:line="240" w:lineRule="auto"/>
        <w:rPr>
          <w:rFonts w:ascii="Times New Roman" w:hAnsi="Times New Roman"/>
          <w:lang w:val="sk-SK"/>
        </w:rPr>
      </w:pPr>
    </w:p>
    <w:p w14:paraId="3D7C7258" w14:textId="77777777" w:rsidR="00582954" w:rsidRDefault="00645977">
      <w:pPr>
        <w:widowControl w:val="0"/>
        <w:spacing w:after="0" w:line="240" w:lineRule="auto"/>
        <w:rPr>
          <w:rFonts w:ascii="Times New Roman" w:hAnsi="Times New Roman"/>
          <w:lang w:val="sk-SK"/>
        </w:rPr>
      </w:pPr>
      <w:r>
        <w:rPr>
          <w:rFonts w:ascii="Times New Roman" w:hAnsi="Times New Roman"/>
          <w:highlight w:val="lightGray"/>
          <w:lang w:val="sk-SK"/>
        </w:rPr>
        <w:t>Iba pre blistre obsahujúce 7 tabliet</w:t>
      </w:r>
    </w:p>
    <w:p w14:paraId="6A3B6EDC"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Po</w:t>
      </w:r>
    </w:p>
    <w:p w14:paraId="0518E669"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Ut</w:t>
      </w:r>
    </w:p>
    <w:p w14:paraId="274C009F"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St</w:t>
      </w:r>
    </w:p>
    <w:p w14:paraId="29C08943"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Št</w:t>
      </w:r>
    </w:p>
    <w:p w14:paraId="5A5E9D57"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Pi</w:t>
      </w:r>
    </w:p>
    <w:p w14:paraId="7AC6EFD0"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So</w:t>
      </w:r>
    </w:p>
    <w:p w14:paraId="3CEAFD44"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Ne</w:t>
      </w:r>
    </w:p>
    <w:p w14:paraId="1E02F98A" w14:textId="77777777" w:rsidR="00582954" w:rsidRDefault="00582954">
      <w:pPr>
        <w:widowControl w:val="0"/>
        <w:spacing w:after="0" w:line="240" w:lineRule="auto"/>
        <w:rPr>
          <w:rFonts w:ascii="Times New Roman" w:hAnsi="Times New Roman"/>
          <w:lang w:val="sk-SK"/>
        </w:rPr>
      </w:pPr>
    </w:p>
    <w:p w14:paraId="732BE2D2" w14:textId="77777777" w:rsidR="00582954" w:rsidRDefault="00645977">
      <w:pPr>
        <w:widowControl w:val="0"/>
        <w:pBdr>
          <w:top w:val="single" w:sz="4" w:space="5"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lang w:val="sk-SK"/>
        </w:rPr>
      </w:pPr>
      <w:r>
        <w:rPr>
          <w:rFonts w:ascii="Times New Roman" w:hAnsi="Times New Roman"/>
          <w:lang w:val="sk-SK"/>
        </w:rPr>
        <w:br w:type="page"/>
      </w:r>
      <w:r>
        <w:rPr>
          <w:rFonts w:ascii="Times New Roman" w:hAnsi="Times New Roman"/>
          <w:b/>
          <w:bCs/>
          <w:lang w:val="sk-SK"/>
        </w:rPr>
        <w:lastRenderedPageBreak/>
        <w:t>ÚDAJE, KTORÉ MAJÚ UVEDENÉ NA VONKAJŠOM OBALE</w:t>
      </w:r>
    </w:p>
    <w:p w14:paraId="75A97B43" w14:textId="77777777" w:rsidR="00582954" w:rsidRDefault="00582954">
      <w:pPr>
        <w:widowControl w:val="0"/>
        <w:pBdr>
          <w:top w:val="single" w:sz="4" w:space="5"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lang w:val="sk-SK"/>
        </w:rPr>
      </w:pPr>
    </w:p>
    <w:p w14:paraId="01EAA59E" w14:textId="77777777" w:rsidR="00582954" w:rsidRDefault="00645977">
      <w:pPr>
        <w:widowControl w:val="0"/>
        <w:pBdr>
          <w:top w:val="single" w:sz="4" w:space="5"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lang w:val="sk-SK"/>
        </w:rPr>
      </w:pPr>
      <w:r>
        <w:rPr>
          <w:rFonts w:ascii="Times New Roman" w:hAnsi="Times New Roman"/>
          <w:b/>
          <w:bCs/>
          <w:lang w:val="sk-SK"/>
        </w:rPr>
        <w:t>ŠKATUĽKA</w:t>
      </w:r>
    </w:p>
    <w:p w14:paraId="32A9B2F8" w14:textId="77777777" w:rsidR="00582954" w:rsidRDefault="00582954">
      <w:pPr>
        <w:widowControl w:val="0"/>
        <w:spacing w:after="0" w:line="240" w:lineRule="auto"/>
        <w:contextualSpacing/>
        <w:rPr>
          <w:rFonts w:ascii="Times New Roman" w:hAnsi="Times New Roman"/>
          <w:lang w:val="sk-SK"/>
        </w:rPr>
      </w:pPr>
    </w:p>
    <w:p w14:paraId="3DD4A383" w14:textId="77777777" w:rsidR="00C27525" w:rsidRDefault="00C27525">
      <w:pPr>
        <w:widowControl w:val="0"/>
        <w:spacing w:after="0" w:line="240" w:lineRule="auto"/>
        <w:contextualSpacing/>
        <w:rPr>
          <w:rFonts w:ascii="Times New Roman" w:hAnsi="Times New Roman"/>
          <w:lang w:val="sk-SK"/>
        </w:rPr>
      </w:pPr>
    </w:p>
    <w:p w14:paraId="33439E46" w14:textId="77777777" w:rsidR="00582954" w:rsidRDefault="00645977">
      <w:pPr>
        <w:widowControl w:val="0"/>
        <w:numPr>
          <w:ilvl w:val="0"/>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contextualSpacing/>
        <w:rPr>
          <w:rFonts w:ascii="Times New Roman" w:hAnsi="Times New Roman"/>
          <w:b/>
          <w:lang w:val="sk-SK"/>
        </w:rPr>
      </w:pPr>
      <w:r>
        <w:rPr>
          <w:rFonts w:ascii="Times New Roman" w:hAnsi="Times New Roman"/>
          <w:b/>
          <w:lang w:val="sk-SK"/>
        </w:rPr>
        <w:t>NÁZOV LIEKU</w:t>
      </w:r>
    </w:p>
    <w:p w14:paraId="441BB686" w14:textId="77777777" w:rsidR="00582954" w:rsidRDefault="00582954">
      <w:pPr>
        <w:widowControl w:val="0"/>
        <w:spacing w:after="0" w:line="240" w:lineRule="auto"/>
        <w:rPr>
          <w:rFonts w:ascii="Times New Roman" w:hAnsi="Times New Roman"/>
          <w:lang w:val="sk-SK"/>
        </w:rPr>
      </w:pPr>
    </w:p>
    <w:p w14:paraId="76361D60"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Tolucombi 80 mg/12,5 mg tablety</w:t>
      </w:r>
    </w:p>
    <w:p w14:paraId="1511DEE5"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telmisartan/hydrochlórtiazid</w:t>
      </w:r>
    </w:p>
    <w:p w14:paraId="69A0A3C6" w14:textId="77777777" w:rsidR="00582954" w:rsidRDefault="00582954">
      <w:pPr>
        <w:widowControl w:val="0"/>
        <w:spacing w:after="0" w:line="240" w:lineRule="auto"/>
        <w:rPr>
          <w:rFonts w:ascii="Times New Roman" w:hAnsi="Times New Roman"/>
          <w:lang w:val="sk-SK"/>
        </w:rPr>
      </w:pPr>
    </w:p>
    <w:p w14:paraId="52B7BFB1" w14:textId="77777777" w:rsidR="00582954" w:rsidRDefault="00582954">
      <w:pPr>
        <w:widowControl w:val="0"/>
        <w:spacing w:after="0" w:line="240" w:lineRule="auto"/>
        <w:rPr>
          <w:rFonts w:ascii="Times New Roman" w:hAnsi="Times New Roman"/>
          <w:lang w:val="sk-SK"/>
        </w:rPr>
      </w:pPr>
    </w:p>
    <w:p w14:paraId="6E41BE31" w14:textId="77777777" w:rsidR="00582954" w:rsidRDefault="00645977">
      <w:pPr>
        <w:widowControl w:val="0"/>
        <w:numPr>
          <w:ilvl w:val="0"/>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imes New Roman" w:hAnsi="Times New Roman"/>
          <w:b/>
          <w:lang w:val="sk-SK"/>
        </w:rPr>
      </w:pPr>
      <w:r>
        <w:rPr>
          <w:rFonts w:ascii="Times New Roman" w:hAnsi="Times New Roman"/>
          <w:b/>
          <w:lang w:val="sk-SK"/>
        </w:rPr>
        <w:t>LIEČIVO (LIEČIVÁ)</w:t>
      </w:r>
    </w:p>
    <w:p w14:paraId="6B2A5648" w14:textId="77777777" w:rsidR="00582954" w:rsidRDefault="00582954">
      <w:pPr>
        <w:widowControl w:val="0"/>
        <w:spacing w:after="0" w:line="240" w:lineRule="auto"/>
        <w:rPr>
          <w:rFonts w:ascii="Times New Roman" w:hAnsi="Times New Roman"/>
          <w:lang w:val="sk-SK"/>
        </w:rPr>
      </w:pPr>
    </w:p>
    <w:p w14:paraId="523D0B5B"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Každá tableta obsahuje 80 mg telmisartanu a 12,5 mg hydrochlórtiazidu.</w:t>
      </w:r>
    </w:p>
    <w:p w14:paraId="0AE97E00" w14:textId="77777777" w:rsidR="00582954" w:rsidRDefault="00582954">
      <w:pPr>
        <w:widowControl w:val="0"/>
        <w:spacing w:after="0" w:line="240" w:lineRule="auto"/>
        <w:rPr>
          <w:rFonts w:ascii="Times New Roman" w:hAnsi="Times New Roman"/>
          <w:lang w:val="sk-SK"/>
        </w:rPr>
      </w:pPr>
    </w:p>
    <w:p w14:paraId="3A93749B" w14:textId="77777777" w:rsidR="00582954" w:rsidRDefault="00582954">
      <w:pPr>
        <w:widowControl w:val="0"/>
        <w:spacing w:after="0" w:line="240" w:lineRule="auto"/>
        <w:rPr>
          <w:rFonts w:ascii="Times New Roman" w:hAnsi="Times New Roman"/>
          <w:lang w:val="sk-SK"/>
        </w:rPr>
      </w:pPr>
    </w:p>
    <w:p w14:paraId="45ED3766" w14:textId="77777777" w:rsidR="00582954" w:rsidRDefault="00645977">
      <w:pPr>
        <w:widowControl w:val="0"/>
        <w:numPr>
          <w:ilvl w:val="0"/>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imes New Roman" w:hAnsi="Times New Roman"/>
          <w:b/>
          <w:lang w:val="sk-SK"/>
        </w:rPr>
      </w:pPr>
      <w:r>
        <w:rPr>
          <w:rFonts w:ascii="Times New Roman" w:hAnsi="Times New Roman"/>
          <w:b/>
          <w:lang w:val="sk-SK"/>
        </w:rPr>
        <w:t>ZOZNAM POMOCNÝCH LÁTOK</w:t>
      </w:r>
    </w:p>
    <w:p w14:paraId="38731CC5" w14:textId="77777777" w:rsidR="00582954" w:rsidRDefault="00582954">
      <w:pPr>
        <w:widowControl w:val="0"/>
        <w:spacing w:after="0" w:line="240" w:lineRule="auto"/>
        <w:contextualSpacing/>
        <w:rPr>
          <w:rFonts w:ascii="Times New Roman" w:hAnsi="Times New Roman"/>
          <w:lang w:val="sk-SK"/>
        </w:rPr>
      </w:pPr>
    </w:p>
    <w:p w14:paraId="33238DCE" w14:textId="77777777" w:rsidR="00582954" w:rsidRDefault="00582954">
      <w:pPr>
        <w:widowControl w:val="0"/>
        <w:spacing w:after="0" w:line="240" w:lineRule="auto"/>
        <w:contextualSpacing/>
        <w:rPr>
          <w:rFonts w:ascii="Times New Roman" w:hAnsi="Times New Roman"/>
          <w:lang w:val="sk-SK"/>
        </w:rPr>
      </w:pPr>
    </w:p>
    <w:p w14:paraId="7603E250" w14:textId="77777777" w:rsidR="00582954" w:rsidRDefault="00645977">
      <w:pPr>
        <w:widowControl w:val="0"/>
        <w:numPr>
          <w:ilvl w:val="0"/>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contextualSpacing/>
        <w:rPr>
          <w:rFonts w:ascii="Times New Roman" w:hAnsi="Times New Roman"/>
          <w:lang w:val="sk-SK"/>
        </w:rPr>
      </w:pPr>
      <w:r>
        <w:rPr>
          <w:rFonts w:ascii="Times New Roman" w:hAnsi="Times New Roman"/>
          <w:b/>
          <w:lang w:val="sk-SK"/>
        </w:rPr>
        <w:t>LIEKOVÁ FORMA A OBSAH</w:t>
      </w:r>
    </w:p>
    <w:p w14:paraId="0E0E0609" w14:textId="77777777" w:rsidR="00582954" w:rsidRDefault="00582954">
      <w:pPr>
        <w:widowControl w:val="0"/>
        <w:spacing w:after="0" w:line="240" w:lineRule="auto"/>
        <w:contextualSpacing/>
        <w:rPr>
          <w:rFonts w:ascii="Times New Roman" w:hAnsi="Times New Roman"/>
          <w:lang w:val="sk-SK"/>
        </w:rPr>
      </w:pPr>
    </w:p>
    <w:p w14:paraId="4B0A3B32" w14:textId="77777777" w:rsidR="00582954" w:rsidRDefault="00645977">
      <w:pPr>
        <w:widowControl w:val="0"/>
        <w:spacing w:after="0" w:line="240" w:lineRule="auto"/>
        <w:contextualSpacing/>
        <w:rPr>
          <w:rFonts w:ascii="Times New Roman" w:hAnsi="Times New Roman"/>
          <w:lang w:val="sk-SK"/>
        </w:rPr>
      </w:pPr>
      <w:r>
        <w:rPr>
          <w:rFonts w:ascii="Times New Roman" w:hAnsi="Times New Roman"/>
          <w:highlight w:val="lightGray"/>
          <w:lang w:val="sk-SK"/>
        </w:rPr>
        <w:t>Tableta.</w:t>
      </w:r>
    </w:p>
    <w:p w14:paraId="628DC248" w14:textId="77777777" w:rsidR="00582954" w:rsidRDefault="00582954">
      <w:pPr>
        <w:widowControl w:val="0"/>
        <w:spacing w:after="0" w:line="240" w:lineRule="auto"/>
        <w:contextualSpacing/>
        <w:rPr>
          <w:rFonts w:ascii="Times New Roman" w:hAnsi="Times New Roman"/>
          <w:i/>
          <w:highlight w:val="lightGray"/>
          <w:u w:val="single"/>
          <w:lang w:val="sk-SK"/>
        </w:rPr>
      </w:pPr>
    </w:p>
    <w:p w14:paraId="73632B2E" w14:textId="77777777" w:rsidR="00582954" w:rsidRDefault="00645977">
      <w:pPr>
        <w:widowControl w:val="0"/>
        <w:tabs>
          <w:tab w:val="left" w:pos="1440"/>
        </w:tabs>
        <w:spacing w:after="0" w:line="240" w:lineRule="auto"/>
        <w:contextualSpacing/>
        <w:rPr>
          <w:rFonts w:ascii="Times New Roman" w:hAnsi="Times New Roman"/>
          <w:iCs/>
          <w:lang w:val="sk-SK"/>
        </w:rPr>
      </w:pPr>
      <w:r>
        <w:rPr>
          <w:rFonts w:ascii="Times New Roman" w:hAnsi="Times New Roman"/>
          <w:iCs/>
          <w:lang w:val="sk-SK"/>
        </w:rPr>
        <w:t>14 x 1 tableta</w:t>
      </w:r>
    </w:p>
    <w:p w14:paraId="3E7C7A8C" w14:textId="77777777" w:rsidR="00582954" w:rsidRDefault="00645977">
      <w:pPr>
        <w:widowControl w:val="0"/>
        <w:tabs>
          <w:tab w:val="left" w:pos="1440"/>
        </w:tabs>
        <w:spacing w:after="0" w:line="240" w:lineRule="auto"/>
        <w:contextualSpacing/>
        <w:rPr>
          <w:rFonts w:ascii="Times New Roman" w:hAnsi="Times New Roman"/>
          <w:iCs/>
          <w:highlight w:val="lightGray"/>
          <w:lang w:val="sk-SK"/>
        </w:rPr>
      </w:pPr>
      <w:r>
        <w:rPr>
          <w:rFonts w:ascii="Times New Roman" w:hAnsi="Times New Roman"/>
          <w:iCs/>
          <w:highlight w:val="lightGray"/>
          <w:lang w:val="sk-SK"/>
        </w:rPr>
        <w:t>28 x 1 tableta</w:t>
      </w:r>
    </w:p>
    <w:p w14:paraId="487629FF" w14:textId="77777777" w:rsidR="00582954" w:rsidRDefault="00645977">
      <w:pPr>
        <w:widowControl w:val="0"/>
        <w:tabs>
          <w:tab w:val="left" w:pos="1440"/>
        </w:tabs>
        <w:spacing w:after="0" w:line="240" w:lineRule="auto"/>
        <w:contextualSpacing/>
        <w:rPr>
          <w:rFonts w:ascii="Times New Roman" w:hAnsi="Times New Roman"/>
          <w:iCs/>
          <w:highlight w:val="lightGray"/>
          <w:lang w:val="sk-SK"/>
        </w:rPr>
      </w:pPr>
      <w:r>
        <w:rPr>
          <w:rFonts w:ascii="Times New Roman" w:hAnsi="Times New Roman"/>
          <w:iCs/>
          <w:highlight w:val="lightGray"/>
          <w:lang w:val="sk-SK"/>
        </w:rPr>
        <w:t>30 x 1 tableta</w:t>
      </w:r>
    </w:p>
    <w:p w14:paraId="7835ED01" w14:textId="77777777" w:rsidR="00582954" w:rsidRDefault="00645977">
      <w:pPr>
        <w:widowControl w:val="0"/>
        <w:tabs>
          <w:tab w:val="left" w:pos="1440"/>
        </w:tabs>
        <w:spacing w:after="0" w:line="240" w:lineRule="auto"/>
        <w:contextualSpacing/>
        <w:rPr>
          <w:rFonts w:ascii="Times New Roman" w:hAnsi="Times New Roman"/>
          <w:iCs/>
          <w:highlight w:val="lightGray"/>
          <w:lang w:val="sk-SK"/>
        </w:rPr>
      </w:pPr>
      <w:r>
        <w:rPr>
          <w:rFonts w:ascii="Times New Roman" w:hAnsi="Times New Roman"/>
          <w:iCs/>
          <w:highlight w:val="lightGray"/>
          <w:lang w:val="sk-SK"/>
        </w:rPr>
        <w:t>56 x 1 tableta</w:t>
      </w:r>
    </w:p>
    <w:p w14:paraId="47D2499B" w14:textId="77777777" w:rsidR="00582954" w:rsidRDefault="00645977">
      <w:pPr>
        <w:widowControl w:val="0"/>
        <w:tabs>
          <w:tab w:val="left" w:pos="1440"/>
        </w:tabs>
        <w:spacing w:after="0" w:line="240" w:lineRule="auto"/>
        <w:contextualSpacing/>
        <w:rPr>
          <w:rFonts w:ascii="Times New Roman" w:hAnsi="Times New Roman"/>
          <w:iCs/>
          <w:highlight w:val="lightGray"/>
          <w:lang w:val="sk-SK"/>
        </w:rPr>
      </w:pPr>
      <w:r>
        <w:rPr>
          <w:rFonts w:ascii="Times New Roman" w:hAnsi="Times New Roman"/>
          <w:iCs/>
          <w:highlight w:val="lightGray"/>
          <w:lang w:val="sk-SK"/>
        </w:rPr>
        <w:t>60 x 1 tableta</w:t>
      </w:r>
    </w:p>
    <w:p w14:paraId="695E9E17" w14:textId="77777777" w:rsidR="00582954" w:rsidRDefault="00645977">
      <w:pPr>
        <w:widowControl w:val="0"/>
        <w:tabs>
          <w:tab w:val="left" w:pos="1440"/>
        </w:tabs>
        <w:spacing w:after="0" w:line="240" w:lineRule="auto"/>
        <w:contextualSpacing/>
        <w:rPr>
          <w:rFonts w:ascii="Times New Roman" w:hAnsi="Times New Roman"/>
          <w:iCs/>
          <w:highlight w:val="lightGray"/>
          <w:lang w:val="sk-SK"/>
        </w:rPr>
      </w:pPr>
      <w:r>
        <w:rPr>
          <w:rFonts w:ascii="Times New Roman" w:hAnsi="Times New Roman"/>
          <w:iCs/>
          <w:highlight w:val="lightGray"/>
          <w:lang w:val="sk-SK"/>
        </w:rPr>
        <w:t>84 x 1 tableta</w:t>
      </w:r>
    </w:p>
    <w:p w14:paraId="6DE3CFF0" w14:textId="77777777" w:rsidR="00582954" w:rsidRDefault="00645977">
      <w:pPr>
        <w:widowControl w:val="0"/>
        <w:tabs>
          <w:tab w:val="left" w:pos="1440"/>
        </w:tabs>
        <w:spacing w:after="0" w:line="240" w:lineRule="auto"/>
        <w:contextualSpacing/>
        <w:rPr>
          <w:rFonts w:ascii="Times New Roman" w:hAnsi="Times New Roman"/>
          <w:iCs/>
          <w:highlight w:val="lightGray"/>
          <w:lang w:val="sk-SK"/>
        </w:rPr>
      </w:pPr>
      <w:r>
        <w:rPr>
          <w:rFonts w:ascii="Times New Roman" w:hAnsi="Times New Roman"/>
          <w:iCs/>
          <w:highlight w:val="lightGray"/>
          <w:lang w:val="sk-SK"/>
        </w:rPr>
        <w:t>90 x 1 tableta</w:t>
      </w:r>
    </w:p>
    <w:p w14:paraId="57AD267E" w14:textId="77777777" w:rsidR="00582954" w:rsidRDefault="00645977">
      <w:pPr>
        <w:widowControl w:val="0"/>
        <w:tabs>
          <w:tab w:val="left" w:pos="1440"/>
        </w:tabs>
        <w:spacing w:after="0" w:line="240" w:lineRule="auto"/>
        <w:contextualSpacing/>
        <w:rPr>
          <w:rFonts w:ascii="Times New Roman" w:hAnsi="Times New Roman"/>
          <w:iCs/>
          <w:highlight w:val="lightGray"/>
          <w:lang w:val="sk-SK"/>
        </w:rPr>
      </w:pPr>
      <w:r>
        <w:rPr>
          <w:rFonts w:ascii="Times New Roman" w:hAnsi="Times New Roman"/>
          <w:iCs/>
          <w:highlight w:val="lightGray"/>
          <w:lang w:val="sk-SK"/>
        </w:rPr>
        <w:t>98 x 1 tableta</w:t>
      </w:r>
    </w:p>
    <w:p w14:paraId="28AA96CD" w14:textId="77777777" w:rsidR="00582954" w:rsidRDefault="00645977">
      <w:pPr>
        <w:widowControl w:val="0"/>
        <w:tabs>
          <w:tab w:val="left" w:pos="1440"/>
        </w:tabs>
        <w:spacing w:after="0" w:line="240" w:lineRule="auto"/>
        <w:contextualSpacing/>
        <w:rPr>
          <w:rFonts w:ascii="Times New Roman" w:hAnsi="Times New Roman"/>
          <w:iCs/>
          <w:highlight w:val="lightGray"/>
          <w:lang w:val="sk-SK"/>
        </w:rPr>
      </w:pPr>
      <w:r>
        <w:rPr>
          <w:rFonts w:ascii="Times New Roman" w:hAnsi="Times New Roman"/>
          <w:iCs/>
          <w:highlight w:val="lightGray"/>
          <w:lang w:val="sk-SK"/>
        </w:rPr>
        <w:t>100 x 1 tableta</w:t>
      </w:r>
    </w:p>
    <w:p w14:paraId="336806F2" w14:textId="77777777" w:rsidR="00582954" w:rsidRDefault="00582954">
      <w:pPr>
        <w:widowControl w:val="0"/>
        <w:spacing w:after="0" w:line="240" w:lineRule="auto"/>
        <w:rPr>
          <w:rFonts w:ascii="Times New Roman" w:hAnsi="Times New Roman"/>
          <w:lang w:val="sk-SK"/>
        </w:rPr>
      </w:pPr>
    </w:p>
    <w:p w14:paraId="38DF4EE7" w14:textId="77777777" w:rsidR="00582954" w:rsidRDefault="00582954">
      <w:pPr>
        <w:widowControl w:val="0"/>
        <w:spacing w:after="0" w:line="240" w:lineRule="auto"/>
        <w:rPr>
          <w:rFonts w:ascii="Times New Roman" w:hAnsi="Times New Roman"/>
          <w:lang w:val="sk-SK"/>
        </w:rPr>
      </w:pPr>
    </w:p>
    <w:p w14:paraId="69E2B75A" w14:textId="77777777" w:rsidR="00582954" w:rsidRDefault="00645977">
      <w:pPr>
        <w:widowControl w:val="0"/>
        <w:numPr>
          <w:ilvl w:val="0"/>
          <w:numId w:val="4"/>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k-SK"/>
        </w:rPr>
      </w:pPr>
      <w:r>
        <w:rPr>
          <w:rFonts w:ascii="Times New Roman" w:hAnsi="Times New Roman"/>
          <w:b/>
          <w:lang w:val="sk-SK"/>
        </w:rPr>
        <w:t>SP</w:t>
      </w:r>
      <w:r>
        <w:rPr>
          <w:rFonts w:ascii="Times New Roman" w:hAnsi="Times New Roman"/>
          <w:b/>
          <w:bCs/>
          <w:lang w:val="sk-SK"/>
        </w:rPr>
        <w:t>Ô</w:t>
      </w:r>
      <w:r>
        <w:rPr>
          <w:rFonts w:ascii="Times New Roman" w:hAnsi="Times New Roman"/>
          <w:b/>
          <w:lang w:val="sk-SK"/>
        </w:rPr>
        <w:t>SOB A CESTA (CESTY) PODÁVANIA</w:t>
      </w:r>
    </w:p>
    <w:p w14:paraId="39A0E3D1" w14:textId="77777777" w:rsidR="00582954" w:rsidRDefault="00582954">
      <w:pPr>
        <w:widowControl w:val="0"/>
        <w:spacing w:after="0" w:line="240" w:lineRule="auto"/>
        <w:rPr>
          <w:rFonts w:ascii="Times New Roman" w:hAnsi="Times New Roman"/>
          <w:lang w:val="sk-SK"/>
        </w:rPr>
      </w:pPr>
    </w:p>
    <w:p w14:paraId="6C50A6E2"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Pred použitím si prečítajte písomnú informáciu pre používateľa.</w:t>
      </w:r>
    </w:p>
    <w:p w14:paraId="6D1F23C2"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Na perorálne použitie.</w:t>
      </w:r>
    </w:p>
    <w:p w14:paraId="5EABCCD3" w14:textId="77777777" w:rsidR="00582954" w:rsidRDefault="00582954">
      <w:pPr>
        <w:widowControl w:val="0"/>
        <w:spacing w:after="0" w:line="240" w:lineRule="auto"/>
        <w:rPr>
          <w:rFonts w:ascii="Times New Roman" w:hAnsi="Times New Roman"/>
          <w:lang w:val="sk-SK"/>
        </w:rPr>
      </w:pPr>
    </w:p>
    <w:p w14:paraId="7FDDA486" w14:textId="77777777" w:rsidR="00582954" w:rsidRDefault="00582954">
      <w:pPr>
        <w:widowControl w:val="0"/>
        <w:spacing w:after="0" w:line="240" w:lineRule="auto"/>
        <w:rPr>
          <w:rFonts w:ascii="Times New Roman" w:hAnsi="Times New Roman"/>
          <w:lang w:val="sk-SK"/>
        </w:rPr>
      </w:pPr>
    </w:p>
    <w:p w14:paraId="74FD9BC4" w14:textId="77777777" w:rsidR="00582954" w:rsidRDefault="00645977">
      <w:pPr>
        <w:widowControl w:val="0"/>
        <w:numPr>
          <w:ilvl w:val="0"/>
          <w:numId w:val="4"/>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k-SK"/>
        </w:rPr>
      </w:pPr>
      <w:r>
        <w:rPr>
          <w:rFonts w:ascii="Times New Roman" w:hAnsi="Times New Roman"/>
          <w:b/>
          <w:lang w:val="sk-SK"/>
        </w:rPr>
        <w:t>ŠPECIÁLNE UPOZORNENIE, ŽE LIEK SA MUSÍ UCHOVÁVAŤ MIMO DOHĽADU A DOSAHU DETÍ</w:t>
      </w:r>
    </w:p>
    <w:p w14:paraId="404DAE68" w14:textId="77777777" w:rsidR="00582954" w:rsidRDefault="00582954">
      <w:pPr>
        <w:widowControl w:val="0"/>
        <w:spacing w:after="0" w:line="240" w:lineRule="auto"/>
        <w:rPr>
          <w:rFonts w:ascii="Times New Roman" w:hAnsi="Times New Roman"/>
          <w:lang w:val="sk-SK"/>
        </w:rPr>
      </w:pPr>
    </w:p>
    <w:p w14:paraId="7F289D86"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Uchovávajte mimo dohľadu a dosahu detí.</w:t>
      </w:r>
    </w:p>
    <w:p w14:paraId="54302466" w14:textId="77777777" w:rsidR="00582954" w:rsidRDefault="00582954">
      <w:pPr>
        <w:widowControl w:val="0"/>
        <w:spacing w:after="0" w:line="240" w:lineRule="auto"/>
        <w:rPr>
          <w:rFonts w:ascii="Times New Roman" w:hAnsi="Times New Roman"/>
          <w:lang w:val="sk-SK"/>
        </w:rPr>
      </w:pPr>
    </w:p>
    <w:p w14:paraId="55F14DAC" w14:textId="77777777" w:rsidR="00582954" w:rsidRDefault="00582954">
      <w:pPr>
        <w:widowControl w:val="0"/>
        <w:spacing w:after="0" w:line="240" w:lineRule="auto"/>
        <w:rPr>
          <w:rFonts w:ascii="Times New Roman" w:hAnsi="Times New Roman"/>
          <w:lang w:val="sk-SK"/>
        </w:rPr>
      </w:pPr>
    </w:p>
    <w:p w14:paraId="253D998D" w14:textId="77777777" w:rsidR="00582954" w:rsidRDefault="00645977">
      <w:pPr>
        <w:widowControl w:val="0"/>
        <w:numPr>
          <w:ilvl w:val="0"/>
          <w:numId w:val="4"/>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k-SK"/>
        </w:rPr>
      </w:pPr>
      <w:r>
        <w:rPr>
          <w:rFonts w:ascii="Times New Roman" w:hAnsi="Times New Roman"/>
          <w:b/>
          <w:lang w:val="sk-SK"/>
        </w:rPr>
        <w:t>INÉ ŠPECIÁLNE UPOZORNENIE (UPOZORNENIA), AK JE TO POTREBNÉ</w:t>
      </w:r>
    </w:p>
    <w:p w14:paraId="47387670" w14:textId="77777777" w:rsidR="00582954" w:rsidRDefault="00582954">
      <w:pPr>
        <w:widowControl w:val="0"/>
        <w:spacing w:after="0" w:line="240" w:lineRule="auto"/>
        <w:rPr>
          <w:rFonts w:ascii="Times New Roman" w:hAnsi="Times New Roman"/>
          <w:lang w:val="sk-SK"/>
        </w:rPr>
      </w:pPr>
    </w:p>
    <w:p w14:paraId="5C2473B6" w14:textId="77777777" w:rsidR="00582954" w:rsidRDefault="00582954">
      <w:pPr>
        <w:widowControl w:val="0"/>
        <w:spacing w:after="0" w:line="240" w:lineRule="auto"/>
        <w:rPr>
          <w:rFonts w:ascii="Times New Roman" w:hAnsi="Times New Roman"/>
          <w:lang w:val="sk-SK"/>
        </w:rPr>
      </w:pPr>
    </w:p>
    <w:p w14:paraId="7D7802D3" w14:textId="77777777" w:rsidR="00582954" w:rsidRDefault="00645977">
      <w:pPr>
        <w:widowControl w:val="0"/>
        <w:numPr>
          <w:ilvl w:val="0"/>
          <w:numId w:val="4"/>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k-SK"/>
        </w:rPr>
      </w:pPr>
      <w:r>
        <w:rPr>
          <w:rFonts w:ascii="Times New Roman" w:hAnsi="Times New Roman"/>
          <w:b/>
          <w:lang w:val="sk-SK"/>
        </w:rPr>
        <w:t>DÁTUM EXSPIRÁCIE</w:t>
      </w:r>
    </w:p>
    <w:p w14:paraId="00116692" w14:textId="77777777" w:rsidR="00582954" w:rsidRDefault="00582954">
      <w:pPr>
        <w:widowControl w:val="0"/>
        <w:spacing w:after="0" w:line="240" w:lineRule="auto"/>
        <w:rPr>
          <w:rFonts w:ascii="Times New Roman" w:hAnsi="Times New Roman"/>
          <w:lang w:val="sk-SK"/>
        </w:rPr>
      </w:pPr>
    </w:p>
    <w:p w14:paraId="3698A3B7"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EXP</w:t>
      </w:r>
    </w:p>
    <w:p w14:paraId="18CD718F" w14:textId="77777777" w:rsidR="00582954" w:rsidRDefault="00582954">
      <w:pPr>
        <w:widowControl w:val="0"/>
        <w:spacing w:after="0" w:line="240" w:lineRule="auto"/>
        <w:rPr>
          <w:rFonts w:ascii="Times New Roman" w:hAnsi="Times New Roman"/>
          <w:lang w:val="sk-SK"/>
        </w:rPr>
      </w:pPr>
    </w:p>
    <w:p w14:paraId="1C8A4668" w14:textId="77777777" w:rsidR="00582954" w:rsidRDefault="00582954">
      <w:pPr>
        <w:widowControl w:val="0"/>
        <w:spacing w:after="0" w:line="240" w:lineRule="auto"/>
        <w:rPr>
          <w:rFonts w:ascii="Times New Roman" w:hAnsi="Times New Roman"/>
          <w:lang w:val="sk-SK"/>
        </w:rPr>
      </w:pPr>
    </w:p>
    <w:p w14:paraId="7FBBB3E2" w14:textId="77777777" w:rsidR="00582954" w:rsidRDefault="00645977">
      <w:pPr>
        <w:widowControl w:val="0"/>
        <w:numPr>
          <w:ilvl w:val="0"/>
          <w:numId w:val="4"/>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k-SK"/>
        </w:rPr>
      </w:pPr>
      <w:r>
        <w:rPr>
          <w:rFonts w:ascii="Times New Roman" w:hAnsi="Times New Roman"/>
          <w:b/>
          <w:lang w:val="sk-SK"/>
        </w:rPr>
        <w:t>ŠPECIÁLNE PODMIENKY NA UCHOVÁVANIE</w:t>
      </w:r>
    </w:p>
    <w:p w14:paraId="5EF0D677" w14:textId="77777777" w:rsidR="00582954" w:rsidRDefault="00582954">
      <w:pPr>
        <w:widowControl w:val="0"/>
        <w:spacing w:after="0" w:line="240" w:lineRule="auto"/>
        <w:rPr>
          <w:rFonts w:ascii="Times New Roman" w:hAnsi="Times New Roman"/>
          <w:lang w:val="sk-SK"/>
        </w:rPr>
      </w:pPr>
    </w:p>
    <w:p w14:paraId="58608CB0" w14:textId="77777777" w:rsidR="00582954" w:rsidRDefault="00645977">
      <w:pPr>
        <w:widowControl w:val="0"/>
        <w:autoSpaceDE w:val="0"/>
        <w:autoSpaceDN w:val="0"/>
        <w:adjustRightInd w:val="0"/>
        <w:spacing w:after="0" w:line="240" w:lineRule="auto"/>
        <w:rPr>
          <w:rFonts w:ascii="Times New Roman" w:hAnsi="Times New Roman"/>
          <w:color w:val="000000"/>
          <w:lang w:val="sk-SK"/>
        </w:rPr>
      </w:pPr>
      <w:r>
        <w:rPr>
          <w:rFonts w:ascii="Times New Roman" w:hAnsi="Times New Roman"/>
          <w:color w:val="000000"/>
          <w:lang w:val="sk-SK"/>
        </w:rPr>
        <w:t>Uchovávajte v pôvodnom obale na ochranu pred svetlom a vlhkosťou.</w:t>
      </w:r>
    </w:p>
    <w:p w14:paraId="0B0226A4" w14:textId="77777777" w:rsidR="00582954" w:rsidRDefault="00582954">
      <w:pPr>
        <w:widowControl w:val="0"/>
        <w:spacing w:after="0" w:line="240" w:lineRule="auto"/>
        <w:rPr>
          <w:rFonts w:ascii="Times New Roman" w:hAnsi="Times New Roman"/>
          <w:lang w:val="sk-SK"/>
        </w:rPr>
      </w:pPr>
    </w:p>
    <w:p w14:paraId="6C9107DD" w14:textId="77777777" w:rsidR="00582954" w:rsidRDefault="00582954">
      <w:pPr>
        <w:widowControl w:val="0"/>
        <w:spacing w:after="0" w:line="240" w:lineRule="auto"/>
        <w:rPr>
          <w:rFonts w:ascii="Times New Roman" w:hAnsi="Times New Roman"/>
          <w:lang w:val="sk-SK"/>
        </w:rPr>
      </w:pPr>
    </w:p>
    <w:p w14:paraId="12E7A286" w14:textId="77777777" w:rsidR="00582954" w:rsidRDefault="00645977">
      <w:pPr>
        <w:widowControl w:val="0"/>
        <w:numPr>
          <w:ilvl w:val="0"/>
          <w:numId w:val="4"/>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k-SK"/>
        </w:rPr>
      </w:pPr>
      <w:r>
        <w:rPr>
          <w:rFonts w:ascii="Times New Roman" w:hAnsi="Times New Roman"/>
          <w:b/>
          <w:lang w:val="sk-SK"/>
        </w:rPr>
        <w:t>ŠPECIÁLNE UPOZORNENIA NA LIKVIDÁCIU NEPOUŽITÝCH LIEKOV ALEBO ODPADOV Z NICH VZNIKNUTÝCH, AK JE TO VHODNÉ</w:t>
      </w:r>
    </w:p>
    <w:p w14:paraId="5B529E42" w14:textId="77777777" w:rsidR="00582954" w:rsidRDefault="00582954">
      <w:pPr>
        <w:widowControl w:val="0"/>
        <w:spacing w:after="0" w:line="240" w:lineRule="auto"/>
        <w:rPr>
          <w:rFonts w:ascii="Times New Roman" w:hAnsi="Times New Roman"/>
          <w:lang w:val="sk-SK"/>
        </w:rPr>
      </w:pPr>
    </w:p>
    <w:p w14:paraId="0B8E30EE" w14:textId="77777777" w:rsidR="00582954" w:rsidRDefault="00582954">
      <w:pPr>
        <w:widowControl w:val="0"/>
        <w:spacing w:after="0" w:line="240" w:lineRule="auto"/>
        <w:rPr>
          <w:rFonts w:ascii="Times New Roman" w:hAnsi="Times New Roman"/>
          <w:lang w:val="sk-SK"/>
        </w:rPr>
      </w:pPr>
    </w:p>
    <w:p w14:paraId="68F7E3F7" w14:textId="77777777" w:rsidR="00582954" w:rsidRDefault="00645977">
      <w:pPr>
        <w:widowControl w:val="0"/>
        <w:numPr>
          <w:ilvl w:val="0"/>
          <w:numId w:val="4"/>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k-SK"/>
        </w:rPr>
      </w:pPr>
      <w:r>
        <w:rPr>
          <w:rFonts w:ascii="Times New Roman" w:hAnsi="Times New Roman"/>
          <w:b/>
          <w:lang w:val="sk-SK"/>
        </w:rPr>
        <w:t>NÁZOV A ADRESA DRŽITEĽA ROZHODNUTIA O REGISTRÁCII</w:t>
      </w:r>
    </w:p>
    <w:p w14:paraId="08F15BD7" w14:textId="77777777" w:rsidR="00582954" w:rsidRDefault="00582954">
      <w:pPr>
        <w:widowControl w:val="0"/>
        <w:spacing w:after="0" w:line="240" w:lineRule="auto"/>
        <w:jc w:val="both"/>
        <w:rPr>
          <w:rFonts w:ascii="Times New Roman" w:hAnsi="Times New Roman"/>
          <w:lang w:val="sk-SK"/>
        </w:rPr>
      </w:pPr>
    </w:p>
    <w:p w14:paraId="2E5D0A2B" w14:textId="77777777" w:rsidR="00582954" w:rsidRDefault="00645977">
      <w:pPr>
        <w:widowControl w:val="0"/>
        <w:spacing w:after="0" w:line="240" w:lineRule="auto"/>
        <w:jc w:val="both"/>
        <w:rPr>
          <w:rFonts w:ascii="Times New Roman" w:hAnsi="Times New Roman"/>
          <w:lang w:val="sk-SK"/>
        </w:rPr>
      </w:pPr>
      <w:r>
        <w:rPr>
          <w:rFonts w:ascii="Times New Roman" w:hAnsi="Times New Roman"/>
          <w:lang w:val="sk-SK"/>
        </w:rPr>
        <w:t>KRKA, d.d., Novo mesto, Šmarješka cesta 6, 8501 Novo mesto, Slovinsko</w:t>
      </w:r>
    </w:p>
    <w:p w14:paraId="425BDCE7" w14:textId="77777777" w:rsidR="00582954" w:rsidRDefault="00582954">
      <w:pPr>
        <w:widowControl w:val="0"/>
        <w:spacing w:after="0" w:line="240" w:lineRule="auto"/>
        <w:rPr>
          <w:rFonts w:ascii="Times New Roman" w:hAnsi="Times New Roman"/>
          <w:lang w:val="sk-SK"/>
        </w:rPr>
      </w:pPr>
    </w:p>
    <w:p w14:paraId="5936561E" w14:textId="77777777" w:rsidR="00582954" w:rsidRDefault="00582954">
      <w:pPr>
        <w:widowControl w:val="0"/>
        <w:spacing w:after="0" w:line="240" w:lineRule="auto"/>
        <w:rPr>
          <w:rFonts w:ascii="Times New Roman" w:hAnsi="Times New Roman"/>
          <w:lang w:val="sk-SK"/>
        </w:rPr>
      </w:pPr>
    </w:p>
    <w:p w14:paraId="1492B2B0" w14:textId="77777777" w:rsidR="00582954" w:rsidRDefault="00645977">
      <w:pPr>
        <w:widowControl w:val="0"/>
        <w:numPr>
          <w:ilvl w:val="0"/>
          <w:numId w:val="4"/>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k-SK"/>
        </w:rPr>
      </w:pPr>
      <w:r>
        <w:rPr>
          <w:rFonts w:ascii="Times New Roman" w:hAnsi="Times New Roman"/>
          <w:b/>
          <w:lang w:val="sk-SK"/>
        </w:rPr>
        <w:t>REGISTRAČNÉ ČÍSLA</w:t>
      </w:r>
    </w:p>
    <w:p w14:paraId="5ADDD218" w14:textId="77777777" w:rsidR="00582954" w:rsidRDefault="00582954">
      <w:pPr>
        <w:widowControl w:val="0"/>
        <w:spacing w:after="0" w:line="240" w:lineRule="auto"/>
        <w:rPr>
          <w:rFonts w:ascii="Times New Roman" w:hAnsi="Times New Roman"/>
          <w:lang w:val="sk-SK"/>
        </w:rPr>
      </w:pPr>
    </w:p>
    <w:p w14:paraId="0AD1B97D"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EU/1/13/821/013</w:t>
      </w:r>
    </w:p>
    <w:p w14:paraId="2AC5B0ED" w14:textId="77777777" w:rsidR="00582954" w:rsidRDefault="00645977">
      <w:pPr>
        <w:widowControl w:val="0"/>
        <w:spacing w:after="0" w:line="240" w:lineRule="auto"/>
        <w:rPr>
          <w:rFonts w:ascii="Times New Roman" w:hAnsi="Times New Roman"/>
          <w:highlight w:val="lightGray"/>
          <w:lang w:val="sk-SK"/>
        </w:rPr>
      </w:pPr>
      <w:r>
        <w:rPr>
          <w:rFonts w:ascii="Times New Roman" w:hAnsi="Times New Roman"/>
          <w:highlight w:val="lightGray"/>
          <w:lang w:val="sk-SK"/>
        </w:rPr>
        <w:t>EU/1/13/821/014</w:t>
      </w:r>
    </w:p>
    <w:p w14:paraId="7D2136A1" w14:textId="77777777" w:rsidR="00582954" w:rsidRDefault="00645977">
      <w:pPr>
        <w:widowControl w:val="0"/>
        <w:spacing w:after="0" w:line="240" w:lineRule="auto"/>
        <w:rPr>
          <w:rFonts w:ascii="Times New Roman" w:hAnsi="Times New Roman"/>
          <w:highlight w:val="lightGray"/>
          <w:lang w:val="sk-SK"/>
        </w:rPr>
      </w:pPr>
      <w:r>
        <w:rPr>
          <w:rFonts w:ascii="Times New Roman" w:hAnsi="Times New Roman"/>
          <w:highlight w:val="lightGray"/>
          <w:lang w:val="sk-SK"/>
        </w:rPr>
        <w:t>EU/1/13/821/015</w:t>
      </w:r>
    </w:p>
    <w:p w14:paraId="7E39CA14" w14:textId="77777777" w:rsidR="00582954" w:rsidRDefault="00645977">
      <w:pPr>
        <w:widowControl w:val="0"/>
        <w:spacing w:after="0" w:line="240" w:lineRule="auto"/>
        <w:rPr>
          <w:rFonts w:ascii="Times New Roman" w:hAnsi="Times New Roman"/>
          <w:highlight w:val="lightGray"/>
          <w:lang w:val="sk-SK"/>
        </w:rPr>
      </w:pPr>
      <w:r>
        <w:rPr>
          <w:rFonts w:ascii="Times New Roman" w:hAnsi="Times New Roman"/>
          <w:highlight w:val="lightGray"/>
          <w:lang w:val="sk-SK"/>
        </w:rPr>
        <w:t>EU/1/13/821/016</w:t>
      </w:r>
    </w:p>
    <w:p w14:paraId="0A0A4A65" w14:textId="77777777" w:rsidR="00582954" w:rsidRDefault="00645977">
      <w:pPr>
        <w:widowControl w:val="0"/>
        <w:spacing w:after="0" w:line="240" w:lineRule="auto"/>
        <w:rPr>
          <w:rFonts w:ascii="Times New Roman" w:hAnsi="Times New Roman"/>
          <w:highlight w:val="lightGray"/>
          <w:lang w:val="sk-SK"/>
        </w:rPr>
      </w:pPr>
      <w:r>
        <w:rPr>
          <w:rFonts w:ascii="Times New Roman" w:hAnsi="Times New Roman"/>
          <w:highlight w:val="lightGray"/>
          <w:lang w:val="sk-SK"/>
        </w:rPr>
        <w:t>EU/1/13/821/017</w:t>
      </w:r>
    </w:p>
    <w:p w14:paraId="47D4B22C" w14:textId="77777777" w:rsidR="00582954" w:rsidRDefault="00645977">
      <w:pPr>
        <w:widowControl w:val="0"/>
        <w:spacing w:after="0" w:line="240" w:lineRule="auto"/>
        <w:rPr>
          <w:rFonts w:ascii="Times New Roman" w:hAnsi="Times New Roman"/>
          <w:highlight w:val="lightGray"/>
          <w:lang w:val="sk-SK"/>
        </w:rPr>
      </w:pPr>
      <w:r>
        <w:rPr>
          <w:rFonts w:ascii="Times New Roman" w:hAnsi="Times New Roman"/>
          <w:highlight w:val="lightGray"/>
          <w:lang w:val="sk-SK"/>
        </w:rPr>
        <w:t>EU/1/13/821/018</w:t>
      </w:r>
    </w:p>
    <w:p w14:paraId="45C425A4" w14:textId="77777777" w:rsidR="00582954" w:rsidRDefault="00645977">
      <w:pPr>
        <w:widowControl w:val="0"/>
        <w:spacing w:after="0" w:line="240" w:lineRule="auto"/>
        <w:rPr>
          <w:rFonts w:ascii="Times New Roman" w:hAnsi="Times New Roman"/>
          <w:highlight w:val="lightGray"/>
          <w:lang w:val="sk-SK"/>
        </w:rPr>
      </w:pPr>
      <w:r>
        <w:rPr>
          <w:rFonts w:ascii="Times New Roman" w:hAnsi="Times New Roman"/>
          <w:highlight w:val="lightGray"/>
          <w:lang w:val="sk-SK"/>
        </w:rPr>
        <w:t>EU/1/13/821/019</w:t>
      </w:r>
    </w:p>
    <w:p w14:paraId="10E4CE63" w14:textId="77777777" w:rsidR="00582954" w:rsidRDefault="00645977">
      <w:pPr>
        <w:widowControl w:val="0"/>
        <w:spacing w:after="0" w:line="240" w:lineRule="auto"/>
        <w:rPr>
          <w:rFonts w:ascii="Times New Roman" w:hAnsi="Times New Roman"/>
          <w:lang w:val="sk-SK"/>
        </w:rPr>
      </w:pPr>
      <w:r>
        <w:rPr>
          <w:rFonts w:ascii="Times New Roman" w:hAnsi="Times New Roman"/>
          <w:highlight w:val="lightGray"/>
          <w:lang w:val="sk-SK"/>
        </w:rPr>
        <w:t>EU/1/13/821/020</w:t>
      </w:r>
    </w:p>
    <w:p w14:paraId="34CE5C38" w14:textId="77777777" w:rsidR="00582954" w:rsidRDefault="00645977">
      <w:pPr>
        <w:widowControl w:val="0"/>
        <w:spacing w:after="0" w:line="240" w:lineRule="auto"/>
        <w:rPr>
          <w:rFonts w:ascii="Times New Roman" w:hAnsi="Times New Roman"/>
          <w:lang w:val="sk-SK"/>
        </w:rPr>
      </w:pPr>
      <w:r>
        <w:rPr>
          <w:rFonts w:ascii="Times New Roman" w:hAnsi="Times New Roman"/>
          <w:highlight w:val="lightGray"/>
          <w:lang w:val="sk-SK"/>
        </w:rPr>
        <w:t>EU/1/13/821/032</w:t>
      </w:r>
    </w:p>
    <w:p w14:paraId="6BB4A948" w14:textId="77777777" w:rsidR="00582954" w:rsidRDefault="00582954">
      <w:pPr>
        <w:widowControl w:val="0"/>
        <w:spacing w:after="0" w:line="240" w:lineRule="auto"/>
        <w:rPr>
          <w:rFonts w:ascii="Times New Roman" w:hAnsi="Times New Roman"/>
          <w:noProof/>
          <w:lang w:val="sk-SK"/>
        </w:rPr>
      </w:pPr>
    </w:p>
    <w:p w14:paraId="0CCF204D" w14:textId="77777777" w:rsidR="00582954" w:rsidRDefault="00582954">
      <w:pPr>
        <w:widowControl w:val="0"/>
        <w:spacing w:after="0" w:line="240" w:lineRule="auto"/>
        <w:rPr>
          <w:rFonts w:ascii="Times New Roman" w:hAnsi="Times New Roman"/>
          <w:noProof/>
          <w:lang w:val="sk-SK"/>
        </w:rPr>
      </w:pPr>
    </w:p>
    <w:p w14:paraId="0116E83E" w14:textId="77777777" w:rsidR="00582954" w:rsidRDefault="00645977">
      <w:pPr>
        <w:widowControl w:val="0"/>
        <w:numPr>
          <w:ilvl w:val="0"/>
          <w:numId w:val="4"/>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k-SK"/>
        </w:rPr>
      </w:pPr>
      <w:r>
        <w:rPr>
          <w:rFonts w:ascii="Times New Roman" w:hAnsi="Times New Roman"/>
          <w:b/>
          <w:lang w:val="sk-SK"/>
        </w:rPr>
        <w:t>ČÍSLO VÝROBNEJ ŠARŽE</w:t>
      </w:r>
    </w:p>
    <w:p w14:paraId="66D843D3" w14:textId="77777777" w:rsidR="00582954" w:rsidRDefault="00582954">
      <w:pPr>
        <w:widowControl w:val="0"/>
        <w:spacing w:after="0" w:line="240" w:lineRule="auto"/>
        <w:rPr>
          <w:rFonts w:ascii="Times New Roman" w:hAnsi="Times New Roman"/>
          <w:lang w:val="sk-SK"/>
        </w:rPr>
      </w:pPr>
    </w:p>
    <w:p w14:paraId="11AEE36D"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Lot</w:t>
      </w:r>
    </w:p>
    <w:p w14:paraId="7D578F81" w14:textId="77777777" w:rsidR="00582954" w:rsidRDefault="00582954">
      <w:pPr>
        <w:widowControl w:val="0"/>
        <w:spacing w:after="0" w:line="240" w:lineRule="auto"/>
        <w:rPr>
          <w:rFonts w:ascii="Times New Roman" w:hAnsi="Times New Roman"/>
          <w:lang w:val="sk-SK"/>
        </w:rPr>
      </w:pPr>
    </w:p>
    <w:p w14:paraId="23294FEF" w14:textId="77777777" w:rsidR="00582954" w:rsidRDefault="00582954">
      <w:pPr>
        <w:widowControl w:val="0"/>
        <w:spacing w:after="0" w:line="240" w:lineRule="auto"/>
        <w:rPr>
          <w:rFonts w:ascii="Times New Roman" w:hAnsi="Times New Roman"/>
          <w:lang w:val="sk-SK"/>
        </w:rPr>
      </w:pPr>
    </w:p>
    <w:p w14:paraId="02EC5846" w14:textId="77777777" w:rsidR="00582954" w:rsidRDefault="00645977">
      <w:pPr>
        <w:widowControl w:val="0"/>
        <w:numPr>
          <w:ilvl w:val="0"/>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imes New Roman" w:hAnsi="Times New Roman"/>
          <w:lang w:val="sk-SK"/>
        </w:rPr>
      </w:pPr>
      <w:r>
        <w:rPr>
          <w:rFonts w:ascii="Times New Roman" w:hAnsi="Times New Roman"/>
          <w:b/>
          <w:lang w:val="sk-SK"/>
        </w:rPr>
        <w:t>ZATRIEDENIE LIEKU PODĽA SP</w:t>
      </w:r>
      <w:r>
        <w:rPr>
          <w:rFonts w:ascii="Times New Roman" w:hAnsi="Times New Roman"/>
          <w:b/>
          <w:bCs/>
          <w:lang w:val="sk-SK"/>
        </w:rPr>
        <w:t>ÔSOBU VÝDAJA</w:t>
      </w:r>
    </w:p>
    <w:p w14:paraId="40031DBE" w14:textId="77777777" w:rsidR="00582954" w:rsidRDefault="00582954">
      <w:pPr>
        <w:widowControl w:val="0"/>
        <w:spacing w:after="0" w:line="240" w:lineRule="auto"/>
        <w:rPr>
          <w:rFonts w:ascii="Times New Roman" w:hAnsi="Times New Roman"/>
          <w:lang w:val="sk-SK"/>
        </w:rPr>
      </w:pPr>
    </w:p>
    <w:p w14:paraId="5298D139" w14:textId="77777777" w:rsidR="00582954" w:rsidRDefault="00582954">
      <w:pPr>
        <w:widowControl w:val="0"/>
        <w:spacing w:after="0" w:line="240" w:lineRule="auto"/>
        <w:rPr>
          <w:rFonts w:ascii="Times New Roman" w:hAnsi="Times New Roman"/>
          <w:lang w:val="sk-SK"/>
        </w:rPr>
      </w:pPr>
    </w:p>
    <w:p w14:paraId="4B9F6853" w14:textId="77777777" w:rsidR="00582954" w:rsidRDefault="00582954">
      <w:pPr>
        <w:widowControl w:val="0"/>
        <w:spacing w:after="0" w:line="240" w:lineRule="auto"/>
        <w:rPr>
          <w:rFonts w:ascii="Times New Roman" w:hAnsi="Times New Roman"/>
          <w:lang w:val="sk-SK"/>
        </w:rPr>
      </w:pPr>
    </w:p>
    <w:p w14:paraId="3D721237" w14:textId="77777777" w:rsidR="00582954" w:rsidRDefault="00645977">
      <w:pPr>
        <w:widowControl w:val="0"/>
        <w:numPr>
          <w:ilvl w:val="0"/>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imes New Roman" w:hAnsi="Times New Roman"/>
          <w:b/>
          <w:lang w:val="sk-SK"/>
        </w:rPr>
      </w:pPr>
      <w:r>
        <w:rPr>
          <w:rFonts w:ascii="Times New Roman" w:hAnsi="Times New Roman"/>
          <w:b/>
          <w:lang w:val="sk-SK"/>
        </w:rPr>
        <w:t>POKYNY NA POUŽITIE</w:t>
      </w:r>
    </w:p>
    <w:p w14:paraId="5C31AE8E" w14:textId="77777777" w:rsidR="00582954" w:rsidRDefault="00582954">
      <w:pPr>
        <w:widowControl w:val="0"/>
        <w:spacing w:after="0" w:line="240" w:lineRule="auto"/>
        <w:rPr>
          <w:rFonts w:ascii="Times New Roman" w:hAnsi="Times New Roman"/>
          <w:lang w:val="sk-SK"/>
        </w:rPr>
      </w:pPr>
    </w:p>
    <w:p w14:paraId="790270F9" w14:textId="77777777" w:rsidR="00582954" w:rsidRDefault="00582954">
      <w:pPr>
        <w:widowControl w:val="0"/>
        <w:spacing w:after="0" w:line="240" w:lineRule="auto"/>
        <w:rPr>
          <w:rFonts w:ascii="Times New Roman" w:hAnsi="Times New Roman"/>
          <w:lang w:val="sk-SK"/>
        </w:rPr>
      </w:pPr>
    </w:p>
    <w:p w14:paraId="6DB4F62B" w14:textId="77777777" w:rsidR="00582954" w:rsidRDefault="00645977">
      <w:pPr>
        <w:widowControl w:val="0"/>
        <w:numPr>
          <w:ilvl w:val="0"/>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imes New Roman" w:hAnsi="Times New Roman"/>
          <w:b/>
          <w:lang w:val="sk-SK"/>
        </w:rPr>
      </w:pPr>
      <w:r>
        <w:rPr>
          <w:rFonts w:ascii="Times New Roman" w:hAnsi="Times New Roman"/>
          <w:b/>
          <w:lang w:val="sk-SK"/>
        </w:rPr>
        <w:t>INFORMÁCIE V BRAILLOVOM PÍSME</w:t>
      </w:r>
    </w:p>
    <w:p w14:paraId="5254B73F" w14:textId="77777777" w:rsidR="00582954" w:rsidRDefault="00582954">
      <w:pPr>
        <w:widowControl w:val="0"/>
        <w:spacing w:after="0" w:line="240" w:lineRule="auto"/>
        <w:rPr>
          <w:rFonts w:ascii="Times New Roman" w:hAnsi="Times New Roman"/>
          <w:lang w:val="sk-SK"/>
        </w:rPr>
      </w:pPr>
    </w:p>
    <w:p w14:paraId="1706CDD2"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Tolucombi 80 mg/12,5 mg</w:t>
      </w:r>
    </w:p>
    <w:p w14:paraId="7B12B446" w14:textId="77777777" w:rsidR="00582954" w:rsidRDefault="00582954">
      <w:pPr>
        <w:widowControl w:val="0"/>
        <w:tabs>
          <w:tab w:val="left" w:pos="0"/>
        </w:tabs>
        <w:spacing w:after="0" w:line="240" w:lineRule="auto"/>
        <w:rPr>
          <w:rFonts w:ascii="Times New Roman" w:eastAsia="Times New Roman" w:hAnsi="Times New Roman"/>
          <w:noProof/>
          <w:lang w:val="pl-PL"/>
        </w:rPr>
      </w:pPr>
    </w:p>
    <w:p w14:paraId="179ACA1B" w14:textId="77777777" w:rsidR="00582954" w:rsidRDefault="00582954">
      <w:pPr>
        <w:widowControl w:val="0"/>
        <w:tabs>
          <w:tab w:val="left" w:pos="567"/>
        </w:tabs>
        <w:spacing w:after="0" w:line="240" w:lineRule="auto"/>
        <w:ind w:left="567" w:hanging="567"/>
        <w:rPr>
          <w:rFonts w:ascii="Times New Roman" w:eastAsia="Times New Roman" w:hAnsi="Times New Roman"/>
          <w:szCs w:val="20"/>
          <w:lang w:val="sk-SK" w:eastAsia="sk-SK"/>
        </w:rPr>
      </w:pPr>
    </w:p>
    <w:p w14:paraId="28483E35" w14:textId="77777777" w:rsidR="00582954" w:rsidRDefault="0064597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szCs w:val="20"/>
          <w:lang w:val="sk-SK"/>
        </w:rPr>
      </w:pPr>
      <w:r>
        <w:rPr>
          <w:rFonts w:ascii="Times New Roman" w:eastAsia="Times New Roman" w:hAnsi="Times New Roman"/>
          <w:b/>
          <w:noProof/>
          <w:szCs w:val="20"/>
          <w:lang w:val="sk-SK"/>
        </w:rPr>
        <w:t>17.</w:t>
      </w:r>
      <w:r>
        <w:rPr>
          <w:rFonts w:ascii="Times New Roman" w:eastAsia="Times New Roman" w:hAnsi="Times New Roman"/>
          <w:b/>
          <w:noProof/>
          <w:szCs w:val="20"/>
          <w:lang w:val="sk-SK"/>
        </w:rPr>
        <w:tab/>
        <w:t>ŠPECIFICKÝ IDENTIFIKÁTOR – DVOJROZMERNÝ ČIAROVÝ KÓD</w:t>
      </w:r>
    </w:p>
    <w:p w14:paraId="76874D45" w14:textId="77777777" w:rsidR="00582954" w:rsidRDefault="00582954">
      <w:pPr>
        <w:widowControl w:val="0"/>
        <w:tabs>
          <w:tab w:val="left" w:pos="567"/>
        </w:tabs>
        <w:spacing w:after="0" w:line="240" w:lineRule="auto"/>
        <w:rPr>
          <w:rFonts w:ascii="Times New Roman" w:eastAsia="Times New Roman" w:hAnsi="Times New Roman"/>
          <w:noProof/>
          <w:szCs w:val="20"/>
          <w:lang w:val="sk-SK"/>
        </w:rPr>
      </w:pPr>
    </w:p>
    <w:p w14:paraId="3FAC3DFD" w14:textId="77777777" w:rsidR="00582954" w:rsidRDefault="00645977">
      <w:pPr>
        <w:widowControl w:val="0"/>
        <w:tabs>
          <w:tab w:val="left" w:pos="567"/>
        </w:tabs>
        <w:spacing w:after="0" w:line="240" w:lineRule="auto"/>
        <w:rPr>
          <w:rFonts w:ascii="Times New Roman" w:eastAsia="Times New Roman" w:hAnsi="Times New Roman"/>
          <w:noProof/>
          <w:szCs w:val="20"/>
          <w:shd w:val="clear" w:color="auto" w:fill="CCCCCC"/>
          <w:lang w:val="sk-SK"/>
        </w:rPr>
      </w:pPr>
      <w:r>
        <w:rPr>
          <w:rFonts w:ascii="Times New Roman" w:eastAsia="Times New Roman" w:hAnsi="Times New Roman"/>
          <w:noProof/>
          <w:szCs w:val="20"/>
          <w:highlight w:val="lightGray"/>
          <w:lang w:val="sk-SK"/>
        </w:rPr>
        <w:t>Dvojrozmerný čiarový kód so špecifickým identifikátorom.</w:t>
      </w:r>
    </w:p>
    <w:p w14:paraId="4DD2D85E" w14:textId="77777777" w:rsidR="00582954" w:rsidRDefault="00582954">
      <w:pPr>
        <w:widowControl w:val="0"/>
        <w:tabs>
          <w:tab w:val="left" w:pos="567"/>
        </w:tabs>
        <w:spacing w:after="0" w:line="240" w:lineRule="auto"/>
        <w:rPr>
          <w:rFonts w:ascii="Times New Roman" w:eastAsia="Times New Roman" w:hAnsi="Times New Roman"/>
          <w:b/>
          <w:noProof/>
          <w:szCs w:val="20"/>
          <w:u w:val="single"/>
          <w:lang w:val="sk-SK"/>
        </w:rPr>
      </w:pPr>
    </w:p>
    <w:p w14:paraId="2CC3769A" w14:textId="77777777" w:rsidR="00582954" w:rsidRDefault="00582954">
      <w:pPr>
        <w:widowControl w:val="0"/>
        <w:tabs>
          <w:tab w:val="left" w:pos="567"/>
        </w:tabs>
        <w:spacing w:after="0" w:line="240" w:lineRule="auto"/>
        <w:rPr>
          <w:rFonts w:ascii="Times New Roman" w:eastAsia="Times New Roman" w:hAnsi="Times New Roman"/>
          <w:b/>
          <w:noProof/>
          <w:szCs w:val="20"/>
          <w:u w:val="single"/>
          <w:lang w:val="sk-SK"/>
        </w:rPr>
      </w:pPr>
    </w:p>
    <w:p w14:paraId="61A9AD5D" w14:textId="77777777" w:rsidR="00582954" w:rsidRDefault="0064597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noProof/>
          <w:szCs w:val="20"/>
          <w:lang w:val="sk-SK"/>
        </w:rPr>
      </w:pPr>
      <w:r>
        <w:rPr>
          <w:rFonts w:ascii="Times New Roman" w:eastAsia="Times New Roman" w:hAnsi="Times New Roman"/>
          <w:b/>
          <w:noProof/>
          <w:szCs w:val="20"/>
          <w:lang w:val="sk-SK"/>
        </w:rPr>
        <w:t>18.</w:t>
      </w:r>
      <w:r>
        <w:rPr>
          <w:rFonts w:ascii="Times New Roman" w:eastAsia="Times New Roman" w:hAnsi="Times New Roman"/>
          <w:b/>
          <w:noProof/>
          <w:szCs w:val="20"/>
          <w:lang w:val="sk-SK"/>
        </w:rPr>
        <w:tab/>
        <w:t>ŠPECIFICKÝ IDENTIFIKÁTOR – ÚDAJE ČITATEĽNÉ ĽUDSKÝM OKOM</w:t>
      </w:r>
    </w:p>
    <w:p w14:paraId="456CA433" w14:textId="77777777" w:rsidR="00582954" w:rsidRDefault="00582954">
      <w:pPr>
        <w:widowControl w:val="0"/>
        <w:tabs>
          <w:tab w:val="left" w:pos="567"/>
        </w:tabs>
        <w:spacing w:after="0" w:line="240" w:lineRule="auto"/>
        <w:rPr>
          <w:rFonts w:ascii="Times New Roman" w:eastAsia="Times New Roman" w:hAnsi="Times New Roman"/>
          <w:szCs w:val="20"/>
          <w:lang w:val="sk-SK"/>
        </w:rPr>
      </w:pPr>
    </w:p>
    <w:p w14:paraId="73E40314" w14:textId="77777777" w:rsidR="00582954" w:rsidRDefault="00645977">
      <w:pPr>
        <w:widowControl w:val="0"/>
        <w:tabs>
          <w:tab w:val="left" w:pos="567"/>
        </w:tabs>
        <w:spacing w:after="0" w:line="240" w:lineRule="auto"/>
        <w:rPr>
          <w:rFonts w:ascii="Times New Roman" w:eastAsia="Times New Roman" w:hAnsi="Times New Roman"/>
          <w:szCs w:val="20"/>
          <w:lang w:val="sk-SK"/>
        </w:rPr>
      </w:pPr>
      <w:r>
        <w:rPr>
          <w:rFonts w:ascii="Times New Roman" w:eastAsia="Times New Roman" w:hAnsi="Times New Roman"/>
          <w:szCs w:val="20"/>
          <w:lang w:val="sk-SK"/>
        </w:rPr>
        <w:t>PC</w:t>
      </w:r>
    </w:p>
    <w:p w14:paraId="0D570C35" w14:textId="77777777" w:rsidR="00582954" w:rsidRDefault="00645977">
      <w:pPr>
        <w:widowControl w:val="0"/>
        <w:tabs>
          <w:tab w:val="left" w:pos="567"/>
        </w:tabs>
        <w:spacing w:after="0" w:line="240" w:lineRule="auto"/>
        <w:rPr>
          <w:rFonts w:ascii="Times New Roman" w:eastAsia="Times New Roman" w:hAnsi="Times New Roman"/>
          <w:szCs w:val="20"/>
          <w:lang w:val="sk-SK"/>
        </w:rPr>
      </w:pPr>
      <w:r>
        <w:rPr>
          <w:rFonts w:ascii="Times New Roman" w:eastAsia="Times New Roman" w:hAnsi="Times New Roman"/>
          <w:szCs w:val="20"/>
          <w:lang w:val="sk-SK"/>
        </w:rPr>
        <w:t>SN</w:t>
      </w:r>
    </w:p>
    <w:p w14:paraId="5F7BFD22" w14:textId="77777777" w:rsidR="00582954" w:rsidRDefault="00582954" w:rsidP="00C449C5">
      <w:pPr>
        <w:rPr>
          <w:noProof/>
          <w:lang w:val="sk-SK"/>
        </w:rPr>
      </w:pPr>
    </w:p>
    <w:p w14:paraId="32AADDD0" w14:textId="77777777" w:rsidR="00582954" w:rsidRDefault="00645977">
      <w:pPr>
        <w:widowControl w:val="0"/>
        <w:pBdr>
          <w:top w:val="single" w:sz="4" w:space="1" w:color="auto"/>
          <w:left w:val="single" w:sz="4" w:space="5" w:color="auto"/>
          <w:bottom w:val="single" w:sz="4" w:space="1" w:color="auto"/>
          <w:right w:val="single" w:sz="4" w:space="4" w:color="auto"/>
        </w:pBdr>
        <w:spacing w:after="0" w:line="240" w:lineRule="auto"/>
        <w:rPr>
          <w:rFonts w:ascii="Times New Roman" w:hAnsi="Times New Roman"/>
          <w:b/>
          <w:lang w:val="sk-SK"/>
        </w:rPr>
      </w:pPr>
      <w:r>
        <w:rPr>
          <w:rFonts w:ascii="Times New Roman" w:hAnsi="Times New Roman"/>
          <w:lang w:val="sk-SK"/>
        </w:rPr>
        <w:br w:type="page"/>
      </w:r>
      <w:r>
        <w:rPr>
          <w:rFonts w:ascii="Times New Roman" w:hAnsi="Times New Roman"/>
          <w:b/>
          <w:lang w:val="sk-SK"/>
        </w:rPr>
        <w:lastRenderedPageBreak/>
        <w:t>MINIMÁLNE ÚDAJE, KTORÉ MAJÚ BYŤ UVEDENÉ NA BLISTROCH ALEBO STRIPOCH</w:t>
      </w:r>
    </w:p>
    <w:p w14:paraId="600C53F2" w14:textId="77777777" w:rsidR="00582954" w:rsidRDefault="00582954">
      <w:pPr>
        <w:widowControl w:val="0"/>
        <w:pBdr>
          <w:top w:val="single" w:sz="4" w:space="1" w:color="auto"/>
          <w:left w:val="single" w:sz="4" w:space="5" w:color="auto"/>
          <w:bottom w:val="single" w:sz="4" w:space="1" w:color="auto"/>
          <w:right w:val="single" w:sz="4" w:space="4" w:color="auto"/>
        </w:pBdr>
        <w:spacing w:after="0" w:line="240" w:lineRule="auto"/>
        <w:rPr>
          <w:rFonts w:ascii="Times New Roman" w:hAnsi="Times New Roman"/>
          <w:b/>
          <w:lang w:val="sk-SK"/>
        </w:rPr>
      </w:pPr>
    </w:p>
    <w:p w14:paraId="53FD4D85" w14:textId="77777777" w:rsidR="00582954" w:rsidRDefault="00645977">
      <w:pPr>
        <w:widowControl w:val="0"/>
        <w:pBdr>
          <w:top w:val="single" w:sz="4" w:space="1" w:color="auto"/>
          <w:left w:val="single" w:sz="4" w:space="5" w:color="auto"/>
          <w:bottom w:val="single" w:sz="4" w:space="1" w:color="auto"/>
          <w:right w:val="single" w:sz="4" w:space="4" w:color="auto"/>
        </w:pBdr>
        <w:spacing w:after="0" w:line="240" w:lineRule="auto"/>
        <w:rPr>
          <w:rFonts w:ascii="Times New Roman" w:hAnsi="Times New Roman"/>
          <w:b/>
          <w:lang w:val="sk-SK"/>
        </w:rPr>
      </w:pPr>
      <w:r>
        <w:rPr>
          <w:rFonts w:ascii="Times New Roman" w:hAnsi="Times New Roman"/>
          <w:b/>
          <w:lang w:val="sk-SK"/>
        </w:rPr>
        <w:t>BLISTER</w:t>
      </w:r>
    </w:p>
    <w:p w14:paraId="3793C2A8" w14:textId="77777777" w:rsidR="00582954" w:rsidRDefault="00582954">
      <w:pPr>
        <w:widowControl w:val="0"/>
        <w:spacing w:after="0" w:line="240" w:lineRule="auto"/>
        <w:rPr>
          <w:rFonts w:ascii="Times New Roman" w:hAnsi="Times New Roman"/>
          <w:lang w:val="sk-SK"/>
        </w:rPr>
      </w:pPr>
    </w:p>
    <w:p w14:paraId="3A9F6A9E" w14:textId="77777777" w:rsidR="00582954" w:rsidRDefault="00582954">
      <w:pPr>
        <w:widowControl w:val="0"/>
        <w:spacing w:after="0" w:line="240" w:lineRule="auto"/>
        <w:rPr>
          <w:rFonts w:ascii="Times New Roman" w:hAnsi="Times New Roman"/>
          <w:lang w:val="sk-SK"/>
        </w:rPr>
      </w:pPr>
    </w:p>
    <w:p w14:paraId="10CA0319" w14:textId="77777777" w:rsidR="00582954" w:rsidRDefault="00645977">
      <w:pPr>
        <w:widowControl w:val="0"/>
        <w:numPr>
          <w:ilvl w:val="0"/>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imes New Roman" w:hAnsi="Times New Roman"/>
          <w:b/>
          <w:lang w:val="sk-SK"/>
        </w:rPr>
      </w:pPr>
      <w:r>
        <w:rPr>
          <w:rFonts w:ascii="Times New Roman" w:hAnsi="Times New Roman"/>
          <w:b/>
          <w:lang w:val="sk-SK"/>
        </w:rPr>
        <w:t>NÁZOV LIEKU</w:t>
      </w:r>
    </w:p>
    <w:p w14:paraId="30E58570" w14:textId="77777777" w:rsidR="00582954" w:rsidRDefault="00582954">
      <w:pPr>
        <w:widowControl w:val="0"/>
        <w:spacing w:after="0" w:line="240" w:lineRule="auto"/>
        <w:rPr>
          <w:rFonts w:ascii="Times New Roman" w:hAnsi="Times New Roman"/>
          <w:lang w:val="sk-SK"/>
        </w:rPr>
      </w:pPr>
    </w:p>
    <w:p w14:paraId="703CEBBB"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Tolucombi 80 mg/12,5 mg tablety</w:t>
      </w:r>
    </w:p>
    <w:p w14:paraId="6C2C612A"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telmisartan/hydrochlórtiazid</w:t>
      </w:r>
    </w:p>
    <w:p w14:paraId="7D986863" w14:textId="77777777" w:rsidR="00582954" w:rsidRDefault="00582954">
      <w:pPr>
        <w:widowControl w:val="0"/>
        <w:spacing w:after="0" w:line="240" w:lineRule="auto"/>
        <w:rPr>
          <w:rFonts w:ascii="Times New Roman" w:hAnsi="Times New Roman"/>
          <w:lang w:val="sk-SK"/>
        </w:rPr>
      </w:pPr>
    </w:p>
    <w:p w14:paraId="5AE99FF7" w14:textId="77777777" w:rsidR="00582954" w:rsidRDefault="00582954">
      <w:pPr>
        <w:widowControl w:val="0"/>
        <w:spacing w:after="0" w:line="240" w:lineRule="auto"/>
        <w:rPr>
          <w:rFonts w:ascii="Times New Roman" w:hAnsi="Times New Roman"/>
          <w:lang w:val="sk-SK"/>
        </w:rPr>
      </w:pPr>
    </w:p>
    <w:p w14:paraId="4FAAA643" w14:textId="77777777" w:rsidR="00582954" w:rsidRDefault="00645977">
      <w:pPr>
        <w:widowControl w:val="0"/>
        <w:numPr>
          <w:ilvl w:val="0"/>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imes New Roman" w:hAnsi="Times New Roman"/>
          <w:b/>
          <w:lang w:val="sk-SK"/>
        </w:rPr>
      </w:pPr>
      <w:r>
        <w:rPr>
          <w:rFonts w:ascii="Times New Roman" w:hAnsi="Times New Roman"/>
          <w:b/>
          <w:lang w:val="sk-SK"/>
        </w:rPr>
        <w:t>NÁZOV DRŽITEĽA ROZHODNUTIA O REGISTRÁCII</w:t>
      </w:r>
    </w:p>
    <w:p w14:paraId="60B948E1" w14:textId="77777777" w:rsidR="00582954" w:rsidRDefault="00582954">
      <w:pPr>
        <w:widowControl w:val="0"/>
        <w:spacing w:after="0" w:line="240" w:lineRule="auto"/>
        <w:rPr>
          <w:rFonts w:ascii="Times New Roman" w:hAnsi="Times New Roman"/>
          <w:lang w:val="sk-SK"/>
        </w:rPr>
      </w:pPr>
    </w:p>
    <w:p w14:paraId="3F2DD933"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KRKA</w:t>
      </w:r>
    </w:p>
    <w:p w14:paraId="5CF23DDC" w14:textId="77777777" w:rsidR="00582954" w:rsidRDefault="00582954">
      <w:pPr>
        <w:widowControl w:val="0"/>
        <w:spacing w:after="0" w:line="240" w:lineRule="auto"/>
        <w:rPr>
          <w:rFonts w:ascii="Times New Roman" w:hAnsi="Times New Roman"/>
          <w:lang w:val="sk-SK"/>
        </w:rPr>
      </w:pPr>
    </w:p>
    <w:p w14:paraId="543C13F0" w14:textId="77777777" w:rsidR="00582954" w:rsidRDefault="00582954">
      <w:pPr>
        <w:widowControl w:val="0"/>
        <w:spacing w:after="0" w:line="240" w:lineRule="auto"/>
        <w:rPr>
          <w:rFonts w:ascii="Times New Roman" w:hAnsi="Times New Roman"/>
          <w:lang w:val="sk-SK"/>
        </w:rPr>
      </w:pPr>
    </w:p>
    <w:p w14:paraId="1FD5B10F" w14:textId="77777777" w:rsidR="00582954" w:rsidRDefault="00645977">
      <w:pPr>
        <w:widowControl w:val="0"/>
        <w:numPr>
          <w:ilvl w:val="0"/>
          <w:numId w:val="5"/>
        </w:numPr>
        <w:pBdr>
          <w:top w:val="single" w:sz="4" w:space="2" w:color="auto"/>
          <w:left w:val="single" w:sz="4" w:space="4" w:color="auto"/>
          <w:bottom w:val="single" w:sz="4" w:space="1" w:color="auto"/>
          <w:right w:val="single" w:sz="4" w:space="4" w:color="auto"/>
        </w:pBdr>
        <w:tabs>
          <w:tab w:val="left" w:pos="567"/>
        </w:tabs>
        <w:spacing w:after="0" w:line="240" w:lineRule="auto"/>
        <w:ind w:left="0" w:firstLine="0"/>
        <w:rPr>
          <w:rFonts w:ascii="Times New Roman" w:hAnsi="Times New Roman"/>
          <w:b/>
          <w:lang w:val="sk-SK"/>
        </w:rPr>
      </w:pPr>
      <w:r>
        <w:rPr>
          <w:rFonts w:ascii="Times New Roman" w:hAnsi="Times New Roman"/>
          <w:b/>
          <w:lang w:val="sk-SK"/>
        </w:rPr>
        <w:t>DÁTUM EXSPIRÁCIE</w:t>
      </w:r>
    </w:p>
    <w:p w14:paraId="63F6623E" w14:textId="77777777" w:rsidR="00582954" w:rsidRDefault="00582954">
      <w:pPr>
        <w:widowControl w:val="0"/>
        <w:spacing w:after="0" w:line="240" w:lineRule="auto"/>
        <w:rPr>
          <w:rFonts w:ascii="Times New Roman" w:hAnsi="Times New Roman"/>
          <w:lang w:val="sk-SK"/>
        </w:rPr>
      </w:pPr>
    </w:p>
    <w:p w14:paraId="7E23BD89"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EXP</w:t>
      </w:r>
    </w:p>
    <w:p w14:paraId="3C2B28E1" w14:textId="77777777" w:rsidR="00582954" w:rsidRDefault="00582954">
      <w:pPr>
        <w:widowControl w:val="0"/>
        <w:spacing w:after="0" w:line="240" w:lineRule="auto"/>
        <w:rPr>
          <w:rFonts w:ascii="Times New Roman" w:hAnsi="Times New Roman"/>
          <w:lang w:val="sk-SK"/>
        </w:rPr>
      </w:pPr>
    </w:p>
    <w:p w14:paraId="5ECC202B" w14:textId="77777777" w:rsidR="00582954" w:rsidRDefault="00582954">
      <w:pPr>
        <w:widowControl w:val="0"/>
        <w:spacing w:after="0" w:line="240" w:lineRule="auto"/>
        <w:rPr>
          <w:rFonts w:ascii="Times New Roman" w:hAnsi="Times New Roman"/>
          <w:lang w:val="sk-SK"/>
        </w:rPr>
      </w:pPr>
    </w:p>
    <w:p w14:paraId="57FB090E" w14:textId="77777777" w:rsidR="00582954" w:rsidRDefault="00645977">
      <w:pPr>
        <w:widowControl w:val="0"/>
        <w:numPr>
          <w:ilvl w:val="0"/>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imes New Roman" w:hAnsi="Times New Roman"/>
          <w:b/>
          <w:lang w:val="sk-SK"/>
        </w:rPr>
      </w:pPr>
      <w:r>
        <w:rPr>
          <w:rFonts w:ascii="Times New Roman" w:hAnsi="Times New Roman"/>
          <w:b/>
          <w:lang w:val="sk-SK"/>
        </w:rPr>
        <w:t>ČÍSLO VÝROBNEJ ŠARŽE</w:t>
      </w:r>
    </w:p>
    <w:p w14:paraId="54974C74" w14:textId="77777777" w:rsidR="00582954" w:rsidRDefault="00582954">
      <w:pPr>
        <w:widowControl w:val="0"/>
        <w:spacing w:after="0" w:line="240" w:lineRule="auto"/>
        <w:rPr>
          <w:rFonts w:ascii="Times New Roman" w:hAnsi="Times New Roman"/>
          <w:lang w:val="sk-SK"/>
        </w:rPr>
      </w:pPr>
    </w:p>
    <w:p w14:paraId="4B5CED55"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Lot</w:t>
      </w:r>
    </w:p>
    <w:p w14:paraId="4709C4FF" w14:textId="77777777" w:rsidR="00582954" w:rsidRDefault="00582954">
      <w:pPr>
        <w:widowControl w:val="0"/>
        <w:spacing w:after="0" w:line="240" w:lineRule="auto"/>
        <w:rPr>
          <w:rFonts w:ascii="Times New Roman" w:hAnsi="Times New Roman"/>
          <w:lang w:val="sk-SK"/>
        </w:rPr>
      </w:pPr>
    </w:p>
    <w:p w14:paraId="5CD752C9" w14:textId="77777777" w:rsidR="00582954" w:rsidRDefault="00582954">
      <w:pPr>
        <w:widowControl w:val="0"/>
        <w:spacing w:after="0" w:line="240" w:lineRule="auto"/>
        <w:rPr>
          <w:rFonts w:ascii="Times New Roman" w:hAnsi="Times New Roman"/>
          <w:lang w:val="sk-SK"/>
        </w:rPr>
      </w:pPr>
    </w:p>
    <w:p w14:paraId="4B8FD54A" w14:textId="77777777" w:rsidR="00582954" w:rsidRDefault="00645977">
      <w:pPr>
        <w:widowControl w:val="0"/>
        <w:numPr>
          <w:ilvl w:val="0"/>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imes New Roman" w:hAnsi="Times New Roman"/>
          <w:b/>
          <w:lang w:val="sk-SK"/>
        </w:rPr>
      </w:pPr>
      <w:r>
        <w:rPr>
          <w:rFonts w:ascii="Times New Roman" w:hAnsi="Times New Roman"/>
          <w:b/>
          <w:lang w:val="sk-SK"/>
        </w:rPr>
        <w:t>INÉ</w:t>
      </w:r>
    </w:p>
    <w:p w14:paraId="67F663C7" w14:textId="77777777" w:rsidR="00582954" w:rsidRDefault="00582954">
      <w:pPr>
        <w:widowControl w:val="0"/>
        <w:spacing w:after="0" w:line="240" w:lineRule="auto"/>
        <w:rPr>
          <w:rFonts w:ascii="Times New Roman" w:hAnsi="Times New Roman"/>
          <w:lang w:val="sk-SK"/>
        </w:rPr>
      </w:pPr>
    </w:p>
    <w:p w14:paraId="725EB8B5" w14:textId="77777777" w:rsidR="00582954" w:rsidRDefault="00645977">
      <w:pPr>
        <w:widowControl w:val="0"/>
        <w:spacing w:after="0" w:line="240" w:lineRule="auto"/>
        <w:rPr>
          <w:rFonts w:ascii="Times New Roman" w:hAnsi="Times New Roman"/>
          <w:lang w:val="sk-SK"/>
        </w:rPr>
      </w:pPr>
      <w:r>
        <w:rPr>
          <w:rFonts w:ascii="Times New Roman" w:hAnsi="Times New Roman"/>
          <w:highlight w:val="lightGray"/>
          <w:lang w:val="sk-SK"/>
        </w:rPr>
        <w:t>Iba pre blistre obsahujúce 7 tabliet</w:t>
      </w:r>
    </w:p>
    <w:p w14:paraId="36E0FBC7"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Po</w:t>
      </w:r>
    </w:p>
    <w:p w14:paraId="7027DD3A"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Ut</w:t>
      </w:r>
    </w:p>
    <w:p w14:paraId="445EF567"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St</w:t>
      </w:r>
    </w:p>
    <w:p w14:paraId="09F949A9"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Št</w:t>
      </w:r>
    </w:p>
    <w:p w14:paraId="3B8B98AF"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Pi</w:t>
      </w:r>
    </w:p>
    <w:p w14:paraId="756D4591"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So</w:t>
      </w:r>
    </w:p>
    <w:p w14:paraId="7C12BD44"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Ne</w:t>
      </w:r>
    </w:p>
    <w:p w14:paraId="75F3C1A0" w14:textId="77777777" w:rsidR="00582954" w:rsidRDefault="00582954">
      <w:pPr>
        <w:widowControl w:val="0"/>
        <w:spacing w:after="0" w:line="240" w:lineRule="auto"/>
        <w:rPr>
          <w:rFonts w:ascii="Times New Roman" w:hAnsi="Times New Roman"/>
          <w:lang w:val="sk-SK"/>
        </w:rPr>
      </w:pPr>
    </w:p>
    <w:p w14:paraId="235814EF" w14:textId="77777777" w:rsidR="00582954" w:rsidRDefault="00645977">
      <w:pPr>
        <w:widowControl w:val="0"/>
        <w:pBdr>
          <w:top w:val="single" w:sz="4" w:space="5"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lang w:val="sk-SK"/>
        </w:rPr>
      </w:pPr>
      <w:r>
        <w:rPr>
          <w:rFonts w:ascii="Times New Roman" w:hAnsi="Times New Roman"/>
          <w:lang w:val="sk-SK"/>
        </w:rPr>
        <w:br w:type="page"/>
      </w:r>
      <w:r>
        <w:rPr>
          <w:rFonts w:ascii="Times New Roman" w:hAnsi="Times New Roman"/>
          <w:b/>
          <w:bCs/>
          <w:lang w:val="sk-SK"/>
        </w:rPr>
        <w:lastRenderedPageBreak/>
        <w:t>ÚDAJE, KTORÉ MAJÚ UVEDENÉ NA VONKAJŠOM OBALE</w:t>
      </w:r>
    </w:p>
    <w:p w14:paraId="0527C768" w14:textId="77777777" w:rsidR="00582954" w:rsidRDefault="00582954">
      <w:pPr>
        <w:widowControl w:val="0"/>
        <w:pBdr>
          <w:top w:val="single" w:sz="4" w:space="5"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lang w:val="sk-SK"/>
        </w:rPr>
      </w:pPr>
    </w:p>
    <w:p w14:paraId="53051F2D" w14:textId="391ABF75" w:rsidR="00C449C5" w:rsidRDefault="00C449C5">
      <w:pPr>
        <w:widowControl w:val="0"/>
        <w:pBdr>
          <w:top w:val="single" w:sz="4" w:space="5"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lang w:val="sk-SK"/>
        </w:rPr>
      </w:pPr>
      <w:r>
        <w:rPr>
          <w:rFonts w:ascii="Times New Roman" w:hAnsi="Times New Roman"/>
          <w:b/>
          <w:bCs/>
          <w:lang w:val="sk-SK"/>
        </w:rPr>
        <w:t>ŠKATUĽKA</w:t>
      </w:r>
    </w:p>
    <w:p w14:paraId="0817B3A6" w14:textId="77777777" w:rsidR="00582954" w:rsidRDefault="00582954">
      <w:pPr>
        <w:widowControl w:val="0"/>
        <w:spacing w:after="0" w:line="240" w:lineRule="auto"/>
        <w:contextualSpacing/>
        <w:rPr>
          <w:rFonts w:ascii="Times New Roman" w:hAnsi="Times New Roman"/>
          <w:lang w:val="sk-SK"/>
        </w:rPr>
      </w:pPr>
    </w:p>
    <w:p w14:paraId="2F31261D" w14:textId="77777777" w:rsidR="00C27525" w:rsidRDefault="00C27525">
      <w:pPr>
        <w:widowControl w:val="0"/>
        <w:spacing w:after="0" w:line="240" w:lineRule="auto"/>
        <w:contextualSpacing/>
        <w:rPr>
          <w:rFonts w:ascii="Times New Roman" w:hAnsi="Times New Roman"/>
          <w:lang w:val="sk-SK"/>
        </w:rPr>
      </w:pPr>
    </w:p>
    <w:p w14:paraId="10538AAD" w14:textId="77777777" w:rsidR="00582954" w:rsidRDefault="00645977">
      <w:pPr>
        <w:widowControl w:val="0"/>
        <w:numPr>
          <w:ilvl w:val="0"/>
          <w:numId w:val="6"/>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contextualSpacing/>
        <w:rPr>
          <w:rFonts w:ascii="Times New Roman" w:hAnsi="Times New Roman"/>
          <w:b/>
          <w:lang w:val="sk-SK"/>
        </w:rPr>
      </w:pPr>
      <w:r>
        <w:rPr>
          <w:rFonts w:ascii="Times New Roman" w:hAnsi="Times New Roman"/>
          <w:b/>
          <w:lang w:val="sk-SK"/>
        </w:rPr>
        <w:t>NÁZOV LIEKU</w:t>
      </w:r>
    </w:p>
    <w:p w14:paraId="6FFBB821" w14:textId="77777777" w:rsidR="00582954" w:rsidRDefault="00582954">
      <w:pPr>
        <w:widowControl w:val="0"/>
        <w:spacing w:after="0" w:line="240" w:lineRule="auto"/>
        <w:rPr>
          <w:rFonts w:ascii="Times New Roman" w:hAnsi="Times New Roman"/>
          <w:lang w:val="sk-SK"/>
        </w:rPr>
      </w:pPr>
    </w:p>
    <w:p w14:paraId="26D3CD6A"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Tolucombi 80 mg/25 mg tablety</w:t>
      </w:r>
    </w:p>
    <w:p w14:paraId="267C2610"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telmisartan/hydrochlórtiazid</w:t>
      </w:r>
    </w:p>
    <w:p w14:paraId="03CD0364" w14:textId="77777777" w:rsidR="00582954" w:rsidRDefault="00582954">
      <w:pPr>
        <w:widowControl w:val="0"/>
        <w:spacing w:after="0" w:line="240" w:lineRule="auto"/>
        <w:rPr>
          <w:rFonts w:ascii="Times New Roman" w:hAnsi="Times New Roman"/>
          <w:lang w:val="sk-SK"/>
        </w:rPr>
      </w:pPr>
    </w:p>
    <w:p w14:paraId="6B07C30E" w14:textId="77777777" w:rsidR="00582954" w:rsidRDefault="00582954">
      <w:pPr>
        <w:widowControl w:val="0"/>
        <w:spacing w:after="0" w:line="240" w:lineRule="auto"/>
        <w:rPr>
          <w:rFonts w:ascii="Times New Roman" w:hAnsi="Times New Roman"/>
          <w:lang w:val="sk-SK"/>
        </w:rPr>
      </w:pPr>
    </w:p>
    <w:p w14:paraId="23D2E4FA" w14:textId="77777777" w:rsidR="00582954" w:rsidRDefault="00645977">
      <w:pPr>
        <w:widowControl w:val="0"/>
        <w:numPr>
          <w:ilvl w:val="0"/>
          <w:numId w:val="6"/>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imes New Roman" w:hAnsi="Times New Roman"/>
          <w:b/>
          <w:lang w:val="sk-SK"/>
        </w:rPr>
      </w:pPr>
      <w:r>
        <w:rPr>
          <w:rFonts w:ascii="Times New Roman" w:hAnsi="Times New Roman"/>
          <w:b/>
          <w:lang w:val="sk-SK"/>
        </w:rPr>
        <w:t>LIEČIVO (LIEČIVÁ)</w:t>
      </w:r>
    </w:p>
    <w:p w14:paraId="6CA70C15" w14:textId="77777777" w:rsidR="00582954" w:rsidRDefault="00582954">
      <w:pPr>
        <w:widowControl w:val="0"/>
        <w:spacing w:after="0" w:line="240" w:lineRule="auto"/>
        <w:rPr>
          <w:rFonts w:ascii="Times New Roman" w:hAnsi="Times New Roman"/>
          <w:lang w:val="sk-SK"/>
        </w:rPr>
      </w:pPr>
    </w:p>
    <w:p w14:paraId="5F87637C"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Každá tableta obsahuje 80 mg telmisartanu a 25 mg hydrochlórtiazidu.</w:t>
      </w:r>
    </w:p>
    <w:p w14:paraId="68006E93" w14:textId="77777777" w:rsidR="00582954" w:rsidRDefault="00582954">
      <w:pPr>
        <w:widowControl w:val="0"/>
        <w:spacing w:after="0" w:line="240" w:lineRule="auto"/>
        <w:rPr>
          <w:rFonts w:ascii="Times New Roman" w:hAnsi="Times New Roman"/>
          <w:lang w:val="sk-SK"/>
        </w:rPr>
      </w:pPr>
    </w:p>
    <w:p w14:paraId="739EF822" w14:textId="77777777" w:rsidR="00582954" w:rsidRDefault="00582954">
      <w:pPr>
        <w:widowControl w:val="0"/>
        <w:spacing w:after="0" w:line="240" w:lineRule="auto"/>
        <w:rPr>
          <w:rFonts w:ascii="Times New Roman" w:hAnsi="Times New Roman"/>
          <w:lang w:val="sk-SK"/>
        </w:rPr>
      </w:pPr>
    </w:p>
    <w:p w14:paraId="34A21E6C" w14:textId="77777777" w:rsidR="00582954" w:rsidRDefault="00645977">
      <w:pPr>
        <w:widowControl w:val="0"/>
        <w:numPr>
          <w:ilvl w:val="0"/>
          <w:numId w:val="6"/>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imes New Roman" w:hAnsi="Times New Roman"/>
          <w:b/>
          <w:lang w:val="sk-SK"/>
        </w:rPr>
      </w:pPr>
      <w:r>
        <w:rPr>
          <w:rFonts w:ascii="Times New Roman" w:hAnsi="Times New Roman"/>
          <w:b/>
          <w:lang w:val="sk-SK"/>
        </w:rPr>
        <w:t>ZOZNAM POMOCNÝCH LÁTOK</w:t>
      </w:r>
    </w:p>
    <w:p w14:paraId="4A75E8A1" w14:textId="77777777" w:rsidR="00582954" w:rsidRDefault="00582954">
      <w:pPr>
        <w:widowControl w:val="0"/>
        <w:spacing w:after="0" w:line="240" w:lineRule="auto"/>
        <w:contextualSpacing/>
        <w:rPr>
          <w:rFonts w:ascii="Times New Roman" w:hAnsi="Times New Roman"/>
          <w:lang w:val="sk-SK"/>
        </w:rPr>
      </w:pPr>
    </w:p>
    <w:p w14:paraId="286A48B3" w14:textId="77777777" w:rsidR="00582954" w:rsidRDefault="00582954">
      <w:pPr>
        <w:widowControl w:val="0"/>
        <w:spacing w:after="0" w:line="240" w:lineRule="auto"/>
        <w:contextualSpacing/>
        <w:rPr>
          <w:rFonts w:ascii="Times New Roman" w:hAnsi="Times New Roman"/>
          <w:lang w:val="sk-SK"/>
        </w:rPr>
      </w:pPr>
    </w:p>
    <w:p w14:paraId="1073B733" w14:textId="77777777" w:rsidR="00582954" w:rsidRDefault="00645977">
      <w:pPr>
        <w:widowControl w:val="0"/>
        <w:numPr>
          <w:ilvl w:val="0"/>
          <w:numId w:val="6"/>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contextualSpacing/>
        <w:rPr>
          <w:rFonts w:ascii="Times New Roman" w:hAnsi="Times New Roman"/>
          <w:lang w:val="sk-SK"/>
        </w:rPr>
      </w:pPr>
      <w:r>
        <w:rPr>
          <w:rFonts w:ascii="Times New Roman" w:hAnsi="Times New Roman"/>
          <w:b/>
          <w:lang w:val="sk-SK"/>
        </w:rPr>
        <w:t>LIEKOVÁ FORMA A OBSAH</w:t>
      </w:r>
    </w:p>
    <w:p w14:paraId="4247CD89" w14:textId="77777777" w:rsidR="00582954" w:rsidRDefault="00582954">
      <w:pPr>
        <w:widowControl w:val="0"/>
        <w:spacing w:after="0" w:line="240" w:lineRule="auto"/>
        <w:contextualSpacing/>
        <w:rPr>
          <w:rFonts w:ascii="Times New Roman" w:hAnsi="Times New Roman"/>
          <w:lang w:val="sk-SK"/>
        </w:rPr>
      </w:pPr>
    </w:p>
    <w:p w14:paraId="57A4C87A" w14:textId="77777777" w:rsidR="00582954" w:rsidRDefault="00645977">
      <w:pPr>
        <w:widowControl w:val="0"/>
        <w:spacing w:after="0" w:line="240" w:lineRule="auto"/>
        <w:contextualSpacing/>
        <w:rPr>
          <w:rFonts w:ascii="Times New Roman" w:hAnsi="Times New Roman"/>
          <w:lang w:val="sk-SK"/>
        </w:rPr>
      </w:pPr>
      <w:r>
        <w:rPr>
          <w:rFonts w:ascii="Times New Roman" w:hAnsi="Times New Roman"/>
          <w:highlight w:val="lightGray"/>
          <w:lang w:val="sk-SK"/>
        </w:rPr>
        <w:t>Tableta.</w:t>
      </w:r>
    </w:p>
    <w:p w14:paraId="67ABC3A3" w14:textId="77777777" w:rsidR="00582954" w:rsidRDefault="00582954">
      <w:pPr>
        <w:widowControl w:val="0"/>
        <w:spacing w:after="0" w:line="240" w:lineRule="auto"/>
        <w:contextualSpacing/>
        <w:rPr>
          <w:rFonts w:ascii="Times New Roman" w:hAnsi="Times New Roman"/>
          <w:i/>
          <w:highlight w:val="lightGray"/>
          <w:u w:val="single"/>
          <w:lang w:val="sk-SK"/>
        </w:rPr>
      </w:pPr>
    </w:p>
    <w:p w14:paraId="437D43D1" w14:textId="77777777" w:rsidR="00582954" w:rsidRDefault="00645977">
      <w:pPr>
        <w:widowControl w:val="0"/>
        <w:tabs>
          <w:tab w:val="left" w:pos="1440"/>
        </w:tabs>
        <w:spacing w:after="0" w:line="240" w:lineRule="auto"/>
        <w:contextualSpacing/>
        <w:rPr>
          <w:rFonts w:ascii="Times New Roman" w:hAnsi="Times New Roman"/>
          <w:iCs/>
          <w:lang w:val="sk-SK"/>
        </w:rPr>
      </w:pPr>
      <w:r>
        <w:rPr>
          <w:rFonts w:ascii="Times New Roman" w:hAnsi="Times New Roman"/>
          <w:iCs/>
          <w:lang w:val="sk-SK"/>
        </w:rPr>
        <w:t>14 x 1 tableta</w:t>
      </w:r>
    </w:p>
    <w:p w14:paraId="379F8F94" w14:textId="77777777" w:rsidR="00582954" w:rsidRDefault="00645977">
      <w:pPr>
        <w:widowControl w:val="0"/>
        <w:tabs>
          <w:tab w:val="left" w:pos="1440"/>
        </w:tabs>
        <w:spacing w:after="0" w:line="240" w:lineRule="auto"/>
        <w:contextualSpacing/>
        <w:rPr>
          <w:rFonts w:ascii="Times New Roman" w:hAnsi="Times New Roman"/>
          <w:iCs/>
          <w:highlight w:val="lightGray"/>
          <w:lang w:val="sk-SK"/>
        </w:rPr>
      </w:pPr>
      <w:r>
        <w:rPr>
          <w:rFonts w:ascii="Times New Roman" w:hAnsi="Times New Roman"/>
          <w:iCs/>
          <w:highlight w:val="lightGray"/>
          <w:lang w:val="sk-SK"/>
        </w:rPr>
        <w:t>28 x 1 tableta</w:t>
      </w:r>
    </w:p>
    <w:p w14:paraId="7F53F4C2" w14:textId="77777777" w:rsidR="00582954" w:rsidRDefault="00645977">
      <w:pPr>
        <w:widowControl w:val="0"/>
        <w:tabs>
          <w:tab w:val="left" w:pos="1440"/>
        </w:tabs>
        <w:spacing w:after="0" w:line="240" w:lineRule="auto"/>
        <w:contextualSpacing/>
        <w:rPr>
          <w:rFonts w:ascii="Times New Roman" w:hAnsi="Times New Roman"/>
          <w:iCs/>
          <w:highlight w:val="lightGray"/>
          <w:lang w:val="sk-SK"/>
        </w:rPr>
      </w:pPr>
      <w:r>
        <w:rPr>
          <w:rFonts w:ascii="Times New Roman" w:hAnsi="Times New Roman"/>
          <w:iCs/>
          <w:highlight w:val="lightGray"/>
          <w:lang w:val="sk-SK"/>
        </w:rPr>
        <w:t>30 x 1 tableta</w:t>
      </w:r>
    </w:p>
    <w:p w14:paraId="52E1A811" w14:textId="77777777" w:rsidR="00582954" w:rsidRDefault="00645977">
      <w:pPr>
        <w:widowControl w:val="0"/>
        <w:tabs>
          <w:tab w:val="left" w:pos="1440"/>
        </w:tabs>
        <w:spacing w:after="0" w:line="240" w:lineRule="auto"/>
        <w:contextualSpacing/>
        <w:rPr>
          <w:rFonts w:ascii="Times New Roman" w:hAnsi="Times New Roman"/>
          <w:iCs/>
          <w:highlight w:val="lightGray"/>
          <w:lang w:val="sk-SK"/>
        </w:rPr>
      </w:pPr>
      <w:r>
        <w:rPr>
          <w:rFonts w:ascii="Times New Roman" w:hAnsi="Times New Roman"/>
          <w:iCs/>
          <w:highlight w:val="lightGray"/>
          <w:lang w:val="sk-SK"/>
        </w:rPr>
        <w:t>56 x 1 tableta</w:t>
      </w:r>
    </w:p>
    <w:p w14:paraId="35F97C1A" w14:textId="77777777" w:rsidR="00582954" w:rsidRDefault="00645977">
      <w:pPr>
        <w:widowControl w:val="0"/>
        <w:tabs>
          <w:tab w:val="left" w:pos="1440"/>
        </w:tabs>
        <w:spacing w:after="0" w:line="240" w:lineRule="auto"/>
        <w:contextualSpacing/>
        <w:rPr>
          <w:rFonts w:ascii="Times New Roman" w:hAnsi="Times New Roman"/>
          <w:iCs/>
          <w:highlight w:val="lightGray"/>
          <w:lang w:val="sk-SK"/>
        </w:rPr>
      </w:pPr>
      <w:r>
        <w:rPr>
          <w:rFonts w:ascii="Times New Roman" w:hAnsi="Times New Roman"/>
          <w:iCs/>
          <w:highlight w:val="lightGray"/>
          <w:lang w:val="sk-SK"/>
        </w:rPr>
        <w:t>60 x 1 tableta</w:t>
      </w:r>
    </w:p>
    <w:p w14:paraId="3F1AC8D0" w14:textId="77777777" w:rsidR="00582954" w:rsidRDefault="00645977">
      <w:pPr>
        <w:widowControl w:val="0"/>
        <w:tabs>
          <w:tab w:val="left" w:pos="1440"/>
        </w:tabs>
        <w:spacing w:after="0" w:line="240" w:lineRule="auto"/>
        <w:contextualSpacing/>
        <w:rPr>
          <w:rFonts w:ascii="Times New Roman" w:hAnsi="Times New Roman"/>
          <w:iCs/>
          <w:highlight w:val="lightGray"/>
          <w:lang w:val="sk-SK"/>
        </w:rPr>
      </w:pPr>
      <w:r>
        <w:rPr>
          <w:rFonts w:ascii="Times New Roman" w:hAnsi="Times New Roman"/>
          <w:iCs/>
          <w:highlight w:val="lightGray"/>
          <w:lang w:val="sk-SK"/>
        </w:rPr>
        <w:t>84 x 1 tableta</w:t>
      </w:r>
    </w:p>
    <w:p w14:paraId="0196A577" w14:textId="77777777" w:rsidR="00582954" w:rsidRDefault="00645977">
      <w:pPr>
        <w:widowControl w:val="0"/>
        <w:tabs>
          <w:tab w:val="left" w:pos="1440"/>
        </w:tabs>
        <w:spacing w:after="0" w:line="240" w:lineRule="auto"/>
        <w:contextualSpacing/>
        <w:rPr>
          <w:rFonts w:ascii="Times New Roman" w:hAnsi="Times New Roman"/>
          <w:iCs/>
          <w:highlight w:val="lightGray"/>
          <w:lang w:val="sk-SK"/>
        </w:rPr>
      </w:pPr>
      <w:r>
        <w:rPr>
          <w:rFonts w:ascii="Times New Roman" w:hAnsi="Times New Roman"/>
          <w:iCs/>
          <w:highlight w:val="lightGray"/>
          <w:lang w:val="sk-SK"/>
        </w:rPr>
        <w:t>90 x 1 tableta</w:t>
      </w:r>
    </w:p>
    <w:p w14:paraId="0B5667CD" w14:textId="77777777" w:rsidR="00582954" w:rsidRDefault="00645977">
      <w:pPr>
        <w:widowControl w:val="0"/>
        <w:tabs>
          <w:tab w:val="left" w:pos="1440"/>
        </w:tabs>
        <w:spacing w:after="0" w:line="240" w:lineRule="auto"/>
        <w:contextualSpacing/>
        <w:rPr>
          <w:rFonts w:ascii="Times New Roman" w:hAnsi="Times New Roman"/>
          <w:iCs/>
          <w:highlight w:val="lightGray"/>
          <w:lang w:val="sk-SK"/>
        </w:rPr>
      </w:pPr>
      <w:r>
        <w:rPr>
          <w:rFonts w:ascii="Times New Roman" w:hAnsi="Times New Roman"/>
          <w:iCs/>
          <w:highlight w:val="lightGray"/>
          <w:lang w:val="sk-SK"/>
        </w:rPr>
        <w:t>98 x 1 tableta</w:t>
      </w:r>
    </w:p>
    <w:p w14:paraId="0CD8E557" w14:textId="77777777" w:rsidR="00582954" w:rsidRDefault="00645977">
      <w:pPr>
        <w:widowControl w:val="0"/>
        <w:tabs>
          <w:tab w:val="left" w:pos="1440"/>
        </w:tabs>
        <w:spacing w:after="0" w:line="240" w:lineRule="auto"/>
        <w:contextualSpacing/>
        <w:rPr>
          <w:rFonts w:ascii="Times New Roman" w:hAnsi="Times New Roman"/>
          <w:iCs/>
          <w:highlight w:val="lightGray"/>
          <w:lang w:val="sk-SK"/>
        </w:rPr>
      </w:pPr>
      <w:r>
        <w:rPr>
          <w:rFonts w:ascii="Times New Roman" w:hAnsi="Times New Roman"/>
          <w:iCs/>
          <w:highlight w:val="lightGray"/>
          <w:lang w:val="sk-SK"/>
        </w:rPr>
        <w:t>100 x 1 tableta</w:t>
      </w:r>
    </w:p>
    <w:p w14:paraId="77E2EC9E" w14:textId="77777777" w:rsidR="00582954" w:rsidRDefault="00582954">
      <w:pPr>
        <w:widowControl w:val="0"/>
        <w:spacing w:after="0" w:line="240" w:lineRule="auto"/>
        <w:rPr>
          <w:rFonts w:ascii="Times New Roman" w:hAnsi="Times New Roman"/>
          <w:lang w:val="sk-SK"/>
        </w:rPr>
      </w:pPr>
    </w:p>
    <w:p w14:paraId="579C5FD2" w14:textId="77777777" w:rsidR="00582954" w:rsidRDefault="00582954">
      <w:pPr>
        <w:widowControl w:val="0"/>
        <w:spacing w:after="0" w:line="240" w:lineRule="auto"/>
        <w:rPr>
          <w:rFonts w:ascii="Times New Roman" w:hAnsi="Times New Roman"/>
          <w:lang w:val="sk-SK"/>
        </w:rPr>
      </w:pPr>
    </w:p>
    <w:p w14:paraId="2514EB9C" w14:textId="77777777" w:rsidR="00582954" w:rsidRDefault="00645977">
      <w:pPr>
        <w:widowControl w:val="0"/>
        <w:numPr>
          <w:ilvl w:val="0"/>
          <w:numId w:val="6"/>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k-SK"/>
        </w:rPr>
      </w:pPr>
      <w:r>
        <w:rPr>
          <w:rFonts w:ascii="Times New Roman" w:hAnsi="Times New Roman"/>
          <w:b/>
          <w:lang w:val="sk-SK"/>
        </w:rPr>
        <w:t>SP</w:t>
      </w:r>
      <w:r>
        <w:rPr>
          <w:rFonts w:ascii="Times New Roman" w:hAnsi="Times New Roman"/>
          <w:b/>
          <w:bCs/>
          <w:lang w:val="sk-SK"/>
        </w:rPr>
        <w:t>Ô</w:t>
      </w:r>
      <w:r>
        <w:rPr>
          <w:rFonts w:ascii="Times New Roman" w:hAnsi="Times New Roman"/>
          <w:b/>
          <w:lang w:val="sk-SK"/>
        </w:rPr>
        <w:t>SOB A CESTA (CESTY) PODÁVANIA</w:t>
      </w:r>
    </w:p>
    <w:p w14:paraId="2E9F7DDD" w14:textId="77777777" w:rsidR="00582954" w:rsidRDefault="00582954">
      <w:pPr>
        <w:widowControl w:val="0"/>
        <w:spacing w:after="0" w:line="240" w:lineRule="auto"/>
        <w:rPr>
          <w:rFonts w:ascii="Times New Roman" w:hAnsi="Times New Roman"/>
          <w:lang w:val="sk-SK"/>
        </w:rPr>
      </w:pPr>
    </w:p>
    <w:p w14:paraId="37AC57FC"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Pred použitím si prečítajte písomnú informáciu pre používateľa.</w:t>
      </w:r>
    </w:p>
    <w:p w14:paraId="69B82A13"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Na perorálne použitie.</w:t>
      </w:r>
    </w:p>
    <w:p w14:paraId="5932F856" w14:textId="77777777" w:rsidR="00582954" w:rsidRDefault="00582954">
      <w:pPr>
        <w:widowControl w:val="0"/>
        <w:spacing w:after="0" w:line="240" w:lineRule="auto"/>
        <w:rPr>
          <w:rFonts w:ascii="Times New Roman" w:hAnsi="Times New Roman"/>
          <w:lang w:val="sk-SK"/>
        </w:rPr>
      </w:pPr>
    </w:p>
    <w:p w14:paraId="136DE87E" w14:textId="77777777" w:rsidR="00582954" w:rsidRDefault="00582954">
      <w:pPr>
        <w:widowControl w:val="0"/>
        <w:spacing w:after="0" w:line="240" w:lineRule="auto"/>
        <w:rPr>
          <w:rFonts w:ascii="Times New Roman" w:hAnsi="Times New Roman"/>
          <w:lang w:val="sk-SK"/>
        </w:rPr>
      </w:pPr>
    </w:p>
    <w:p w14:paraId="7A7CD6CD" w14:textId="77777777" w:rsidR="00582954" w:rsidRDefault="00645977">
      <w:pPr>
        <w:widowControl w:val="0"/>
        <w:numPr>
          <w:ilvl w:val="0"/>
          <w:numId w:val="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sk-SK"/>
        </w:rPr>
      </w:pPr>
      <w:r>
        <w:rPr>
          <w:rFonts w:ascii="Times New Roman" w:hAnsi="Times New Roman"/>
          <w:b/>
          <w:lang w:val="sk-SK"/>
        </w:rPr>
        <w:t>ŠPECIÁLNE UPOZORNENIE, ŽE LIEK SA MUSÍ UCHOVÁVAŤ MIMO DOHĽADU A DOSAHU DETÍ</w:t>
      </w:r>
    </w:p>
    <w:p w14:paraId="22497D0C" w14:textId="77777777" w:rsidR="00582954" w:rsidRDefault="00582954">
      <w:pPr>
        <w:widowControl w:val="0"/>
        <w:spacing w:after="0" w:line="240" w:lineRule="auto"/>
        <w:rPr>
          <w:rFonts w:ascii="Times New Roman" w:hAnsi="Times New Roman"/>
          <w:lang w:val="sk-SK"/>
        </w:rPr>
      </w:pPr>
    </w:p>
    <w:p w14:paraId="784EF186"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Uchovávajte mimo dohľadu a dosahu detí.</w:t>
      </w:r>
    </w:p>
    <w:p w14:paraId="07949C6A" w14:textId="77777777" w:rsidR="00582954" w:rsidRDefault="00582954">
      <w:pPr>
        <w:widowControl w:val="0"/>
        <w:spacing w:after="0" w:line="240" w:lineRule="auto"/>
        <w:rPr>
          <w:rFonts w:ascii="Times New Roman" w:hAnsi="Times New Roman"/>
          <w:lang w:val="sk-SK"/>
        </w:rPr>
      </w:pPr>
    </w:p>
    <w:p w14:paraId="6B41565D" w14:textId="77777777" w:rsidR="00582954" w:rsidRDefault="00582954">
      <w:pPr>
        <w:widowControl w:val="0"/>
        <w:spacing w:after="0" w:line="240" w:lineRule="auto"/>
        <w:rPr>
          <w:rFonts w:ascii="Times New Roman" w:hAnsi="Times New Roman"/>
          <w:lang w:val="sk-SK"/>
        </w:rPr>
      </w:pPr>
    </w:p>
    <w:p w14:paraId="449B0F0B" w14:textId="77777777" w:rsidR="00582954" w:rsidRDefault="00645977">
      <w:pPr>
        <w:widowControl w:val="0"/>
        <w:numPr>
          <w:ilvl w:val="0"/>
          <w:numId w:val="6"/>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imes New Roman" w:hAnsi="Times New Roman"/>
          <w:b/>
          <w:lang w:val="sk-SK"/>
        </w:rPr>
      </w:pPr>
      <w:r>
        <w:rPr>
          <w:rFonts w:ascii="Times New Roman" w:hAnsi="Times New Roman"/>
          <w:b/>
          <w:lang w:val="sk-SK"/>
        </w:rPr>
        <w:t>INÉ ŠPECIÁLNE UPOZORNENIE (UPOZORNENIA), AK JE TO POTREBNÉ</w:t>
      </w:r>
    </w:p>
    <w:p w14:paraId="0B9CEA26" w14:textId="77777777" w:rsidR="00582954" w:rsidRDefault="00582954">
      <w:pPr>
        <w:widowControl w:val="0"/>
        <w:spacing w:after="0" w:line="240" w:lineRule="auto"/>
        <w:rPr>
          <w:rFonts w:ascii="Times New Roman" w:hAnsi="Times New Roman"/>
          <w:lang w:val="sk-SK"/>
        </w:rPr>
      </w:pPr>
    </w:p>
    <w:p w14:paraId="1DCF5C6B" w14:textId="77777777" w:rsidR="00582954" w:rsidRDefault="00582954">
      <w:pPr>
        <w:widowControl w:val="0"/>
        <w:spacing w:after="0" w:line="240" w:lineRule="auto"/>
        <w:rPr>
          <w:rFonts w:ascii="Times New Roman" w:hAnsi="Times New Roman"/>
          <w:lang w:val="sk-SK"/>
        </w:rPr>
      </w:pPr>
    </w:p>
    <w:p w14:paraId="37193995" w14:textId="77777777" w:rsidR="00582954" w:rsidRDefault="00645977">
      <w:pPr>
        <w:widowControl w:val="0"/>
        <w:numPr>
          <w:ilvl w:val="0"/>
          <w:numId w:val="6"/>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imes New Roman" w:hAnsi="Times New Roman"/>
          <w:b/>
          <w:lang w:val="sk-SK"/>
        </w:rPr>
      </w:pPr>
      <w:r>
        <w:rPr>
          <w:rFonts w:ascii="Times New Roman" w:hAnsi="Times New Roman"/>
          <w:b/>
          <w:lang w:val="sk-SK"/>
        </w:rPr>
        <w:t>DÁTUM EXSPIRÁCIE</w:t>
      </w:r>
    </w:p>
    <w:p w14:paraId="5DC2D242" w14:textId="77777777" w:rsidR="00582954" w:rsidRDefault="00582954">
      <w:pPr>
        <w:widowControl w:val="0"/>
        <w:spacing w:after="0" w:line="240" w:lineRule="auto"/>
        <w:rPr>
          <w:rFonts w:ascii="Times New Roman" w:hAnsi="Times New Roman"/>
          <w:lang w:val="sk-SK"/>
        </w:rPr>
      </w:pPr>
    </w:p>
    <w:p w14:paraId="1609129C"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EXP</w:t>
      </w:r>
    </w:p>
    <w:p w14:paraId="751B9BF9" w14:textId="77777777" w:rsidR="00582954" w:rsidRDefault="00582954">
      <w:pPr>
        <w:widowControl w:val="0"/>
        <w:spacing w:after="0" w:line="240" w:lineRule="auto"/>
        <w:rPr>
          <w:rFonts w:ascii="Times New Roman" w:hAnsi="Times New Roman"/>
          <w:lang w:val="sk-SK"/>
        </w:rPr>
      </w:pPr>
    </w:p>
    <w:p w14:paraId="3F3B8D3A" w14:textId="77777777" w:rsidR="00582954" w:rsidRDefault="00582954">
      <w:pPr>
        <w:widowControl w:val="0"/>
        <w:spacing w:after="0" w:line="240" w:lineRule="auto"/>
        <w:rPr>
          <w:rFonts w:ascii="Times New Roman" w:hAnsi="Times New Roman"/>
          <w:lang w:val="sk-SK"/>
        </w:rPr>
      </w:pPr>
    </w:p>
    <w:p w14:paraId="6AA5C7F4" w14:textId="77777777" w:rsidR="00582954" w:rsidRDefault="00645977">
      <w:pPr>
        <w:widowControl w:val="0"/>
        <w:numPr>
          <w:ilvl w:val="0"/>
          <w:numId w:val="6"/>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k-SK"/>
        </w:rPr>
      </w:pPr>
      <w:r>
        <w:rPr>
          <w:rFonts w:ascii="Times New Roman" w:hAnsi="Times New Roman"/>
          <w:b/>
          <w:lang w:val="sk-SK"/>
        </w:rPr>
        <w:t>ŠPECIÁLNE PODMIENKY NA UCHOVÁVANIE</w:t>
      </w:r>
    </w:p>
    <w:p w14:paraId="74F4CC54" w14:textId="77777777" w:rsidR="00582954" w:rsidRDefault="00582954">
      <w:pPr>
        <w:widowControl w:val="0"/>
        <w:spacing w:after="0" w:line="240" w:lineRule="auto"/>
        <w:rPr>
          <w:rFonts w:ascii="Times New Roman" w:hAnsi="Times New Roman"/>
          <w:lang w:val="sk-SK"/>
        </w:rPr>
      </w:pPr>
    </w:p>
    <w:p w14:paraId="6E4FB9E9" w14:textId="77777777" w:rsidR="00582954" w:rsidRDefault="00645977">
      <w:pPr>
        <w:widowControl w:val="0"/>
        <w:autoSpaceDE w:val="0"/>
        <w:autoSpaceDN w:val="0"/>
        <w:adjustRightInd w:val="0"/>
        <w:spacing w:after="0" w:line="240" w:lineRule="auto"/>
        <w:rPr>
          <w:rFonts w:ascii="Times New Roman" w:hAnsi="Times New Roman"/>
          <w:color w:val="000000"/>
          <w:lang w:val="sk-SK"/>
        </w:rPr>
      </w:pPr>
      <w:r>
        <w:rPr>
          <w:rFonts w:ascii="Times New Roman" w:hAnsi="Times New Roman"/>
          <w:color w:val="000000"/>
          <w:lang w:val="sk-SK"/>
        </w:rPr>
        <w:t>Uchovávajte v pôvodnom obale na ochranu pred svetlom a vlhkosťou.</w:t>
      </w:r>
    </w:p>
    <w:p w14:paraId="039C022E" w14:textId="77777777" w:rsidR="00582954" w:rsidRDefault="00582954">
      <w:pPr>
        <w:widowControl w:val="0"/>
        <w:spacing w:after="0" w:line="240" w:lineRule="auto"/>
        <w:rPr>
          <w:rFonts w:ascii="Times New Roman" w:hAnsi="Times New Roman"/>
          <w:lang w:val="sk-SK"/>
        </w:rPr>
      </w:pPr>
    </w:p>
    <w:p w14:paraId="130C4CCB" w14:textId="77777777" w:rsidR="00582954" w:rsidRDefault="00582954">
      <w:pPr>
        <w:widowControl w:val="0"/>
        <w:spacing w:after="0" w:line="240" w:lineRule="auto"/>
        <w:rPr>
          <w:rFonts w:ascii="Times New Roman" w:hAnsi="Times New Roman"/>
          <w:lang w:val="sk-SK"/>
        </w:rPr>
      </w:pPr>
    </w:p>
    <w:p w14:paraId="59EAD66B" w14:textId="77777777" w:rsidR="00582954" w:rsidRDefault="00645977">
      <w:pPr>
        <w:widowControl w:val="0"/>
        <w:numPr>
          <w:ilvl w:val="0"/>
          <w:numId w:val="6"/>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k-SK"/>
        </w:rPr>
      </w:pPr>
      <w:r>
        <w:rPr>
          <w:rFonts w:ascii="Times New Roman" w:hAnsi="Times New Roman"/>
          <w:b/>
          <w:lang w:val="sk-SK"/>
        </w:rPr>
        <w:t>ŠPECIÁLNE UPOZORNENIA NA LIKVIDÁCIU NEPOUŽITÝCH LIEKOV ALEBO ODPADOV Z NICH VZNIKNUTÝCH, AK JE TO VHODNÉ</w:t>
      </w:r>
    </w:p>
    <w:p w14:paraId="2130BC70" w14:textId="77777777" w:rsidR="00582954" w:rsidRDefault="00582954">
      <w:pPr>
        <w:widowControl w:val="0"/>
        <w:spacing w:after="0" w:line="240" w:lineRule="auto"/>
        <w:rPr>
          <w:rFonts w:ascii="Times New Roman" w:hAnsi="Times New Roman"/>
          <w:lang w:val="sk-SK"/>
        </w:rPr>
      </w:pPr>
    </w:p>
    <w:p w14:paraId="65B9C7F0" w14:textId="77777777" w:rsidR="00582954" w:rsidRDefault="00582954">
      <w:pPr>
        <w:widowControl w:val="0"/>
        <w:spacing w:after="0" w:line="240" w:lineRule="auto"/>
        <w:rPr>
          <w:rFonts w:ascii="Times New Roman" w:hAnsi="Times New Roman"/>
          <w:lang w:val="sk-SK"/>
        </w:rPr>
      </w:pPr>
    </w:p>
    <w:p w14:paraId="23382552" w14:textId="77777777" w:rsidR="00582954" w:rsidRDefault="00645977">
      <w:pPr>
        <w:widowControl w:val="0"/>
        <w:numPr>
          <w:ilvl w:val="0"/>
          <w:numId w:val="6"/>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k-SK"/>
        </w:rPr>
      </w:pPr>
      <w:r>
        <w:rPr>
          <w:rFonts w:ascii="Times New Roman" w:hAnsi="Times New Roman"/>
          <w:b/>
          <w:lang w:val="sk-SK"/>
        </w:rPr>
        <w:t>NÁZOV A ADRESA DRŽITEĽA ROZHODNUTIA O REGISTRÁCII</w:t>
      </w:r>
    </w:p>
    <w:p w14:paraId="3BFC7A2E" w14:textId="77777777" w:rsidR="00582954" w:rsidRDefault="00582954">
      <w:pPr>
        <w:widowControl w:val="0"/>
        <w:spacing w:after="0" w:line="240" w:lineRule="auto"/>
        <w:jc w:val="both"/>
        <w:rPr>
          <w:rFonts w:ascii="Times New Roman" w:hAnsi="Times New Roman"/>
          <w:lang w:val="sk-SK"/>
        </w:rPr>
      </w:pPr>
    </w:p>
    <w:p w14:paraId="5FE803CF" w14:textId="77777777" w:rsidR="00582954" w:rsidRDefault="00645977">
      <w:pPr>
        <w:widowControl w:val="0"/>
        <w:spacing w:after="0" w:line="240" w:lineRule="auto"/>
        <w:jc w:val="both"/>
        <w:rPr>
          <w:rFonts w:ascii="Times New Roman" w:hAnsi="Times New Roman"/>
          <w:lang w:val="sk-SK"/>
        </w:rPr>
      </w:pPr>
      <w:r>
        <w:rPr>
          <w:rFonts w:ascii="Times New Roman" w:hAnsi="Times New Roman"/>
          <w:lang w:val="sk-SK"/>
        </w:rPr>
        <w:t>KRKA, d.d., Novo mesto, Šmarješka cesta 6, 8501 Novo mesto, Slovinsko</w:t>
      </w:r>
    </w:p>
    <w:p w14:paraId="62E718E1" w14:textId="77777777" w:rsidR="00582954" w:rsidRDefault="00582954">
      <w:pPr>
        <w:widowControl w:val="0"/>
        <w:spacing w:after="0" w:line="240" w:lineRule="auto"/>
        <w:rPr>
          <w:rFonts w:ascii="Times New Roman" w:hAnsi="Times New Roman"/>
          <w:lang w:val="sk-SK"/>
        </w:rPr>
      </w:pPr>
    </w:p>
    <w:p w14:paraId="56B2532B" w14:textId="77777777" w:rsidR="00582954" w:rsidRDefault="00582954">
      <w:pPr>
        <w:widowControl w:val="0"/>
        <w:spacing w:after="0" w:line="240" w:lineRule="auto"/>
        <w:rPr>
          <w:rFonts w:ascii="Times New Roman" w:hAnsi="Times New Roman"/>
          <w:lang w:val="sk-SK"/>
        </w:rPr>
      </w:pPr>
    </w:p>
    <w:p w14:paraId="122D73E3" w14:textId="77777777" w:rsidR="00582954" w:rsidRDefault="00645977">
      <w:pPr>
        <w:widowControl w:val="0"/>
        <w:numPr>
          <w:ilvl w:val="0"/>
          <w:numId w:val="6"/>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k-SK"/>
        </w:rPr>
      </w:pPr>
      <w:r>
        <w:rPr>
          <w:rFonts w:ascii="Times New Roman" w:hAnsi="Times New Roman"/>
          <w:b/>
          <w:lang w:val="sk-SK"/>
        </w:rPr>
        <w:t>REGISTRAČNÉ ČÍSLA</w:t>
      </w:r>
    </w:p>
    <w:p w14:paraId="74C38814" w14:textId="77777777" w:rsidR="00582954" w:rsidRDefault="00582954">
      <w:pPr>
        <w:widowControl w:val="0"/>
        <w:spacing w:after="0" w:line="240" w:lineRule="auto"/>
        <w:rPr>
          <w:rFonts w:ascii="Times New Roman" w:hAnsi="Times New Roman"/>
          <w:lang w:val="sk-SK"/>
        </w:rPr>
      </w:pPr>
    </w:p>
    <w:p w14:paraId="0C486573"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EU/1/13/821/023</w:t>
      </w:r>
    </w:p>
    <w:p w14:paraId="50689BC2" w14:textId="77777777" w:rsidR="00582954" w:rsidRDefault="00645977">
      <w:pPr>
        <w:widowControl w:val="0"/>
        <w:spacing w:after="0" w:line="240" w:lineRule="auto"/>
        <w:rPr>
          <w:rFonts w:ascii="Times New Roman" w:hAnsi="Times New Roman"/>
          <w:highlight w:val="lightGray"/>
          <w:lang w:val="sk-SK"/>
        </w:rPr>
      </w:pPr>
      <w:r>
        <w:rPr>
          <w:rFonts w:ascii="Times New Roman" w:hAnsi="Times New Roman"/>
          <w:highlight w:val="lightGray"/>
          <w:lang w:val="sk-SK"/>
        </w:rPr>
        <w:t>EU/1/13/821/024</w:t>
      </w:r>
    </w:p>
    <w:p w14:paraId="582C370B" w14:textId="77777777" w:rsidR="00582954" w:rsidRDefault="00645977">
      <w:pPr>
        <w:widowControl w:val="0"/>
        <w:spacing w:after="0" w:line="240" w:lineRule="auto"/>
        <w:rPr>
          <w:rFonts w:ascii="Times New Roman" w:hAnsi="Times New Roman"/>
          <w:highlight w:val="lightGray"/>
          <w:lang w:val="sk-SK"/>
        </w:rPr>
      </w:pPr>
      <w:r>
        <w:rPr>
          <w:rFonts w:ascii="Times New Roman" w:hAnsi="Times New Roman"/>
          <w:highlight w:val="lightGray"/>
          <w:lang w:val="sk-SK"/>
        </w:rPr>
        <w:t>EU/1/13/821/025</w:t>
      </w:r>
    </w:p>
    <w:p w14:paraId="33488B78" w14:textId="77777777" w:rsidR="00582954" w:rsidRDefault="00645977">
      <w:pPr>
        <w:widowControl w:val="0"/>
        <w:spacing w:after="0" w:line="240" w:lineRule="auto"/>
        <w:rPr>
          <w:rFonts w:ascii="Times New Roman" w:hAnsi="Times New Roman"/>
          <w:highlight w:val="lightGray"/>
          <w:lang w:val="sk-SK"/>
        </w:rPr>
      </w:pPr>
      <w:r>
        <w:rPr>
          <w:rFonts w:ascii="Times New Roman" w:hAnsi="Times New Roman"/>
          <w:highlight w:val="lightGray"/>
          <w:lang w:val="sk-SK"/>
        </w:rPr>
        <w:t>EU/1/13/821/026</w:t>
      </w:r>
    </w:p>
    <w:p w14:paraId="011B58B5" w14:textId="77777777" w:rsidR="00582954" w:rsidRDefault="00645977">
      <w:pPr>
        <w:widowControl w:val="0"/>
        <w:spacing w:after="0" w:line="240" w:lineRule="auto"/>
        <w:rPr>
          <w:rFonts w:ascii="Times New Roman" w:hAnsi="Times New Roman"/>
          <w:highlight w:val="lightGray"/>
          <w:lang w:val="sk-SK"/>
        </w:rPr>
      </w:pPr>
      <w:r>
        <w:rPr>
          <w:rFonts w:ascii="Times New Roman" w:hAnsi="Times New Roman"/>
          <w:highlight w:val="lightGray"/>
          <w:lang w:val="sk-SK"/>
        </w:rPr>
        <w:t>EU/1/13/821/027</w:t>
      </w:r>
    </w:p>
    <w:p w14:paraId="1126D0A1" w14:textId="77777777" w:rsidR="00582954" w:rsidRDefault="00645977">
      <w:pPr>
        <w:widowControl w:val="0"/>
        <w:spacing w:after="0" w:line="240" w:lineRule="auto"/>
        <w:rPr>
          <w:rFonts w:ascii="Times New Roman" w:hAnsi="Times New Roman"/>
          <w:highlight w:val="lightGray"/>
          <w:lang w:val="sk-SK"/>
        </w:rPr>
      </w:pPr>
      <w:r>
        <w:rPr>
          <w:rFonts w:ascii="Times New Roman" w:hAnsi="Times New Roman"/>
          <w:highlight w:val="lightGray"/>
          <w:lang w:val="sk-SK"/>
        </w:rPr>
        <w:t>EU/1/13/821/028</w:t>
      </w:r>
    </w:p>
    <w:p w14:paraId="191E5ECC" w14:textId="77777777" w:rsidR="00582954" w:rsidRDefault="00645977">
      <w:pPr>
        <w:widowControl w:val="0"/>
        <w:spacing w:after="0" w:line="240" w:lineRule="auto"/>
        <w:rPr>
          <w:rFonts w:ascii="Times New Roman" w:hAnsi="Times New Roman"/>
          <w:highlight w:val="lightGray"/>
          <w:lang w:val="sk-SK"/>
        </w:rPr>
      </w:pPr>
      <w:r>
        <w:rPr>
          <w:rFonts w:ascii="Times New Roman" w:hAnsi="Times New Roman"/>
          <w:highlight w:val="lightGray"/>
          <w:lang w:val="sk-SK"/>
        </w:rPr>
        <w:t>EU/1/13/821/029</w:t>
      </w:r>
    </w:p>
    <w:p w14:paraId="3D2780D4" w14:textId="77777777" w:rsidR="00582954" w:rsidRDefault="00645977">
      <w:pPr>
        <w:widowControl w:val="0"/>
        <w:spacing w:after="0" w:line="240" w:lineRule="auto"/>
        <w:rPr>
          <w:rFonts w:ascii="Times New Roman" w:hAnsi="Times New Roman"/>
          <w:lang w:val="sk-SK"/>
        </w:rPr>
      </w:pPr>
      <w:r>
        <w:rPr>
          <w:rFonts w:ascii="Times New Roman" w:hAnsi="Times New Roman"/>
          <w:highlight w:val="lightGray"/>
          <w:lang w:val="sk-SK"/>
        </w:rPr>
        <w:t>EU/1/13/821/030</w:t>
      </w:r>
    </w:p>
    <w:p w14:paraId="2F861680" w14:textId="77777777" w:rsidR="00582954" w:rsidRDefault="00645977">
      <w:pPr>
        <w:widowControl w:val="0"/>
        <w:spacing w:after="0" w:line="240" w:lineRule="auto"/>
        <w:rPr>
          <w:rFonts w:ascii="Times New Roman" w:hAnsi="Times New Roman"/>
          <w:lang w:val="sk-SK"/>
        </w:rPr>
      </w:pPr>
      <w:r>
        <w:rPr>
          <w:rFonts w:ascii="Times New Roman" w:hAnsi="Times New Roman"/>
          <w:highlight w:val="lightGray"/>
          <w:lang w:val="sk-SK"/>
        </w:rPr>
        <w:t>EU/1/13/821/033</w:t>
      </w:r>
    </w:p>
    <w:p w14:paraId="461A079D" w14:textId="77777777" w:rsidR="00582954" w:rsidRDefault="00582954">
      <w:pPr>
        <w:widowControl w:val="0"/>
        <w:spacing w:after="0" w:line="240" w:lineRule="auto"/>
        <w:rPr>
          <w:rFonts w:ascii="Times New Roman" w:hAnsi="Times New Roman"/>
          <w:noProof/>
          <w:lang w:val="sk-SK"/>
        </w:rPr>
      </w:pPr>
    </w:p>
    <w:p w14:paraId="6FA2E714" w14:textId="77777777" w:rsidR="00582954" w:rsidRDefault="00582954">
      <w:pPr>
        <w:widowControl w:val="0"/>
        <w:spacing w:after="0" w:line="240" w:lineRule="auto"/>
        <w:rPr>
          <w:rFonts w:ascii="Times New Roman" w:hAnsi="Times New Roman"/>
          <w:noProof/>
          <w:lang w:val="sk-SK"/>
        </w:rPr>
      </w:pPr>
    </w:p>
    <w:p w14:paraId="5787CA53" w14:textId="77777777" w:rsidR="00582954" w:rsidRDefault="00645977">
      <w:pPr>
        <w:widowControl w:val="0"/>
        <w:numPr>
          <w:ilvl w:val="0"/>
          <w:numId w:val="6"/>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k-SK"/>
        </w:rPr>
      </w:pPr>
      <w:r>
        <w:rPr>
          <w:rFonts w:ascii="Times New Roman" w:hAnsi="Times New Roman"/>
          <w:b/>
          <w:lang w:val="sk-SK"/>
        </w:rPr>
        <w:t>ČÍSLO VÝROBNEJ ŠARŽE</w:t>
      </w:r>
    </w:p>
    <w:p w14:paraId="0F69A6E6" w14:textId="77777777" w:rsidR="00582954" w:rsidRDefault="00582954">
      <w:pPr>
        <w:widowControl w:val="0"/>
        <w:spacing w:after="0" w:line="240" w:lineRule="auto"/>
        <w:rPr>
          <w:rFonts w:ascii="Times New Roman" w:hAnsi="Times New Roman"/>
          <w:lang w:val="sk-SK"/>
        </w:rPr>
      </w:pPr>
    </w:p>
    <w:p w14:paraId="633489BD"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Lot</w:t>
      </w:r>
    </w:p>
    <w:p w14:paraId="7194FCBC" w14:textId="77777777" w:rsidR="00582954" w:rsidRDefault="00582954">
      <w:pPr>
        <w:widowControl w:val="0"/>
        <w:spacing w:after="0" w:line="240" w:lineRule="auto"/>
        <w:rPr>
          <w:rFonts w:ascii="Times New Roman" w:hAnsi="Times New Roman"/>
          <w:lang w:val="sk-SK"/>
        </w:rPr>
      </w:pPr>
    </w:p>
    <w:p w14:paraId="7BB0B9C5" w14:textId="77777777" w:rsidR="00582954" w:rsidRDefault="00582954">
      <w:pPr>
        <w:widowControl w:val="0"/>
        <w:spacing w:after="0" w:line="240" w:lineRule="auto"/>
        <w:rPr>
          <w:rFonts w:ascii="Times New Roman" w:hAnsi="Times New Roman"/>
          <w:lang w:val="sk-SK"/>
        </w:rPr>
      </w:pPr>
    </w:p>
    <w:p w14:paraId="45D3B5F9" w14:textId="77777777" w:rsidR="00582954" w:rsidRDefault="00645977">
      <w:pPr>
        <w:widowControl w:val="0"/>
        <w:numPr>
          <w:ilvl w:val="0"/>
          <w:numId w:val="6"/>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sk-SK"/>
        </w:rPr>
      </w:pPr>
      <w:r>
        <w:rPr>
          <w:rFonts w:ascii="Times New Roman" w:hAnsi="Times New Roman"/>
          <w:b/>
          <w:lang w:val="sk-SK"/>
        </w:rPr>
        <w:t>ZATRIEDENIE LIEKU PODĽA SP</w:t>
      </w:r>
      <w:r>
        <w:rPr>
          <w:rFonts w:ascii="Times New Roman" w:hAnsi="Times New Roman"/>
          <w:b/>
          <w:bCs/>
          <w:lang w:val="sk-SK"/>
        </w:rPr>
        <w:t>ÔSOBU VÝDAJA</w:t>
      </w:r>
    </w:p>
    <w:p w14:paraId="65F8F197" w14:textId="77777777" w:rsidR="00582954" w:rsidRDefault="00582954">
      <w:pPr>
        <w:widowControl w:val="0"/>
        <w:spacing w:after="0" w:line="240" w:lineRule="auto"/>
        <w:rPr>
          <w:rFonts w:ascii="Times New Roman" w:hAnsi="Times New Roman"/>
          <w:lang w:val="sk-SK"/>
        </w:rPr>
      </w:pPr>
    </w:p>
    <w:p w14:paraId="1A59096C" w14:textId="77777777" w:rsidR="00582954" w:rsidRDefault="00582954">
      <w:pPr>
        <w:widowControl w:val="0"/>
        <w:spacing w:after="0" w:line="240" w:lineRule="auto"/>
        <w:rPr>
          <w:rFonts w:ascii="Times New Roman" w:hAnsi="Times New Roman"/>
          <w:lang w:val="sk-SK"/>
        </w:rPr>
      </w:pPr>
    </w:p>
    <w:p w14:paraId="64CB265C" w14:textId="77777777" w:rsidR="00582954" w:rsidRDefault="00645977">
      <w:pPr>
        <w:widowControl w:val="0"/>
        <w:numPr>
          <w:ilvl w:val="0"/>
          <w:numId w:val="6"/>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k-SK"/>
        </w:rPr>
      </w:pPr>
      <w:r>
        <w:rPr>
          <w:rFonts w:ascii="Times New Roman" w:hAnsi="Times New Roman"/>
          <w:b/>
          <w:lang w:val="sk-SK"/>
        </w:rPr>
        <w:t>POKYNY NA POUŽITIE</w:t>
      </w:r>
    </w:p>
    <w:p w14:paraId="608B851D" w14:textId="77777777" w:rsidR="00582954" w:rsidRDefault="00582954">
      <w:pPr>
        <w:widowControl w:val="0"/>
        <w:spacing w:after="0" w:line="240" w:lineRule="auto"/>
        <w:rPr>
          <w:rFonts w:ascii="Times New Roman" w:hAnsi="Times New Roman"/>
          <w:lang w:val="sk-SK"/>
        </w:rPr>
      </w:pPr>
    </w:p>
    <w:p w14:paraId="637EA6BD" w14:textId="77777777" w:rsidR="00582954" w:rsidRDefault="00582954">
      <w:pPr>
        <w:widowControl w:val="0"/>
        <w:spacing w:after="0" w:line="240" w:lineRule="auto"/>
        <w:rPr>
          <w:rFonts w:ascii="Times New Roman" w:hAnsi="Times New Roman"/>
          <w:lang w:val="sk-SK"/>
        </w:rPr>
      </w:pPr>
    </w:p>
    <w:p w14:paraId="0CCF8E82" w14:textId="77777777" w:rsidR="00582954" w:rsidRDefault="00645977">
      <w:pPr>
        <w:widowControl w:val="0"/>
        <w:numPr>
          <w:ilvl w:val="0"/>
          <w:numId w:val="6"/>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k-SK"/>
        </w:rPr>
      </w:pPr>
      <w:r>
        <w:rPr>
          <w:rFonts w:ascii="Times New Roman" w:hAnsi="Times New Roman"/>
          <w:b/>
          <w:lang w:val="sk-SK"/>
        </w:rPr>
        <w:t>INFORMÁCIE V BRAILLOVOM PÍSME</w:t>
      </w:r>
    </w:p>
    <w:p w14:paraId="119ACFA5" w14:textId="77777777" w:rsidR="00582954" w:rsidRDefault="00582954">
      <w:pPr>
        <w:widowControl w:val="0"/>
        <w:spacing w:after="0" w:line="240" w:lineRule="auto"/>
        <w:rPr>
          <w:rFonts w:ascii="Times New Roman" w:hAnsi="Times New Roman"/>
          <w:lang w:val="sk-SK"/>
        </w:rPr>
      </w:pPr>
    </w:p>
    <w:p w14:paraId="7B1CAC2D"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Tolucombi 80 mg/25 mg</w:t>
      </w:r>
    </w:p>
    <w:p w14:paraId="1606463E" w14:textId="77777777" w:rsidR="00582954" w:rsidRDefault="00582954">
      <w:pPr>
        <w:widowControl w:val="0"/>
        <w:tabs>
          <w:tab w:val="left" w:pos="0"/>
        </w:tabs>
        <w:spacing w:after="0" w:line="240" w:lineRule="auto"/>
        <w:rPr>
          <w:rFonts w:ascii="Times New Roman" w:eastAsia="Times New Roman" w:hAnsi="Times New Roman"/>
          <w:noProof/>
          <w:lang w:val="pl-PL"/>
        </w:rPr>
      </w:pPr>
    </w:p>
    <w:p w14:paraId="09C170CC" w14:textId="77777777" w:rsidR="00582954" w:rsidRDefault="00582954">
      <w:pPr>
        <w:widowControl w:val="0"/>
        <w:tabs>
          <w:tab w:val="left" w:pos="567"/>
        </w:tabs>
        <w:spacing w:after="0" w:line="240" w:lineRule="auto"/>
        <w:ind w:left="567" w:hanging="567"/>
        <w:rPr>
          <w:rFonts w:ascii="Times New Roman" w:eastAsia="Times New Roman" w:hAnsi="Times New Roman"/>
          <w:szCs w:val="20"/>
          <w:lang w:val="sk-SK" w:eastAsia="sk-SK"/>
        </w:rPr>
      </w:pPr>
    </w:p>
    <w:p w14:paraId="5D110565" w14:textId="77777777" w:rsidR="00582954" w:rsidRDefault="0064597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szCs w:val="20"/>
          <w:lang w:val="sk-SK"/>
        </w:rPr>
      </w:pPr>
      <w:r>
        <w:rPr>
          <w:rFonts w:ascii="Times New Roman" w:eastAsia="Times New Roman" w:hAnsi="Times New Roman"/>
          <w:b/>
          <w:noProof/>
          <w:szCs w:val="20"/>
          <w:lang w:val="sk-SK"/>
        </w:rPr>
        <w:t>17.</w:t>
      </w:r>
      <w:r>
        <w:rPr>
          <w:rFonts w:ascii="Times New Roman" w:eastAsia="Times New Roman" w:hAnsi="Times New Roman"/>
          <w:b/>
          <w:noProof/>
          <w:szCs w:val="20"/>
          <w:lang w:val="sk-SK"/>
        </w:rPr>
        <w:tab/>
        <w:t>ŠPECIFICKÝ IDENTIFIKÁTOR – DVOJROZMERNÝ ČIAROVÝ KÓD</w:t>
      </w:r>
    </w:p>
    <w:p w14:paraId="7108D1E0" w14:textId="77777777" w:rsidR="00582954" w:rsidRDefault="00582954">
      <w:pPr>
        <w:widowControl w:val="0"/>
        <w:tabs>
          <w:tab w:val="left" w:pos="567"/>
        </w:tabs>
        <w:spacing w:after="0" w:line="240" w:lineRule="auto"/>
        <w:rPr>
          <w:rFonts w:ascii="Times New Roman" w:eastAsia="Times New Roman" w:hAnsi="Times New Roman"/>
          <w:noProof/>
          <w:szCs w:val="20"/>
          <w:lang w:val="sk-SK"/>
        </w:rPr>
      </w:pPr>
    </w:p>
    <w:p w14:paraId="7A686493" w14:textId="77777777" w:rsidR="00582954" w:rsidRDefault="00645977">
      <w:pPr>
        <w:widowControl w:val="0"/>
        <w:tabs>
          <w:tab w:val="left" w:pos="567"/>
        </w:tabs>
        <w:spacing w:after="0" w:line="240" w:lineRule="auto"/>
        <w:rPr>
          <w:rFonts w:ascii="Times New Roman" w:eastAsia="Times New Roman" w:hAnsi="Times New Roman"/>
          <w:noProof/>
          <w:szCs w:val="20"/>
          <w:shd w:val="clear" w:color="auto" w:fill="CCCCCC"/>
          <w:lang w:val="sk-SK"/>
        </w:rPr>
      </w:pPr>
      <w:r>
        <w:rPr>
          <w:rFonts w:ascii="Times New Roman" w:eastAsia="Times New Roman" w:hAnsi="Times New Roman"/>
          <w:noProof/>
          <w:szCs w:val="20"/>
          <w:highlight w:val="lightGray"/>
          <w:lang w:val="sk-SK"/>
        </w:rPr>
        <w:t>Dvojrozmerný čiarový kód so špecifickým identifikátorom.</w:t>
      </w:r>
    </w:p>
    <w:p w14:paraId="11E75251" w14:textId="77777777" w:rsidR="00582954" w:rsidRDefault="00582954">
      <w:pPr>
        <w:widowControl w:val="0"/>
        <w:tabs>
          <w:tab w:val="left" w:pos="567"/>
        </w:tabs>
        <w:spacing w:after="0" w:line="240" w:lineRule="auto"/>
        <w:rPr>
          <w:rFonts w:ascii="Times New Roman" w:eastAsia="Times New Roman" w:hAnsi="Times New Roman"/>
          <w:b/>
          <w:noProof/>
          <w:szCs w:val="20"/>
          <w:u w:val="single"/>
          <w:lang w:val="sk-SK"/>
        </w:rPr>
      </w:pPr>
    </w:p>
    <w:p w14:paraId="724DAB17" w14:textId="77777777" w:rsidR="00582954" w:rsidRDefault="00582954">
      <w:pPr>
        <w:widowControl w:val="0"/>
        <w:tabs>
          <w:tab w:val="left" w:pos="567"/>
        </w:tabs>
        <w:spacing w:after="0" w:line="240" w:lineRule="auto"/>
        <w:rPr>
          <w:rFonts w:ascii="Times New Roman" w:eastAsia="Times New Roman" w:hAnsi="Times New Roman"/>
          <w:b/>
          <w:noProof/>
          <w:szCs w:val="20"/>
          <w:u w:val="single"/>
          <w:lang w:val="sk-SK"/>
        </w:rPr>
      </w:pPr>
    </w:p>
    <w:p w14:paraId="28A97E01" w14:textId="77777777" w:rsidR="00582954" w:rsidRDefault="0064597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noProof/>
          <w:szCs w:val="20"/>
          <w:lang w:val="sk-SK"/>
        </w:rPr>
      </w:pPr>
      <w:r>
        <w:rPr>
          <w:rFonts w:ascii="Times New Roman" w:eastAsia="Times New Roman" w:hAnsi="Times New Roman"/>
          <w:b/>
          <w:noProof/>
          <w:szCs w:val="20"/>
          <w:lang w:val="sk-SK"/>
        </w:rPr>
        <w:t>18.</w:t>
      </w:r>
      <w:r>
        <w:rPr>
          <w:rFonts w:ascii="Times New Roman" w:eastAsia="Times New Roman" w:hAnsi="Times New Roman"/>
          <w:b/>
          <w:noProof/>
          <w:szCs w:val="20"/>
          <w:lang w:val="sk-SK"/>
        </w:rPr>
        <w:tab/>
        <w:t>ŠPECIFICKÝ IDENTIFIKÁTOR – ÚDAJE ČITATEĽNÉ ĽUDSKÝM OKOM</w:t>
      </w:r>
    </w:p>
    <w:p w14:paraId="0953AE87" w14:textId="77777777" w:rsidR="00582954" w:rsidRDefault="00582954">
      <w:pPr>
        <w:widowControl w:val="0"/>
        <w:tabs>
          <w:tab w:val="left" w:pos="567"/>
        </w:tabs>
        <w:spacing w:after="0" w:line="240" w:lineRule="auto"/>
        <w:rPr>
          <w:rFonts w:ascii="Times New Roman" w:eastAsia="Times New Roman" w:hAnsi="Times New Roman"/>
          <w:szCs w:val="20"/>
          <w:lang w:val="sk-SK"/>
        </w:rPr>
      </w:pPr>
    </w:p>
    <w:p w14:paraId="6A5B336D" w14:textId="77777777" w:rsidR="00582954" w:rsidRPr="00FA378D" w:rsidRDefault="00645977">
      <w:pPr>
        <w:widowControl w:val="0"/>
        <w:tabs>
          <w:tab w:val="left" w:pos="567"/>
        </w:tabs>
        <w:spacing w:after="0" w:line="240" w:lineRule="auto"/>
        <w:rPr>
          <w:rFonts w:ascii="Times New Roman" w:eastAsia="Times New Roman" w:hAnsi="Times New Roman"/>
          <w:szCs w:val="20"/>
          <w:lang w:val="sk-SK"/>
        </w:rPr>
      </w:pPr>
      <w:r w:rsidRPr="00FA378D">
        <w:rPr>
          <w:rFonts w:ascii="Times New Roman" w:eastAsia="Times New Roman" w:hAnsi="Times New Roman"/>
          <w:szCs w:val="20"/>
          <w:lang w:val="sk-SK"/>
        </w:rPr>
        <w:lastRenderedPageBreak/>
        <w:t>PC</w:t>
      </w:r>
    </w:p>
    <w:p w14:paraId="47D0DA41" w14:textId="77777777" w:rsidR="00582954" w:rsidRPr="00FA378D" w:rsidRDefault="00645977" w:rsidP="00FA378D">
      <w:pPr>
        <w:spacing w:after="0" w:line="240" w:lineRule="auto"/>
        <w:rPr>
          <w:rFonts w:ascii="Times New Roman" w:hAnsi="Times New Roman"/>
          <w:lang w:val="sk-SK"/>
        </w:rPr>
      </w:pPr>
      <w:r w:rsidRPr="00FA378D">
        <w:rPr>
          <w:rFonts w:ascii="Times New Roman" w:hAnsi="Times New Roman"/>
          <w:lang w:val="sk-SK"/>
        </w:rPr>
        <w:t>SN</w:t>
      </w:r>
    </w:p>
    <w:p w14:paraId="3251BA8B" w14:textId="77777777" w:rsidR="00582954" w:rsidRDefault="00582954" w:rsidP="00FA378D">
      <w:pPr>
        <w:rPr>
          <w:noProof/>
          <w:lang w:val="sk-SK"/>
        </w:rPr>
      </w:pPr>
    </w:p>
    <w:p w14:paraId="046E328D" w14:textId="77777777" w:rsidR="00582954" w:rsidRDefault="00645977" w:rsidP="00FA378D">
      <w:pPr>
        <w:widowControl w:val="0"/>
        <w:pBdr>
          <w:top w:val="single" w:sz="4" w:space="1" w:color="auto"/>
          <w:left w:val="single" w:sz="4" w:space="1" w:color="auto"/>
          <w:bottom w:val="single" w:sz="4" w:space="1" w:color="auto"/>
          <w:right w:val="single" w:sz="4" w:space="4" w:color="auto"/>
        </w:pBdr>
        <w:spacing w:after="0" w:line="240" w:lineRule="auto"/>
        <w:rPr>
          <w:rFonts w:ascii="Times New Roman" w:hAnsi="Times New Roman"/>
          <w:b/>
          <w:lang w:val="sk-SK"/>
        </w:rPr>
      </w:pPr>
      <w:r>
        <w:rPr>
          <w:rFonts w:ascii="Times New Roman" w:hAnsi="Times New Roman"/>
          <w:lang w:val="sk-SK"/>
        </w:rPr>
        <w:br w:type="page"/>
      </w:r>
      <w:r>
        <w:rPr>
          <w:rFonts w:ascii="Times New Roman" w:hAnsi="Times New Roman"/>
          <w:b/>
          <w:lang w:val="sk-SK"/>
        </w:rPr>
        <w:lastRenderedPageBreak/>
        <w:t>MINIMÁLNE ÚDAJE, KTORÉ MAJÚ BYŤ UVEDENÉ NA BLISTROCH ALEBO STRIPOCH</w:t>
      </w:r>
    </w:p>
    <w:p w14:paraId="12960CB7" w14:textId="77777777" w:rsidR="00582954" w:rsidRDefault="00582954" w:rsidP="00FA378D">
      <w:pPr>
        <w:widowControl w:val="0"/>
        <w:pBdr>
          <w:top w:val="single" w:sz="4" w:space="1" w:color="auto"/>
          <w:left w:val="single" w:sz="4" w:space="1" w:color="auto"/>
          <w:bottom w:val="single" w:sz="4" w:space="1" w:color="auto"/>
          <w:right w:val="single" w:sz="4" w:space="4" w:color="auto"/>
        </w:pBdr>
        <w:spacing w:after="0" w:line="240" w:lineRule="auto"/>
        <w:rPr>
          <w:rFonts w:ascii="Times New Roman" w:hAnsi="Times New Roman"/>
          <w:b/>
          <w:lang w:val="sk-SK"/>
        </w:rPr>
      </w:pPr>
    </w:p>
    <w:p w14:paraId="21727284" w14:textId="77777777" w:rsidR="00582954" w:rsidRDefault="00645977" w:rsidP="00FA378D">
      <w:pPr>
        <w:widowControl w:val="0"/>
        <w:pBdr>
          <w:top w:val="single" w:sz="4" w:space="1" w:color="auto"/>
          <w:left w:val="single" w:sz="4" w:space="1" w:color="auto"/>
          <w:bottom w:val="single" w:sz="4" w:space="1" w:color="auto"/>
          <w:right w:val="single" w:sz="4" w:space="4" w:color="auto"/>
        </w:pBdr>
        <w:spacing w:after="0" w:line="240" w:lineRule="auto"/>
        <w:rPr>
          <w:rFonts w:ascii="Times New Roman" w:hAnsi="Times New Roman"/>
          <w:b/>
          <w:lang w:val="sk-SK"/>
        </w:rPr>
      </w:pPr>
      <w:r>
        <w:rPr>
          <w:rFonts w:ascii="Times New Roman" w:hAnsi="Times New Roman"/>
          <w:b/>
          <w:lang w:val="sk-SK"/>
        </w:rPr>
        <w:t>BLISTER</w:t>
      </w:r>
    </w:p>
    <w:p w14:paraId="3EA007F9" w14:textId="77777777" w:rsidR="00582954" w:rsidRDefault="00582954">
      <w:pPr>
        <w:widowControl w:val="0"/>
        <w:spacing w:after="0" w:line="240" w:lineRule="auto"/>
        <w:rPr>
          <w:rFonts w:ascii="Times New Roman" w:hAnsi="Times New Roman"/>
          <w:lang w:val="sk-SK"/>
        </w:rPr>
      </w:pPr>
    </w:p>
    <w:p w14:paraId="1C5EA304" w14:textId="77777777" w:rsidR="00582954" w:rsidRDefault="00582954">
      <w:pPr>
        <w:widowControl w:val="0"/>
        <w:spacing w:after="0" w:line="240" w:lineRule="auto"/>
        <w:rPr>
          <w:rFonts w:ascii="Times New Roman" w:hAnsi="Times New Roman"/>
          <w:lang w:val="sk-SK"/>
        </w:rPr>
      </w:pPr>
    </w:p>
    <w:p w14:paraId="75A095D5" w14:textId="77777777" w:rsidR="00582954" w:rsidRDefault="00645977">
      <w:pPr>
        <w:widowControl w:val="0"/>
        <w:numPr>
          <w:ilvl w:val="0"/>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imes New Roman" w:hAnsi="Times New Roman"/>
          <w:b/>
          <w:lang w:val="sk-SK"/>
        </w:rPr>
      </w:pPr>
      <w:r>
        <w:rPr>
          <w:rFonts w:ascii="Times New Roman" w:hAnsi="Times New Roman"/>
          <w:b/>
          <w:lang w:val="sk-SK"/>
        </w:rPr>
        <w:t>NÁZOV LIEKU</w:t>
      </w:r>
    </w:p>
    <w:p w14:paraId="2CA1143A" w14:textId="77777777" w:rsidR="00582954" w:rsidRDefault="00582954">
      <w:pPr>
        <w:widowControl w:val="0"/>
        <w:spacing w:after="0" w:line="240" w:lineRule="auto"/>
        <w:rPr>
          <w:rFonts w:ascii="Times New Roman" w:hAnsi="Times New Roman"/>
          <w:lang w:val="sk-SK"/>
        </w:rPr>
      </w:pPr>
    </w:p>
    <w:p w14:paraId="3A91B4AF"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Tolucombi 80 mg/25 mg tablety</w:t>
      </w:r>
    </w:p>
    <w:p w14:paraId="02CD7F96"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telmisartan/hydrochlórtiazid</w:t>
      </w:r>
    </w:p>
    <w:p w14:paraId="20A44116" w14:textId="77777777" w:rsidR="00582954" w:rsidRDefault="00582954">
      <w:pPr>
        <w:widowControl w:val="0"/>
        <w:spacing w:after="0" w:line="240" w:lineRule="auto"/>
        <w:rPr>
          <w:rFonts w:ascii="Times New Roman" w:hAnsi="Times New Roman"/>
          <w:lang w:val="sk-SK"/>
        </w:rPr>
      </w:pPr>
    </w:p>
    <w:p w14:paraId="5861A72F" w14:textId="77777777" w:rsidR="00582954" w:rsidRDefault="00582954">
      <w:pPr>
        <w:widowControl w:val="0"/>
        <w:spacing w:after="0" w:line="240" w:lineRule="auto"/>
        <w:rPr>
          <w:rFonts w:ascii="Times New Roman" w:hAnsi="Times New Roman"/>
          <w:lang w:val="sk-SK"/>
        </w:rPr>
      </w:pPr>
    </w:p>
    <w:p w14:paraId="35579DC7" w14:textId="77777777" w:rsidR="00582954" w:rsidRDefault="00645977">
      <w:pPr>
        <w:widowControl w:val="0"/>
        <w:numPr>
          <w:ilvl w:val="0"/>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imes New Roman" w:hAnsi="Times New Roman"/>
          <w:b/>
          <w:lang w:val="sk-SK"/>
        </w:rPr>
      </w:pPr>
      <w:r>
        <w:rPr>
          <w:rFonts w:ascii="Times New Roman" w:hAnsi="Times New Roman"/>
          <w:b/>
          <w:lang w:val="sk-SK"/>
        </w:rPr>
        <w:t>NÁZOV DRŽITEĽA ROZHODNUTIA O REGISTRÁCII</w:t>
      </w:r>
    </w:p>
    <w:p w14:paraId="7D4C9DC0" w14:textId="77777777" w:rsidR="00582954" w:rsidRDefault="00582954">
      <w:pPr>
        <w:widowControl w:val="0"/>
        <w:spacing w:after="0" w:line="240" w:lineRule="auto"/>
        <w:rPr>
          <w:rFonts w:ascii="Times New Roman" w:hAnsi="Times New Roman"/>
          <w:lang w:val="sk-SK"/>
        </w:rPr>
      </w:pPr>
    </w:p>
    <w:p w14:paraId="7F4CD35F"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KRKA</w:t>
      </w:r>
    </w:p>
    <w:p w14:paraId="4155D0D5" w14:textId="77777777" w:rsidR="00582954" w:rsidRDefault="00582954">
      <w:pPr>
        <w:widowControl w:val="0"/>
        <w:spacing w:after="0" w:line="240" w:lineRule="auto"/>
        <w:rPr>
          <w:rFonts w:ascii="Times New Roman" w:hAnsi="Times New Roman"/>
          <w:lang w:val="sk-SK"/>
        </w:rPr>
      </w:pPr>
    </w:p>
    <w:p w14:paraId="143955D2" w14:textId="77777777" w:rsidR="00582954" w:rsidRDefault="00582954">
      <w:pPr>
        <w:widowControl w:val="0"/>
        <w:spacing w:after="0" w:line="240" w:lineRule="auto"/>
        <w:rPr>
          <w:rFonts w:ascii="Times New Roman" w:hAnsi="Times New Roman"/>
          <w:lang w:val="sk-SK"/>
        </w:rPr>
      </w:pPr>
    </w:p>
    <w:p w14:paraId="769E15FA" w14:textId="77777777" w:rsidR="00582954" w:rsidRDefault="00645977">
      <w:pPr>
        <w:widowControl w:val="0"/>
        <w:numPr>
          <w:ilvl w:val="0"/>
          <w:numId w:val="7"/>
        </w:numPr>
        <w:pBdr>
          <w:top w:val="single" w:sz="4" w:space="2" w:color="auto"/>
          <w:left w:val="single" w:sz="4" w:space="4" w:color="auto"/>
          <w:bottom w:val="single" w:sz="4" w:space="1" w:color="auto"/>
          <w:right w:val="single" w:sz="4" w:space="4" w:color="auto"/>
        </w:pBdr>
        <w:tabs>
          <w:tab w:val="left" w:pos="567"/>
        </w:tabs>
        <w:spacing w:after="0" w:line="240" w:lineRule="auto"/>
        <w:ind w:left="0" w:firstLine="0"/>
        <w:rPr>
          <w:rFonts w:ascii="Times New Roman" w:hAnsi="Times New Roman"/>
          <w:b/>
          <w:lang w:val="sk-SK"/>
        </w:rPr>
      </w:pPr>
      <w:r>
        <w:rPr>
          <w:rFonts w:ascii="Times New Roman" w:hAnsi="Times New Roman"/>
          <w:b/>
          <w:lang w:val="sk-SK"/>
        </w:rPr>
        <w:t>DÁTUM EXSPIRÁCIE</w:t>
      </w:r>
    </w:p>
    <w:p w14:paraId="29BE1CF8" w14:textId="77777777" w:rsidR="00582954" w:rsidRDefault="00582954">
      <w:pPr>
        <w:widowControl w:val="0"/>
        <w:spacing w:after="0" w:line="240" w:lineRule="auto"/>
        <w:rPr>
          <w:rFonts w:ascii="Times New Roman" w:hAnsi="Times New Roman"/>
          <w:lang w:val="sk-SK"/>
        </w:rPr>
      </w:pPr>
    </w:p>
    <w:p w14:paraId="7D6A2763"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EXP</w:t>
      </w:r>
    </w:p>
    <w:p w14:paraId="6C76043D" w14:textId="77777777" w:rsidR="00582954" w:rsidRDefault="00582954">
      <w:pPr>
        <w:widowControl w:val="0"/>
        <w:spacing w:after="0" w:line="240" w:lineRule="auto"/>
        <w:rPr>
          <w:rFonts w:ascii="Times New Roman" w:hAnsi="Times New Roman"/>
          <w:lang w:val="sk-SK"/>
        </w:rPr>
      </w:pPr>
    </w:p>
    <w:p w14:paraId="068D7AFF" w14:textId="77777777" w:rsidR="00582954" w:rsidRDefault="00582954">
      <w:pPr>
        <w:widowControl w:val="0"/>
        <w:spacing w:after="0" w:line="240" w:lineRule="auto"/>
        <w:rPr>
          <w:rFonts w:ascii="Times New Roman" w:hAnsi="Times New Roman"/>
          <w:lang w:val="sk-SK"/>
        </w:rPr>
      </w:pPr>
    </w:p>
    <w:p w14:paraId="7CB42C39" w14:textId="77777777" w:rsidR="00582954" w:rsidRDefault="00645977">
      <w:pPr>
        <w:widowControl w:val="0"/>
        <w:numPr>
          <w:ilvl w:val="0"/>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imes New Roman" w:hAnsi="Times New Roman"/>
          <w:b/>
          <w:lang w:val="sk-SK"/>
        </w:rPr>
      </w:pPr>
      <w:r>
        <w:rPr>
          <w:rFonts w:ascii="Times New Roman" w:hAnsi="Times New Roman"/>
          <w:b/>
          <w:lang w:val="sk-SK"/>
        </w:rPr>
        <w:t>ČÍSLO VÝROBNEJ ŠARŽE</w:t>
      </w:r>
    </w:p>
    <w:p w14:paraId="271191A0" w14:textId="77777777" w:rsidR="00582954" w:rsidRDefault="00582954">
      <w:pPr>
        <w:widowControl w:val="0"/>
        <w:spacing w:after="0" w:line="240" w:lineRule="auto"/>
        <w:rPr>
          <w:rFonts w:ascii="Times New Roman" w:hAnsi="Times New Roman"/>
          <w:lang w:val="sk-SK"/>
        </w:rPr>
      </w:pPr>
    </w:p>
    <w:p w14:paraId="680C77F8"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Lot</w:t>
      </w:r>
    </w:p>
    <w:p w14:paraId="416364EC" w14:textId="77777777" w:rsidR="00582954" w:rsidRDefault="00582954">
      <w:pPr>
        <w:widowControl w:val="0"/>
        <w:spacing w:after="0" w:line="240" w:lineRule="auto"/>
        <w:rPr>
          <w:rFonts w:ascii="Times New Roman" w:hAnsi="Times New Roman"/>
          <w:lang w:val="sk-SK"/>
        </w:rPr>
      </w:pPr>
    </w:p>
    <w:p w14:paraId="1D2386EE" w14:textId="77777777" w:rsidR="00582954" w:rsidRDefault="00582954">
      <w:pPr>
        <w:widowControl w:val="0"/>
        <w:spacing w:after="0" w:line="240" w:lineRule="auto"/>
        <w:rPr>
          <w:rFonts w:ascii="Times New Roman" w:hAnsi="Times New Roman"/>
          <w:lang w:val="sk-SK"/>
        </w:rPr>
      </w:pPr>
    </w:p>
    <w:p w14:paraId="76FC2017" w14:textId="77777777" w:rsidR="00582954" w:rsidRDefault="00645977">
      <w:pPr>
        <w:widowControl w:val="0"/>
        <w:numPr>
          <w:ilvl w:val="0"/>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imes New Roman" w:hAnsi="Times New Roman"/>
          <w:b/>
          <w:lang w:val="sk-SK"/>
        </w:rPr>
      </w:pPr>
      <w:r>
        <w:rPr>
          <w:rFonts w:ascii="Times New Roman" w:hAnsi="Times New Roman"/>
          <w:b/>
          <w:lang w:val="sk-SK"/>
        </w:rPr>
        <w:t>INÉ</w:t>
      </w:r>
    </w:p>
    <w:p w14:paraId="41680512" w14:textId="77777777" w:rsidR="00582954" w:rsidRDefault="00582954">
      <w:pPr>
        <w:widowControl w:val="0"/>
        <w:spacing w:after="0" w:line="240" w:lineRule="auto"/>
        <w:rPr>
          <w:rFonts w:ascii="Times New Roman" w:hAnsi="Times New Roman"/>
          <w:lang w:val="sk-SK"/>
        </w:rPr>
      </w:pPr>
    </w:p>
    <w:p w14:paraId="4E9760F9" w14:textId="77777777" w:rsidR="00582954" w:rsidRDefault="00645977">
      <w:pPr>
        <w:widowControl w:val="0"/>
        <w:spacing w:after="0" w:line="240" w:lineRule="auto"/>
        <w:rPr>
          <w:rFonts w:ascii="Times New Roman" w:hAnsi="Times New Roman"/>
          <w:lang w:val="sk-SK"/>
        </w:rPr>
      </w:pPr>
      <w:r>
        <w:rPr>
          <w:rFonts w:ascii="Times New Roman" w:hAnsi="Times New Roman"/>
          <w:highlight w:val="lightGray"/>
          <w:lang w:val="sk-SK"/>
        </w:rPr>
        <w:t>Iba pre blistre obsahujúce 7 tabliet</w:t>
      </w:r>
    </w:p>
    <w:p w14:paraId="20701DB4"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Po</w:t>
      </w:r>
    </w:p>
    <w:p w14:paraId="083055CA"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Ut</w:t>
      </w:r>
    </w:p>
    <w:p w14:paraId="4157E03A"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St</w:t>
      </w:r>
    </w:p>
    <w:p w14:paraId="6341F399"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Št</w:t>
      </w:r>
    </w:p>
    <w:p w14:paraId="742B2F50"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Pi</w:t>
      </w:r>
    </w:p>
    <w:p w14:paraId="37C2FE22"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So</w:t>
      </w:r>
    </w:p>
    <w:p w14:paraId="4E9C31BF"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Ne</w:t>
      </w:r>
    </w:p>
    <w:p w14:paraId="592D4C98" w14:textId="77777777" w:rsidR="00582954" w:rsidRDefault="00582954">
      <w:pPr>
        <w:widowControl w:val="0"/>
        <w:spacing w:after="0" w:line="240" w:lineRule="auto"/>
        <w:rPr>
          <w:rFonts w:ascii="Times New Roman" w:hAnsi="Times New Roman"/>
          <w:lang w:val="sk-SK"/>
        </w:rPr>
      </w:pPr>
    </w:p>
    <w:p w14:paraId="39E045C0" w14:textId="77777777" w:rsidR="00582954" w:rsidRDefault="00645977">
      <w:pPr>
        <w:widowControl w:val="0"/>
        <w:spacing w:after="0" w:line="240" w:lineRule="auto"/>
        <w:jc w:val="center"/>
        <w:rPr>
          <w:rFonts w:ascii="Times New Roman" w:hAnsi="Times New Roman"/>
          <w:lang w:val="sk-SK"/>
        </w:rPr>
      </w:pPr>
      <w:r>
        <w:rPr>
          <w:rFonts w:ascii="Times New Roman" w:hAnsi="Times New Roman"/>
          <w:lang w:val="sk-SK"/>
        </w:rPr>
        <w:br w:type="page"/>
      </w:r>
    </w:p>
    <w:p w14:paraId="6BE0AB1E" w14:textId="77777777" w:rsidR="00582954" w:rsidRDefault="00582954">
      <w:pPr>
        <w:widowControl w:val="0"/>
        <w:spacing w:after="0" w:line="240" w:lineRule="auto"/>
        <w:jc w:val="center"/>
        <w:rPr>
          <w:rFonts w:ascii="Times New Roman" w:hAnsi="Times New Roman"/>
          <w:lang w:val="sk-SK"/>
        </w:rPr>
      </w:pPr>
    </w:p>
    <w:p w14:paraId="25118BF8" w14:textId="77777777" w:rsidR="00582954" w:rsidRDefault="00582954">
      <w:pPr>
        <w:widowControl w:val="0"/>
        <w:spacing w:after="0" w:line="240" w:lineRule="auto"/>
        <w:jc w:val="center"/>
        <w:rPr>
          <w:rFonts w:ascii="Times New Roman" w:hAnsi="Times New Roman"/>
          <w:lang w:val="sk-SK"/>
        </w:rPr>
      </w:pPr>
    </w:p>
    <w:p w14:paraId="2D337C7E" w14:textId="77777777" w:rsidR="00582954" w:rsidRDefault="00582954">
      <w:pPr>
        <w:widowControl w:val="0"/>
        <w:spacing w:after="0" w:line="240" w:lineRule="auto"/>
        <w:jc w:val="center"/>
        <w:rPr>
          <w:rFonts w:ascii="Times New Roman" w:hAnsi="Times New Roman"/>
          <w:lang w:val="sk-SK"/>
        </w:rPr>
      </w:pPr>
    </w:p>
    <w:p w14:paraId="2B3BA79F" w14:textId="77777777" w:rsidR="00582954" w:rsidRDefault="00582954">
      <w:pPr>
        <w:widowControl w:val="0"/>
        <w:spacing w:after="0" w:line="240" w:lineRule="auto"/>
        <w:jc w:val="center"/>
        <w:rPr>
          <w:rFonts w:ascii="Times New Roman" w:hAnsi="Times New Roman"/>
          <w:lang w:val="sk-SK"/>
        </w:rPr>
      </w:pPr>
    </w:p>
    <w:p w14:paraId="2A9A3AEE" w14:textId="77777777" w:rsidR="00582954" w:rsidRDefault="00582954">
      <w:pPr>
        <w:widowControl w:val="0"/>
        <w:spacing w:after="0" w:line="240" w:lineRule="auto"/>
        <w:jc w:val="center"/>
        <w:rPr>
          <w:rFonts w:ascii="Times New Roman" w:hAnsi="Times New Roman"/>
          <w:lang w:val="sk-SK"/>
        </w:rPr>
      </w:pPr>
    </w:p>
    <w:p w14:paraId="79D390D4" w14:textId="77777777" w:rsidR="00582954" w:rsidRDefault="00582954">
      <w:pPr>
        <w:widowControl w:val="0"/>
        <w:spacing w:after="0" w:line="240" w:lineRule="auto"/>
        <w:jc w:val="center"/>
        <w:rPr>
          <w:rFonts w:ascii="Times New Roman" w:hAnsi="Times New Roman"/>
          <w:lang w:val="sk-SK"/>
        </w:rPr>
      </w:pPr>
    </w:p>
    <w:p w14:paraId="44680316" w14:textId="77777777" w:rsidR="00582954" w:rsidRDefault="00582954">
      <w:pPr>
        <w:widowControl w:val="0"/>
        <w:spacing w:after="0" w:line="240" w:lineRule="auto"/>
        <w:jc w:val="center"/>
        <w:rPr>
          <w:rFonts w:ascii="Times New Roman" w:hAnsi="Times New Roman"/>
          <w:lang w:val="sk-SK"/>
        </w:rPr>
      </w:pPr>
    </w:p>
    <w:p w14:paraId="654B3663" w14:textId="77777777" w:rsidR="00582954" w:rsidRDefault="00582954">
      <w:pPr>
        <w:widowControl w:val="0"/>
        <w:spacing w:after="0" w:line="240" w:lineRule="auto"/>
        <w:jc w:val="center"/>
        <w:rPr>
          <w:rFonts w:ascii="Times New Roman" w:hAnsi="Times New Roman"/>
          <w:lang w:val="sk-SK"/>
        </w:rPr>
      </w:pPr>
    </w:p>
    <w:p w14:paraId="1172542D" w14:textId="77777777" w:rsidR="00582954" w:rsidRDefault="00582954">
      <w:pPr>
        <w:widowControl w:val="0"/>
        <w:spacing w:after="0" w:line="240" w:lineRule="auto"/>
        <w:jc w:val="center"/>
        <w:rPr>
          <w:rFonts w:ascii="Times New Roman" w:hAnsi="Times New Roman"/>
          <w:lang w:val="sk-SK"/>
        </w:rPr>
      </w:pPr>
    </w:p>
    <w:p w14:paraId="6A13FE83" w14:textId="77777777" w:rsidR="00582954" w:rsidRDefault="00582954">
      <w:pPr>
        <w:widowControl w:val="0"/>
        <w:spacing w:after="0" w:line="240" w:lineRule="auto"/>
        <w:jc w:val="center"/>
        <w:rPr>
          <w:rFonts w:ascii="Times New Roman" w:hAnsi="Times New Roman"/>
          <w:lang w:val="sk-SK"/>
        </w:rPr>
      </w:pPr>
    </w:p>
    <w:p w14:paraId="1C17E253" w14:textId="77777777" w:rsidR="00582954" w:rsidRDefault="00582954">
      <w:pPr>
        <w:widowControl w:val="0"/>
        <w:spacing w:after="0" w:line="240" w:lineRule="auto"/>
        <w:jc w:val="center"/>
        <w:rPr>
          <w:rFonts w:ascii="Times New Roman" w:hAnsi="Times New Roman"/>
          <w:lang w:val="sk-SK"/>
        </w:rPr>
      </w:pPr>
    </w:p>
    <w:p w14:paraId="5B5251DB" w14:textId="77777777" w:rsidR="00582954" w:rsidRDefault="00582954">
      <w:pPr>
        <w:widowControl w:val="0"/>
        <w:spacing w:after="0" w:line="240" w:lineRule="auto"/>
        <w:jc w:val="center"/>
        <w:rPr>
          <w:rFonts w:ascii="Times New Roman" w:hAnsi="Times New Roman"/>
          <w:lang w:val="sk-SK"/>
        </w:rPr>
      </w:pPr>
    </w:p>
    <w:p w14:paraId="001B383F" w14:textId="77777777" w:rsidR="00582954" w:rsidRDefault="00582954">
      <w:pPr>
        <w:widowControl w:val="0"/>
        <w:spacing w:after="0" w:line="240" w:lineRule="auto"/>
        <w:jc w:val="center"/>
        <w:rPr>
          <w:rFonts w:ascii="Times New Roman" w:hAnsi="Times New Roman"/>
          <w:lang w:val="sk-SK"/>
        </w:rPr>
      </w:pPr>
    </w:p>
    <w:p w14:paraId="2F497BC4" w14:textId="77777777" w:rsidR="00582954" w:rsidRDefault="00582954">
      <w:pPr>
        <w:widowControl w:val="0"/>
        <w:spacing w:after="0" w:line="240" w:lineRule="auto"/>
        <w:jc w:val="center"/>
        <w:rPr>
          <w:rFonts w:ascii="Times New Roman" w:hAnsi="Times New Roman"/>
          <w:lang w:val="sk-SK"/>
        </w:rPr>
      </w:pPr>
    </w:p>
    <w:p w14:paraId="311DCE7F" w14:textId="77777777" w:rsidR="00582954" w:rsidRDefault="00582954">
      <w:pPr>
        <w:widowControl w:val="0"/>
        <w:spacing w:after="0" w:line="240" w:lineRule="auto"/>
        <w:jc w:val="center"/>
        <w:rPr>
          <w:rFonts w:ascii="Times New Roman" w:hAnsi="Times New Roman"/>
          <w:lang w:val="sk-SK"/>
        </w:rPr>
      </w:pPr>
    </w:p>
    <w:p w14:paraId="5F879A27" w14:textId="77777777" w:rsidR="00582954" w:rsidRDefault="00582954">
      <w:pPr>
        <w:widowControl w:val="0"/>
        <w:spacing w:after="0" w:line="240" w:lineRule="auto"/>
        <w:jc w:val="center"/>
        <w:rPr>
          <w:rFonts w:ascii="Times New Roman" w:hAnsi="Times New Roman"/>
          <w:lang w:val="sk-SK"/>
        </w:rPr>
      </w:pPr>
    </w:p>
    <w:p w14:paraId="7031B6F6" w14:textId="77777777" w:rsidR="00582954" w:rsidRDefault="00582954">
      <w:pPr>
        <w:widowControl w:val="0"/>
        <w:spacing w:after="0" w:line="240" w:lineRule="auto"/>
        <w:jc w:val="center"/>
        <w:rPr>
          <w:rFonts w:ascii="Times New Roman" w:hAnsi="Times New Roman"/>
          <w:lang w:val="sk-SK"/>
        </w:rPr>
      </w:pPr>
    </w:p>
    <w:p w14:paraId="3E44F1AE" w14:textId="77777777" w:rsidR="00582954" w:rsidRDefault="00582954">
      <w:pPr>
        <w:widowControl w:val="0"/>
        <w:spacing w:after="0" w:line="240" w:lineRule="auto"/>
        <w:jc w:val="center"/>
        <w:rPr>
          <w:rFonts w:ascii="Times New Roman" w:hAnsi="Times New Roman"/>
          <w:lang w:val="sk-SK"/>
        </w:rPr>
      </w:pPr>
    </w:p>
    <w:p w14:paraId="75F872DB" w14:textId="77777777" w:rsidR="00582954" w:rsidRDefault="00582954">
      <w:pPr>
        <w:widowControl w:val="0"/>
        <w:spacing w:after="0" w:line="240" w:lineRule="auto"/>
        <w:jc w:val="center"/>
        <w:rPr>
          <w:rFonts w:ascii="Times New Roman" w:hAnsi="Times New Roman"/>
          <w:lang w:val="sk-SK"/>
        </w:rPr>
      </w:pPr>
    </w:p>
    <w:p w14:paraId="575B22CF" w14:textId="77777777" w:rsidR="00582954" w:rsidRDefault="00582954">
      <w:pPr>
        <w:widowControl w:val="0"/>
        <w:spacing w:after="0" w:line="240" w:lineRule="auto"/>
        <w:jc w:val="center"/>
        <w:rPr>
          <w:rFonts w:ascii="Times New Roman" w:hAnsi="Times New Roman"/>
          <w:lang w:val="sk-SK"/>
        </w:rPr>
      </w:pPr>
    </w:p>
    <w:p w14:paraId="5E5344BA" w14:textId="77777777" w:rsidR="00582954" w:rsidRDefault="00582954">
      <w:pPr>
        <w:widowControl w:val="0"/>
        <w:spacing w:after="0" w:line="240" w:lineRule="auto"/>
        <w:jc w:val="center"/>
        <w:rPr>
          <w:rFonts w:ascii="Times New Roman" w:hAnsi="Times New Roman"/>
          <w:lang w:val="sk-SK"/>
        </w:rPr>
      </w:pPr>
    </w:p>
    <w:p w14:paraId="3B807221" w14:textId="77777777" w:rsidR="00582954" w:rsidRDefault="00582954">
      <w:pPr>
        <w:widowControl w:val="0"/>
        <w:spacing w:after="0" w:line="240" w:lineRule="auto"/>
        <w:jc w:val="center"/>
        <w:rPr>
          <w:rFonts w:ascii="Times New Roman" w:hAnsi="Times New Roman"/>
          <w:lang w:val="sk-SK"/>
        </w:rPr>
      </w:pPr>
    </w:p>
    <w:p w14:paraId="49A73EAB" w14:textId="77777777" w:rsidR="00582954" w:rsidRDefault="00645977">
      <w:pPr>
        <w:pStyle w:val="TitleA"/>
        <w:rPr>
          <w:lang w:val="sk-SK"/>
        </w:rPr>
      </w:pPr>
      <w:r>
        <w:rPr>
          <w:lang w:val="sk-SK"/>
        </w:rPr>
        <w:t>B. PÍSOMNÁ INFORMÁCIA PRE POUŽÍVATEĽA</w:t>
      </w:r>
    </w:p>
    <w:p w14:paraId="301C086E" w14:textId="77777777" w:rsidR="00582954" w:rsidRDefault="00645977">
      <w:pPr>
        <w:widowControl w:val="0"/>
        <w:spacing w:after="0" w:line="240" w:lineRule="auto"/>
        <w:jc w:val="center"/>
        <w:rPr>
          <w:rFonts w:ascii="Times New Roman" w:hAnsi="Times New Roman"/>
          <w:b/>
          <w:bCs/>
          <w:lang w:val="sk-SK"/>
        </w:rPr>
      </w:pPr>
      <w:r>
        <w:rPr>
          <w:rFonts w:ascii="Times New Roman" w:hAnsi="Times New Roman"/>
          <w:b/>
          <w:bCs/>
          <w:lang w:val="sk-SK"/>
        </w:rPr>
        <w:br w:type="page"/>
      </w:r>
    </w:p>
    <w:p w14:paraId="3E7C236D" w14:textId="77777777" w:rsidR="00582954" w:rsidRDefault="00582954">
      <w:pPr>
        <w:widowControl w:val="0"/>
        <w:spacing w:after="0" w:line="240" w:lineRule="auto"/>
        <w:jc w:val="center"/>
        <w:rPr>
          <w:rFonts w:ascii="Times New Roman" w:hAnsi="Times New Roman"/>
          <w:b/>
          <w:bCs/>
          <w:lang w:val="sk-SK"/>
        </w:rPr>
      </w:pPr>
    </w:p>
    <w:p w14:paraId="3B67E0AB" w14:textId="77777777" w:rsidR="00582954" w:rsidRDefault="00645977">
      <w:pPr>
        <w:widowControl w:val="0"/>
        <w:spacing w:after="0" w:line="240" w:lineRule="auto"/>
        <w:jc w:val="center"/>
        <w:rPr>
          <w:rFonts w:ascii="Times New Roman" w:hAnsi="Times New Roman"/>
          <w:b/>
          <w:bCs/>
          <w:lang w:val="sk-SK"/>
        </w:rPr>
      </w:pPr>
      <w:r>
        <w:rPr>
          <w:rFonts w:ascii="Times New Roman" w:hAnsi="Times New Roman"/>
          <w:b/>
          <w:bCs/>
          <w:lang w:val="sk-SK"/>
        </w:rPr>
        <w:t>Písomná informácia pre používateľa</w:t>
      </w:r>
    </w:p>
    <w:p w14:paraId="1B22D252" w14:textId="77777777" w:rsidR="00582954" w:rsidRDefault="00582954">
      <w:pPr>
        <w:widowControl w:val="0"/>
        <w:spacing w:after="0" w:line="240" w:lineRule="auto"/>
        <w:jc w:val="center"/>
        <w:rPr>
          <w:rFonts w:ascii="Times New Roman" w:hAnsi="Times New Roman"/>
          <w:b/>
          <w:bCs/>
          <w:lang w:val="sk-SK"/>
        </w:rPr>
      </w:pPr>
    </w:p>
    <w:p w14:paraId="21EB513C" w14:textId="77777777" w:rsidR="00582954" w:rsidRDefault="00645977">
      <w:pPr>
        <w:widowControl w:val="0"/>
        <w:spacing w:after="0" w:line="240" w:lineRule="auto"/>
        <w:jc w:val="center"/>
        <w:rPr>
          <w:rFonts w:ascii="Times New Roman" w:hAnsi="Times New Roman"/>
          <w:b/>
          <w:bCs/>
          <w:lang w:val="sk-SK"/>
        </w:rPr>
      </w:pPr>
      <w:r>
        <w:rPr>
          <w:rFonts w:ascii="Times New Roman" w:hAnsi="Times New Roman"/>
          <w:b/>
          <w:bCs/>
          <w:lang w:val="sk-SK"/>
        </w:rPr>
        <w:t>Tolucombi 40 mg/12,5 mg</w:t>
      </w:r>
      <w:r>
        <w:rPr>
          <w:rFonts w:ascii="Times New Roman" w:hAnsi="Times New Roman"/>
        </w:rPr>
        <w:t xml:space="preserve"> </w:t>
      </w:r>
      <w:r>
        <w:rPr>
          <w:rFonts w:ascii="Times New Roman" w:hAnsi="Times New Roman"/>
          <w:b/>
          <w:bCs/>
          <w:lang w:val="sk-SK"/>
        </w:rPr>
        <w:t>tablety</w:t>
      </w:r>
    </w:p>
    <w:p w14:paraId="5B981C2C" w14:textId="77777777" w:rsidR="00582954" w:rsidRDefault="00645977">
      <w:pPr>
        <w:widowControl w:val="0"/>
        <w:spacing w:after="0" w:line="240" w:lineRule="auto"/>
        <w:jc w:val="center"/>
        <w:rPr>
          <w:rFonts w:ascii="Times New Roman" w:hAnsi="Times New Roman"/>
          <w:lang w:val="sk-SK"/>
        </w:rPr>
      </w:pPr>
      <w:r>
        <w:rPr>
          <w:rFonts w:ascii="Times New Roman" w:hAnsi="Times New Roman"/>
          <w:b/>
          <w:bCs/>
          <w:lang w:val="sk-SK"/>
        </w:rPr>
        <w:t>Tolucombi 80 mg/12,5 mg tablety</w:t>
      </w:r>
    </w:p>
    <w:p w14:paraId="757DB8B8" w14:textId="77777777" w:rsidR="00582954" w:rsidRDefault="00645977">
      <w:pPr>
        <w:widowControl w:val="0"/>
        <w:spacing w:after="0" w:line="240" w:lineRule="auto"/>
        <w:jc w:val="center"/>
        <w:rPr>
          <w:rFonts w:ascii="Times New Roman" w:hAnsi="Times New Roman"/>
          <w:lang w:val="sk-SK"/>
        </w:rPr>
      </w:pPr>
      <w:r>
        <w:rPr>
          <w:rFonts w:ascii="Times New Roman" w:hAnsi="Times New Roman"/>
          <w:b/>
          <w:bCs/>
          <w:lang w:val="sk-SK"/>
        </w:rPr>
        <w:t>Tolucombi 80 mg/25 mg tablety</w:t>
      </w:r>
    </w:p>
    <w:p w14:paraId="73246AE5" w14:textId="77777777" w:rsidR="00582954" w:rsidRDefault="00645977">
      <w:pPr>
        <w:widowControl w:val="0"/>
        <w:spacing w:after="0" w:line="240" w:lineRule="auto"/>
        <w:jc w:val="center"/>
        <w:rPr>
          <w:rFonts w:ascii="Times New Roman" w:hAnsi="Times New Roman"/>
          <w:lang w:val="sk-SK"/>
        </w:rPr>
      </w:pPr>
      <w:r>
        <w:rPr>
          <w:rFonts w:ascii="Times New Roman" w:hAnsi="Times New Roman"/>
          <w:lang w:val="sk-SK"/>
        </w:rPr>
        <w:t>telmisartan/hydrochlórtiazid</w:t>
      </w:r>
    </w:p>
    <w:p w14:paraId="5725BD5D" w14:textId="77777777" w:rsidR="00582954" w:rsidRDefault="00645977">
      <w:pPr>
        <w:widowControl w:val="0"/>
        <w:spacing w:after="0" w:line="240" w:lineRule="auto"/>
        <w:jc w:val="center"/>
        <w:rPr>
          <w:rFonts w:ascii="Times New Roman" w:hAnsi="Times New Roman"/>
          <w:lang w:val="sk-SK"/>
        </w:rPr>
      </w:pPr>
      <w:r>
        <w:rPr>
          <w:rFonts w:ascii="Times New Roman" w:hAnsi="Times New Roman"/>
          <w:lang w:val="sk-SK"/>
        </w:rPr>
        <w:t>(telmisartanum/</w:t>
      </w:r>
      <w:r>
        <w:rPr>
          <w:rFonts w:ascii="Times New Roman" w:hAnsi="Times New Roman"/>
          <w:lang w:val="en-GB"/>
        </w:rPr>
        <w:t>hydrochlorothiazidum)</w:t>
      </w:r>
    </w:p>
    <w:p w14:paraId="5DDE8175" w14:textId="77777777" w:rsidR="00582954" w:rsidRDefault="00582954">
      <w:pPr>
        <w:widowControl w:val="0"/>
        <w:spacing w:after="0" w:line="240" w:lineRule="auto"/>
        <w:rPr>
          <w:rFonts w:ascii="Times New Roman" w:hAnsi="Times New Roman"/>
          <w:lang w:val="sk-SK"/>
        </w:rPr>
      </w:pPr>
    </w:p>
    <w:p w14:paraId="3C195C31" w14:textId="77777777" w:rsidR="00582954" w:rsidRDefault="00645977">
      <w:pPr>
        <w:widowControl w:val="0"/>
        <w:autoSpaceDE w:val="0"/>
        <w:autoSpaceDN w:val="0"/>
        <w:adjustRightInd w:val="0"/>
        <w:spacing w:after="0" w:line="240" w:lineRule="auto"/>
        <w:rPr>
          <w:rFonts w:ascii="Times New Roman" w:hAnsi="Times New Roman"/>
          <w:b/>
          <w:bCs/>
          <w:lang w:val="sk-SK"/>
        </w:rPr>
      </w:pPr>
      <w:r>
        <w:rPr>
          <w:rFonts w:ascii="Times New Roman" w:hAnsi="Times New Roman"/>
          <w:b/>
          <w:bCs/>
          <w:lang w:val="sk-SK"/>
        </w:rPr>
        <w:t>Pozorne si prečítajte celú písomnú informáciu predtým, ako začnete užívať tento liek, pretože obsahuje pre vás dôležité informácie.</w:t>
      </w:r>
    </w:p>
    <w:p w14:paraId="33F292DA" w14:textId="77777777" w:rsidR="00582954" w:rsidRDefault="00645977">
      <w:pPr>
        <w:widowControl w:val="0"/>
        <w:numPr>
          <w:ilvl w:val="0"/>
          <w:numId w:val="1"/>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t>Túto písomnú informáciu si uschovajte. Možno bude potrebné, aby ste si ju znovu prečítali.</w:t>
      </w:r>
    </w:p>
    <w:p w14:paraId="7BF880DF" w14:textId="77777777" w:rsidR="00582954" w:rsidRDefault="00645977">
      <w:pPr>
        <w:widowControl w:val="0"/>
        <w:numPr>
          <w:ilvl w:val="0"/>
          <w:numId w:val="1"/>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t>Ak máte akékoľvek ďalšie otázky, obráťte sa na svojho lekára alebo lekárnika.</w:t>
      </w:r>
    </w:p>
    <w:p w14:paraId="0774D663" w14:textId="77777777" w:rsidR="00582954" w:rsidRDefault="00645977">
      <w:pPr>
        <w:widowControl w:val="0"/>
        <w:numPr>
          <w:ilvl w:val="0"/>
          <w:numId w:val="1"/>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t>Tento liek bol predpísaný iba vám. Nedávajte ho nikomu inému. Môže mu uškodiť, dokonca aj vtedy, ak má rovnaké prejavy ochorenia ako vy.</w:t>
      </w:r>
    </w:p>
    <w:p w14:paraId="285152AE" w14:textId="77777777" w:rsidR="00582954" w:rsidRDefault="00645977">
      <w:pPr>
        <w:widowControl w:val="0"/>
        <w:numPr>
          <w:ilvl w:val="0"/>
          <w:numId w:val="1"/>
        </w:numPr>
        <w:tabs>
          <w:tab w:val="left" w:pos="8931"/>
        </w:tabs>
        <w:autoSpaceDE w:val="0"/>
        <w:autoSpaceDN w:val="0"/>
        <w:adjustRightInd w:val="0"/>
        <w:spacing w:after="0" w:line="240" w:lineRule="auto"/>
        <w:ind w:left="567" w:right="332" w:hanging="567"/>
        <w:rPr>
          <w:rFonts w:ascii="Times New Roman" w:hAnsi="Times New Roman"/>
          <w:lang w:val="sk-SK"/>
        </w:rPr>
      </w:pPr>
      <w:r>
        <w:rPr>
          <w:rFonts w:ascii="Times New Roman" w:hAnsi="Times New Roman"/>
          <w:lang w:val="sk-SK"/>
        </w:rPr>
        <w:t>Ak sa u vás vyskytne akýkoľvek vedľajší účinok, obráťte sa na svojho lekára alebo lekárnika. To sa týka aj akýchkoľvek vedľajších účinkov, ktoré nie sú uvedené v tejto písomnej informácii. Pozri časť 4.</w:t>
      </w:r>
    </w:p>
    <w:p w14:paraId="52DDB853" w14:textId="77777777" w:rsidR="00582954" w:rsidRDefault="00582954">
      <w:pPr>
        <w:widowControl w:val="0"/>
        <w:spacing w:after="0" w:line="240" w:lineRule="auto"/>
        <w:rPr>
          <w:rFonts w:ascii="Times New Roman" w:hAnsi="Times New Roman"/>
          <w:lang w:val="sk-SK"/>
        </w:rPr>
      </w:pPr>
    </w:p>
    <w:p w14:paraId="1EF51D33" w14:textId="77777777" w:rsidR="00582954" w:rsidRDefault="00645977">
      <w:pPr>
        <w:widowControl w:val="0"/>
        <w:spacing w:after="0" w:line="240" w:lineRule="auto"/>
        <w:rPr>
          <w:rFonts w:ascii="Times New Roman" w:hAnsi="Times New Roman"/>
          <w:b/>
          <w:lang w:val="sk-SK"/>
        </w:rPr>
      </w:pPr>
      <w:r>
        <w:rPr>
          <w:rFonts w:ascii="Times New Roman" w:hAnsi="Times New Roman"/>
          <w:b/>
          <w:lang w:val="sk-SK"/>
        </w:rPr>
        <w:t>V tejto písomnej informácii sa dozviete:</w:t>
      </w:r>
    </w:p>
    <w:p w14:paraId="3C6DE739" w14:textId="77777777" w:rsidR="00582954" w:rsidRDefault="00645977">
      <w:pPr>
        <w:widowControl w:val="0"/>
        <w:tabs>
          <w:tab w:val="left" w:pos="567"/>
        </w:tabs>
        <w:spacing w:after="0" w:line="240" w:lineRule="auto"/>
        <w:rPr>
          <w:rFonts w:ascii="Times New Roman" w:hAnsi="Times New Roman"/>
          <w:lang w:val="sk-SK"/>
        </w:rPr>
      </w:pPr>
      <w:r>
        <w:rPr>
          <w:rFonts w:ascii="Times New Roman" w:hAnsi="Times New Roman"/>
          <w:lang w:val="sk-SK"/>
        </w:rPr>
        <w:t>1.</w:t>
      </w:r>
      <w:r>
        <w:rPr>
          <w:rFonts w:ascii="Times New Roman" w:hAnsi="Times New Roman"/>
          <w:lang w:val="sk-SK"/>
        </w:rPr>
        <w:tab/>
        <w:t>Čo je Tolucombi a na čo sa používa</w:t>
      </w:r>
    </w:p>
    <w:p w14:paraId="5F4C4A4D" w14:textId="77777777" w:rsidR="00582954" w:rsidRDefault="00645977">
      <w:pPr>
        <w:widowControl w:val="0"/>
        <w:tabs>
          <w:tab w:val="left" w:pos="567"/>
        </w:tabs>
        <w:spacing w:after="0" w:line="240" w:lineRule="auto"/>
        <w:rPr>
          <w:rFonts w:ascii="Times New Roman" w:hAnsi="Times New Roman"/>
          <w:lang w:val="sk-SK"/>
        </w:rPr>
      </w:pPr>
      <w:r>
        <w:rPr>
          <w:rFonts w:ascii="Times New Roman" w:hAnsi="Times New Roman"/>
          <w:lang w:val="sk-SK"/>
        </w:rPr>
        <w:t>2.</w:t>
      </w:r>
      <w:r>
        <w:rPr>
          <w:rFonts w:ascii="Times New Roman" w:hAnsi="Times New Roman"/>
          <w:lang w:val="sk-SK"/>
        </w:rPr>
        <w:tab/>
        <w:t>Čo potrebujete vedieť predtým, ako užijete Tolucombi</w:t>
      </w:r>
    </w:p>
    <w:p w14:paraId="0CCB4896" w14:textId="77777777" w:rsidR="00582954" w:rsidRDefault="00645977">
      <w:pPr>
        <w:widowControl w:val="0"/>
        <w:tabs>
          <w:tab w:val="left" w:pos="567"/>
        </w:tabs>
        <w:spacing w:after="0" w:line="240" w:lineRule="auto"/>
        <w:rPr>
          <w:rFonts w:ascii="Times New Roman" w:hAnsi="Times New Roman"/>
          <w:lang w:val="sk-SK"/>
        </w:rPr>
      </w:pPr>
      <w:r>
        <w:rPr>
          <w:rFonts w:ascii="Times New Roman" w:hAnsi="Times New Roman"/>
          <w:lang w:val="sk-SK"/>
        </w:rPr>
        <w:t>3.</w:t>
      </w:r>
      <w:r>
        <w:rPr>
          <w:rFonts w:ascii="Times New Roman" w:hAnsi="Times New Roman"/>
          <w:lang w:val="sk-SK"/>
        </w:rPr>
        <w:tab/>
        <w:t>Ako užívať Tolucombi</w:t>
      </w:r>
    </w:p>
    <w:p w14:paraId="6DAC6972" w14:textId="77777777" w:rsidR="00582954" w:rsidRDefault="00645977">
      <w:pPr>
        <w:widowControl w:val="0"/>
        <w:tabs>
          <w:tab w:val="left" w:pos="567"/>
        </w:tabs>
        <w:spacing w:after="0" w:line="240" w:lineRule="auto"/>
        <w:rPr>
          <w:rFonts w:ascii="Times New Roman" w:hAnsi="Times New Roman"/>
          <w:lang w:val="sk-SK"/>
        </w:rPr>
      </w:pPr>
      <w:r>
        <w:rPr>
          <w:rFonts w:ascii="Times New Roman" w:hAnsi="Times New Roman"/>
          <w:lang w:val="sk-SK"/>
        </w:rPr>
        <w:t>4.</w:t>
      </w:r>
      <w:r>
        <w:rPr>
          <w:rFonts w:ascii="Times New Roman" w:hAnsi="Times New Roman"/>
          <w:lang w:val="sk-SK"/>
        </w:rPr>
        <w:tab/>
        <w:t>Možné vedľajšie účinky</w:t>
      </w:r>
    </w:p>
    <w:p w14:paraId="0A563B25" w14:textId="77777777" w:rsidR="00582954" w:rsidRDefault="00645977">
      <w:pPr>
        <w:widowControl w:val="0"/>
        <w:tabs>
          <w:tab w:val="left" w:pos="567"/>
        </w:tabs>
        <w:spacing w:after="0" w:line="240" w:lineRule="auto"/>
        <w:rPr>
          <w:rFonts w:ascii="Times New Roman" w:hAnsi="Times New Roman"/>
          <w:lang w:val="sk-SK"/>
        </w:rPr>
      </w:pPr>
      <w:r>
        <w:rPr>
          <w:rFonts w:ascii="Times New Roman" w:hAnsi="Times New Roman"/>
          <w:lang w:val="sk-SK"/>
        </w:rPr>
        <w:t>5.</w:t>
      </w:r>
      <w:r>
        <w:rPr>
          <w:rFonts w:ascii="Times New Roman" w:hAnsi="Times New Roman"/>
          <w:lang w:val="sk-SK"/>
        </w:rPr>
        <w:tab/>
        <w:t>Ako uchovávať Tolucombi</w:t>
      </w:r>
    </w:p>
    <w:p w14:paraId="2927B051" w14:textId="77777777" w:rsidR="00582954" w:rsidRDefault="00645977">
      <w:pPr>
        <w:widowControl w:val="0"/>
        <w:tabs>
          <w:tab w:val="left" w:pos="567"/>
        </w:tabs>
        <w:spacing w:after="0" w:line="240" w:lineRule="auto"/>
        <w:rPr>
          <w:rFonts w:ascii="Times New Roman" w:hAnsi="Times New Roman"/>
          <w:lang w:val="sk-SK"/>
        </w:rPr>
      </w:pPr>
      <w:r>
        <w:rPr>
          <w:rFonts w:ascii="Times New Roman" w:hAnsi="Times New Roman"/>
          <w:lang w:val="sk-SK"/>
        </w:rPr>
        <w:t>6.</w:t>
      </w:r>
      <w:r>
        <w:rPr>
          <w:rFonts w:ascii="Times New Roman" w:hAnsi="Times New Roman"/>
          <w:lang w:val="sk-SK"/>
        </w:rPr>
        <w:tab/>
        <w:t>Obsah balenia a ďalšie informácie</w:t>
      </w:r>
    </w:p>
    <w:p w14:paraId="72A3DDE7" w14:textId="77777777" w:rsidR="00582954" w:rsidRDefault="00582954">
      <w:pPr>
        <w:widowControl w:val="0"/>
        <w:spacing w:after="0" w:line="240" w:lineRule="auto"/>
        <w:rPr>
          <w:rFonts w:ascii="Times New Roman" w:hAnsi="Times New Roman"/>
          <w:lang w:val="sk-SK"/>
        </w:rPr>
      </w:pPr>
    </w:p>
    <w:p w14:paraId="1384D5E4" w14:textId="77777777" w:rsidR="00582954" w:rsidRDefault="00582954">
      <w:pPr>
        <w:widowControl w:val="0"/>
        <w:spacing w:after="0" w:line="240" w:lineRule="auto"/>
        <w:rPr>
          <w:rFonts w:ascii="Times New Roman" w:hAnsi="Times New Roman"/>
          <w:lang w:val="sk-SK"/>
        </w:rPr>
      </w:pPr>
    </w:p>
    <w:p w14:paraId="6A0E3FC0" w14:textId="77777777" w:rsidR="00582954" w:rsidRDefault="00645977">
      <w:pPr>
        <w:widowControl w:val="0"/>
        <w:tabs>
          <w:tab w:val="left" w:pos="567"/>
        </w:tabs>
        <w:spacing w:after="0" w:line="240" w:lineRule="auto"/>
        <w:rPr>
          <w:rFonts w:ascii="Times New Roman" w:hAnsi="Times New Roman"/>
          <w:b/>
          <w:lang w:val="sk-SK"/>
        </w:rPr>
      </w:pPr>
      <w:r>
        <w:rPr>
          <w:rFonts w:ascii="Times New Roman" w:hAnsi="Times New Roman"/>
          <w:b/>
          <w:lang w:val="sk-SK"/>
        </w:rPr>
        <w:t>1.</w:t>
      </w:r>
      <w:r>
        <w:rPr>
          <w:rFonts w:ascii="Times New Roman" w:hAnsi="Times New Roman"/>
          <w:b/>
          <w:lang w:val="sk-SK"/>
        </w:rPr>
        <w:tab/>
        <w:t>Čo je Tolucombi a na čo sa používa</w:t>
      </w:r>
    </w:p>
    <w:p w14:paraId="3FB0A43B" w14:textId="77777777" w:rsidR="00582954" w:rsidRDefault="00582954">
      <w:pPr>
        <w:widowControl w:val="0"/>
        <w:spacing w:after="0" w:line="240" w:lineRule="auto"/>
        <w:rPr>
          <w:rFonts w:ascii="Times New Roman" w:hAnsi="Times New Roman"/>
          <w:lang w:val="sk-SK"/>
        </w:rPr>
      </w:pPr>
    </w:p>
    <w:p w14:paraId="76995275"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Tolucombi je kombinácia dvoch liečiv telmisartanu a hydrochlórtiazidu v jednej tablete. Obe tieto liečivá pomáhajú kontrolovať vysoký krvný tlak.</w:t>
      </w:r>
    </w:p>
    <w:p w14:paraId="72FD4956" w14:textId="77777777" w:rsidR="00582954" w:rsidRDefault="00582954">
      <w:pPr>
        <w:widowControl w:val="0"/>
        <w:spacing w:after="0" w:line="240" w:lineRule="auto"/>
        <w:rPr>
          <w:rFonts w:ascii="Times New Roman" w:hAnsi="Times New Roman"/>
          <w:lang w:val="sk-SK"/>
        </w:rPr>
      </w:pPr>
    </w:p>
    <w:p w14:paraId="79F36BBD" w14:textId="77777777" w:rsidR="00582954" w:rsidRDefault="00645977">
      <w:pPr>
        <w:widowControl w:val="0"/>
        <w:tabs>
          <w:tab w:val="left" w:pos="284"/>
        </w:tabs>
        <w:autoSpaceDE w:val="0"/>
        <w:autoSpaceDN w:val="0"/>
        <w:adjustRightInd w:val="0"/>
        <w:spacing w:after="0" w:line="240" w:lineRule="auto"/>
        <w:ind w:left="284" w:hanging="284"/>
        <w:rPr>
          <w:rFonts w:ascii="Times New Roman" w:hAnsi="Times New Roman"/>
          <w:lang w:val="sk-SK"/>
        </w:rPr>
      </w:pPr>
      <w:r>
        <w:rPr>
          <w:rFonts w:ascii="Times New Roman" w:hAnsi="Times New Roman"/>
          <w:lang w:val="sk-SK"/>
        </w:rPr>
        <w:t>-</w:t>
      </w:r>
      <w:r>
        <w:rPr>
          <w:rFonts w:ascii="Times New Roman" w:hAnsi="Times New Roman"/>
          <w:lang w:val="sk-SK"/>
        </w:rPr>
        <w:tab/>
        <w:t>Telmisartan patrí do skupiny liekov nazývaných blokátory receptorov angiotenzínu II.</w:t>
      </w:r>
    </w:p>
    <w:p w14:paraId="0A792979" w14:textId="77777777" w:rsidR="00582954" w:rsidRDefault="00645977">
      <w:pPr>
        <w:widowControl w:val="0"/>
        <w:tabs>
          <w:tab w:val="left" w:pos="284"/>
        </w:tabs>
        <w:autoSpaceDE w:val="0"/>
        <w:autoSpaceDN w:val="0"/>
        <w:adjustRightInd w:val="0"/>
        <w:spacing w:after="0" w:line="240" w:lineRule="auto"/>
        <w:ind w:left="284"/>
        <w:rPr>
          <w:rFonts w:ascii="Times New Roman" w:hAnsi="Times New Roman"/>
          <w:lang w:val="sk-SK"/>
        </w:rPr>
      </w:pPr>
      <w:r>
        <w:rPr>
          <w:rFonts w:ascii="Times New Roman" w:hAnsi="Times New Roman"/>
          <w:lang w:val="sk-SK"/>
        </w:rPr>
        <w:t>Angiotenzín II je látka, ktorá sa vytvára v tele a spôsobuje zúženie krvných ciev, preto sa tlak krvi zvyšuje. Telmisartan blokuje účinok angiotenzínu II, takže cievy sa uvoľnia a tlak krvi je nižší.</w:t>
      </w:r>
    </w:p>
    <w:p w14:paraId="6538CB84" w14:textId="77777777" w:rsidR="00582954" w:rsidRDefault="00582954">
      <w:pPr>
        <w:widowControl w:val="0"/>
        <w:autoSpaceDE w:val="0"/>
        <w:autoSpaceDN w:val="0"/>
        <w:adjustRightInd w:val="0"/>
        <w:spacing w:after="0" w:line="240" w:lineRule="auto"/>
        <w:rPr>
          <w:rFonts w:ascii="Times New Roman" w:hAnsi="Times New Roman"/>
          <w:lang w:val="sk-SK"/>
        </w:rPr>
      </w:pPr>
    </w:p>
    <w:p w14:paraId="4EE46882" w14:textId="77777777" w:rsidR="00582954" w:rsidRDefault="00645977">
      <w:pPr>
        <w:widowControl w:val="0"/>
        <w:autoSpaceDE w:val="0"/>
        <w:autoSpaceDN w:val="0"/>
        <w:adjustRightInd w:val="0"/>
        <w:spacing w:after="0" w:line="240" w:lineRule="auto"/>
        <w:ind w:left="284" w:right="-235" w:hanging="284"/>
        <w:rPr>
          <w:rFonts w:ascii="Times New Roman" w:hAnsi="Times New Roman"/>
          <w:lang w:val="sk-SK"/>
        </w:rPr>
      </w:pPr>
      <w:r>
        <w:rPr>
          <w:rFonts w:ascii="Times New Roman" w:hAnsi="Times New Roman"/>
          <w:lang w:val="sk-SK"/>
        </w:rPr>
        <w:t>-</w:t>
      </w:r>
      <w:r>
        <w:rPr>
          <w:rFonts w:ascii="Times New Roman" w:hAnsi="Times New Roman"/>
          <w:lang w:val="sk-SK"/>
        </w:rPr>
        <w:tab/>
        <w:t>Hydrochlórtiazid patrí do skupiny liekov nazývaných tiazidové diuretiká, ktoré spôsobujú zvyšené vylučovanie moču, čo vedie k zníženiu krvného tlaku.</w:t>
      </w:r>
    </w:p>
    <w:p w14:paraId="2B8A3019" w14:textId="77777777" w:rsidR="00582954" w:rsidRDefault="00582954">
      <w:pPr>
        <w:widowControl w:val="0"/>
        <w:spacing w:after="0" w:line="240" w:lineRule="auto"/>
        <w:rPr>
          <w:rFonts w:ascii="Times New Roman" w:hAnsi="Times New Roman"/>
          <w:lang w:val="sk-SK"/>
        </w:rPr>
      </w:pPr>
    </w:p>
    <w:p w14:paraId="6F6405FF"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Vysoký krvný tlak, ak sa nelieči, môže poškodiť krvné cievy vo viacerých orgánoch, čo môže niekedy viesť k infarktu srdca, zlyhávaniu srdca alebo obličiek, mozgovej príhode alebo slepote. Pred vznikom poškodenia zvyčajne nie sú žiadne príznaky vysokého krvného tlaku. Preto je dôležité pravidelne merať krvný tlak na overenie, či je v normálnom rozsahu.</w:t>
      </w:r>
    </w:p>
    <w:p w14:paraId="6B46FC73" w14:textId="77777777" w:rsidR="00582954" w:rsidRDefault="00582954">
      <w:pPr>
        <w:widowControl w:val="0"/>
        <w:spacing w:after="0" w:line="240" w:lineRule="auto"/>
        <w:rPr>
          <w:rFonts w:ascii="Times New Roman" w:hAnsi="Times New Roman"/>
          <w:lang w:val="sk-SK"/>
        </w:rPr>
      </w:pPr>
    </w:p>
    <w:p w14:paraId="1D4FA883"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b/>
          <w:bCs/>
          <w:lang w:val="sk-SK"/>
        </w:rPr>
        <w:t xml:space="preserve">Tolucombi (40 mg/12,5 mg, 80 mg/12,5 mg) sa používa na </w:t>
      </w:r>
      <w:r>
        <w:rPr>
          <w:rFonts w:ascii="Times New Roman" w:hAnsi="Times New Roman"/>
          <w:lang w:val="sk-SK"/>
        </w:rPr>
        <w:t>liečbu vysokého krvného tlaku (esenciálna hypertenzia) u dospelých, ktorých vysoký krvný tlak nie je dostatočne kontrolovaný užívaním samotného telmisartanu.</w:t>
      </w:r>
    </w:p>
    <w:p w14:paraId="14007040"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b/>
          <w:bCs/>
          <w:lang w:val="sk-SK"/>
        </w:rPr>
        <w:t xml:space="preserve">Tolucombi (80 mg/25 mg) sa používa na </w:t>
      </w:r>
      <w:r>
        <w:rPr>
          <w:rFonts w:ascii="Times New Roman" w:hAnsi="Times New Roman"/>
          <w:lang w:val="sk-SK"/>
        </w:rPr>
        <w:t>liečbu vysokého krvného tlaku (esenciálna hypertenzia) u dospelých, ktorých vysoký krvný tlak nie je dostatočne kontrolovaný Tolucombi 80 mg/12,5 mg alebo pacientov predtým stabilizovaných užívaním telmisartanu a hydrochlórtiazidu, každého samostatne.</w:t>
      </w:r>
    </w:p>
    <w:p w14:paraId="6FDF05BD" w14:textId="77777777" w:rsidR="00582954" w:rsidRDefault="00582954">
      <w:pPr>
        <w:widowControl w:val="0"/>
        <w:spacing w:after="0" w:line="240" w:lineRule="auto"/>
        <w:rPr>
          <w:rFonts w:ascii="Times New Roman" w:hAnsi="Times New Roman"/>
          <w:lang w:val="sk-SK"/>
        </w:rPr>
      </w:pPr>
    </w:p>
    <w:p w14:paraId="59EC103B" w14:textId="77777777" w:rsidR="00582954" w:rsidRDefault="00582954">
      <w:pPr>
        <w:widowControl w:val="0"/>
        <w:spacing w:after="0" w:line="240" w:lineRule="auto"/>
        <w:rPr>
          <w:rFonts w:ascii="Times New Roman" w:hAnsi="Times New Roman"/>
          <w:lang w:val="sk-SK"/>
        </w:rPr>
      </w:pPr>
    </w:p>
    <w:p w14:paraId="503788EA" w14:textId="77777777" w:rsidR="00582954" w:rsidRDefault="00645977">
      <w:pPr>
        <w:keepNext/>
        <w:widowControl w:val="0"/>
        <w:tabs>
          <w:tab w:val="left" w:pos="567"/>
        </w:tabs>
        <w:spacing w:after="0" w:line="240" w:lineRule="auto"/>
        <w:rPr>
          <w:rFonts w:ascii="Times New Roman" w:hAnsi="Times New Roman"/>
          <w:b/>
          <w:lang w:val="sk-SK"/>
        </w:rPr>
      </w:pPr>
      <w:r>
        <w:rPr>
          <w:rFonts w:ascii="Times New Roman" w:hAnsi="Times New Roman"/>
          <w:b/>
          <w:lang w:val="sk-SK"/>
        </w:rPr>
        <w:lastRenderedPageBreak/>
        <w:t>2.</w:t>
      </w:r>
      <w:r>
        <w:rPr>
          <w:rFonts w:ascii="Times New Roman" w:hAnsi="Times New Roman"/>
          <w:b/>
          <w:lang w:val="sk-SK"/>
        </w:rPr>
        <w:tab/>
        <w:t>Čo potrebujete vedieť predtým, ako užijete Tolucombi</w:t>
      </w:r>
    </w:p>
    <w:p w14:paraId="7D8C5EE8" w14:textId="77777777" w:rsidR="00582954" w:rsidRDefault="00582954">
      <w:pPr>
        <w:keepNext/>
        <w:widowControl w:val="0"/>
        <w:spacing w:after="0" w:line="240" w:lineRule="auto"/>
        <w:rPr>
          <w:rFonts w:ascii="Times New Roman" w:hAnsi="Times New Roman"/>
          <w:lang w:val="sk-SK"/>
        </w:rPr>
      </w:pPr>
    </w:p>
    <w:p w14:paraId="0D21EBB0" w14:textId="77777777" w:rsidR="00582954" w:rsidRDefault="00645977">
      <w:pPr>
        <w:keepNext/>
        <w:widowControl w:val="0"/>
        <w:spacing w:after="0" w:line="240" w:lineRule="auto"/>
        <w:rPr>
          <w:rFonts w:ascii="Times New Roman" w:hAnsi="Times New Roman"/>
          <w:b/>
          <w:lang w:val="sk-SK"/>
        </w:rPr>
      </w:pPr>
      <w:r>
        <w:rPr>
          <w:rFonts w:ascii="Times New Roman" w:hAnsi="Times New Roman"/>
          <w:b/>
          <w:lang w:val="sk-SK"/>
        </w:rPr>
        <w:t>Neužívajte Tolucombi</w:t>
      </w:r>
    </w:p>
    <w:p w14:paraId="695B66B9" w14:textId="77777777" w:rsidR="00582954" w:rsidRDefault="00645977">
      <w:pPr>
        <w:keepNext/>
        <w:widowControl w:val="0"/>
        <w:numPr>
          <w:ilvl w:val="0"/>
          <w:numId w:val="8"/>
        </w:numPr>
        <w:autoSpaceDE w:val="0"/>
        <w:autoSpaceDN w:val="0"/>
        <w:adjustRightInd w:val="0"/>
        <w:spacing w:after="0" w:line="240" w:lineRule="auto"/>
        <w:ind w:left="567" w:right="332" w:hanging="567"/>
        <w:rPr>
          <w:rFonts w:ascii="Times New Roman" w:hAnsi="Times New Roman"/>
          <w:lang w:val="sk-SK"/>
        </w:rPr>
      </w:pPr>
      <w:r>
        <w:rPr>
          <w:rFonts w:ascii="Times New Roman" w:hAnsi="Times New Roman"/>
          <w:lang w:val="sk-SK"/>
        </w:rPr>
        <w:t>ak ste alergický na telmisartan alebo na ktorúkoľvek z ďalších zložiek tohto lieku (uvedených v časti 6).</w:t>
      </w:r>
    </w:p>
    <w:p w14:paraId="7280B25A" w14:textId="77777777" w:rsidR="00582954" w:rsidRDefault="00645977">
      <w:pPr>
        <w:widowControl w:val="0"/>
        <w:numPr>
          <w:ilvl w:val="0"/>
          <w:numId w:val="8"/>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t>ak ste alergický na hydrochlórtiazid alebo na niektorý z ďalších derivátov sulfónamidu.</w:t>
      </w:r>
    </w:p>
    <w:p w14:paraId="4E471D28" w14:textId="77777777" w:rsidR="00582954" w:rsidRDefault="00645977">
      <w:pPr>
        <w:widowControl w:val="0"/>
        <w:numPr>
          <w:ilvl w:val="0"/>
          <w:numId w:val="8"/>
        </w:numPr>
        <w:autoSpaceDE w:val="0"/>
        <w:autoSpaceDN w:val="0"/>
        <w:adjustRightInd w:val="0"/>
        <w:spacing w:after="0" w:line="240" w:lineRule="auto"/>
        <w:ind w:left="567" w:hanging="567"/>
        <w:rPr>
          <w:rFonts w:ascii="Times New Roman" w:hAnsi="Times New Roman"/>
          <w:lang w:val="sk-SK"/>
        </w:rPr>
      </w:pPr>
      <w:r>
        <w:rPr>
          <w:rFonts w:ascii="Times New Roman" w:hAnsi="Times New Roman"/>
          <w:sz w:val="24"/>
          <w:lang w:val="sk-SK"/>
        </w:rPr>
        <w:t>a</w:t>
      </w:r>
      <w:r>
        <w:rPr>
          <w:rFonts w:ascii="Times New Roman" w:hAnsi="Times New Roman"/>
          <w:lang w:val="sk-SK"/>
        </w:rPr>
        <w:t>k ste tehotná dlhšie ako 3 mesiace. (Vhodnejšie je vyhnúť sa užívaniu Tolucombi v skorom štádiu tehotenstva – pozri časť „Tehotenstvo a dojčenie“).</w:t>
      </w:r>
    </w:p>
    <w:p w14:paraId="1936681E" w14:textId="77777777" w:rsidR="00582954" w:rsidRDefault="00645977">
      <w:pPr>
        <w:widowControl w:val="0"/>
        <w:numPr>
          <w:ilvl w:val="0"/>
          <w:numId w:val="8"/>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t>ak máte závažné problémy pečene ako napr. poruchu odtoku žlče alebo žlčovú obštrukciu (problémy s odtokom žlče z pečene a zo žlčníka) alebo akékoľvek iné závažné ochorenie pečene.</w:t>
      </w:r>
    </w:p>
    <w:p w14:paraId="5744FF8B" w14:textId="77777777" w:rsidR="00582954" w:rsidRDefault="00645977">
      <w:pPr>
        <w:widowControl w:val="0"/>
        <w:numPr>
          <w:ilvl w:val="0"/>
          <w:numId w:val="8"/>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t>ak máte závažné ochorenie obličiek alebo anúriu (menej ako 100 ml moču za deň).</w:t>
      </w:r>
    </w:p>
    <w:p w14:paraId="0D0C5DA0" w14:textId="77777777" w:rsidR="00582954" w:rsidRDefault="00645977">
      <w:pPr>
        <w:widowControl w:val="0"/>
        <w:numPr>
          <w:ilvl w:val="0"/>
          <w:numId w:val="8"/>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t>ak váš lekár určí, že máte nízku hladinu draslíka alebo vysokú hladinu vápnika v krvi, ktoré sa liečbou nezlepšujú.</w:t>
      </w:r>
    </w:p>
    <w:p w14:paraId="2E708CB5" w14:textId="77777777" w:rsidR="00582954" w:rsidRDefault="00645977">
      <w:pPr>
        <w:widowControl w:val="0"/>
        <w:numPr>
          <w:ilvl w:val="0"/>
          <w:numId w:val="8"/>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t>ak máte cukrovku alebo poruchu funkcie obličiek a užívate liek na zníženie krvného tlaku obsahujúci aliskirén.</w:t>
      </w:r>
    </w:p>
    <w:p w14:paraId="2ED2BD78" w14:textId="77777777" w:rsidR="00582954" w:rsidRDefault="00582954">
      <w:pPr>
        <w:widowControl w:val="0"/>
        <w:autoSpaceDE w:val="0"/>
        <w:autoSpaceDN w:val="0"/>
        <w:adjustRightInd w:val="0"/>
        <w:spacing w:after="0" w:line="240" w:lineRule="auto"/>
        <w:rPr>
          <w:rFonts w:ascii="Times New Roman" w:hAnsi="Times New Roman"/>
          <w:lang w:val="sk-SK"/>
        </w:rPr>
      </w:pPr>
    </w:p>
    <w:p w14:paraId="65BB6388"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Ak sa vás týka niečo z vyššie uvedeného, povedzte to svojmu lekárovi alebo lekárnikovi predtým, ako začnete užívať Tolucombi.</w:t>
      </w:r>
    </w:p>
    <w:p w14:paraId="60E6486C" w14:textId="77777777" w:rsidR="00582954" w:rsidRDefault="00582954">
      <w:pPr>
        <w:widowControl w:val="0"/>
        <w:autoSpaceDE w:val="0"/>
        <w:autoSpaceDN w:val="0"/>
        <w:adjustRightInd w:val="0"/>
        <w:spacing w:after="0" w:line="240" w:lineRule="auto"/>
        <w:rPr>
          <w:rFonts w:ascii="Times New Roman" w:hAnsi="Times New Roman"/>
          <w:lang w:val="sk-SK"/>
        </w:rPr>
      </w:pPr>
    </w:p>
    <w:p w14:paraId="7D754646" w14:textId="77777777" w:rsidR="00582954" w:rsidRDefault="00645977">
      <w:pPr>
        <w:widowControl w:val="0"/>
        <w:autoSpaceDE w:val="0"/>
        <w:autoSpaceDN w:val="0"/>
        <w:adjustRightInd w:val="0"/>
        <w:spacing w:after="0" w:line="240" w:lineRule="auto"/>
        <w:rPr>
          <w:rFonts w:ascii="Times New Roman" w:hAnsi="Times New Roman"/>
          <w:b/>
          <w:bCs/>
          <w:lang w:val="sk-SK"/>
        </w:rPr>
      </w:pPr>
      <w:r>
        <w:rPr>
          <w:rFonts w:ascii="Times New Roman" w:hAnsi="Times New Roman"/>
          <w:b/>
          <w:bCs/>
          <w:lang w:val="sk-SK"/>
        </w:rPr>
        <w:t>Upozornenia a opatrenia</w:t>
      </w:r>
    </w:p>
    <w:p w14:paraId="1715F2FA"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Predtým, ako začnete užívať Tolucombi, obráťte sa na svojho lekára, ak máte alebo sa niekedy u vás vyskytol niektorý z nasledujúcich stavov alebo ochorení:</w:t>
      </w:r>
    </w:p>
    <w:p w14:paraId="40172AED" w14:textId="77777777" w:rsidR="00582954" w:rsidRDefault="00645977">
      <w:pPr>
        <w:widowControl w:val="0"/>
        <w:numPr>
          <w:ilvl w:val="0"/>
          <w:numId w:val="9"/>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t>nízky krvný tlak (hypotenzia), pravdepodobne sa vyskytne, ak ste dehydrovaný (nadmerná strata vody z tela) alebo ak máte nedostatok soli následkom diuretickej liečby (tablety na odvodnenie), diéty s nízkym obsahom soli, hnačky, vracania alebo ste na hemofiltrácii.</w:t>
      </w:r>
    </w:p>
    <w:p w14:paraId="53D69239" w14:textId="77777777" w:rsidR="00582954" w:rsidRDefault="00645977">
      <w:pPr>
        <w:widowControl w:val="0"/>
        <w:numPr>
          <w:ilvl w:val="0"/>
          <w:numId w:val="9"/>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t>ochorenie obličiek alebo ste po transplantácii obličky.</w:t>
      </w:r>
    </w:p>
    <w:p w14:paraId="69B48386" w14:textId="77777777" w:rsidR="00582954" w:rsidRDefault="00645977">
      <w:pPr>
        <w:widowControl w:val="0"/>
        <w:numPr>
          <w:ilvl w:val="0"/>
          <w:numId w:val="9"/>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t>obličková arteriálna stenóza (zúženie krvných ciev jednej alebo oboch obličiek).</w:t>
      </w:r>
    </w:p>
    <w:p w14:paraId="4D269E52" w14:textId="77777777" w:rsidR="00582954" w:rsidRDefault="00645977">
      <w:pPr>
        <w:widowControl w:val="0"/>
        <w:numPr>
          <w:ilvl w:val="0"/>
          <w:numId w:val="9"/>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t>ochorenie pečene.</w:t>
      </w:r>
    </w:p>
    <w:p w14:paraId="5D94862E" w14:textId="77777777" w:rsidR="00582954" w:rsidRDefault="00645977">
      <w:pPr>
        <w:widowControl w:val="0"/>
        <w:numPr>
          <w:ilvl w:val="0"/>
          <w:numId w:val="9"/>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t>problémy so srdcom.</w:t>
      </w:r>
    </w:p>
    <w:p w14:paraId="25EC7D1C" w14:textId="77777777" w:rsidR="00582954" w:rsidRDefault="00645977">
      <w:pPr>
        <w:widowControl w:val="0"/>
        <w:numPr>
          <w:ilvl w:val="0"/>
          <w:numId w:val="9"/>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t>cukrovka.</w:t>
      </w:r>
    </w:p>
    <w:p w14:paraId="7C88724F" w14:textId="77777777" w:rsidR="00582954" w:rsidRDefault="00645977">
      <w:pPr>
        <w:widowControl w:val="0"/>
        <w:numPr>
          <w:ilvl w:val="0"/>
          <w:numId w:val="9"/>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t>dna.</w:t>
      </w:r>
    </w:p>
    <w:p w14:paraId="19964A6C" w14:textId="77777777" w:rsidR="00582954" w:rsidRDefault="00645977">
      <w:pPr>
        <w:widowControl w:val="0"/>
        <w:numPr>
          <w:ilvl w:val="0"/>
          <w:numId w:val="9"/>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t>zvýšená hladina aldosterónu (zadržiavanie vody a solí v tele popri nerovnováhe rôznych krvných minerálov).</w:t>
      </w:r>
    </w:p>
    <w:p w14:paraId="35B1BF51" w14:textId="77777777" w:rsidR="00582954" w:rsidRDefault="00645977">
      <w:pPr>
        <w:widowControl w:val="0"/>
        <w:numPr>
          <w:ilvl w:val="0"/>
          <w:numId w:val="9"/>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t>ochorenie systémový lupus erythematosus (nazývaný tiež „lupus“ alebo „SLE“) – ochorenie, pri ktorom imunitný systém napáda telo.</w:t>
      </w:r>
    </w:p>
    <w:p w14:paraId="7F055519" w14:textId="77777777" w:rsidR="00582954" w:rsidRDefault="00645977">
      <w:pPr>
        <w:widowControl w:val="0"/>
        <w:numPr>
          <w:ilvl w:val="0"/>
          <w:numId w:val="9"/>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t xml:space="preserve">liečivo hydrochlórtiazid môže spôsobiť neobvyklé reakcie, ktorých následkom je zhoršené videnie a bolesť oka. Toto môžu byť príznaky </w:t>
      </w:r>
      <w:r>
        <w:rPr>
          <w:rFonts w:ascii="Times New Roman" w:hAnsi="Times New Roman"/>
        </w:rPr>
        <w:t xml:space="preserve">nahromadenia tekutiny vo vrstve oka obsahujúcej cievy (choroidálna efúzia) alebo </w:t>
      </w:r>
      <w:r>
        <w:rPr>
          <w:rFonts w:ascii="Times New Roman" w:hAnsi="Times New Roman"/>
          <w:lang w:val="sk-SK"/>
        </w:rPr>
        <w:t>zvýšeného tlaku v oku a môžu sa objaviť v priebehu niekoľkých hodín alebo týždňov užívania Tolucombi. Ak sa neliečia, môžu viesť k trvalému poškodeniu zraku.</w:t>
      </w:r>
    </w:p>
    <w:p w14:paraId="0A9E95A6" w14:textId="77777777" w:rsidR="00582954" w:rsidRDefault="00645977">
      <w:pPr>
        <w:widowControl w:val="0"/>
        <w:numPr>
          <w:ilvl w:val="0"/>
          <w:numId w:val="29"/>
        </w:numPr>
        <w:autoSpaceDE w:val="0"/>
        <w:autoSpaceDN w:val="0"/>
        <w:adjustRightInd w:val="0"/>
        <w:spacing w:after="0" w:line="240" w:lineRule="auto"/>
        <w:ind w:left="567" w:right="-284" w:hanging="567"/>
        <w:rPr>
          <w:rFonts w:ascii="Times New Roman" w:hAnsi="Times New Roman"/>
          <w:bCs/>
        </w:rPr>
      </w:pPr>
      <w:r>
        <w:rPr>
          <w:rFonts w:ascii="Times New Roman" w:hAnsi="Times New Roman"/>
          <w:szCs w:val="23"/>
          <w:lang w:val="sk-SK" w:eastAsia="sk-SK"/>
        </w:rPr>
        <w:t xml:space="preserve">ak ste mali rakovinu kože alebo sa u vás počas liečby objavil neočakávaný nález na koži. Liečba hydrochlórtiazidom, najmä dlhodobé používanie vysokých dávok, môže zvýšiť riziko vzniku niektorých druhov rakoviny kože a rakoviny pier (nemelanómová rakovina kože). Počas užívania </w:t>
      </w:r>
      <w:r>
        <w:rPr>
          <w:rFonts w:ascii="Times New Roman" w:hAnsi="Times New Roman"/>
          <w:lang w:val="sk-SK"/>
        </w:rPr>
        <w:t>Tolucombi</w:t>
      </w:r>
      <w:r>
        <w:rPr>
          <w:rFonts w:ascii="Times New Roman" w:hAnsi="Times New Roman"/>
          <w:szCs w:val="23"/>
          <w:lang w:val="sk-SK" w:eastAsia="sk-SK"/>
        </w:rPr>
        <w:t xml:space="preserve"> si chráňte kožu pred slnečným žiarením a UV lúčmi.</w:t>
      </w:r>
    </w:p>
    <w:p w14:paraId="00DFB4A2" w14:textId="77777777" w:rsidR="00582954" w:rsidRDefault="00582954">
      <w:pPr>
        <w:widowControl w:val="0"/>
        <w:autoSpaceDE w:val="0"/>
        <w:autoSpaceDN w:val="0"/>
        <w:adjustRightInd w:val="0"/>
        <w:spacing w:after="0" w:line="240" w:lineRule="auto"/>
        <w:rPr>
          <w:rFonts w:ascii="Times New Roman" w:hAnsi="Times New Roman"/>
          <w:bCs/>
        </w:rPr>
      </w:pPr>
    </w:p>
    <w:p w14:paraId="21216E97" w14:textId="77777777" w:rsidR="00582954" w:rsidRDefault="00645977">
      <w:pPr>
        <w:widowControl w:val="0"/>
        <w:numPr>
          <w:ilvl w:val="12"/>
          <w:numId w:val="0"/>
        </w:numPr>
        <w:spacing w:after="0" w:line="240" w:lineRule="auto"/>
        <w:rPr>
          <w:rFonts w:ascii="Times New Roman" w:hAnsi="Times New Roman"/>
          <w:noProof/>
          <w:lang w:val="sk-SK"/>
        </w:rPr>
      </w:pPr>
      <w:r>
        <w:rPr>
          <w:rFonts w:ascii="Times New Roman" w:hAnsi="Times New Roman"/>
          <w:lang w:val="sk-SK"/>
        </w:rPr>
        <w:t>Predtým, ako začnete užívať Tolucombi, obráťte sa na svojho lekára:</w:t>
      </w:r>
    </w:p>
    <w:p w14:paraId="1A9C5221" w14:textId="77777777" w:rsidR="00582954" w:rsidRDefault="00645977">
      <w:pPr>
        <w:spacing w:after="0" w:line="240" w:lineRule="auto"/>
        <w:ind w:left="567" w:hanging="567"/>
        <w:rPr>
          <w:rFonts w:ascii="Times New Roman" w:hAnsi="Times New Roman"/>
          <w:lang w:val="sk-SK"/>
        </w:rPr>
      </w:pPr>
      <w:r>
        <w:rPr>
          <w:rFonts w:ascii="Times New Roman" w:hAnsi="Times New Roman"/>
          <w:lang w:val="sk-SK"/>
        </w:rPr>
        <w:t>-</w:t>
      </w:r>
      <w:r>
        <w:rPr>
          <w:rFonts w:ascii="Times New Roman" w:hAnsi="Times New Roman"/>
          <w:lang w:val="sk-SK"/>
        </w:rPr>
        <w:tab/>
        <w:t>ak užívate niektorý z nasledujúcich liekov, ktoré sa používajú na liečbu vysokého tlaku krvi:</w:t>
      </w:r>
    </w:p>
    <w:p w14:paraId="7A076E99" w14:textId="77777777" w:rsidR="00582954" w:rsidRDefault="00645977">
      <w:pPr>
        <w:numPr>
          <w:ilvl w:val="0"/>
          <w:numId w:val="25"/>
        </w:numPr>
        <w:tabs>
          <w:tab w:val="left" w:pos="709"/>
        </w:tabs>
        <w:spacing w:after="0" w:line="240" w:lineRule="auto"/>
        <w:ind w:left="709" w:hanging="142"/>
        <w:rPr>
          <w:rFonts w:ascii="Times New Roman" w:hAnsi="Times New Roman"/>
          <w:lang w:val="sk-SK"/>
        </w:rPr>
      </w:pPr>
      <w:r>
        <w:rPr>
          <w:rFonts w:ascii="Times New Roman" w:hAnsi="Times New Roman"/>
          <w:lang w:val="sk-SK"/>
        </w:rPr>
        <w:t>inhibítor ACE (napr. enalapril, lizinopril, ramipril), najmä ak máte problémy s obličkami súvisiace s cukrovkou.</w:t>
      </w:r>
    </w:p>
    <w:p w14:paraId="0A2AEB65" w14:textId="77777777" w:rsidR="00582954" w:rsidRDefault="00645977">
      <w:pPr>
        <w:widowControl w:val="0"/>
        <w:numPr>
          <w:ilvl w:val="0"/>
          <w:numId w:val="25"/>
        </w:numPr>
        <w:tabs>
          <w:tab w:val="left" w:pos="709"/>
        </w:tabs>
        <w:spacing w:after="0" w:line="240" w:lineRule="auto"/>
        <w:ind w:left="709" w:hanging="142"/>
        <w:rPr>
          <w:rFonts w:ascii="Times New Roman" w:hAnsi="Times New Roman"/>
          <w:lang w:val="sk-SK"/>
        </w:rPr>
      </w:pPr>
      <w:r>
        <w:rPr>
          <w:rFonts w:ascii="Times New Roman" w:hAnsi="Times New Roman"/>
          <w:lang w:val="sk-SK"/>
        </w:rPr>
        <w:t>aliskirén.</w:t>
      </w:r>
    </w:p>
    <w:p w14:paraId="2B952AAE" w14:textId="77777777" w:rsidR="00582954" w:rsidRDefault="00645977">
      <w:pPr>
        <w:spacing w:after="0" w:line="240" w:lineRule="auto"/>
        <w:ind w:left="567"/>
        <w:rPr>
          <w:rFonts w:ascii="Times New Roman" w:hAnsi="Times New Roman"/>
          <w:lang w:val="sk-SK"/>
        </w:rPr>
      </w:pPr>
      <w:r>
        <w:rPr>
          <w:rFonts w:ascii="Times New Roman" w:hAnsi="Times New Roman"/>
          <w:lang w:val="sk-SK"/>
        </w:rPr>
        <w:t>Lekár vám môže pravidelne kontrolovať funkciu obličiek, krvný tlak a množstvo elektrolytov (napr. draslíka) v krvi. Pozri tiež informácie v časti „Neužívajte Tolucombi“.</w:t>
      </w:r>
    </w:p>
    <w:p w14:paraId="14931667" w14:textId="77777777" w:rsidR="00582954" w:rsidRDefault="00645977">
      <w:pPr>
        <w:pStyle w:val="Odsekzoznamu"/>
        <w:numPr>
          <w:ilvl w:val="0"/>
          <w:numId w:val="31"/>
        </w:numPr>
        <w:spacing w:after="0" w:line="240" w:lineRule="auto"/>
        <w:ind w:left="567" w:hanging="567"/>
        <w:rPr>
          <w:rFonts w:ascii="Times New Roman" w:hAnsi="Times New Roman"/>
          <w:lang w:val="sk-SK"/>
        </w:rPr>
      </w:pPr>
      <w:r>
        <w:rPr>
          <w:rFonts w:ascii="Times New Roman" w:hAnsi="Times New Roman"/>
          <w:lang w:val="sk-SK"/>
        </w:rPr>
        <w:t>ak užívate digoxín.</w:t>
      </w:r>
    </w:p>
    <w:p w14:paraId="69CF21F1" w14:textId="77777777" w:rsidR="00582954" w:rsidRDefault="00645977">
      <w:pPr>
        <w:pStyle w:val="Odsekzoznamu"/>
        <w:numPr>
          <w:ilvl w:val="0"/>
          <w:numId w:val="31"/>
        </w:numPr>
        <w:spacing w:after="0" w:line="240" w:lineRule="auto"/>
        <w:ind w:left="567" w:hanging="567"/>
        <w:rPr>
          <w:rFonts w:ascii="Times New Roman" w:hAnsi="Times New Roman"/>
          <w:lang w:val="sk-SK"/>
        </w:rPr>
      </w:pPr>
      <w:r>
        <w:rPr>
          <w:rFonts w:ascii="Times New Roman" w:hAnsi="Times New Roman"/>
          <w:lang w:val="sk-SK"/>
        </w:rPr>
        <w:lastRenderedPageBreak/>
        <w:t>ak ste v minulosti mali problémy s dýchaním alebo s pľúcami (vrátane zápalu alebo tekutiny v pľúcach) po užití hydrochlórtiazidu. Ak sa u vás po užití Tolucombi vyskytne akákoľvek závažná dýchavičnosť alebo ťažkosti s dýchaním, ihneď vyhľadajte lekársku pomoc.</w:t>
      </w:r>
    </w:p>
    <w:p w14:paraId="4A56010D" w14:textId="77777777" w:rsidR="00582954" w:rsidRDefault="00582954">
      <w:pPr>
        <w:widowControl w:val="0"/>
        <w:autoSpaceDE w:val="0"/>
        <w:autoSpaceDN w:val="0"/>
        <w:adjustRightInd w:val="0"/>
        <w:spacing w:after="0" w:line="240" w:lineRule="auto"/>
        <w:ind w:firstLine="567"/>
        <w:rPr>
          <w:rFonts w:ascii="Times New Roman" w:hAnsi="Times New Roman"/>
          <w:lang w:val="sk-SK"/>
        </w:rPr>
      </w:pPr>
    </w:p>
    <w:p w14:paraId="60733C24" w14:textId="77777777" w:rsidR="00582954" w:rsidRDefault="00645977">
      <w:pPr>
        <w:spacing w:after="0" w:line="240" w:lineRule="auto"/>
        <w:ind w:right="-284"/>
        <w:rPr>
          <w:rFonts w:ascii="Times New Roman" w:hAnsi="Times New Roman"/>
          <w:bCs/>
        </w:rPr>
      </w:pPr>
      <w:r>
        <w:rPr>
          <w:rFonts w:ascii="Times New Roman" w:hAnsi="Times New Roman"/>
          <w:bCs/>
        </w:rPr>
        <w:t xml:space="preserve">Ak sa u vás po užití lieku </w:t>
      </w:r>
      <w:r>
        <w:rPr>
          <w:rFonts w:ascii="Times New Roman" w:hAnsi="Times New Roman"/>
          <w:lang w:val="sk-SK"/>
        </w:rPr>
        <w:t>Tolucombi</w:t>
      </w:r>
      <w:r>
        <w:rPr>
          <w:rFonts w:ascii="Times New Roman" w:hAnsi="Times New Roman"/>
          <w:bCs/>
        </w:rPr>
        <w:t xml:space="preserve"> vyskytne bolesť brucha, nevoľnosť, vracanie alebo hnačka, obráťte sa na svojho lekára. Váš lekár rozhodne o ďalšej liečbe. Svojvoľne neprerušujte liečbu </w:t>
      </w:r>
      <w:r>
        <w:rPr>
          <w:rFonts w:ascii="Times New Roman" w:hAnsi="Times New Roman"/>
          <w:lang w:val="sk-SK"/>
        </w:rPr>
        <w:t>Tolucombi</w:t>
      </w:r>
      <w:r>
        <w:rPr>
          <w:rFonts w:ascii="Times New Roman" w:hAnsi="Times New Roman"/>
          <w:bCs/>
        </w:rPr>
        <w:t>.</w:t>
      </w:r>
    </w:p>
    <w:p w14:paraId="3FD72AE9" w14:textId="77777777" w:rsidR="00582954" w:rsidRDefault="00582954">
      <w:pPr>
        <w:widowControl w:val="0"/>
        <w:autoSpaceDE w:val="0"/>
        <w:autoSpaceDN w:val="0"/>
        <w:adjustRightInd w:val="0"/>
        <w:spacing w:after="0" w:line="240" w:lineRule="auto"/>
        <w:rPr>
          <w:rFonts w:ascii="Times New Roman" w:hAnsi="Times New Roman"/>
          <w:lang w:val="sk-SK"/>
        </w:rPr>
      </w:pPr>
    </w:p>
    <w:p w14:paraId="3C9613D2"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Ak si myslíte, že ste (</w:t>
      </w:r>
      <w:r>
        <w:rPr>
          <w:rFonts w:ascii="Times New Roman" w:hAnsi="Times New Roman"/>
          <w:u w:val="single"/>
          <w:lang w:val="sk-SK"/>
        </w:rPr>
        <w:t>alebo môžete byť</w:t>
      </w:r>
      <w:r>
        <w:rPr>
          <w:rFonts w:ascii="Times New Roman" w:hAnsi="Times New Roman"/>
          <w:lang w:val="sk-SK"/>
        </w:rPr>
        <w:t>) tehotná, musíte to povedať svojmu lekárovi. Tolucombi sa neodporúča užívať na začiatku tehotenstva a nesmie sa užívať, ak ste tehotná dlhšie ako 3 mesiace, pretože môže spôsobiť závažné poškodenie vášho dieťaťa, ak sa užíva v tomto období (pozri časť „Tehotenstvo a dojčenie“).</w:t>
      </w:r>
    </w:p>
    <w:p w14:paraId="64833DB2" w14:textId="77777777" w:rsidR="00582954" w:rsidRDefault="00582954">
      <w:pPr>
        <w:widowControl w:val="0"/>
        <w:autoSpaceDE w:val="0"/>
        <w:autoSpaceDN w:val="0"/>
        <w:adjustRightInd w:val="0"/>
        <w:spacing w:after="0" w:line="240" w:lineRule="auto"/>
        <w:rPr>
          <w:rFonts w:ascii="Times New Roman" w:hAnsi="Times New Roman"/>
          <w:lang w:val="sk-SK"/>
        </w:rPr>
      </w:pPr>
    </w:p>
    <w:p w14:paraId="19E2D0C6" w14:textId="77777777" w:rsidR="00582954" w:rsidRDefault="00645977">
      <w:pPr>
        <w:widowControl w:val="0"/>
        <w:autoSpaceDE w:val="0"/>
        <w:autoSpaceDN w:val="0"/>
        <w:adjustRightInd w:val="0"/>
        <w:spacing w:after="0" w:line="240" w:lineRule="auto"/>
        <w:ind w:right="-235"/>
        <w:rPr>
          <w:rFonts w:ascii="Times New Roman" w:hAnsi="Times New Roman"/>
          <w:lang w:val="sk-SK"/>
        </w:rPr>
      </w:pPr>
      <w:r>
        <w:rPr>
          <w:rFonts w:ascii="Times New Roman" w:hAnsi="Times New Roman"/>
          <w:lang w:val="sk-SK"/>
        </w:rPr>
        <w:t>Liečba hydrochlórtiazidom môže spôsobiť nerovnováhu elektrolytov v tele. Typické príznaky nerovnováhy telesných tekutín alebo elektrolytov zahŕňajú sucho v ústach, slabosť, apatiu, ospalosť, nepokoj, bolesť svalov alebo kŕče, nauzeu (nevoľnosť), vracanie, svalovú únavu a neobvykle zrýchlený pulz (viac ako 100 úderov za minútu). Ak spozorujete niektorý z týchto príznakov, povedzte to svojmu lekárovi.</w:t>
      </w:r>
    </w:p>
    <w:p w14:paraId="2D70001E" w14:textId="77777777" w:rsidR="00582954" w:rsidRDefault="00582954">
      <w:pPr>
        <w:widowControl w:val="0"/>
        <w:autoSpaceDE w:val="0"/>
        <w:autoSpaceDN w:val="0"/>
        <w:adjustRightInd w:val="0"/>
        <w:spacing w:after="0" w:line="240" w:lineRule="auto"/>
        <w:rPr>
          <w:rFonts w:ascii="Times New Roman" w:hAnsi="Times New Roman"/>
          <w:lang w:val="sk-SK"/>
        </w:rPr>
      </w:pPr>
    </w:p>
    <w:p w14:paraId="3CC13D9D"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Svojmu lekárovi tiež musíte povedať, ak máte zvýšenú citlivosť kože na slnko s príznakmi spálenia (ako je sčervenenie, svrbenie, opuch, tvorba pľuzgierov), ktoré nastanú rýchlejšie ako zvyčajne.</w:t>
      </w:r>
    </w:p>
    <w:p w14:paraId="5C658B26" w14:textId="77777777" w:rsidR="00582954" w:rsidRDefault="00582954">
      <w:pPr>
        <w:widowControl w:val="0"/>
        <w:autoSpaceDE w:val="0"/>
        <w:autoSpaceDN w:val="0"/>
        <w:adjustRightInd w:val="0"/>
        <w:spacing w:after="0" w:line="240" w:lineRule="auto"/>
        <w:rPr>
          <w:rFonts w:ascii="Times New Roman" w:hAnsi="Times New Roman"/>
          <w:lang w:val="sk-SK"/>
        </w:rPr>
      </w:pPr>
    </w:p>
    <w:p w14:paraId="3E9805D9"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Pred chirurgickým zákrokom alebo anestéziou informujte svojho lekára o tom, že užívate Tolucombi.</w:t>
      </w:r>
    </w:p>
    <w:p w14:paraId="692535E3" w14:textId="77777777" w:rsidR="00582954" w:rsidRDefault="00582954">
      <w:pPr>
        <w:widowControl w:val="0"/>
        <w:autoSpaceDE w:val="0"/>
        <w:autoSpaceDN w:val="0"/>
        <w:adjustRightInd w:val="0"/>
        <w:spacing w:after="0" w:line="240" w:lineRule="auto"/>
        <w:rPr>
          <w:rFonts w:ascii="Times New Roman" w:hAnsi="Times New Roman"/>
          <w:lang w:val="sk-SK"/>
        </w:rPr>
      </w:pPr>
    </w:p>
    <w:p w14:paraId="5391406C"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Tolucombi môže mať nižšiu účinnosť pri znižovaní krvného tlaku u černošských pacientov.</w:t>
      </w:r>
    </w:p>
    <w:p w14:paraId="06614BD9" w14:textId="77777777" w:rsidR="00582954" w:rsidRDefault="00582954">
      <w:pPr>
        <w:widowControl w:val="0"/>
        <w:autoSpaceDE w:val="0"/>
        <w:autoSpaceDN w:val="0"/>
        <w:adjustRightInd w:val="0"/>
        <w:spacing w:after="0" w:line="240" w:lineRule="auto"/>
        <w:rPr>
          <w:rFonts w:ascii="Times New Roman" w:hAnsi="Times New Roman"/>
          <w:b/>
          <w:lang w:val="sk-SK"/>
        </w:rPr>
      </w:pPr>
    </w:p>
    <w:p w14:paraId="5DA78ACA" w14:textId="77777777" w:rsidR="00582954" w:rsidRDefault="00645977">
      <w:pPr>
        <w:widowControl w:val="0"/>
        <w:autoSpaceDE w:val="0"/>
        <w:autoSpaceDN w:val="0"/>
        <w:adjustRightInd w:val="0"/>
        <w:spacing w:after="0" w:line="240" w:lineRule="auto"/>
        <w:rPr>
          <w:rFonts w:ascii="Times New Roman" w:hAnsi="Times New Roman"/>
          <w:b/>
          <w:lang w:val="sk-SK"/>
        </w:rPr>
      </w:pPr>
      <w:r>
        <w:rPr>
          <w:rFonts w:ascii="Times New Roman" w:hAnsi="Times New Roman"/>
          <w:b/>
          <w:lang w:val="sk-SK"/>
        </w:rPr>
        <w:t>Deti a dospievajúci</w:t>
      </w:r>
    </w:p>
    <w:p w14:paraId="7F8441BE"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Užívanie Tolucombi u detí a dospievajúcich do 18 rokov sa neodporúča.</w:t>
      </w:r>
    </w:p>
    <w:p w14:paraId="0FDB187A" w14:textId="77777777" w:rsidR="00582954" w:rsidRDefault="00582954">
      <w:pPr>
        <w:widowControl w:val="0"/>
        <w:autoSpaceDE w:val="0"/>
        <w:autoSpaceDN w:val="0"/>
        <w:adjustRightInd w:val="0"/>
        <w:spacing w:after="0" w:line="240" w:lineRule="auto"/>
        <w:rPr>
          <w:rFonts w:ascii="Times New Roman" w:hAnsi="Times New Roman"/>
          <w:lang w:val="sk-SK"/>
        </w:rPr>
      </w:pPr>
    </w:p>
    <w:p w14:paraId="6346BCEF" w14:textId="77777777" w:rsidR="00582954" w:rsidRDefault="00645977">
      <w:pPr>
        <w:widowControl w:val="0"/>
        <w:autoSpaceDE w:val="0"/>
        <w:autoSpaceDN w:val="0"/>
        <w:adjustRightInd w:val="0"/>
        <w:spacing w:after="0" w:line="240" w:lineRule="auto"/>
        <w:rPr>
          <w:rFonts w:ascii="Times New Roman" w:hAnsi="Times New Roman"/>
          <w:b/>
          <w:bCs/>
          <w:lang w:val="sk-SK"/>
        </w:rPr>
      </w:pPr>
      <w:r>
        <w:rPr>
          <w:rFonts w:ascii="Times New Roman" w:hAnsi="Times New Roman"/>
          <w:b/>
          <w:bCs/>
          <w:lang w:val="sk-SK"/>
        </w:rPr>
        <w:t>Iné lieky a Tolucombi</w:t>
      </w:r>
    </w:p>
    <w:p w14:paraId="2BCB1B01"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Ak teraz užívate, alebo ste v poslednom čase užívali, či práve budete užívať ďalšie lieky, povedzte to svojmu lekárovi alebo lekárnikovi. Váš lekár možno bude musieť zmeniť dávkovanie ostatných liekov alebo urobiť iné opatrenia. V niektorých prípadoch možno prestanete užívať niektoré lieky. Vzťahuje sa to najmä na nižšie uvedené lieky, ak sa užívajú súbežne s Tolucombi:</w:t>
      </w:r>
    </w:p>
    <w:p w14:paraId="29D7CAB5" w14:textId="77777777" w:rsidR="00582954" w:rsidRDefault="00645977">
      <w:pPr>
        <w:widowControl w:val="0"/>
        <w:numPr>
          <w:ilvl w:val="0"/>
          <w:numId w:val="10"/>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t>lieky s obsahom lítia na liečbu niektorých druhov depresie.</w:t>
      </w:r>
    </w:p>
    <w:p w14:paraId="56885752" w14:textId="77777777" w:rsidR="00582954" w:rsidRDefault="00645977">
      <w:pPr>
        <w:widowControl w:val="0"/>
        <w:numPr>
          <w:ilvl w:val="0"/>
          <w:numId w:val="10"/>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t>lieky spojené s nízkou hladinou draslíka v krvi (hypokaliémia), ako sú diuretiká („tablety na odvodnenie“), preháňadlá (napr. ricínový olej), kortikosteroidy (napr. prednizón), ACTH (hormón), amfotericín (liek proti hubovým infekciám), karbenoxolón (používa sa na liečbu vredov v ústach), sodná soľ benzylpenicilínu (antibiotikum), kyselina salicylová a jej deriváty.</w:t>
      </w:r>
    </w:p>
    <w:p w14:paraId="478ACF43" w14:textId="77777777" w:rsidR="00582954" w:rsidRDefault="00645977">
      <w:pPr>
        <w:widowControl w:val="0"/>
        <w:numPr>
          <w:ilvl w:val="0"/>
          <w:numId w:val="10"/>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t>jódové kontrastné látky používané pri zobrazovacích vyšetreniach.</w:t>
      </w:r>
    </w:p>
    <w:p w14:paraId="333E1B73" w14:textId="77777777" w:rsidR="00582954" w:rsidRDefault="00645977">
      <w:pPr>
        <w:widowControl w:val="0"/>
        <w:numPr>
          <w:ilvl w:val="0"/>
          <w:numId w:val="10"/>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t xml:space="preserve">lieky, ktoré môžu zvýšiť hladinu draslíka v krvi, ako sú draslík šetriace diuretiká, náhrady draslíka, náhrady soli obsahujúce draslík, </w:t>
      </w:r>
      <w:smartTag w:uri="urn:schemas-microsoft-com:office:smarttags" w:element="stockticker">
        <w:r>
          <w:rPr>
            <w:rFonts w:ascii="Times New Roman" w:hAnsi="Times New Roman"/>
            <w:lang w:val="sk-SK"/>
          </w:rPr>
          <w:t>ACE</w:t>
        </w:r>
      </w:smartTag>
      <w:r>
        <w:rPr>
          <w:rFonts w:ascii="Times New Roman" w:hAnsi="Times New Roman"/>
          <w:lang w:val="sk-SK"/>
        </w:rPr>
        <w:t xml:space="preserve"> inhibítory, cyklosporín (imunosupresívum) a iné liečivá, ako je sodná soľ heparínu (antikoagulant).</w:t>
      </w:r>
    </w:p>
    <w:p w14:paraId="70AFEA02" w14:textId="77777777" w:rsidR="00582954" w:rsidRDefault="00645977">
      <w:pPr>
        <w:widowControl w:val="0"/>
        <w:numPr>
          <w:ilvl w:val="0"/>
          <w:numId w:val="10"/>
        </w:numPr>
        <w:autoSpaceDE w:val="0"/>
        <w:autoSpaceDN w:val="0"/>
        <w:adjustRightInd w:val="0"/>
        <w:spacing w:after="0" w:line="240" w:lineRule="auto"/>
        <w:ind w:left="567" w:right="-94" w:hanging="567"/>
        <w:rPr>
          <w:rFonts w:ascii="Times New Roman" w:hAnsi="Times New Roman"/>
          <w:lang w:val="sk-SK"/>
        </w:rPr>
      </w:pPr>
      <w:r>
        <w:rPr>
          <w:rFonts w:ascii="Times New Roman" w:hAnsi="Times New Roman"/>
          <w:lang w:val="sk-SK"/>
        </w:rPr>
        <w:t>lieky, ktorých účinok je ovplyvnený zmenou koncentrácie draslíka v krvi, ako sú lieky na srdce (napr. digoxín) alebo lieky na kontrolu srdcového rytmu (napr. chinidín, dizopyramid, amiodarón, sotalol), lieky používané pri duševných poruchách (napr. tioridazín, chlórpromazín, levomepromazín) a ďalšie lieky, ako sú niektoré antibiotiká (napr. sparfloxacín, pentamidín) alebo niektoré lieky na liečbu alergických reakcií (napr. terfenadín).</w:t>
      </w:r>
    </w:p>
    <w:p w14:paraId="27B149C3" w14:textId="77777777" w:rsidR="00582954" w:rsidRDefault="00645977">
      <w:pPr>
        <w:widowControl w:val="0"/>
        <w:numPr>
          <w:ilvl w:val="0"/>
          <w:numId w:val="10"/>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t>lieky na liečbu cukrovky (inzulíny alebo perorálne liečivá, ako je metformín).</w:t>
      </w:r>
    </w:p>
    <w:p w14:paraId="57677B34" w14:textId="77777777" w:rsidR="00582954" w:rsidRDefault="00645977">
      <w:pPr>
        <w:widowControl w:val="0"/>
        <w:numPr>
          <w:ilvl w:val="0"/>
          <w:numId w:val="10"/>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t xml:space="preserve">cholestyramín a cholestipol, lieky na znižovanie tukov v krvi. </w:t>
      </w:r>
    </w:p>
    <w:p w14:paraId="37EE7107" w14:textId="77777777" w:rsidR="00582954" w:rsidRDefault="00645977">
      <w:pPr>
        <w:widowControl w:val="0"/>
        <w:numPr>
          <w:ilvl w:val="0"/>
          <w:numId w:val="10"/>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t>liečivá zvyšujúce krvný tlak, ako je noradrenalín.</w:t>
      </w:r>
    </w:p>
    <w:p w14:paraId="5172EC0A" w14:textId="77777777" w:rsidR="00582954" w:rsidRDefault="00645977">
      <w:pPr>
        <w:widowControl w:val="0"/>
        <w:numPr>
          <w:ilvl w:val="0"/>
          <w:numId w:val="10"/>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t>liečivá uvoľňujúce svaly, ako je tubokurarín.</w:t>
      </w:r>
    </w:p>
    <w:p w14:paraId="40D614F3" w14:textId="77777777" w:rsidR="00582954" w:rsidRDefault="00645977">
      <w:pPr>
        <w:widowControl w:val="0"/>
        <w:numPr>
          <w:ilvl w:val="0"/>
          <w:numId w:val="10"/>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t>doplnky s obsahom vápnika a/alebo vitamínu D.</w:t>
      </w:r>
    </w:p>
    <w:p w14:paraId="6FEE7588" w14:textId="77777777" w:rsidR="00582954" w:rsidRDefault="00645977">
      <w:pPr>
        <w:widowControl w:val="0"/>
        <w:numPr>
          <w:ilvl w:val="0"/>
          <w:numId w:val="10"/>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t xml:space="preserve">anticholinergiká (lieky používané pri liečbe rôznych ochorení, ako sú kŕče tráviaceho traktu, kŕče močového mechúra, astma, kinetóza </w:t>
      </w:r>
      <w:bookmarkStart w:id="27" w:name="_Hlk188527217"/>
      <w:r>
        <w:rPr>
          <w:rFonts w:ascii="Times New Roman" w:hAnsi="Times New Roman"/>
          <w:lang w:val="sk-SK"/>
        </w:rPr>
        <w:t>(nevoľnosť z pohybu</w:t>
      </w:r>
      <w:bookmarkEnd w:id="27"/>
      <w:r>
        <w:rPr>
          <w:rFonts w:ascii="Times New Roman" w:hAnsi="Times New Roman"/>
          <w:lang w:val="sk-SK"/>
        </w:rPr>
        <w:t>), svalové kŕče, Parkinsonova choroba a ako pomocné lieky pri anestézii), ako sú atropín a biperidén.</w:t>
      </w:r>
    </w:p>
    <w:p w14:paraId="2A1FD8A5" w14:textId="77777777" w:rsidR="00582954" w:rsidRDefault="00645977">
      <w:pPr>
        <w:widowControl w:val="0"/>
        <w:numPr>
          <w:ilvl w:val="0"/>
          <w:numId w:val="10"/>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lastRenderedPageBreak/>
        <w:t>amantadín (liek na liečbu Parkinsonovej choroby a zároveň na liečbu alebo prevenciu niektorých vírusových ochorení).</w:t>
      </w:r>
    </w:p>
    <w:p w14:paraId="22C6FDB2" w14:textId="77777777" w:rsidR="00582954" w:rsidRDefault="00645977">
      <w:pPr>
        <w:widowControl w:val="0"/>
        <w:numPr>
          <w:ilvl w:val="0"/>
          <w:numId w:val="10"/>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t xml:space="preserve">iné lieky na zníženie krvného tlaku, kortikosteroidy, lieky proti bolesti (ako sú nesteroidové protizápalové lieky (NSAID)), lieky na liečbu </w:t>
      </w:r>
      <w:bookmarkStart w:id="28" w:name="_Hlk188527355"/>
      <w:r>
        <w:rPr>
          <w:rFonts w:ascii="Times New Roman" w:hAnsi="Times New Roman"/>
          <w:lang w:val="sk-SK"/>
        </w:rPr>
        <w:t>nádorových ochorení</w:t>
      </w:r>
      <w:bookmarkEnd w:id="28"/>
      <w:r>
        <w:rPr>
          <w:rFonts w:ascii="Times New Roman" w:hAnsi="Times New Roman"/>
          <w:lang w:val="sk-SK"/>
        </w:rPr>
        <w:t>, lieky na dnu alebo artritídu.</w:t>
      </w:r>
    </w:p>
    <w:p w14:paraId="46FF61A4" w14:textId="77777777" w:rsidR="00582954" w:rsidRDefault="00645977">
      <w:pPr>
        <w:widowControl w:val="0"/>
        <w:numPr>
          <w:ilvl w:val="0"/>
          <w:numId w:val="10"/>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t>ak užívate inhibítor ACE alebo aliskirén (pozri tiež informácie v častiach „Neužívajte Tolucombi“ a „Upozornenia a opatrenia“).</w:t>
      </w:r>
    </w:p>
    <w:p w14:paraId="4E51B176" w14:textId="77777777" w:rsidR="00582954" w:rsidRDefault="00645977">
      <w:pPr>
        <w:widowControl w:val="0"/>
        <w:numPr>
          <w:ilvl w:val="0"/>
          <w:numId w:val="10"/>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t>digoxín.</w:t>
      </w:r>
    </w:p>
    <w:p w14:paraId="2F11D063" w14:textId="77777777" w:rsidR="00582954" w:rsidRDefault="00582954">
      <w:pPr>
        <w:widowControl w:val="0"/>
        <w:autoSpaceDE w:val="0"/>
        <w:autoSpaceDN w:val="0"/>
        <w:adjustRightInd w:val="0"/>
        <w:spacing w:after="0" w:line="240" w:lineRule="auto"/>
        <w:rPr>
          <w:rFonts w:ascii="Times New Roman" w:hAnsi="Times New Roman"/>
          <w:lang w:val="sk-SK"/>
        </w:rPr>
      </w:pPr>
    </w:p>
    <w:p w14:paraId="59743B9B" w14:textId="77777777" w:rsidR="00582954" w:rsidRDefault="00645977">
      <w:pPr>
        <w:widowControl w:val="0"/>
        <w:spacing w:after="0" w:line="240" w:lineRule="auto"/>
        <w:rPr>
          <w:rFonts w:ascii="Times New Roman" w:hAnsi="Times New Roman"/>
          <w:lang w:val="sk-SK"/>
        </w:rPr>
      </w:pPr>
      <w:r>
        <w:rPr>
          <w:rFonts w:ascii="Times New Roman" w:hAnsi="Times New Roman"/>
          <w:snapToGrid w:val="0"/>
          <w:lang w:val="sk-SK" w:eastAsia="cs-CZ"/>
        </w:rPr>
        <w:t xml:space="preserve">Tolucombi </w:t>
      </w:r>
      <w:r>
        <w:rPr>
          <w:rFonts w:ascii="Times New Roman" w:hAnsi="Times New Roman"/>
          <w:lang w:val="sk-SK"/>
        </w:rPr>
        <w:t>môže zosilniť účinok iných liekov na zníženie krvného tlaku, ktoré sa užívajú na liečbu vysokého krvného tlaku alebo liekov s potenciálom znižovať krvný tlak (napr. baklofén, amifostín).</w:t>
      </w:r>
    </w:p>
    <w:p w14:paraId="5B1F9AC0"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Okrem toho sa môže nízky krvný tlak zhoršiť alkoholom, barbiturátmi, narkotikami alebo antidepresívami. Môžete ho spozorovať ako závrat pri vstávaní. Ak potrebujete upraviť dávku iného lieku, ktorý užívate s Tolucombi, poraďte sa so svojím lekárom.</w:t>
      </w:r>
    </w:p>
    <w:p w14:paraId="668091BD" w14:textId="77777777" w:rsidR="00582954" w:rsidRDefault="00582954">
      <w:pPr>
        <w:widowControl w:val="0"/>
        <w:autoSpaceDE w:val="0"/>
        <w:autoSpaceDN w:val="0"/>
        <w:adjustRightInd w:val="0"/>
        <w:spacing w:after="0" w:line="240" w:lineRule="auto"/>
        <w:rPr>
          <w:rFonts w:ascii="Times New Roman" w:hAnsi="Times New Roman"/>
          <w:lang w:val="sk-SK"/>
        </w:rPr>
      </w:pPr>
    </w:p>
    <w:p w14:paraId="6D63DF44"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Účinok Tolucombi sa môže znížiť, ak užívate NSAID (nesteroidové protizápalové lieky, napr. kyselinu acetylsalicylovú alebo ibuprofén).</w:t>
      </w:r>
    </w:p>
    <w:p w14:paraId="2B792B37" w14:textId="77777777" w:rsidR="00582954" w:rsidRDefault="00582954">
      <w:pPr>
        <w:widowControl w:val="0"/>
        <w:autoSpaceDE w:val="0"/>
        <w:autoSpaceDN w:val="0"/>
        <w:adjustRightInd w:val="0"/>
        <w:spacing w:after="0" w:line="240" w:lineRule="auto"/>
        <w:rPr>
          <w:rFonts w:ascii="Times New Roman" w:hAnsi="Times New Roman"/>
          <w:lang w:val="sk-SK"/>
        </w:rPr>
      </w:pPr>
    </w:p>
    <w:p w14:paraId="627BAC07" w14:textId="77777777" w:rsidR="00582954" w:rsidRDefault="00645977">
      <w:pPr>
        <w:widowControl w:val="0"/>
        <w:autoSpaceDE w:val="0"/>
        <w:autoSpaceDN w:val="0"/>
        <w:adjustRightInd w:val="0"/>
        <w:spacing w:after="0" w:line="240" w:lineRule="auto"/>
        <w:rPr>
          <w:rFonts w:ascii="Times New Roman" w:hAnsi="Times New Roman"/>
          <w:b/>
          <w:lang w:val="sk-SK"/>
        </w:rPr>
      </w:pPr>
      <w:r>
        <w:rPr>
          <w:rFonts w:ascii="Times New Roman" w:hAnsi="Times New Roman"/>
          <w:b/>
          <w:lang w:val="sk-SK"/>
        </w:rPr>
        <w:t>Tolucombi a jedlo a alkohol</w:t>
      </w:r>
    </w:p>
    <w:p w14:paraId="3D837A96"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Tolucombi môžete užívať s jedlom alebo bez jedla.</w:t>
      </w:r>
    </w:p>
    <w:p w14:paraId="78029180"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Kým sa neporadíte so svojím lekárom, nepožívajte alkohol. Alkohol môže spôsobiť väčší pokles krvného tlaku a/alebo zvýšiť riziko, že sa u vás vyskytne závrat alebo pocítite mdloby. </w:t>
      </w:r>
    </w:p>
    <w:p w14:paraId="1594C082" w14:textId="77777777" w:rsidR="00582954" w:rsidRDefault="00582954">
      <w:pPr>
        <w:widowControl w:val="0"/>
        <w:autoSpaceDE w:val="0"/>
        <w:autoSpaceDN w:val="0"/>
        <w:adjustRightInd w:val="0"/>
        <w:spacing w:after="0" w:line="240" w:lineRule="auto"/>
        <w:rPr>
          <w:rFonts w:ascii="Times New Roman" w:hAnsi="Times New Roman"/>
          <w:lang w:val="sk-SK"/>
        </w:rPr>
      </w:pPr>
    </w:p>
    <w:p w14:paraId="06A9E903" w14:textId="77777777" w:rsidR="00582954" w:rsidRDefault="00645977">
      <w:pPr>
        <w:widowControl w:val="0"/>
        <w:autoSpaceDE w:val="0"/>
        <w:autoSpaceDN w:val="0"/>
        <w:adjustRightInd w:val="0"/>
        <w:spacing w:after="0" w:line="240" w:lineRule="auto"/>
        <w:rPr>
          <w:rFonts w:ascii="Times New Roman" w:hAnsi="Times New Roman"/>
          <w:b/>
          <w:bCs/>
          <w:lang w:val="sk-SK"/>
        </w:rPr>
      </w:pPr>
      <w:r>
        <w:rPr>
          <w:rFonts w:ascii="Times New Roman" w:hAnsi="Times New Roman"/>
          <w:b/>
          <w:bCs/>
          <w:lang w:val="sk-SK"/>
        </w:rPr>
        <w:t>Tehotenstvo a dojčenie</w:t>
      </w:r>
    </w:p>
    <w:p w14:paraId="3F5CCAE4" w14:textId="77777777" w:rsidR="00582954" w:rsidRDefault="00582954">
      <w:pPr>
        <w:widowControl w:val="0"/>
        <w:autoSpaceDE w:val="0"/>
        <w:autoSpaceDN w:val="0"/>
        <w:adjustRightInd w:val="0"/>
        <w:spacing w:after="0" w:line="240" w:lineRule="auto"/>
        <w:rPr>
          <w:rFonts w:ascii="Times New Roman" w:hAnsi="Times New Roman"/>
          <w:b/>
          <w:bCs/>
          <w:lang w:val="sk-SK"/>
        </w:rPr>
      </w:pPr>
    </w:p>
    <w:p w14:paraId="65E06C82" w14:textId="77777777" w:rsidR="00582954" w:rsidRDefault="00645977">
      <w:pPr>
        <w:widowControl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Tehotenstvo</w:t>
      </w:r>
    </w:p>
    <w:p w14:paraId="6DAFB5B4"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Ak si myslíte, že ste (</w:t>
      </w:r>
      <w:r>
        <w:rPr>
          <w:rFonts w:ascii="Times New Roman" w:hAnsi="Times New Roman"/>
          <w:u w:val="single"/>
          <w:lang w:val="sk-SK"/>
        </w:rPr>
        <w:t>alebo môžete byť</w:t>
      </w:r>
      <w:r>
        <w:rPr>
          <w:rFonts w:ascii="Times New Roman" w:hAnsi="Times New Roman"/>
          <w:lang w:val="sk-SK"/>
        </w:rPr>
        <w:t xml:space="preserve">) tehotná, musíte to povedať svojmu lekárovi. Zvyčajne vám lekár odporučí prestať užívať Tolucombi ešte predtým, ako otehotniete alebo ihneď, ako zistíte, že ste tehotná a odporučí vám užívať iný liek namiesto Tolucombi. </w:t>
      </w:r>
    </w:p>
    <w:p w14:paraId="08DAAB9C"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Tolucombi sa neodporúča počas tehotenstva a nesmie sa užívať, ak ste tehotná dlhšie ako 3 mesiace, pretože môže spôsobiť závažné poškodenie vášho dieťaťa, ak sa užíva po 3. mesiaci tehotenstva.</w:t>
      </w:r>
    </w:p>
    <w:p w14:paraId="47F644D5" w14:textId="77777777" w:rsidR="00582954" w:rsidRDefault="00582954">
      <w:pPr>
        <w:widowControl w:val="0"/>
        <w:autoSpaceDE w:val="0"/>
        <w:autoSpaceDN w:val="0"/>
        <w:adjustRightInd w:val="0"/>
        <w:spacing w:after="0" w:line="240" w:lineRule="auto"/>
        <w:rPr>
          <w:rFonts w:ascii="Times New Roman" w:hAnsi="Times New Roman"/>
          <w:lang w:val="sk-SK"/>
        </w:rPr>
      </w:pPr>
    </w:p>
    <w:p w14:paraId="4DBB6BF5" w14:textId="77777777" w:rsidR="00582954" w:rsidRDefault="00645977">
      <w:pPr>
        <w:widowControl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Dojčenie</w:t>
      </w:r>
    </w:p>
    <w:p w14:paraId="2A2961E8"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Povedzte svojmu lekárovi, ak dojčíte alebo začínate dojčiť. Tolucombi sa neodporúča pre matky, ktoré dojčia a váš lekár vám môže vybrať inú liečbu, ak si želáte dojčiť.</w:t>
      </w:r>
    </w:p>
    <w:p w14:paraId="109DDB33" w14:textId="77777777" w:rsidR="00582954" w:rsidRDefault="00582954">
      <w:pPr>
        <w:widowControl w:val="0"/>
        <w:autoSpaceDE w:val="0"/>
        <w:autoSpaceDN w:val="0"/>
        <w:adjustRightInd w:val="0"/>
        <w:spacing w:after="0" w:line="240" w:lineRule="auto"/>
        <w:rPr>
          <w:rFonts w:ascii="Times New Roman" w:hAnsi="Times New Roman"/>
          <w:lang w:val="sk-SK"/>
        </w:rPr>
      </w:pPr>
    </w:p>
    <w:p w14:paraId="12EEE5CF" w14:textId="77777777" w:rsidR="00582954" w:rsidRDefault="00645977">
      <w:pPr>
        <w:widowControl w:val="0"/>
        <w:autoSpaceDE w:val="0"/>
        <w:autoSpaceDN w:val="0"/>
        <w:adjustRightInd w:val="0"/>
        <w:spacing w:after="0" w:line="240" w:lineRule="auto"/>
        <w:rPr>
          <w:rFonts w:ascii="Times New Roman" w:hAnsi="Times New Roman"/>
          <w:b/>
          <w:bCs/>
          <w:lang w:val="sk-SK"/>
        </w:rPr>
      </w:pPr>
      <w:r>
        <w:rPr>
          <w:rFonts w:ascii="Times New Roman" w:hAnsi="Times New Roman"/>
          <w:b/>
          <w:bCs/>
          <w:lang w:val="sk-SK"/>
        </w:rPr>
        <w:t>Vedenie vozidiel a obsluha strojov</w:t>
      </w:r>
    </w:p>
    <w:p w14:paraId="71F2E51A" w14:textId="77777777" w:rsidR="00582954" w:rsidRDefault="00645977">
      <w:pPr>
        <w:widowControl w:val="0"/>
        <w:autoSpaceDE w:val="0"/>
        <w:autoSpaceDN w:val="0"/>
        <w:adjustRightInd w:val="0"/>
        <w:spacing w:after="0" w:line="240" w:lineRule="auto"/>
        <w:ind w:right="-235"/>
        <w:rPr>
          <w:rFonts w:ascii="Times New Roman" w:hAnsi="Times New Roman"/>
          <w:lang w:val="sk-SK"/>
        </w:rPr>
      </w:pPr>
      <w:r>
        <w:rPr>
          <w:rFonts w:ascii="Times New Roman" w:hAnsi="Times New Roman"/>
          <w:lang w:val="sk-SK"/>
        </w:rPr>
        <w:t xml:space="preserve">Niektorí ľudia majú pri užívaní Tolucombi závrat, mdloby alebo pocit točenia okolia. </w:t>
      </w:r>
      <w:bookmarkStart w:id="29" w:name="_Hlk188527866"/>
      <w:r>
        <w:rPr>
          <w:rFonts w:ascii="Times New Roman" w:hAnsi="Times New Roman"/>
          <w:lang w:val="sk-SK"/>
        </w:rPr>
        <w:t xml:space="preserve">Ak sa u vás vyskytne niektorý z týchto účinkov, </w:t>
      </w:r>
      <w:bookmarkEnd w:id="29"/>
      <w:r>
        <w:rPr>
          <w:rFonts w:ascii="Times New Roman" w:hAnsi="Times New Roman"/>
          <w:lang w:val="sk-SK"/>
        </w:rPr>
        <w:t>neveďte vozidlo ani neobsluhujte stroje.</w:t>
      </w:r>
    </w:p>
    <w:p w14:paraId="0E4C0B69" w14:textId="77777777" w:rsidR="00582954" w:rsidRDefault="00582954">
      <w:pPr>
        <w:widowControl w:val="0"/>
        <w:autoSpaceDE w:val="0"/>
        <w:autoSpaceDN w:val="0"/>
        <w:adjustRightInd w:val="0"/>
        <w:spacing w:after="0" w:line="240" w:lineRule="auto"/>
        <w:rPr>
          <w:rFonts w:ascii="Times New Roman" w:hAnsi="Times New Roman"/>
          <w:lang w:val="sk-SK"/>
        </w:rPr>
      </w:pPr>
    </w:p>
    <w:p w14:paraId="165E8374" w14:textId="77777777" w:rsidR="00582954" w:rsidRDefault="00645977">
      <w:pPr>
        <w:widowControl w:val="0"/>
        <w:autoSpaceDE w:val="0"/>
        <w:autoSpaceDN w:val="0"/>
        <w:adjustRightInd w:val="0"/>
        <w:spacing w:after="0" w:line="240" w:lineRule="auto"/>
        <w:rPr>
          <w:rFonts w:ascii="Times New Roman" w:hAnsi="Times New Roman"/>
          <w:b/>
          <w:bCs/>
          <w:lang w:val="sk-SK"/>
        </w:rPr>
      </w:pPr>
      <w:r>
        <w:rPr>
          <w:rFonts w:ascii="Times New Roman" w:hAnsi="Times New Roman"/>
          <w:b/>
          <w:bCs/>
          <w:lang w:val="sk-SK"/>
        </w:rPr>
        <w:t>Tolucombi obsahuje sodík</w:t>
      </w:r>
    </w:p>
    <w:p w14:paraId="42E5B77B" w14:textId="77777777" w:rsidR="00582954" w:rsidRDefault="00645977">
      <w:pPr>
        <w:spacing w:after="0" w:line="240" w:lineRule="auto"/>
        <w:rPr>
          <w:rFonts w:ascii="Times New Roman" w:eastAsia="Times New Roman" w:hAnsi="Times New Roman"/>
          <w:szCs w:val="16"/>
          <w:lang w:val="sk-SK" w:eastAsia="sk-SK"/>
        </w:rPr>
      </w:pPr>
      <w:r>
        <w:rPr>
          <w:rFonts w:ascii="Times New Roman" w:eastAsia="Times New Roman" w:hAnsi="Times New Roman"/>
          <w:szCs w:val="16"/>
          <w:lang w:val="sk-SK" w:eastAsia="sk-SK"/>
        </w:rPr>
        <w:t>Tento liek obsahuje menej ako 1 mmol sodíka (23 mg) v jednej tablete, t. j. v podstate zanedbateľné množstvo sodíka.</w:t>
      </w:r>
    </w:p>
    <w:p w14:paraId="01BCC852" w14:textId="77777777" w:rsidR="00582954" w:rsidRDefault="00582954">
      <w:pPr>
        <w:spacing w:after="0" w:line="240" w:lineRule="auto"/>
        <w:rPr>
          <w:rFonts w:ascii="Times New Roman" w:eastAsia="Times New Roman" w:hAnsi="Times New Roman"/>
          <w:szCs w:val="16"/>
          <w:lang w:val="sk-SK" w:eastAsia="sk-SK"/>
        </w:rPr>
      </w:pPr>
    </w:p>
    <w:p w14:paraId="425DB513" w14:textId="77777777" w:rsidR="00582954" w:rsidRDefault="00582954">
      <w:pPr>
        <w:widowControl w:val="0"/>
        <w:autoSpaceDE w:val="0"/>
        <w:autoSpaceDN w:val="0"/>
        <w:adjustRightInd w:val="0"/>
        <w:spacing w:after="0" w:line="240" w:lineRule="auto"/>
        <w:rPr>
          <w:rFonts w:ascii="Times New Roman" w:hAnsi="Times New Roman"/>
          <w:lang w:val="sk-SK"/>
        </w:rPr>
      </w:pPr>
    </w:p>
    <w:p w14:paraId="1FF87818" w14:textId="77777777" w:rsidR="00582954" w:rsidRDefault="00645977">
      <w:pPr>
        <w:keepNext/>
        <w:widowControl w:val="0"/>
        <w:tabs>
          <w:tab w:val="left" w:pos="567"/>
        </w:tabs>
        <w:autoSpaceDE w:val="0"/>
        <w:autoSpaceDN w:val="0"/>
        <w:adjustRightInd w:val="0"/>
        <w:spacing w:after="0" w:line="240" w:lineRule="auto"/>
        <w:rPr>
          <w:rFonts w:ascii="Times New Roman" w:hAnsi="Times New Roman"/>
          <w:b/>
          <w:bCs/>
          <w:lang w:val="sk-SK"/>
        </w:rPr>
      </w:pPr>
      <w:r>
        <w:rPr>
          <w:rFonts w:ascii="Times New Roman" w:hAnsi="Times New Roman"/>
          <w:b/>
          <w:bCs/>
          <w:lang w:val="sk-SK"/>
        </w:rPr>
        <w:t>3.</w:t>
      </w:r>
      <w:r>
        <w:rPr>
          <w:rFonts w:ascii="Times New Roman" w:hAnsi="Times New Roman"/>
          <w:b/>
          <w:bCs/>
          <w:lang w:val="sk-SK"/>
        </w:rPr>
        <w:tab/>
        <w:t>Ako užívať Tolucombi</w:t>
      </w:r>
    </w:p>
    <w:p w14:paraId="1A23E133" w14:textId="77777777" w:rsidR="00582954" w:rsidRDefault="00582954">
      <w:pPr>
        <w:keepNext/>
        <w:widowControl w:val="0"/>
        <w:autoSpaceDE w:val="0"/>
        <w:autoSpaceDN w:val="0"/>
        <w:adjustRightInd w:val="0"/>
        <w:spacing w:after="0" w:line="240" w:lineRule="auto"/>
        <w:rPr>
          <w:rFonts w:ascii="Times New Roman" w:hAnsi="Times New Roman"/>
          <w:b/>
          <w:bCs/>
          <w:lang w:val="sk-SK"/>
        </w:rPr>
      </w:pPr>
    </w:p>
    <w:p w14:paraId="6D832902" w14:textId="77777777" w:rsidR="00582954" w:rsidRDefault="00645977">
      <w:pPr>
        <w:keepNext/>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Vždy užívajte tento liek presne tak, ako vám povedal váš lekár. Ak si nie ste niečím istý, overte si to u svojho lekára alebo lekárnika.</w:t>
      </w:r>
    </w:p>
    <w:p w14:paraId="5BC91681" w14:textId="77777777" w:rsidR="00582954" w:rsidRDefault="00582954">
      <w:pPr>
        <w:widowControl w:val="0"/>
        <w:autoSpaceDE w:val="0"/>
        <w:autoSpaceDN w:val="0"/>
        <w:adjustRightInd w:val="0"/>
        <w:spacing w:after="0" w:line="240" w:lineRule="auto"/>
        <w:rPr>
          <w:rFonts w:ascii="Times New Roman" w:hAnsi="Times New Roman"/>
          <w:lang w:val="sk-SK"/>
        </w:rPr>
      </w:pPr>
    </w:p>
    <w:p w14:paraId="4C71388A"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Odporúčaná dávka Tolucombi je jedna tableta denne. Pokúste sa užívať tablety každý deň v rovnakom čase. Tolucombi môžete užívať s jedlom alebo bez jedla. Tablety sa majú prehltnúť celé a zapiť vodou alebo iným nealkoholickým nápojom. Dôležité je užívať Tolucombi každý deň, kým vám lekár nepovie inak.</w:t>
      </w:r>
    </w:p>
    <w:p w14:paraId="2E92F2A1" w14:textId="77777777" w:rsidR="00582954" w:rsidRDefault="00582954">
      <w:pPr>
        <w:widowControl w:val="0"/>
        <w:autoSpaceDE w:val="0"/>
        <w:autoSpaceDN w:val="0"/>
        <w:adjustRightInd w:val="0"/>
        <w:spacing w:after="0" w:line="240" w:lineRule="auto"/>
        <w:rPr>
          <w:rFonts w:ascii="Times New Roman" w:hAnsi="Times New Roman"/>
          <w:lang w:val="sk-SK"/>
        </w:rPr>
      </w:pPr>
    </w:p>
    <w:p w14:paraId="5672E4ED"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lastRenderedPageBreak/>
        <w:t>Ak vaša pečeň nefunguje správne, zvyčajná dávka telmisartanu nemá prekročiť 40 mg jedenkrát denne.</w:t>
      </w:r>
    </w:p>
    <w:p w14:paraId="10C53B28" w14:textId="77777777" w:rsidR="00582954" w:rsidRDefault="00582954">
      <w:pPr>
        <w:widowControl w:val="0"/>
        <w:autoSpaceDE w:val="0"/>
        <w:autoSpaceDN w:val="0"/>
        <w:adjustRightInd w:val="0"/>
        <w:spacing w:after="0" w:line="240" w:lineRule="auto"/>
        <w:rPr>
          <w:rFonts w:ascii="Times New Roman" w:hAnsi="Times New Roman"/>
          <w:lang w:val="sk-SK"/>
        </w:rPr>
      </w:pPr>
    </w:p>
    <w:p w14:paraId="797B25F3" w14:textId="77777777" w:rsidR="00582954" w:rsidRDefault="00645977">
      <w:pPr>
        <w:widowControl w:val="0"/>
        <w:autoSpaceDE w:val="0"/>
        <w:autoSpaceDN w:val="0"/>
        <w:adjustRightInd w:val="0"/>
        <w:spacing w:after="0" w:line="240" w:lineRule="auto"/>
        <w:rPr>
          <w:rFonts w:ascii="Times New Roman" w:hAnsi="Times New Roman"/>
          <w:b/>
          <w:bCs/>
          <w:lang w:val="sk-SK"/>
        </w:rPr>
      </w:pPr>
      <w:r>
        <w:rPr>
          <w:rFonts w:ascii="Times New Roman" w:hAnsi="Times New Roman"/>
          <w:b/>
          <w:bCs/>
          <w:lang w:val="sk-SK"/>
        </w:rPr>
        <w:t>Ak užijete viac Tolucombi, ako máte</w:t>
      </w:r>
    </w:p>
    <w:p w14:paraId="046BD2DE" w14:textId="77777777" w:rsidR="00582954" w:rsidRDefault="00645977">
      <w:pPr>
        <w:widowControl w:val="0"/>
        <w:spacing w:after="0" w:line="240" w:lineRule="auto"/>
        <w:ind w:right="48"/>
        <w:rPr>
          <w:rFonts w:ascii="Times New Roman" w:hAnsi="Times New Roman"/>
          <w:lang w:val="sk-SK"/>
        </w:rPr>
      </w:pPr>
      <w:r>
        <w:rPr>
          <w:rFonts w:ascii="Times New Roman" w:hAnsi="Times New Roman"/>
          <w:lang w:val="sk-SK"/>
        </w:rPr>
        <w:t>Ak omylom užijete priveľa tabliet, môžu sa u vás vyskytnúť príznaky, ako sú nízky krvný tlak a zrýchlená srdcová činnosť. Hlásené boli aj spomalená srdcová činnosť, závrat, vracanie, znížená funkcia obličiek vrátane zlyhania obličiek. V dôsledku zložky hydrochlórtiazidu sa môže vyskytnúť aj výrazne nízky krvný tlak a nízke hladiny draslíka v krvi, čo môže viesť k nevoľnosti, ospalosti a svalovým kŕčom a/alebo nepravidelnému srdcovému tepu súvisiacemu so súbežne užívanými liekmi ako je digoxín alebo niektoré antiarytmiká. Okamžite kontaktujte svojho lekára, lekárnika alebo najbližšiu pohotovosť.</w:t>
      </w:r>
    </w:p>
    <w:p w14:paraId="37853E3B" w14:textId="77777777" w:rsidR="00582954" w:rsidRDefault="00582954">
      <w:pPr>
        <w:widowControl w:val="0"/>
        <w:autoSpaceDE w:val="0"/>
        <w:autoSpaceDN w:val="0"/>
        <w:adjustRightInd w:val="0"/>
        <w:spacing w:after="0" w:line="240" w:lineRule="auto"/>
        <w:rPr>
          <w:rFonts w:ascii="Times New Roman" w:hAnsi="Times New Roman"/>
          <w:lang w:val="sk-SK"/>
        </w:rPr>
      </w:pPr>
    </w:p>
    <w:p w14:paraId="0DB11E06" w14:textId="77777777" w:rsidR="00582954" w:rsidRDefault="00645977">
      <w:pPr>
        <w:widowControl w:val="0"/>
        <w:autoSpaceDE w:val="0"/>
        <w:autoSpaceDN w:val="0"/>
        <w:adjustRightInd w:val="0"/>
        <w:spacing w:after="0" w:line="240" w:lineRule="auto"/>
        <w:rPr>
          <w:rFonts w:ascii="Times New Roman" w:hAnsi="Times New Roman"/>
          <w:b/>
          <w:bCs/>
          <w:lang w:val="sk-SK"/>
        </w:rPr>
      </w:pPr>
      <w:r>
        <w:rPr>
          <w:rFonts w:ascii="Times New Roman" w:hAnsi="Times New Roman"/>
          <w:b/>
          <w:bCs/>
          <w:lang w:val="sk-SK"/>
        </w:rPr>
        <w:t>Ak zabudnete užiť Tolucombi</w:t>
      </w:r>
    </w:p>
    <w:p w14:paraId="5ED995AF" w14:textId="77777777" w:rsidR="00582954" w:rsidRDefault="00645977">
      <w:pPr>
        <w:widowControl w:val="0"/>
        <w:autoSpaceDE w:val="0"/>
        <w:autoSpaceDN w:val="0"/>
        <w:adjustRightInd w:val="0"/>
        <w:spacing w:after="0" w:line="240" w:lineRule="auto"/>
        <w:rPr>
          <w:rFonts w:ascii="Times New Roman" w:hAnsi="Times New Roman"/>
          <w:b/>
          <w:bCs/>
          <w:i/>
          <w:iCs/>
          <w:lang w:val="sk-SK"/>
        </w:rPr>
      </w:pPr>
      <w:r>
        <w:rPr>
          <w:rFonts w:ascii="Times New Roman" w:hAnsi="Times New Roman"/>
          <w:lang w:val="sk-SK"/>
        </w:rPr>
        <w:t xml:space="preserve">Ak zabudnete užiť dávku, neobávajte sa. Užite ju hneď, ako si spomeniete a pokračujte v užívaní tak, ako predtým. Ak neužijete tabletu jeden deň, užite svoju zvyčajnú dávku nasledujúci deň. </w:t>
      </w:r>
      <w:r>
        <w:rPr>
          <w:rFonts w:ascii="Times New Roman" w:hAnsi="Times New Roman"/>
          <w:b/>
          <w:bCs/>
          <w:i/>
          <w:iCs/>
          <w:lang w:val="sk-SK"/>
        </w:rPr>
        <w:t xml:space="preserve">Neužívajte </w:t>
      </w:r>
      <w:r>
        <w:rPr>
          <w:rFonts w:ascii="Times New Roman" w:hAnsi="Times New Roman"/>
          <w:lang w:val="sk-SK"/>
        </w:rPr>
        <w:t>dvojnásobnú dávku, aby ste nahradili vynechanú dávku.</w:t>
      </w:r>
    </w:p>
    <w:p w14:paraId="5C503BAE" w14:textId="77777777" w:rsidR="00582954" w:rsidRDefault="00582954">
      <w:pPr>
        <w:widowControl w:val="0"/>
        <w:autoSpaceDE w:val="0"/>
        <w:autoSpaceDN w:val="0"/>
        <w:adjustRightInd w:val="0"/>
        <w:spacing w:after="0" w:line="240" w:lineRule="auto"/>
        <w:rPr>
          <w:rFonts w:ascii="Times New Roman" w:hAnsi="Times New Roman"/>
          <w:b/>
          <w:bCs/>
          <w:i/>
          <w:iCs/>
          <w:lang w:val="sk-SK"/>
        </w:rPr>
      </w:pPr>
    </w:p>
    <w:p w14:paraId="0D0E6BA3"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Ak máte akékoľvek ďalšie otázky týkajúce sa použitia tohto lieku, opýtajte sa svojho lekára alebo lekárnika.</w:t>
      </w:r>
    </w:p>
    <w:p w14:paraId="7D44157E" w14:textId="77777777" w:rsidR="00582954" w:rsidRDefault="00582954">
      <w:pPr>
        <w:widowControl w:val="0"/>
        <w:autoSpaceDE w:val="0"/>
        <w:autoSpaceDN w:val="0"/>
        <w:adjustRightInd w:val="0"/>
        <w:spacing w:after="0" w:line="240" w:lineRule="auto"/>
        <w:rPr>
          <w:rFonts w:ascii="Times New Roman" w:hAnsi="Times New Roman"/>
          <w:lang w:val="sk-SK"/>
        </w:rPr>
      </w:pPr>
    </w:p>
    <w:p w14:paraId="37F97557" w14:textId="77777777" w:rsidR="00582954" w:rsidRDefault="00582954">
      <w:pPr>
        <w:widowControl w:val="0"/>
        <w:autoSpaceDE w:val="0"/>
        <w:autoSpaceDN w:val="0"/>
        <w:adjustRightInd w:val="0"/>
        <w:spacing w:after="0" w:line="240" w:lineRule="auto"/>
        <w:rPr>
          <w:rFonts w:ascii="Times New Roman" w:hAnsi="Times New Roman"/>
          <w:lang w:val="sk-SK"/>
        </w:rPr>
      </w:pPr>
    </w:p>
    <w:p w14:paraId="78175A1A" w14:textId="77777777" w:rsidR="00582954" w:rsidRDefault="00645977">
      <w:pPr>
        <w:widowControl w:val="0"/>
        <w:tabs>
          <w:tab w:val="left" w:pos="567"/>
        </w:tabs>
        <w:autoSpaceDE w:val="0"/>
        <w:autoSpaceDN w:val="0"/>
        <w:adjustRightInd w:val="0"/>
        <w:spacing w:after="0" w:line="240" w:lineRule="auto"/>
        <w:rPr>
          <w:rFonts w:ascii="Times New Roman" w:hAnsi="Times New Roman"/>
          <w:b/>
          <w:bCs/>
          <w:lang w:val="sk-SK"/>
        </w:rPr>
      </w:pPr>
      <w:r>
        <w:rPr>
          <w:rFonts w:ascii="Times New Roman" w:hAnsi="Times New Roman"/>
          <w:b/>
          <w:bCs/>
          <w:lang w:val="sk-SK"/>
        </w:rPr>
        <w:t>4.</w:t>
      </w:r>
      <w:r>
        <w:rPr>
          <w:rFonts w:ascii="Times New Roman" w:hAnsi="Times New Roman"/>
          <w:b/>
          <w:bCs/>
          <w:lang w:val="sk-SK"/>
        </w:rPr>
        <w:tab/>
        <w:t>Možné vedľajšie účinky</w:t>
      </w:r>
    </w:p>
    <w:p w14:paraId="32E88CEF" w14:textId="77777777" w:rsidR="00582954" w:rsidRDefault="00582954">
      <w:pPr>
        <w:widowControl w:val="0"/>
        <w:autoSpaceDE w:val="0"/>
        <w:autoSpaceDN w:val="0"/>
        <w:adjustRightInd w:val="0"/>
        <w:spacing w:after="0" w:line="240" w:lineRule="auto"/>
        <w:rPr>
          <w:rFonts w:ascii="Times New Roman" w:hAnsi="Times New Roman"/>
          <w:b/>
          <w:bCs/>
          <w:lang w:val="sk-SK"/>
        </w:rPr>
      </w:pPr>
    </w:p>
    <w:p w14:paraId="1E737F79"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Tak ako všetky lieky, aj tento liek môže spôsobovať vedľajšie účinky, hoci sa neprejavia u každého.</w:t>
      </w:r>
    </w:p>
    <w:p w14:paraId="4FEE05D8" w14:textId="77777777" w:rsidR="00582954" w:rsidRDefault="00582954">
      <w:pPr>
        <w:widowControl w:val="0"/>
        <w:autoSpaceDE w:val="0"/>
        <w:autoSpaceDN w:val="0"/>
        <w:adjustRightInd w:val="0"/>
        <w:spacing w:after="0" w:line="240" w:lineRule="auto"/>
        <w:rPr>
          <w:rFonts w:ascii="Times New Roman" w:hAnsi="Times New Roman"/>
          <w:lang w:val="sk-SK"/>
        </w:rPr>
      </w:pPr>
    </w:p>
    <w:p w14:paraId="796314D8" w14:textId="77777777" w:rsidR="00582954" w:rsidRDefault="00645977">
      <w:pPr>
        <w:keepNext/>
        <w:widowControl w:val="0"/>
        <w:autoSpaceDE w:val="0"/>
        <w:autoSpaceDN w:val="0"/>
        <w:adjustRightInd w:val="0"/>
        <w:spacing w:after="0" w:line="240" w:lineRule="auto"/>
        <w:ind w:right="-1"/>
        <w:rPr>
          <w:rFonts w:ascii="Times New Roman" w:hAnsi="Times New Roman"/>
          <w:b/>
          <w:bCs/>
          <w:lang w:val="sk-SK"/>
        </w:rPr>
      </w:pPr>
      <w:r>
        <w:rPr>
          <w:rFonts w:ascii="Times New Roman" w:hAnsi="Times New Roman"/>
          <w:b/>
          <w:bCs/>
          <w:lang w:val="sk-SK"/>
        </w:rPr>
        <w:t>Niektoré vedľajšie účinky môžu byť závažné a môžu si vyžadovať okamžitú lekársku starostlivosť:</w:t>
      </w:r>
    </w:p>
    <w:p w14:paraId="69239974" w14:textId="77777777" w:rsidR="00582954" w:rsidRDefault="00582954">
      <w:pPr>
        <w:keepNext/>
        <w:widowControl w:val="0"/>
        <w:autoSpaceDE w:val="0"/>
        <w:autoSpaceDN w:val="0"/>
        <w:adjustRightInd w:val="0"/>
        <w:spacing w:after="0" w:line="240" w:lineRule="auto"/>
        <w:rPr>
          <w:rFonts w:ascii="Times New Roman" w:hAnsi="Times New Roman"/>
          <w:b/>
          <w:bCs/>
          <w:lang w:val="sk-SK"/>
        </w:rPr>
      </w:pPr>
    </w:p>
    <w:p w14:paraId="15C2E211" w14:textId="77777777" w:rsidR="00582954" w:rsidRDefault="00645977">
      <w:pPr>
        <w:keepNext/>
        <w:widowControl w:val="0"/>
        <w:autoSpaceDE w:val="0"/>
        <w:autoSpaceDN w:val="0"/>
        <w:adjustRightInd w:val="0"/>
        <w:spacing w:after="0" w:line="240" w:lineRule="auto"/>
        <w:rPr>
          <w:rFonts w:ascii="Times New Roman" w:hAnsi="Times New Roman"/>
          <w:lang w:val="sk-SK"/>
        </w:rPr>
      </w:pPr>
      <w:r>
        <w:rPr>
          <w:rFonts w:ascii="Times New Roman" w:hAnsi="Times New Roman"/>
          <w:u w:val="single"/>
          <w:lang w:val="sk-SK"/>
        </w:rPr>
        <w:t>Ak máte ktorýkoľvek z nasledujúcich príznakov, okamžite vyhľadajte svojho lekára</w:t>
      </w:r>
      <w:r>
        <w:rPr>
          <w:rFonts w:ascii="Times New Roman" w:hAnsi="Times New Roman"/>
          <w:lang w:val="sk-SK"/>
        </w:rPr>
        <w:t>:</w:t>
      </w:r>
    </w:p>
    <w:p w14:paraId="7067615E"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Sepsa* (často nazývaná „otrava krvi“), je ťažká infekcia so zápalovou reakciou celého tela, náhly opuch kože a slizníc (angioedém, vrátane smrteľných následkov), tvorba pľuzgierov a olupovanie vrchnej vrstvy kože (toxická epidermálna nekrolýza); tieto vedľajšie účinky sú zriedkavé (</w:t>
      </w:r>
      <w:r>
        <w:rPr>
          <w:rFonts w:ascii="Times New Roman" w:hAnsi="Times New Roman"/>
          <w:i/>
          <w:iCs/>
          <w:lang w:val="sk-SK"/>
        </w:rPr>
        <w:t>môžu postihovať menej ako 1 z 1 000 osôb</w:t>
      </w:r>
      <w:r>
        <w:rPr>
          <w:rFonts w:ascii="Times New Roman" w:hAnsi="Times New Roman"/>
          <w:lang w:val="sk-SK"/>
        </w:rPr>
        <w:t xml:space="preserve">) alebo </w:t>
      </w:r>
      <w:bookmarkStart w:id="30" w:name="_Hlk188528404"/>
      <w:r>
        <w:rPr>
          <w:rFonts w:ascii="Times New Roman" w:hAnsi="Times New Roman"/>
          <w:lang w:val="sk-SK"/>
        </w:rPr>
        <w:t>veľmi zriedkavé</w:t>
      </w:r>
      <w:bookmarkEnd w:id="30"/>
      <w:r>
        <w:rPr>
          <w:rFonts w:ascii="Times New Roman" w:hAnsi="Times New Roman"/>
          <w:lang w:val="sk-SK"/>
        </w:rPr>
        <w:t xml:space="preserve"> (toxická epidermálna nekrolýza, </w:t>
      </w:r>
      <w:bookmarkStart w:id="31" w:name="_Hlk188528443"/>
      <w:r>
        <w:rPr>
          <w:rFonts w:ascii="Times New Roman" w:hAnsi="Times New Roman"/>
          <w:i/>
          <w:iCs/>
          <w:lang w:val="sk-SK"/>
        </w:rPr>
        <w:t>môže postihovať menej ako 1 z 10 000 osôb</w:t>
      </w:r>
      <w:bookmarkEnd w:id="31"/>
      <w:r>
        <w:rPr>
          <w:rFonts w:ascii="Times New Roman" w:hAnsi="Times New Roman"/>
          <w:lang w:val="sk-SK"/>
        </w:rPr>
        <w:t xml:space="preserve">), avšak sú extrémne závažné a pacienti majú prestať užívať liek a okamžite vyhľadať svojho lekára. </w:t>
      </w:r>
    </w:p>
    <w:p w14:paraId="490F4005"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Ak sa tieto účinky neliečia, môžu byť smrteľné. Zvýšený výskyt sepsy sa zaznamenal len pri telmisartane, avšak pre Tolucombi sa nedá vylúčiť.</w:t>
      </w:r>
    </w:p>
    <w:p w14:paraId="6917D6CE" w14:textId="77777777" w:rsidR="00582954" w:rsidRDefault="00582954">
      <w:pPr>
        <w:widowControl w:val="0"/>
        <w:autoSpaceDE w:val="0"/>
        <w:autoSpaceDN w:val="0"/>
        <w:adjustRightInd w:val="0"/>
        <w:spacing w:after="0" w:line="240" w:lineRule="auto"/>
        <w:rPr>
          <w:rFonts w:ascii="Times New Roman" w:hAnsi="Times New Roman"/>
          <w:lang w:val="sk-SK"/>
        </w:rPr>
      </w:pPr>
    </w:p>
    <w:p w14:paraId="5298989E" w14:textId="77777777" w:rsidR="00582954" w:rsidRDefault="00645977">
      <w:pPr>
        <w:widowControl w:val="0"/>
        <w:autoSpaceDE w:val="0"/>
        <w:autoSpaceDN w:val="0"/>
        <w:adjustRightInd w:val="0"/>
        <w:spacing w:after="0" w:line="240" w:lineRule="auto"/>
        <w:rPr>
          <w:rFonts w:ascii="Times New Roman" w:hAnsi="Times New Roman"/>
          <w:b/>
          <w:bCs/>
          <w:lang w:val="sk-SK"/>
        </w:rPr>
      </w:pPr>
      <w:r>
        <w:rPr>
          <w:rFonts w:ascii="Times New Roman" w:hAnsi="Times New Roman"/>
          <w:b/>
          <w:bCs/>
          <w:lang w:val="sk-SK"/>
        </w:rPr>
        <w:t>Možné vedľajšie účinky Tolucombi:</w:t>
      </w:r>
    </w:p>
    <w:p w14:paraId="4323C1EF" w14:textId="77777777" w:rsidR="00582954" w:rsidRDefault="00582954">
      <w:pPr>
        <w:widowControl w:val="0"/>
        <w:autoSpaceDE w:val="0"/>
        <w:autoSpaceDN w:val="0"/>
        <w:adjustRightInd w:val="0"/>
        <w:spacing w:after="0" w:line="240" w:lineRule="auto"/>
        <w:rPr>
          <w:rFonts w:ascii="Times New Roman" w:hAnsi="Times New Roman"/>
          <w:b/>
          <w:bCs/>
          <w:lang w:val="sk-SK"/>
        </w:rPr>
      </w:pPr>
    </w:p>
    <w:p w14:paraId="4DD3D42D" w14:textId="77777777" w:rsidR="00582954" w:rsidRDefault="00645977">
      <w:pPr>
        <w:keepNext/>
        <w:widowControl w:val="0"/>
        <w:autoSpaceDE w:val="0"/>
        <w:autoSpaceDN w:val="0"/>
        <w:adjustRightInd w:val="0"/>
        <w:spacing w:after="0" w:line="240" w:lineRule="auto"/>
        <w:rPr>
          <w:rFonts w:ascii="Times New Roman" w:hAnsi="Times New Roman"/>
          <w:lang w:val="sk-SK"/>
        </w:rPr>
      </w:pPr>
      <w:r>
        <w:rPr>
          <w:rFonts w:ascii="Times New Roman" w:hAnsi="Times New Roman"/>
          <w:u w:val="single"/>
          <w:lang w:val="sk-SK"/>
        </w:rPr>
        <w:t>Časté vedľajšie účinky</w:t>
      </w:r>
      <w:r>
        <w:rPr>
          <w:rFonts w:ascii="Times New Roman" w:hAnsi="Times New Roman"/>
          <w:lang w:val="sk-SK"/>
        </w:rPr>
        <w:t xml:space="preserve"> (môžu postihovať menej ako 1 z 10 osôb):</w:t>
      </w:r>
    </w:p>
    <w:p w14:paraId="527FA0D5" w14:textId="77777777" w:rsidR="00582954" w:rsidRDefault="00645977">
      <w:pPr>
        <w:keepNext/>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Závrat.</w:t>
      </w:r>
    </w:p>
    <w:p w14:paraId="0549E718" w14:textId="77777777" w:rsidR="00582954" w:rsidRDefault="00582954">
      <w:pPr>
        <w:widowControl w:val="0"/>
        <w:autoSpaceDE w:val="0"/>
        <w:autoSpaceDN w:val="0"/>
        <w:adjustRightInd w:val="0"/>
        <w:spacing w:after="0" w:line="240" w:lineRule="auto"/>
        <w:rPr>
          <w:rFonts w:ascii="Times New Roman" w:hAnsi="Times New Roman"/>
          <w:lang w:val="sk-SK"/>
        </w:rPr>
      </w:pPr>
    </w:p>
    <w:p w14:paraId="7F3343C7"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u w:val="single"/>
          <w:lang w:val="sk-SK"/>
        </w:rPr>
        <w:t>Menej časté vedľajšie účinky</w:t>
      </w:r>
      <w:r>
        <w:rPr>
          <w:rFonts w:ascii="Times New Roman" w:hAnsi="Times New Roman"/>
          <w:lang w:val="sk-SK"/>
        </w:rPr>
        <w:t xml:space="preserve"> (môžu postihovať menej ako 1 zo 100 osôb):</w:t>
      </w:r>
    </w:p>
    <w:p w14:paraId="6CBC351B"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Znížené hladiny draslíka v krvi, úzkosť, mdloba (náhle prechodné bezvedomie), pocit tŕpnutia, mravčenia a pichania (parestézia), pocit točenia okolia (vertigo), rýchly tep srdca (tachykardia), porucha srdcového rytmu, nízky tlak krvi, náhly pokles tlaku krvi pri vstávaní, skrátený dych (dýchavičnosť), hnačka, sucho v ústach, plynatosť, bolesť chrbta, svalové kŕče, bolesť svalov, erektilná dysfunkcia (neschopnosť mať alebo udržať erekciu), bolesť v hrudníku a zvýšené hladiny kyseliny močovej v krvi.</w:t>
      </w:r>
    </w:p>
    <w:p w14:paraId="0B4E4AEB" w14:textId="77777777" w:rsidR="00582954" w:rsidRDefault="00582954">
      <w:pPr>
        <w:widowControl w:val="0"/>
        <w:autoSpaceDE w:val="0"/>
        <w:autoSpaceDN w:val="0"/>
        <w:adjustRightInd w:val="0"/>
        <w:spacing w:after="0" w:line="240" w:lineRule="auto"/>
        <w:rPr>
          <w:rFonts w:ascii="Times New Roman" w:hAnsi="Times New Roman"/>
          <w:lang w:val="sk-SK"/>
        </w:rPr>
      </w:pPr>
    </w:p>
    <w:p w14:paraId="559CC175"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u w:val="single"/>
          <w:lang w:val="sk-SK"/>
        </w:rPr>
        <w:t>Zriedkavé vedľajšie účinky</w:t>
      </w:r>
      <w:r>
        <w:rPr>
          <w:rFonts w:ascii="Times New Roman" w:hAnsi="Times New Roman"/>
          <w:lang w:val="sk-SK"/>
        </w:rPr>
        <w:t xml:space="preserve"> (môžu postihovať menej ako 1 z 1 000 osôb):</w:t>
      </w:r>
    </w:p>
    <w:p w14:paraId="79B68629" w14:textId="77777777" w:rsidR="00582954" w:rsidRDefault="00645977">
      <w:pPr>
        <w:widowControl w:val="0"/>
        <w:autoSpaceDE w:val="0"/>
        <w:autoSpaceDN w:val="0"/>
        <w:adjustRightInd w:val="0"/>
        <w:spacing w:after="0" w:line="240" w:lineRule="auto"/>
        <w:ind w:right="283"/>
        <w:rPr>
          <w:rFonts w:ascii="Times New Roman" w:hAnsi="Times New Roman"/>
          <w:lang w:val="sk-SK"/>
        </w:rPr>
      </w:pPr>
      <w:r>
        <w:rPr>
          <w:rFonts w:ascii="Times New Roman" w:hAnsi="Times New Roman"/>
          <w:lang w:val="sk-SK"/>
        </w:rPr>
        <w:t xml:space="preserve">Zápal pľúc (bronchitída), </w:t>
      </w:r>
      <w:bookmarkStart w:id="32" w:name="_Hlk150846251"/>
      <w:r>
        <w:rPr>
          <w:rFonts w:ascii="Times New Roman" w:hAnsi="Times New Roman"/>
          <w:lang w:val="sk-SK"/>
        </w:rPr>
        <w:t xml:space="preserve">bolesť hrdla, zápal prinosových dutín, zvýšená hladina kyseliny močovej, nízka hladina sodíka, pocit smútku (depresia), ťažkosti so zaspávaním (nespavosť), porucha spánku, porucha videnia, rozmazané videnie, ťažkosti s dýchaním, bolesť brucha, zápcha, nadúvanie (dyspepsia), nevoľnosť (vracanie), zápal žalúdka (gastritída), abnormálna funkcia pečene (tento vedľajší účinok sa pravdepodobnejšie vyskytne u japonských pacientov), sčervenenie kože (erytém), </w:t>
      </w:r>
      <w:r>
        <w:rPr>
          <w:rFonts w:ascii="Times New Roman" w:hAnsi="Times New Roman"/>
          <w:lang w:val="sk-SK"/>
        </w:rPr>
        <w:lastRenderedPageBreak/>
        <w:t xml:space="preserve">alergické reakcie ako svrbenie alebo vyrážka, zvýšené potenie, žihľavka (urtikária), bolesť kĺbov (artralgia) a bolesť končatín (bolesť nôh), svalové kŕče, aktivácia alebo zhoršenie systémového lupus erythematosus (ochorenie, pri ktorom imunitný systém organizmu napáda vlastné telo, čo spôsobuje bolesť kĺbov, kožné vyrážky a horúčku), </w:t>
      </w:r>
      <w:bookmarkEnd w:id="32"/>
      <w:r>
        <w:rPr>
          <w:rFonts w:ascii="Times New Roman" w:hAnsi="Times New Roman"/>
          <w:lang w:val="sk-SK"/>
        </w:rPr>
        <w:t>ochorenie podobné chrípke, bolesť, zvýšené hladiny kreatinínu, pečeňových enzýmov alebo kreatinínfosfokinázy v krvi.</w:t>
      </w:r>
    </w:p>
    <w:p w14:paraId="6A45B8DF" w14:textId="77777777" w:rsidR="00582954" w:rsidRDefault="00582954">
      <w:pPr>
        <w:widowControl w:val="0"/>
        <w:autoSpaceDE w:val="0"/>
        <w:autoSpaceDN w:val="0"/>
        <w:adjustRightInd w:val="0"/>
        <w:spacing w:after="0" w:line="240" w:lineRule="auto"/>
        <w:rPr>
          <w:rFonts w:ascii="Times New Roman" w:hAnsi="Times New Roman"/>
          <w:lang w:val="sk-SK"/>
        </w:rPr>
      </w:pPr>
    </w:p>
    <w:p w14:paraId="0FD22519"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Vedľajšie účinky hlásené pri jednej zo zložiek môžu byť potenciálne vedľajšími účinkami pri Tolucombi, aj keď sa nezaznamenali v klinických skúšaniach s týmto liekom.</w:t>
      </w:r>
    </w:p>
    <w:p w14:paraId="0BE5DAA5" w14:textId="77777777" w:rsidR="00582954" w:rsidRDefault="00582954">
      <w:pPr>
        <w:widowControl w:val="0"/>
        <w:autoSpaceDE w:val="0"/>
        <w:autoSpaceDN w:val="0"/>
        <w:adjustRightInd w:val="0"/>
        <w:spacing w:after="0" w:line="240" w:lineRule="auto"/>
        <w:rPr>
          <w:rFonts w:ascii="Times New Roman" w:hAnsi="Times New Roman"/>
          <w:lang w:val="sk-SK"/>
        </w:rPr>
      </w:pPr>
    </w:p>
    <w:p w14:paraId="0C01A604" w14:textId="77777777" w:rsidR="00582954" w:rsidRDefault="00645977">
      <w:pPr>
        <w:widowControl w:val="0"/>
        <w:autoSpaceDE w:val="0"/>
        <w:autoSpaceDN w:val="0"/>
        <w:adjustRightInd w:val="0"/>
        <w:spacing w:after="0" w:line="240" w:lineRule="auto"/>
        <w:rPr>
          <w:rFonts w:ascii="Times New Roman" w:hAnsi="Times New Roman"/>
          <w:b/>
          <w:bCs/>
          <w:u w:val="single"/>
          <w:lang w:val="sk-SK"/>
        </w:rPr>
      </w:pPr>
      <w:r>
        <w:rPr>
          <w:rFonts w:ascii="Times New Roman" w:hAnsi="Times New Roman"/>
          <w:b/>
          <w:bCs/>
          <w:u w:val="single"/>
          <w:lang w:val="sk-SK"/>
        </w:rPr>
        <w:t>Telmisartan</w:t>
      </w:r>
    </w:p>
    <w:p w14:paraId="364A922A"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U pacientov užívajúcich samotný telmisartan boli hlásené nasledovné ďalšie vedľajšie účinky:</w:t>
      </w:r>
    </w:p>
    <w:p w14:paraId="65D61D43" w14:textId="77777777" w:rsidR="00582954" w:rsidRDefault="00582954">
      <w:pPr>
        <w:widowControl w:val="0"/>
        <w:autoSpaceDE w:val="0"/>
        <w:autoSpaceDN w:val="0"/>
        <w:adjustRightInd w:val="0"/>
        <w:spacing w:after="0" w:line="240" w:lineRule="auto"/>
        <w:rPr>
          <w:rFonts w:ascii="Times New Roman" w:hAnsi="Times New Roman"/>
          <w:lang w:val="sk-SK"/>
        </w:rPr>
      </w:pPr>
    </w:p>
    <w:p w14:paraId="622D8288"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u w:val="single"/>
          <w:lang w:val="sk-SK"/>
        </w:rPr>
        <w:t>Menej časté vedľajšie účinky</w:t>
      </w:r>
      <w:r>
        <w:rPr>
          <w:rFonts w:ascii="Times New Roman" w:hAnsi="Times New Roman"/>
          <w:lang w:val="sk-SK"/>
        </w:rPr>
        <w:t xml:space="preserve"> (môžu postihovať menej ako 1 zo 100 osôb):</w:t>
      </w:r>
    </w:p>
    <w:p w14:paraId="06F58A87"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Infekcia horných dýchacích ciest (napr. bolesť hrdla, zápal prinosových dutín, bežné prechladnutie), infekcia močových ciest, </w:t>
      </w:r>
      <w:bookmarkStart w:id="33" w:name="_Hlk188528628"/>
      <w:r>
        <w:rPr>
          <w:rFonts w:ascii="Times New Roman" w:hAnsi="Times New Roman"/>
          <w:lang w:val="sk-SK"/>
        </w:rPr>
        <w:t xml:space="preserve">infekcia močového mechúra, </w:t>
      </w:r>
      <w:bookmarkEnd w:id="33"/>
      <w:r>
        <w:rPr>
          <w:rFonts w:ascii="Times New Roman" w:hAnsi="Times New Roman"/>
          <w:lang w:val="sk-SK"/>
        </w:rPr>
        <w:t>nedostatok červených krviniek (anémia), vysoké hladiny draslíka, spomalený tep srdca (bradykardia), kašeľ, porucha funkcie obličiek vrátane akútneho zlyhania obličiek, slabosť.</w:t>
      </w:r>
    </w:p>
    <w:p w14:paraId="14D01ED5" w14:textId="77777777" w:rsidR="00582954" w:rsidRDefault="00582954">
      <w:pPr>
        <w:widowControl w:val="0"/>
        <w:autoSpaceDE w:val="0"/>
        <w:autoSpaceDN w:val="0"/>
        <w:adjustRightInd w:val="0"/>
        <w:spacing w:after="0" w:line="240" w:lineRule="auto"/>
        <w:rPr>
          <w:rFonts w:ascii="Times New Roman" w:hAnsi="Times New Roman"/>
          <w:lang w:val="sk-SK"/>
        </w:rPr>
      </w:pPr>
    </w:p>
    <w:p w14:paraId="0F3B974A"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u w:val="single"/>
          <w:lang w:val="sk-SK"/>
        </w:rPr>
        <w:t>Zriedkavé vedľajšie účinky</w:t>
      </w:r>
      <w:r>
        <w:rPr>
          <w:rFonts w:ascii="Times New Roman" w:hAnsi="Times New Roman"/>
          <w:lang w:val="sk-SK"/>
        </w:rPr>
        <w:t xml:space="preserve"> (môžu postihovať menej ako 1 z 1 000 osôb):</w:t>
      </w:r>
    </w:p>
    <w:p w14:paraId="7C27B76A" w14:textId="77777777" w:rsidR="00582954" w:rsidRDefault="00645977">
      <w:pPr>
        <w:widowControl w:val="0"/>
        <w:autoSpaceDE w:val="0"/>
        <w:autoSpaceDN w:val="0"/>
        <w:adjustRightInd w:val="0"/>
        <w:spacing w:after="0" w:line="240" w:lineRule="auto"/>
        <w:ind w:right="-1"/>
        <w:rPr>
          <w:rFonts w:ascii="Times New Roman" w:hAnsi="Times New Roman"/>
          <w:lang w:val="sk-SK"/>
        </w:rPr>
      </w:pPr>
      <w:r>
        <w:rPr>
          <w:rFonts w:ascii="Times New Roman" w:hAnsi="Times New Roman"/>
          <w:lang w:val="sk-SK"/>
        </w:rPr>
        <w:t xml:space="preserve">Nízky počet krvných doštičiek (trombocytopénia), zvýšený počet určitých bielych krviniek (eozinofília), závažná alergická reakcia (napr. precitlivenosť, anafylaktická reakcia), nízka hladina cukru v krvi (u diabetikov), ospalosť, žalúdočné ťažkosti, ekzém (ochorenie kože), </w:t>
      </w:r>
      <w:bookmarkStart w:id="34" w:name="_Hlk150846269"/>
      <w:r>
        <w:rPr>
          <w:rFonts w:ascii="Times New Roman" w:hAnsi="Times New Roman"/>
          <w:lang w:val="sk-SK"/>
        </w:rPr>
        <w:t>lieková vyrážka, toxická kožná vyrážka, bolesť šliach (príznaky podobné zápalu šliach)</w:t>
      </w:r>
      <w:bookmarkEnd w:id="34"/>
      <w:r>
        <w:rPr>
          <w:rFonts w:ascii="Times New Roman" w:hAnsi="Times New Roman"/>
          <w:lang w:val="sk-SK"/>
        </w:rPr>
        <w:t>, znížený hemoglobín (krvná bielkovina).</w:t>
      </w:r>
    </w:p>
    <w:p w14:paraId="1AB44CEE" w14:textId="77777777" w:rsidR="00582954" w:rsidRDefault="00582954">
      <w:pPr>
        <w:widowControl w:val="0"/>
        <w:autoSpaceDE w:val="0"/>
        <w:autoSpaceDN w:val="0"/>
        <w:adjustRightInd w:val="0"/>
        <w:spacing w:after="0" w:line="240" w:lineRule="auto"/>
        <w:rPr>
          <w:rFonts w:ascii="Times New Roman" w:hAnsi="Times New Roman"/>
          <w:lang w:val="sk-SK"/>
        </w:rPr>
      </w:pPr>
    </w:p>
    <w:p w14:paraId="11F7FDD6"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u w:val="single"/>
          <w:lang w:val="sk-SK"/>
        </w:rPr>
        <w:t>Veľmi zriedkavé vedľajšie účinky</w:t>
      </w:r>
      <w:r>
        <w:rPr>
          <w:rFonts w:ascii="Times New Roman" w:hAnsi="Times New Roman"/>
          <w:lang w:val="sk-SK"/>
        </w:rPr>
        <w:t xml:space="preserve"> (môžu postihovať menej ako 1 z 10 000 osôb):</w:t>
      </w:r>
    </w:p>
    <w:p w14:paraId="71D1B722"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Progresívne jazvenie pľúcneho tkaniva (intersticiálne ochorenie pľúc)**.</w:t>
      </w:r>
    </w:p>
    <w:p w14:paraId="156B7CA1" w14:textId="77777777" w:rsidR="00582954" w:rsidRDefault="00582954">
      <w:pPr>
        <w:widowControl w:val="0"/>
        <w:autoSpaceDE w:val="0"/>
        <w:autoSpaceDN w:val="0"/>
        <w:adjustRightInd w:val="0"/>
        <w:spacing w:after="0" w:line="240" w:lineRule="auto"/>
        <w:rPr>
          <w:rFonts w:ascii="Times New Roman" w:hAnsi="Times New Roman"/>
          <w:lang w:val="sk-SK"/>
        </w:rPr>
      </w:pPr>
    </w:p>
    <w:p w14:paraId="5798E7E8" w14:textId="77777777" w:rsidR="00582954" w:rsidRDefault="00645977">
      <w:pPr>
        <w:widowControl w:val="0"/>
        <w:autoSpaceDE w:val="0"/>
        <w:autoSpaceDN w:val="0"/>
        <w:adjustRightInd w:val="0"/>
        <w:spacing w:after="0" w:line="240" w:lineRule="auto"/>
        <w:rPr>
          <w:rFonts w:ascii="Times New Roman" w:hAnsi="Times New Roman"/>
          <w:lang w:val="sk-SK"/>
        </w:rPr>
      </w:pPr>
      <w:bookmarkStart w:id="35" w:name="_Hlk187162130"/>
      <w:r>
        <w:rPr>
          <w:rFonts w:ascii="Times New Roman" w:hAnsi="Times New Roman"/>
          <w:u w:val="single"/>
          <w:lang w:val="sk-SK"/>
        </w:rPr>
        <w:t>Neznáme</w:t>
      </w:r>
      <w:r>
        <w:rPr>
          <w:rFonts w:ascii="Times New Roman" w:hAnsi="Times New Roman"/>
          <w:lang w:val="sk-SK"/>
        </w:rPr>
        <w:t xml:space="preserve"> (častosť výskytu sa nedá odhadnúť z dostupných údajov):</w:t>
      </w:r>
    </w:p>
    <w:p w14:paraId="20058AB2"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Intestinálny angioedém: po užití podobných liekov bol hlásený opuch v čreve prejavujúci sa príznakmi, ako sú bolesť brucha, nevoľnosť, vracanie a hnačka.</w:t>
      </w:r>
    </w:p>
    <w:bookmarkEnd w:id="35"/>
    <w:p w14:paraId="0FA69939" w14:textId="77777777" w:rsidR="00582954" w:rsidRDefault="00582954">
      <w:pPr>
        <w:widowControl w:val="0"/>
        <w:autoSpaceDE w:val="0"/>
        <w:autoSpaceDN w:val="0"/>
        <w:adjustRightInd w:val="0"/>
        <w:spacing w:after="0" w:line="240" w:lineRule="auto"/>
        <w:rPr>
          <w:rFonts w:ascii="Times New Roman" w:hAnsi="Times New Roman"/>
          <w:lang w:val="sk-SK"/>
        </w:rPr>
      </w:pPr>
    </w:p>
    <w:p w14:paraId="0550C8EC"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*Udalosť sa môže vyskytnúť náhodne alebo môže súvisieť s mechanizmami, ktoré nie sú v súčasnosti známe.</w:t>
      </w:r>
    </w:p>
    <w:p w14:paraId="0738B578" w14:textId="77777777" w:rsidR="00582954" w:rsidRDefault="00582954">
      <w:pPr>
        <w:widowControl w:val="0"/>
        <w:autoSpaceDE w:val="0"/>
        <w:autoSpaceDN w:val="0"/>
        <w:adjustRightInd w:val="0"/>
        <w:spacing w:after="0" w:line="240" w:lineRule="auto"/>
        <w:rPr>
          <w:rFonts w:ascii="Times New Roman" w:hAnsi="Times New Roman"/>
          <w:lang w:val="sk-SK"/>
        </w:rPr>
      </w:pPr>
    </w:p>
    <w:p w14:paraId="259664C2"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**Počas užívania telmisartanu sa zaznamenali prípady progresívneho jazvenia pľúcneho tkaniva.</w:t>
      </w:r>
    </w:p>
    <w:p w14:paraId="15A427BE"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Avšak, nie je známe či to spôsobil telmisartan.</w:t>
      </w:r>
    </w:p>
    <w:p w14:paraId="55955F84" w14:textId="77777777" w:rsidR="00582954" w:rsidRDefault="00582954">
      <w:pPr>
        <w:widowControl w:val="0"/>
        <w:autoSpaceDE w:val="0"/>
        <w:autoSpaceDN w:val="0"/>
        <w:adjustRightInd w:val="0"/>
        <w:spacing w:after="0" w:line="240" w:lineRule="auto"/>
        <w:rPr>
          <w:rFonts w:ascii="Times New Roman" w:hAnsi="Times New Roman"/>
          <w:lang w:val="sk-SK"/>
        </w:rPr>
      </w:pPr>
    </w:p>
    <w:p w14:paraId="5E7E2D55" w14:textId="77777777" w:rsidR="00582954" w:rsidRDefault="00645977">
      <w:pPr>
        <w:widowControl w:val="0"/>
        <w:autoSpaceDE w:val="0"/>
        <w:autoSpaceDN w:val="0"/>
        <w:adjustRightInd w:val="0"/>
        <w:spacing w:after="0" w:line="240" w:lineRule="auto"/>
        <w:rPr>
          <w:rFonts w:ascii="Times New Roman" w:hAnsi="Times New Roman"/>
          <w:b/>
          <w:bCs/>
          <w:u w:val="single"/>
          <w:lang w:val="sk-SK"/>
        </w:rPr>
      </w:pPr>
      <w:r>
        <w:rPr>
          <w:rFonts w:ascii="Times New Roman" w:hAnsi="Times New Roman"/>
          <w:b/>
          <w:bCs/>
          <w:u w:val="single"/>
          <w:lang w:val="sk-SK"/>
        </w:rPr>
        <w:t>Hydrochlórtiazid</w:t>
      </w:r>
    </w:p>
    <w:p w14:paraId="299E02AD"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U pacientov užívajúcich hydrochlórtiazid samotný boli hlásené ďalšie nasledujúce vedľajšie účinky:</w:t>
      </w:r>
    </w:p>
    <w:p w14:paraId="2DD976CC" w14:textId="77777777" w:rsidR="00582954" w:rsidRDefault="00582954">
      <w:pPr>
        <w:pStyle w:val="Bezriadkovania"/>
        <w:rPr>
          <w:rFonts w:ascii="Times New Roman" w:hAnsi="Times New Roman"/>
          <w:lang w:val="sk-SK"/>
        </w:rPr>
      </w:pPr>
    </w:p>
    <w:p w14:paraId="0AAF42AF" w14:textId="77777777" w:rsidR="00582954" w:rsidRDefault="00645977">
      <w:pPr>
        <w:pStyle w:val="Zarkazkladnhotextu"/>
        <w:spacing w:after="0" w:line="240" w:lineRule="auto"/>
        <w:ind w:left="0"/>
        <w:rPr>
          <w:rFonts w:ascii="Times New Roman" w:hAnsi="Times New Roman"/>
          <w:lang w:val="sk-SK"/>
        </w:rPr>
      </w:pPr>
      <w:r>
        <w:rPr>
          <w:rFonts w:ascii="Times New Roman" w:hAnsi="Times New Roman"/>
          <w:u w:val="single"/>
          <w:lang w:val="sk-SK"/>
        </w:rPr>
        <w:t>Veľmi časté vedľajšie účinky</w:t>
      </w:r>
      <w:r>
        <w:rPr>
          <w:rFonts w:ascii="Times New Roman" w:hAnsi="Times New Roman"/>
          <w:lang w:val="sk-SK"/>
        </w:rPr>
        <w:t xml:space="preserve"> (môžu postihovať viac ako 1 z 10 osôb)</w:t>
      </w:r>
    </w:p>
    <w:p w14:paraId="009DED7F" w14:textId="77777777" w:rsidR="00582954" w:rsidRDefault="00645977">
      <w:pPr>
        <w:pStyle w:val="Zarkazkladnhotextu"/>
        <w:spacing w:after="0" w:line="240" w:lineRule="auto"/>
        <w:ind w:left="0"/>
        <w:rPr>
          <w:rFonts w:ascii="Times New Roman" w:hAnsi="Times New Roman"/>
          <w:lang w:val="sk-SK"/>
        </w:rPr>
      </w:pPr>
      <w:r>
        <w:rPr>
          <w:rFonts w:ascii="Times New Roman" w:hAnsi="Times New Roman"/>
          <w:lang w:val="sk-SK"/>
        </w:rPr>
        <w:t>Zvýšené hladiny tukov v krvi.</w:t>
      </w:r>
    </w:p>
    <w:p w14:paraId="45ACE446" w14:textId="77777777" w:rsidR="00582954" w:rsidRDefault="00582954">
      <w:pPr>
        <w:pStyle w:val="Zarkazkladnhotextu"/>
        <w:spacing w:after="0" w:line="240" w:lineRule="auto"/>
        <w:ind w:left="0"/>
        <w:rPr>
          <w:rFonts w:ascii="Times New Roman" w:hAnsi="Times New Roman"/>
          <w:lang w:val="sk-SK"/>
        </w:rPr>
      </w:pPr>
    </w:p>
    <w:p w14:paraId="14BE21AF" w14:textId="77777777" w:rsidR="00582954" w:rsidRDefault="00645977">
      <w:pPr>
        <w:pStyle w:val="Bezriadkovania"/>
        <w:keepNext/>
        <w:rPr>
          <w:rFonts w:ascii="Times New Roman" w:hAnsi="Times New Roman"/>
          <w:lang w:val="sk-SK"/>
        </w:rPr>
      </w:pPr>
      <w:r>
        <w:rPr>
          <w:rFonts w:ascii="Times New Roman" w:hAnsi="Times New Roman"/>
          <w:u w:val="single"/>
          <w:lang w:val="sk-SK"/>
        </w:rPr>
        <w:t>Časté vedľajšie účinky</w:t>
      </w:r>
      <w:r>
        <w:rPr>
          <w:rFonts w:ascii="Times New Roman" w:hAnsi="Times New Roman"/>
          <w:lang w:val="sk-SK"/>
        </w:rPr>
        <w:t xml:space="preserve"> (môžu postihovať menej ako 1 z 10 osôb):</w:t>
      </w:r>
    </w:p>
    <w:p w14:paraId="5D1EE3C1" w14:textId="77777777" w:rsidR="00582954" w:rsidRDefault="00645977">
      <w:pPr>
        <w:pStyle w:val="Bezriadkovania"/>
        <w:keepNext/>
        <w:rPr>
          <w:rFonts w:ascii="Times New Roman" w:hAnsi="Times New Roman"/>
          <w:lang w:val="sk-SK"/>
        </w:rPr>
      </w:pPr>
      <w:r>
        <w:rPr>
          <w:rFonts w:ascii="Times New Roman" w:hAnsi="Times New Roman"/>
          <w:lang w:val="sk-SK"/>
        </w:rPr>
        <w:t>Nevoľnosť (nauzea), nízka hladina horčíka v krvi</w:t>
      </w:r>
      <w:bookmarkStart w:id="36" w:name="_Hlk188528816"/>
      <w:r>
        <w:rPr>
          <w:rFonts w:ascii="Times New Roman" w:hAnsi="Times New Roman"/>
          <w:lang w:val="sk-SK"/>
        </w:rPr>
        <w:t xml:space="preserve">, </w:t>
      </w:r>
      <w:bookmarkStart w:id="37" w:name="_Hlk150846287"/>
      <w:r>
        <w:rPr>
          <w:rFonts w:ascii="Times New Roman" w:hAnsi="Times New Roman"/>
          <w:lang w:val="sk-SK"/>
        </w:rPr>
        <w:t>znížená chuť do jedla</w:t>
      </w:r>
      <w:bookmarkEnd w:id="36"/>
      <w:bookmarkEnd w:id="37"/>
      <w:r>
        <w:rPr>
          <w:rFonts w:ascii="Times New Roman" w:hAnsi="Times New Roman"/>
          <w:lang w:val="sk-SK"/>
        </w:rPr>
        <w:t>.</w:t>
      </w:r>
    </w:p>
    <w:p w14:paraId="05145143" w14:textId="77777777" w:rsidR="00582954" w:rsidRDefault="00582954">
      <w:pPr>
        <w:pStyle w:val="Bezriadkovania"/>
        <w:rPr>
          <w:rFonts w:ascii="Times New Roman" w:hAnsi="Times New Roman"/>
          <w:lang w:val="sk-SK"/>
        </w:rPr>
      </w:pPr>
    </w:p>
    <w:p w14:paraId="777E2B43" w14:textId="77777777" w:rsidR="00582954" w:rsidRDefault="00645977">
      <w:pPr>
        <w:pStyle w:val="Zarkazkladnhotextu"/>
        <w:spacing w:after="0" w:line="240" w:lineRule="auto"/>
        <w:ind w:left="0"/>
        <w:rPr>
          <w:rFonts w:ascii="Times New Roman" w:hAnsi="Times New Roman"/>
          <w:lang w:val="sk-SK"/>
        </w:rPr>
      </w:pPr>
      <w:bookmarkStart w:id="38" w:name="_Hlk188528836"/>
      <w:r>
        <w:rPr>
          <w:rFonts w:ascii="Times New Roman" w:hAnsi="Times New Roman"/>
          <w:u w:val="single"/>
          <w:lang w:val="sk-SK"/>
        </w:rPr>
        <w:t>Menej časté vedľajšie účinky</w:t>
      </w:r>
      <w:r>
        <w:rPr>
          <w:rFonts w:ascii="Times New Roman" w:hAnsi="Times New Roman"/>
          <w:lang w:val="sk-SK"/>
        </w:rPr>
        <w:t xml:space="preserve"> (môžu postihovať menej ako 1 zo 100 osôb):</w:t>
      </w:r>
    </w:p>
    <w:p w14:paraId="3E4EA4D2" w14:textId="77777777" w:rsidR="00582954" w:rsidRDefault="00645977">
      <w:pPr>
        <w:pStyle w:val="Bezriadkovania"/>
        <w:rPr>
          <w:rFonts w:ascii="Times New Roman" w:hAnsi="Times New Roman"/>
          <w:lang w:val="sk-SK"/>
        </w:rPr>
      </w:pPr>
      <w:r>
        <w:rPr>
          <w:rFonts w:ascii="Times New Roman" w:hAnsi="Times New Roman"/>
          <w:lang w:val="sk-SK"/>
        </w:rPr>
        <w:t xml:space="preserve">Akútne zlyhanie obličiek. </w:t>
      </w:r>
    </w:p>
    <w:bookmarkEnd w:id="38"/>
    <w:p w14:paraId="6A15F350" w14:textId="77777777" w:rsidR="00582954" w:rsidRDefault="00582954">
      <w:pPr>
        <w:pStyle w:val="Bezriadkovania"/>
        <w:rPr>
          <w:rFonts w:ascii="Times New Roman" w:hAnsi="Times New Roman"/>
          <w:lang w:val="sk-SK"/>
        </w:rPr>
      </w:pPr>
    </w:p>
    <w:p w14:paraId="67243AE6" w14:textId="77777777" w:rsidR="00582954" w:rsidRDefault="00645977">
      <w:pPr>
        <w:pStyle w:val="Bezriadkovania"/>
        <w:rPr>
          <w:rFonts w:ascii="Times New Roman" w:hAnsi="Times New Roman"/>
          <w:lang w:val="sk-SK"/>
        </w:rPr>
      </w:pPr>
      <w:r>
        <w:rPr>
          <w:rFonts w:ascii="Times New Roman" w:hAnsi="Times New Roman"/>
          <w:u w:val="single"/>
          <w:lang w:val="sk-SK"/>
        </w:rPr>
        <w:t>Zriedkavé vedľajšie účinky</w:t>
      </w:r>
      <w:r>
        <w:rPr>
          <w:rFonts w:ascii="Times New Roman" w:hAnsi="Times New Roman"/>
          <w:lang w:val="sk-SK"/>
        </w:rPr>
        <w:t xml:space="preserve"> (môžu postihovať menej ako 1 z 1 000 osôb):</w:t>
      </w:r>
    </w:p>
    <w:p w14:paraId="73F4668A" w14:textId="77777777" w:rsidR="00582954" w:rsidRDefault="00645977">
      <w:pPr>
        <w:pStyle w:val="Bezriadkovania"/>
        <w:rPr>
          <w:rFonts w:ascii="Times New Roman" w:hAnsi="Times New Roman"/>
          <w:lang w:val="sk-SK"/>
        </w:rPr>
      </w:pPr>
      <w:r>
        <w:rPr>
          <w:rFonts w:ascii="Times New Roman" w:hAnsi="Times New Roman"/>
          <w:lang w:val="sk-SK"/>
        </w:rPr>
        <w:t xml:space="preserve">Nízky počet krvných doštičiek </w:t>
      </w:r>
      <w:bookmarkStart w:id="39" w:name="_Hlk188528887"/>
      <w:r>
        <w:rPr>
          <w:rFonts w:ascii="Times New Roman" w:hAnsi="Times New Roman"/>
          <w:lang w:val="sk-SK"/>
        </w:rPr>
        <w:t>(trombocytopénia)</w:t>
      </w:r>
      <w:bookmarkEnd w:id="39"/>
      <w:r>
        <w:rPr>
          <w:rFonts w:ascii="Times New Roman" w:hAnsi="Times New Roman"/>
          <w:lang w:val="sk-SK"/>
        </w:rPr>
        <w:t xml:space="preserve">, čo zvyšuje riziko krvácania alebo </w:t>
      </w:r>
      <w:bookmarkStart w:id="40" w:name="_Hlk188528910"/>
      <w:r>
        <w:rPr>
          <w:rFonts w:ascii="Times New Roman" w:hAnsi="Times New Roman"/>
          <w:lang w:val="sk-SK"/>
        </w:rPr>
        <w:t>krvných podliatin</w:t>
      </w:r>
      <w:bookmarkEnd w:id="40"/>
      <w:r>
        <w:rPr>
          <w:rFonts w:ascii="Times New Roman" w:hAnsi="Times New Roman"/>
          <w:lang w:val="sk-SK"/>
        </w:rPr>
        <w:t xml:space="preserve"> (malé purpurovočervené škvrny na koži alebo inom tkanive spôsobené krvácaním), vysoká hladina vápnika v krvi, </w:t>
      </w:r>
      <w:bookmarkStart w:id="41" w:name="_Hlk188528928"/>
      <w:r>
        <w:rPr>
          <w:rFonts w:ascii="Times New Roman" w:hAnsi="Times New Roman"/>
          <w:lang w:val="sk-SK"/>
        </w:rPr>
        <w:t xml:space="preserve">vysoká hladina cukru v krvi, </w:t>
      </w:r>
      <w:bookmarkEnd w:id="41"/>
      <w:r>
        <w:rPr>
          <w:rFonts w:ascii="Times New Roman" w:hAnsi="Times New Roman"/>
          <w:lang w:val="sk-SK"/>
        </w:rPr>
        <w:t>bolesť hlavy</w:t>
      </w:r>
      <w:bookmarkStart w:id="42" w:name="_Hlk188528938"/>
      <w:r>
        <w:rPr>
          <w:rFonts w:ascii="Times New Roman" w:hAnsi="Times New Roman"/>
          <w:lang w:val="sk-SK"/>
        </w:rPr>
        <w:t xml:space="preserve">, nepríjemný pocit v žalúdku, zožltnutie kože alebo očí (žltačka), nadbytok žlčových látok v krvi (cholestáza), reakcia z precitlivenosti na svetlo </w:t>
      </w:r>
      <w:r>
        <w:rPr>
          <w:rFonts w:ascii="Times New Roman" w:hAnsi="Times New Roman"/>
          <w:lang w:val="sk-SK"/>
        </w:rPr>
        <w:lastRenderedPageBreak/>
        <w:t>(fotosenzitivita), nekontrolovaná hladina glukózy v krvi u pacientov s cukrovkou (diabetes mellitus), cukry v moči (glukozúria)</w:t>
      </w:r>
      <w:bookmarkEnd w:id="42"/>
      <w:r>
        <w:rPr>
          <w:rFonts w:ascii="Times New Roman" w:hAnsi="Times New Roman"/>
          <w:lang w:val="sk-SK"/>
        </w:rPr>
        <w:t>.</w:t>
      </w:r>
    </w:p>
    <w:p w14:paraId="020EA5F0" w14:textId="77777777" w:rsidR="00582954" w:rsidRDefault="00582954">
      <w:pPr>
        <w:pStyle w:val="Bezriadkovania"/>
        <w:rPr>
          <w:rFonts w:ascii="Times New Roman" w:hAnsi="Times New Roman"/>
          <w:lang w:val="sk-SK"/>
        </w:rPr>
      </w:pPr>
    </w:p>
    <w:p w14:paraId="07008796" w14:textId="77777777" w:rsidR="00582954" w:rsidRDefault="00645977">
      <w:pPr>
        <w:pStyle w:val="Bezriadkovania"/>
        <w:rPr>
          <w:rFonts w:ascii="Times New Roman" w:hAnsi="Times New Roman"/>
          <w:lang w:val="sk-SK"/>
        </w:rPr>
      </w:pPr>
      <w:r>
        <w:rPr>
          <w:rFonts w:ascii="Times New Roman" w:hAnsi="Times New Roman"/>
          <w:u w:val="single"/>
          <w:lang w:val="sk-SK"/>
        </w:rPr>
        <w:t>Veľmi zriedkavé vedľajšie účinky</w:t>
      </w:r>
      <w:r>
        <w:rPr>
          <w:rFonts w:ascii="Times New Roman" w:hAnsi="Times New Roman"/>
          <w:lang w:val="sk-SK"/>
        </w:rPr>
        <w:t xml:space="preserve"> (môžu postihovať menej ako 1 z 10 000 osôb):</w:t>
      </w:r>
    </w:p>
    <w:p w14:paraId="3A5E3D18" w14:textId="77777777" w:rsidR="00582954" w:rsidRDefault="00645977">
      <w:pPr>
        <w:spacing w:after="0" w:line="240" w:lineRule="auto"/>
        <w:ind w:right="-284"/>
        <w:rPr>
          <w:rFonts w:ascii="Times New Roman" w:hAnsi="Times New Roman"/>
          <w:lang w:val="sk-SK"/>
        </w:rPr>
      </w:pPr>
      <w:bookmarkStart w:id="43" w:name="_Hlk188528959"/>
      <w:r>
        <w:rPr>
          <w:rFonts w:ascii="Times New Roman" w:hAnsi="Times New Roman"/>
          <w:lang w:val="sk-SK"/>
        </w:rPr>
        <w:t xml:space="preserve">Abnormálny rozpad červených krviniek (hemolytická anémia), neschopnosť kostnej drene správne fungovať, znížený počet bielych krviniek (leukopénia, agranulocytóza), závažná alergická reakcia (napr. precitlivenosť), </w:t>
      </w:r>
      <w:bookmarkEnd w:id="43"/>
      <w:r>
        <w:rPr>
          <w:rFonts w:ascii="Times New Roman" w:hAnsi="Times New Roman"/>
          <w:lang w:val="sk-SK"/>
        </w:rPr>
        <w:t xml:space="preserve">zvýšená hodnota pH v dôsledku nízkej hladiny chloridov v krvi </w:t>
      </w:r>
      <w:bookmarkStart w:id="44" w:name="_Hlk188528999"/>
      <w:r>
        <w:rPr>
          <w:rFonts w:ascii="Times New Roman" w:hAnsi="Times New Roman"/>
          <w:lang w:val="sk-SK"/>
        </w:rPr>
        <w:t>(narušená acidobázická rovnováha, hypochloremická alkalóza)</w:t>
      </w:r>
      <w:bookmarkEnd w:id="44"/>
      <w:r>
        <w:rPr>
          <w:rFonts w:ascii="Times New Roman" w:hAnsi="Times New Roman"/>
          <w:lang w:val="sk-SK"/>
        </w:rPr>
        <w:t>, akútna respiračná tieseň (prejavy zahŕňajú závažnú dýchavičnosť, horúčku, slabosť a zmätenosť)</w:t>
      </w:r>
      <w:bookmarkStart w:id="45" w:name="_Hlk188529023"/>
      <w:r>
        <w:rPr>
          <w:rFonts w:ascii="Times New Roman" w:hAnsi="Times New Roman"/>
          <w:lang w:val="sk-SK"/>
        </w:rPr>
        <w:t xml:space="preserve">, </w:t>
      </w:r>
      <w:bookmarkStart w:id="46" w:name="_Hlk150846344"/>
      <w:r>
        <w:rPr>
          <w:rFonts w:ascii="Times New Roman" w:hAnsi="Times New Roman"/>
          <w:lang w:val="sk-SK"/>
        </w:rPr>
        <w:t>zápal pankreasu, syndróm podobný lupusu (príznaky podobné ochoreniu nazývanému systémový lupus erythematosus, pri ktorom imunitný systém organizmu napáda vlastné telo), zápal krvných ciev (nekrotizujúca vaskulitída)</w:t>
      </w:r>
      <w:bookmarkEnd w:id="45"/>
      <w:bookmarkEnd w:id="46"/>
      <w:r>
        <w:rPr>
          <w:rFonts w:ascii="Times New Roman" w:hAnsi="Times New Roman"/>
          <w:lang w:val="sk-SK"/>
        </w:rPr>
        <w:t>.</w:t>
      </w:r>
    </w:p>
    <w:p w14:paraId="4C5A83A5" w14:textId="77777777" w:rsidR="00582954" w:rsidRDefault="00582954">
      <w:pPr>
        <w:widowControl w:val="0"/>
        <w:autoSpaceDE w:val="0"/>
        <w:autoSpaceDN w:val="0"/>
        <w:adjustRightInd w:val="0"/>
        <w:spacing w:after="0" w:line="240" w:lineRule="auto"/>
        <w:rPr>
          <w:rFonts w:ascii="Times New Roman" w:hAnsi="Times New Roman"/>
          <w:lang w:val="sk-SK"/>
        </w:rPr>
      </w:pPr>
    </w:p>
    <w:p w14:paraId="47793BDD" w14:textId="77777777" w:rsidR="00582954" w:rsidRDefault="00645977">
      <w:pPr>
        <w:keepNext/>
        <w:widowControl w:val="0"/>
        <w:autoSpaceDE w:val="0"/>
        <w:autoSpaceDN w:val="0"/>
        <w:adjustRightInd w:val="0"/>
        <w:spacing w:after="0" w:line="240" w:lineRule="auto"/>
        <w:rPr>
          <w:rFonts w:ascii="Times New Roman" w:hAnsi="Times New Roman"/>
          <w:lang w:val="sk-SK"/>
        </w:rPr>
      </w:pPr>
      <w:r>
        <w:rPr>
          <w:rFonts w:ascii="Times New Roman" w:hAnsi="Times New Roman"/>
          <w:u w:val="single"/>
          <w:lang w:val="sk-SK"/>
        </w:rPr>
        <w:t>Neznáme</w:t>
      </w:r>
      <w:r>
        <w:rPr>
          <w:rFonts w:ascii="Times New Roman" w:hAnsi="Times New Roman"/>
          <w:lang w:val="sk-SK"/>
        </w:rPr>
        <w:t xml:space="preserve"> (častosť výskytu sa nedá odhadnúť z dostupných údajov):</w:t>
      </w:r>
    </w:p>
    <w:p w14:paraId="10FA6ED8" w14:textId="77777777" w:rsidR="00582954" w:rsidRDefault="00645977">
      <w:pPr>
        <w:keepNext/>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Zápal slinných žliaz, rakovina kože a rakovina pier (nemelanómová rakovina kože), nedostatok krviniek </w:t>
      </w:r>
      <w:bookmarkStart w:id="47" w:name="_Hlk188529147"/>
      <w:r>
        <w:rPr>
          <w:rFonts w:ascii="Times New Roman" w:hAnsi="Times New Roman"/>
          <w:lang w:val="sk-SK"/>
        </w:rPr>
        <w:t>(aplastická anémia)</w:t>
      </w:r>
      <w:bookmarkEnd w:id="47"/>
      <w:r>
        <w:rPr>
          <w:rFonts w:ascii="Times New Roman" w:hAnsi="Times New Roman"/>
          <w:lang w:val="sk-SK"/>
        </w:rPr>
        <w:t>, zhoršené videnie a bolesť oka (možné príznaky nahromadenia tekutiny vo vrstve oka obsahujúcej cievy (choroidálna efúzia) alebo akútneho glaukómu s uzavretým uhlom), poruchy kože ako zápal krvných ciev v koži, zvýšená citlivosť na slnečné svetlo, vyrážka, začervenanie kože, pľuzgiere na perách, očiach alebo v ústach, olupovanie kože, horúčka (možné prejavy multiformného erytému), slabosť, porucha funkcie obličiek.</w:t>
      </w:r>
    </w:p>
    <w:p w14:paraId="727B1AF9" w14:textId="77777777" w:rsidR="00582954" w:rsidRDefault="00582954">
      <w:pPr>
        <w:widowControl w:val="0"/>
        <w:autoSpaceDE w:val="0"/>
        <w:autoSpaceDN w:val="0"/>
        <w:adjustRightInd w:val="0"/>
        <w:spacing w:after="0" w:line="240" w:lineRule="auto"/>
        <w:rPr>
          <w:rFonts w:ascii="Times New Roman" w:hAnsi="Times New Roman"/>
          <w:lang w:val="sk-SK"/>
        </w:rPr>
      </w:pPr>
    </w:p>
    <w:p w14:paraId="77C6BFBC" w14:textId="77777777" w:rsidR="00582954" w:rsidRDefault="00645977">
      <w:pPr>
        <w:spacing w:after="0" w:line="240" w:lineRule="auto"/>
        <w:rPr>
          <w:rFonts w:ascii="Times New Roman" w:hAnsi="Times New Roman"/>
          <w:lang w:val="sk-SK"/>
        </w:rPr>
      </w:pPr>
      <w:bookmarkStart w:id="48" w:name="_Hlk188529369"/>
      <w:r>
        <w:rPr>
          <w:rFonts w:ascii="Times New Roman" w:hAnsi="Times New Roman"/>
          <w:lang w:val="sk-SK"/>
        </w:rPr>
        <w:t>V ojedinelých prípadoch sa vyskytujú nízke hladiny sodíka sprevádzané príznakmi spojenými s mozgom alebo nervami (pocit nevoľnosti, postupujúca dezorientácia, nedostatok záujmu alebo energie).</w:t>
      </w:r>
    </w:p>
    <w:p w14:paraId="1EB6841D" w14:textId="77777777" w:rsidR="00582954" w:rsidRDefault="00582954">
      <w:pPr>
        <w:spacing w:after="0" w:line="240" w:lineRule="auto"/>
        <w:rPr>
          <w:rFonts w:ascii="Times New Roman" w:hAnsi="Times New Roman"/>
          <w:lang w:val="sk-SK"/>
        </w:rPr>
      </w:pPr>
    </w:p>
    <w:bookmarkEnd w:id="48"/>
    <w:p w14:paraId="5AF706E7" w14:textId="77777777" w:rsidR="00582954" w:rsidRDefault="00645977">
      <w:pPr>
        <w:widowControl w:val="0"/>
        <w:numPr>
          <w:ilvl w:val="12"/>
          <w:numId w:val="0"/>
        </w:numPr>
        <w:tabs>
          <w:tab w:val="left" w:pos="720"/>
        </w:tabs>
        <w:spacing w:after="0" w:line="240" w:lineRule="auto"/>
        <w:rPr>
          <w:rFonts w:ascii="Times New Roman" w:hAnsi="Times New Roman"/>
          <w:b/>
          <w:lang w:val="sk-SK"/>
        </w:rPr>
      </w:pPr>
      <w:r>
        <w:rPr>
          <w:rFonts w:ascii="Times New Roman" w:hAnsi="Times New Roman"/>
          <w:b/>
          <w:noProof/>
          <w:lang w:val="sk-SK"/>
        </w:rPr>
        <w:t>Hlásenie vedľajších účinkov</w:t>
      </w:r>
    </w:p>
    <w:p w14:paraId="51D0B8DD"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noProof/>
          <w:lang w:val="sk-SK"/>
        </w:rPr>
        <w:t>Ak sa u vás vyskytne akýkoľvek vedľajší účinok, obráťte sa na svojho lekára alebo lekárnika.</w:t>
      </w:r>
      <w:r>
        <w:rPr>
          <w:rFonts w:ascii="Times New Roman" w:hAnsi="Times New Roman"/>
          <w:lang w:val="sk-SK"/>
        </w:rPr>
        <w:t xml:space="preserve"> </w:t>
      </w:r>
      <w:r>
        <w:rPr>
          <w:rFonts w:ascii="Times New Roman" w:hAnsi="Times New Roman"/>
          <w:noProof/>
          <w:lang w:val="sk-SK"/>
        </w:rPr>
        <w:t>To sa týka aj akýchkoľvek vedľajších účinkov, ktoré nie sú uvedené v tejto písomnej informácii.</w:t>
      </w:r>
      <w:r>
        <w:rPr>
          <w:rFonts w:ascii="Times New Roman" w:hAnsi="Times New Roman"/>
          <w:lang w:val="sk-SK"/>
        </w:rPr>
        <w:t xml:space="preserve"> </w:t>
      </w:r>
      <w:r>
        <w:rPr>
          <w:rFonts w:ascii="Times New Roman" w:hAnsi="Times New Roman"/>
          <w:noProof/>
          <w:lang w:val="sk-SK"/>
        </w:rPr>
        <w:t xml:space="preserve">Vedľajšie účinky môžete hlásiť aj priamo na </w:t>
      </w:r>
      <w:r>
        <w:rPr>
          <w:rFonts w:ascii="Times New Roman" w:hAnsi="Times New Roman"/>
          <w:noProof/>
          <w:highlight w:val="lightGray"/>
          <w:lang w:val="sk-SK"/>
        </w:rPr>
        <w:t>národné centrum hlásenia uvedené v </w:t>
      </w:r>
      <w:hyperlink r:id="rId13" w:history="1">
        <w:r>
          <w:rPr>
            <w:rStyle w:val="Hypertextovprepojenie"/>
            <w:rFonts w:ascii="Times New Roman" w:hAnsi="Times New Roman"/>
            <w:noProof/>
            <w:highlight w:val="lightGray"/>
            <w:lang w:val="sk-SK"/>
          </w:rPr>
          <w:t>P</w:t>
        </w:r>
        <w:r>
          <w:rPr>
            <w:rStyle w:val="Hypertextovprepojenie"/>
            <w:rFonts w:ascii="Times New Roman" w:hAnsi="Times New Roman"/>
            <w:highlight w:val="lightGray"/>
            <w:lang w:val="sk-SK"/>
          </w:rPr>
          <w:t>rílohe V</w:t>
        </w:r>
      </w:hyperlink>
      <w:r>
        <w:rPr>
          <w:rFonts w:ascii="Times New Roman" w:hAnsi="Times New Roman"/>
          <w:noProof/>
          <w:lang w:val="sk-SK"/>
        </w:rPr>
        <w:t>.</w:t>
      </w:r>
      <w:r>
        <w:rPr>
          <w:rFonts w:ascii="Times New Roman" w:hAnsi="Times New Roman"/>
          <w:lang w:val="sk-SK"/>
        </w:rPr>
        <w:t xml:space="preserve"> </w:t>
      </w:r>
      <w:r>
        <w:rPr>
          <w:rFonts w:ascii="Times New Roman" w:hAnsi="Times New Roman"/>
          <w:noProof/>
          <w:lang w:val="sk-SK"/>
        </w:rPr>
        <w:t>Hlásením vedľajších účinkov môžete prispieť k získaniu ďalších informácií o bezpečnosti tohto lieku.</w:t>
      </w:r>
    </w:p>
    <w:p w14:paraId="4F50D42B" w14:textId="77777777" w:rsidR="00582954" w:rsidRDefault="00582954">
      <w:pPr>
        <w:widowControl w:val="0"/>
        <w:autoSpaceDE w:val="0"/>
        <w:autoSpaceDN w:val="0"/>
        <w:adjustRightInd w:val="0"/>
        <w:spacing w:after="0" w:line="240" w:lineRule="auto"/>
        <w:rPr>
          <w:rFonts w:ascii="Times New Roman" w:hAnsi="Times New Roman"/>
          <w:lang w:val="sk-SK"/>
        </w:rPr>
      </w:pPr>
    </w:p>
    <w:p w14:paraId="6AE86650" w14:textId="77777777" w:rsidR="00582954" w:rsidRDefault="00582954">
      <w:pPr>
        <w:widowControl w:val="0"/>
        <w:autoSpaceDE w:val="0"/>
        <w:autoSpaceDN w:val="0"/>
        <w:adjustRightInd w:val="0"/>
        <w:spacing w:after="0" w:line="240" w:lineRule="auto"/>
        <w:rPr>
          <w:rFonts w:ascii="Times New Roman" w:hAnsi="Times New Roman"/>
          <w:lang w:val="sk-SK"/>
        </w:rPr>
      </w:pPr>
    </w:p>
    <w:p w14:paraId="70A9EC18" w14:textId="77777777" w:rsidR="00582954" w:rsidRDefault="00645977">
      <w:pPr>
        <w:widowControl w:val="0"/>
        <w:tabs>
          <w:tab w:val="left" w:pos="567"/>
        </w:tabs>
        <w:autoSpaceDE w:val="0"/>
        <w:autoSpaceDN w:val="0"/>
        <w:adjustRightInd w:val="0"/>
        <w:spacing w:after="0" w:line="240" w:lineRule="auto"/>
        <w:rPr>
          <w:rFonts w:ascii="Times New Roman" w:hAnsi="Times New Roman"/>
          <w:b/>
          <w:bCs/>
          <w:lang w:val="sk-SK"/>
        </w:rPr>
      </w:pPr>
      <w:r>
        <w:rPr>
          <w:rFonts w:ascii="Times New Roman" w:hAnsi="Times New Roman"/>
          <w:b/>
          <w:bCs/>
          <w:lang w:val="sk-SK"/>
        </w:rPr>
        <w:t>5.</w:t>
      </w:r>
      <w:r>
        <w:rPr>
          <w:rFonts w:ascii="Times New Roman" w:hAnsi="Times New Roman"/>
          <w:b/>
          <w:bCs/>
          <w:lang w:val="sk-SK"/>
        </w:rPr>
        <w:tab/>
        <w:t>Ako uchovávať Tolucombi</w:t>
      </w:r>
    </w:p>
    <w:p w14:paraId="41D33740" w14:textId="77777777" w:rsidR="00582954" w:rsidRDefault="00582954">
      <w:pPr>
        <w:widowControl w:val="0"/>
        <w:autoSpaceDE w:val="0"/>
        <w:autoSpaceDN w:val="0"/>
        <w:adjustRightInd w:val="0"/>
        <w:spacing w:after="0" w:line="240" w:lineRule="auto"/>
        <w:rPr>
          <w:rFonts w:ascii="Times New Roman" w:hAnsi="Times New Roman"/>
          <w:b/>
          <w:bCs/>
          <w:lang w:val="sk-SK"/>
        </w:rPr>
      </w:pPr>
    </w:p>
    <w:p w14:paraId="5EFB66B1"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Tento liek uchovávajte mimo dohľadu a dosahu detí.</w:t>
      </w:r>
    </w:p>
    <w:p w14:paraId="6D9F8956" w14:textId="77777777" w:rsidR="00582954" w:rsidRDefault="00582954">
      <w:pPr>
        <w:widowControl w:val="0"/>
        <w:autoSpaceDE w:val="0"/>
        <w:autoSpaceDN w:val="0"/>
        <w:adjustRightInd w:val="0"/>
        <w:spacing w:after="0" w:line="240" w:lineRule="auto"/>
        <w:rPr>
          <w:rFonts w:ascii="Times New Roman" w:hAnsi="Times New Roman"/>
          <w:lang w:val="sk-SK"/>
        </w:rPr>
      </w:pPr>
    </w:p>
    <w:p w14:paraId="1C649DCF"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Nepoužívajte tento liek po dátume exspirácie, ktorý je uvedený na škatuli po „EXP“. Dátum exspirácie sa vzťahuje na posledný deň v danom mesiaci.</w:t>
      </w:r>
    </w:p>
    <w:p w14:paraId="5B06C186" w14:textId="77777777" w:rsidR="00582954" w:rsidRDefault="00582954">
      <w:pPr>
        <w:widowControl w:val="0"/>
        <w:autoSpaceDE w:val="0"/>
        <w:autoSpaceDN w:val="0"/>
        <w:adjustRightInd w:val="0"/>
        <w:spacing w:after="0" w:line="240" w:lineRule="auto"/>
        <w:rPr>
          <w:rFonts w:ascii="Times New Roman" w:hAnsi="Times New Roman"/>
          <w:lang w:val="sk-SK"/>
        </w:rPr>
      </w:pPr>
    </w:p>
    <w:p w14:paraId="2D3B1BC8" w14:textId="77777777" w:rsidR="00582954" w:rsidRDefault="00645977">
      <w:pPr>
        <w:widowControl w:val="0"/>
        <w:autoSpaceDE w:val="0"/>
        <w:autoSpaceDN w:val="0"/>
        <w:adjustRightInd w:val="0"/>
        <w:spacing w:after="0" w:line="240" w:lineRule="auto"/>
        <w:rPr>
          <w:rFonts w:ascii="Times New Roman" w:hAnsi="Times New Roman"/>
          <w:color w:val="000000"/>
          <w:lang w:val="sk-SK"/>
        </w:rPr>
      </w:pPr>
      <w:bookmarkStart w:id="49" w:name="_Hlk204160135"/>
      <w:r>
        <w:rPr>
          <w:rFonts w:ascii="Times New Roman" w:hAnsi="Times New Roman"/>
          <w:color w:val="000000"/>
          <w:lang w:val="sk-SK"/>
        </w:rPr>
        <w:t>Tento liek nevyžaduje žiadne zvláštne teplotné podmienky na uchovávanie</w:t>
      </w:r>
      <w:bookmarkEnd w:id="49"/>
      <w:r>
        <w:rPr>
          <w:rFonts w:ascii="Times New Roman" w:hAnsi="Times New Roman"/>
          <w:color w:val="000000"/>
          <w:lang w:val="sk-SK"/>
        </w:rPr>
        <w:t>.</w:t>
      </w:r>
    </w:p>
    <w:p w14:paraId="4FA582ED" w14:textId="77777777" w:rsidR="00582954" w:rsidRDefault="00645977">
      <w:pPr>
        <w:widowControl w:val="0"/>
        <w:autoSpaceDE w:val="0"/>
        <w:autoSpaceDN w:val="0"/>
        <w:adjustRightInd w:val="0"/>
        <w:spacing w:after="0" w:line="240" w:lineRule="auto"/>
        <w:rPr>
          <w:rFonts w:ascii="Times New Roman" w:hAnsi="Times New Roman"/>
          <w:color w:val="000000"/>
          <w:lang w:val="sk-SK"/>
        </w:rPr>
      </w:pPr>
      <w:r>
        <w:rPr>
          <w:rFonts w:ascii="Times New Roman" w:hAnsi="Times New Roman"/>
          <w:color w:val="000000"/>
          <w:lang w:val="sk-SK"/>
        </w:rPr>
        <w:t xml:space="preserve">Uchovávajte v pôvodnom obale na ochranu pred svetlom a vlhkosťou. </w:t>
      </w:r>
      <w:bookmarkStart w:id="50" w:name="_Hlk204160185"/>
      <w:r>
        <w:rPr>
          <w:rFonts w:ascii="Times New Roman" w:hAnsi="Times New Roman"/>
          <w:color w:val="000000"/>
        </w:rPr>
        <w:t>Tabletu Tolucombi vyberte z uzavretého blistra až tesne pred užitím.</w:t>
      </w:r>
      <w:bookmarkEnd w:id="50"/>
    </w:p>
    <w:p w14:paraId="1B9C8B93" w14:textId="77777777" w:rsidR="00582954" w:rsidRDefault="00582954">
      <w:pPr>
        <w:widowControl w:val="0"/>
        <w:autoSpaceDE w:val="0"/>
        <w:autoSpaceDN w:val="0"/>
        <w:adjustRightInd w:val="0"/>
        <w:spacing w:after="0" w:line="240" w:lineRule="auto"/>
        <w:rPr>
          <w:rFonts w:ascii="Times New Roman" w:hAnsi="Times New Roman"/>
          <w:lang w:val="sk-SK"/>
        </w:rPr>
      </w:pPr>
    </w:p>
    <w:p w14:paraId="5FA35932"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Nelikvidujte lieky odpadovou vodou alebo domovým odpadom. Nepoužitý liek vráťte do lekárne. Tieto opatrenia pomôžu chrániť životné prostredie.</w:t>
      </w:r>
    </w:p>
    <w:p w14:paraId="18A1C85B" w14:textId="77777777" w:rsidR="00582954" w:rsidRDefault="00582954">
      <w:pPr>
        <w:widowControl w:val="0"/>
        <w:autoSpaceDE w:val="0"/>
        <w:autoSpaceDN w:val="0"/>
        <w:adjustRightInd w:val="0"/>
        <w:spacing w:after="0" w:line="240" w:lineRule="auto"/>
        <w:rPr>
          <w:rFonts w:ascii="Times New Roman" w:hAnsi="Times New Roman"/>
          <w:lang w:val="sk-SK"/>
        </w:rPr>
      </w:pPr>
    </w:p>
    <w:p w14:paraId="119001D6" w14:textId="77777777" w:rsidR="00582954" w:rsidRDefault="00582954">
      <w:pPr>
        <w:widowControl w:val="0"/>
        <w:autoSpaceDE w:val="0"/>
        <w:autoSpaceDN w:val="0"/>
        <w:adjustRightInd w:val="0"/>
        <w:spacing w:after="0" w:line="240" w:lineRule="auto"/>
        <w:rPr>
          <w:rFonts w:ascii="Times New Roman" w:hAnsi="Times New Roman"/>
          <w:lang w:val="sk-SK"/>
        </w:rPr>
      </w:pPr>
    </w:p>
    <w:p w14:paraId="5CA319C0" w14:textId="77777777" w:rsidR="00582954" w:rsidRDefault="00645977">
      <w:pPr>
        <w:widowControl w:val="0"/>
        <w:tabs>
          <w:tab w:val="left" w:pos="567"/>
        </w:tabs>
        <w:autoSpaceDE w:val="0"/>
        <w:autoSpaceDN w:val="0"/>
        <w:adjustRightInd w:val="0"/>
        <w:spacing w:after="0" w:line="240" w:lineRule="auto"/>
        <w:rPr>
          <w:rFonts w:ascii="Times New Roman" w:hAnsi="Times New Roman"/>
          <w:b/>
          <w:bCs/>
          <w:lang w:val="sk-SK"/>
        </w:rPr>
      </w:pPr>
      <w:r>
        <w:rPr>
          <w:rFonts w:ascii="Times New Roman" w:hAnsi="Times New Roman"/>
          <w:b/>
          <w:bCs/>
          <w:lang w:val="sk-SK"/>
        </w:rPr>
        <w:t>6.</w:t>
      </w:r>
      <w:r>
        <w:rPr>
          <w:rFonts w:ascii="Times New Roman" w:hAnsi="Times New Roman"/>
          <w:b/>
          <w:bCs/>
          <w:lang w:val="sk-SK"/>
        </w:rPr>
        <w:tab/>
        <w:t>Obsah balenia a ďalšie informácie</w:t>
      </w:r>
    </w:p>
    <w:p w14:paraId="781FBEA0" w14:textId="77777777" w:rsidR="00582954" w:rsidRDefault="00582954">
      <w:pPr>
        <w:widowControl w:val="0"/>
        <w:autoSpaceDE w:val="0"/>
        <w:autoSpaceDN w:val="0"/>
        <w:adjustRightInd w:val="0"/>
        <w:spacing w:after="0" w:line="240" w:lineRule="auto"/>
        <w:rPr>
          <w:rFonts w:ascii="Times New Roman" w:hAnsi="Times New Roman"/>
          <w:b/>
          <w:bCs/>
          <w:lang w:val="sk-SK"/>
        </w:rPr>
      </w:pPr>
    </w:p>
    <w:p w14:paraId="74E10532" w14:textId="77777777" w:rsidR="00582954" w:rsidRDefault="00645977">
      <w:pPr>
        <w:widowControl w:val="0"/>
        <w:autoSpaceDE w:val="0"/>
        <w:autoSpaceDN w:val="0"/>
        <w:adjustRightInd w:val="0"/>
        <w:spacing w:after="0" w:line="240" w:lineRule="auto"/>
        <w:rPr>
          <w:rFonts w:ascii="Times New Roman" w:hAnsi="Times New Roman"/>
          <w:b/>
          <w:bCs/>
          <w:lang w:val="sk-SK"/>
        </w:rPr>
      </w:pPr>
      <w:r>
        <w:rPr>
          <w:rFonts w:ascii="Times New Roman" w:hAnsi="Times New Roman"/>
          <w:b/>
          <w:bCs/>
          <w:lang w:val="sk-SK"/>
        </w:rPr>
        <w:t>Čo Tolucombi obsahuje</w:t>
      </w:r>
    </w:p>
    <w:p w14:paraId="77913FC7" w14:textId="77777777" w:rsidR="00582954" w:rsidRDefault="00645977">
      <w:pPr>
        <w:widowControl w:val="0"/>
        <w:numPr>
          <w:ilvl w:val="0"/>
          <w:numId w:val="11"/>
        </w:numPr>
        <w:autoSpaceDE w:val="0"/>
        <w:autoSpaceDN w:val="0"/>
        <w:adjustRightInd w:val="0"/>
        <w:spacing w:after="0" w:line="240" w:lineRule="auto"/>
        <w:ind w:left="567" w:hanging="567"/>
        <w:rPr>
          <w:rFonts w:ascii="Times New Roman" w:hAnsi="Times New Roman"/>
          <w:lang w:val="sk-SK"/>
        </w:rPr>
      </w:pPr>
      <w:r>
        <w:rPr>
          <w:rFonts w:ascii="Times New Roman" w:hAnsi="Times New Roman"/>
          <w:lang w:val="sk-SK"/>
        </w:rPr>
        <w:t>Liečivá sú telmisartan a hydrochlórtiazid.</w:t>
      </w:r>
    </w:p>
    <w:p w14:paraId="1A48B5CC" w14:textId="77777777" w:rsidR="00582954" w:rsidRDefault="00645977">
      <w:pPr>
        <w:widowControl w:val="0"/>
        <w:autoSpaceDE w:val="0"/>
        <w:autoSpaceDN w:val="0"/>
        <w:adjustRightInd w:val="0"/>
        <w:spacing w:after="0" w:line="240" w:lineRule="auto"/>
        <w:ind w:left="567"/>
        <w:rPr>
          <w:rFonts w:ascii="Times New Roman" w:hAnsi="Times New Roman"/>
          <w:lang w:val="sk-SK"/>
        </w:rPr>
      </w:pPr>
      <w:r>
        <w:rPr>
          <w:rFonts w:ascii="Times New Roman" w:hAnsi="Times New Roman"/>
          <w:lang w:val="sk-SK"/>
        </w:rPr>
        <w:t>Každá tableta obsahuje 40 mg telmisartanu a 12,5 mg hydrochlórtiazidu.</w:t>
      </w:r>
    </w:p>
    <w:p w14:paraId="72731A5D" w14:textId="77777777" w:rsidR="00582954" w:rsidRDefault="00645977">
      <w:pPr>
        <w:widowControl w:val="0"/>
        <w:autoSpaceDE w:val="0"/>
        <w:autoSpaceDN w:val="0"/>
        <w:adjustRightInd w:val="0"/>
        <w:spacing w:after="0" w:line="240" w:lineRule="auto"/>
        <w:ind w:left="567"/>
        <w:rPr>
          <w:rFonts w:ascii="Times New Roman" w:hAnsi="Times New Roman"/>
          <w:lang w:val="sk-SK"/>
        </w:rPr>
      </w:pPr>
      <w:r>
        <w:rPr>
          <w:rFonts w:ascii="Times New Roman" w:hAnsi="Times New Roman"/>
          <w:lang w:val="sk-SK"/>
        </w:rPr>
        <w:t>Každá tableta obsahuje 80 mg telmisartanu a 12,5 mg hydrochlórtiazidu.</w:t>
      </w:r>
    </w:p>
    <w:p w14:paraId="44C75806" w14:textId="77777777" w:rsidR="00582954" w:rsidRDefault="00645977">
      <w:pPr>
        <w:widowControl w:val="0"/>
        <w:autoSpaceDE w:val="0"/>
        <w:autoSpaceDN w:val="0"/>
        <w:adjustRightInd w:val="0"/>
        <w:spacing w:after="0" w:line="240" w:lineRule="auto"/>
        <w:ind w:left="567"/>
        <w:rPr>
          <w:rFonts w:ascii="Times New Roman" w:hAnsi="Times New Roman"/>
          <w:lang w:val="sk-SK"/>
        </w:rPr>
      </w:pPr>
      <w:r>
        <w:rPr>
          <w:rFonts w:ascii="Times New Roman" w:hAnsi="Times New Roman"/>
          <w:lang w:val="sk-SK"/>
        </w:rPr>
        <w:t>Každá tableta obsahuje 80 mg telmisartanu a 25 mg hydrochlórtiazidu.</w:t>
      </w:r>
    </w:p>
    <w:p w14:paraId="2E88A9EF" w14:textId="77777777" w:rsidR="00582954" w:rsidRDefault="00645977">
      <w:pPr>
        <w:widowControl w:val="0"/>
        <w:numPr>
          <w:ilvl w:val="0"/>
          <w:numId w:val="11"/>
        </w:numPr>
        <w:autoSpaceDE w:val="0"/>
        <w:autoSpaceDN w:val="0"/>
        <w:adjustRightInd w:val="0"/>
        <w:spacing w:after="0" w:line="240" w:lineRule="auto"/>
        <w:ind w:left="567" w:right="-94" w:hanging="567"/>
        <w:rPr>
          <w:rFonts w:ascii="Times New Roman" w:hAnsi="Times New Roman"/>
          <w:lang w:val="sk-SK"/>
        </w:rPr>
      </w:pPr>
      <w:r>
        <w:rPr>
          <w:rFonts w:ascii="Times New Roman" w:hAnsi="Times New Roman"/>
          <w:lang w:val="sk-SK"/>
        </w:rPr>
        <w:t xml:space="preserve">Ďalšie zložky sú: </w:t>
      </w:r>
      <w:bookmarkStart w:id="51" w:name="_Hlk204160310"/>
      <w:r>
        <w:rPr>
          <w:rFonts w:ascii="Times New Roman" w:hAnsi="Times New Roman"/>
          <w:lang w:val="sk-SK"/>
        </w:rPr>
        <w:t>povidón K30, hydroxid sodný</w:t>
      </w:r>
      <w:bookmarkEnd w:id="51"/>
      <w:r>
        <w:rPr>
          <w:rFonts w:ascii="Times New Roman" w:hAnsi="Times New Roman"/>
          <w:lang w:val="sk-SK"/>
        </w:rPr>
        <w:t xml:space="preserve">, manitol, </w:t>
      </w:r>
      <w:bookmarkStart w:id="52" w:name="_Hlk204160336"/>
      <w:r>
        <w:rPr>
          <w:rFonts w:ascii="Times New Roman" w:hAnsi="Times New Roman"/>
          <w:lang w:val="sk-SK"/>
        </w:rPr>
        <w:t xml:space="preserve">mikrokryštalická celulóza, </w:t>
      </w:r>
      <w:bookmarkEnd w:id="52"/>
      <w:r>
        <w:rPr>
          <w:rFonts w:ascii="Times New Roman" w:hAnsi="Times New Roman"/>
          <w:lang w:val="sk-SK"/>
        </w:rPr>
        <w:t xml:space="preserve">meglumín, sodná soľ kroskarmelózy, </w:t>
      </w:r>
      <w:r>
        <w:rPr>
          <w:rStyle w:val="hps"/>
          <w:rFonts w:ascii="Times New Roman" w:hAnsi="Times New Roman"/>
          <w:lang w:val="sk-SK"/>
        </w:rPr>
        <w:t>stearyl</w:t>
      </w:r>
      <w:r>
        <w:rPr>
          <w:rStyle w:val="hps"/>
          <w:rFonts w:ascii="Times New Roman" w:hAnsi="Times New Roman"/>
          <w:lang w:val="sk-SK"/>
        </w:rPr>
        <w:noBreakHyphen/>
        <w:t>fumarát</w:t>
      </w:r>
      <w:r>
        <w:rPr>
          <w:rFonts w:ascii="Times New Roman" w:hAnsi="Times New Roman"/>
          <w:lang w:val="sk-SK"/>
        </w:rPr>
        <w:t xml:space="preserve"> </w:t>
      </w:r>
      <w:r>
        <w:rPr>
          <w:rStyle w:val="hps"/>
          <w:rFonts w:ascii="Times New Roman" w:hAnsi="Times New Roman"/>
          <w:lang w:val="sk-SK"/>
        </w:rPr>
        <w:t>sodný,</w:t>
      </w:r>
      <w:r>
        <w:rPr>
          <w:rFonts w:ascii="Times New Roman" w:hAnsi="Times New Roman"/>
          <w:lang w:val="sk-SK"/>
        </w:rPr>
        <w:t xml:space="preserve"> </w:t>
      </w:r>
      <w:r>
        <w:rPr>
          <w:rStyle w:val="hps"/>
          <w:rFonts w:ascii="Times New Roman" w:hAnsi="Times New Roman"/>
          <w:lang w:val="sk-SK"/>
        </w:rPr>
        <w:t>koloidný</w:t>
      </w:r>
      <w:r>
        <w:rPr>
          <w:rFonts w:ascii="Times New Roman" w:hAnsi="Times New Roman"/>
          <w:lang w:val="sk-SK"/>
        </w:rPr>
        <w:t xml:space="preserve"> </w:t>
      </w:r>
      <w:r>
        <w:rPr>
          <w:rStyle w:val="hps"/>
          <w:rFonts w:ascii="Times New Roman" w:hAnsi="Times New Roman"/>
          <w:lang w:val="sk-SK"/>
        </w:rPr>
        <w:t>oxid</w:t>
      </w:r>
      <w:r>
        <w:rPr>
          <w:rFonts w:ascii="Times New Roman" w:hAnsi="Times New Roman"/>
          <w:lang w:val="sk-SK"/>
        </w:rPr>
        <w:t xml:space="preserve"> </w:t>
      </w:r>
      <w:r>
        <w:rPr>
          <w:rStyle w:val="hps"/>
          <w:rFonts w:ascii="Times New Roman" w:hAnsi="Times New Roman"/>
          <w:lang w:val="sk-SK"/>
        </w:rPr>
        <w:t>kremičitý</w:t>
      </w:r>
      <w:r>
        <w:rPr>
          <w:rFonts w:ascii="Times New Roman" w:hAnsi="Times New Roman"/>
          <w:lang w:val="sk-SK"/>
        </w:rPr>
        <w:t xml:space="preserve"> bezvodý, červený oxid </w:t>
      </w:r>
      <w:r>
        <w:rPr>
          <w:rFonts w:ascii="Times New Roman" w:hAnsi="Times New Roman"/>
          <w:lang w:val="sk-SK"/>
        </w:rPr>
        <w:lastRenderedPageBreak/>
        <w:t xml:space="preserve">železitý (E172) </w:t>
      </w:r>
      <w:r>
        <w:rPr>
          <w:rFonts w:ascii="Times New Roman" w:hAnsi="Times New Roman"/>
          <w:i/>
          <w:iCs/>
          <w:lang w:val="sk-SK"/>
        </w:rPr>
        <w:t>– iba pre 40 mg/12,5 mg a 80 mg/12,5 mg tablety</w:t>
      </w:r>
      <w:r>
        <w:rPr>
          <w:rFonts w:ascii="Times New Roman" w:hAnsi="Times New Roman"/>
          <w:lang w:val="sk-SK"/>
        </w:rPr>
        <w:t xml:space="preserve"> a žltý oxid železitý (E172) </w:t>
      </w:r>
      <w:r>
        <w:rPr>
          <w:rFonts w:ascii="Times New Roman" w:hAnsi="Times New Roman"/>
          <w:i/>
          <w:iCs/>
          <w:lang w:val="sk-SK"/>
        </w:rPr>
        <w:t>– iba pre 80 mg/12,5 mg a 80 mg/25 mg tablety</w:t>
      </w:r>
      <w:r>
        <w:rPr>
          <w:rFonts w:ascii="Times New Roman" w:hAnsi="Times New Roman"/>
          <w:lang w:val="sk-SK"/>
        </w:rPr>
        <w:t>.</w:t>
      </w:r>
    </w:p>
    <w:p w14:paraId="4BEC01CD" w14:textId="77777777" w:rsidR="00582954" w:rsidRDefault="00645977">
      <w:pPr>
        <w:widowControl w:val="0"/>
        <w:autoSpaceDE w:val="0"/>
        <w:autoSpaceDN w:val="0"/>
        <w:adjustRightInd w:val="0"/>
        <w:spacing w:after="0" w:line="240" w:lineRule="auto"/>
        <w:ind w:right="-94" w:firstLine="567"/>
        <w:rPr>
          <w:rFonts w:ascii="Times New Roman" w:hAnsi="Times New Roman"/>
          <w:lang w:val="sk-SK"/>
        </w:rPr>
      </w:pPr>
      <w:r>
        <w:rPr>
          <w:rFonts w:ascii="Times New Roman" w:hAnsi="Times New Roman"/>
          <w:lang w:val="sk-SK"/>
        </w:rPr>
        <w:t>Pozri časť 2 „Tolucombi obsahuje sodík“.</w:t>
      </w:r>
    </w:p>
    <w:p w14:paraId="380DF65B" w14:textId="77777777" w:rsidR="00582954" w:rsidRDefault="00582954">
      <w:pPr>
        <w:widowControl w:val="0"/>
        <w:autoSpaceDE w:val="0"/>
        <w:autoSpaceDN w:val="0"/>
        <w:adjustRightInd w:val="0"/>
        <w:spacing w:after="0" w:line="240" w:lineRule="auto"/>
        <w:rPr>
          <w:rFonts w:ascii="Times New Roman" w:hAnsi="Times New Roman"/>
          <w:lang w:val="sk-SK"/>
        </w:rPr>
      </w:pPr>
    </w:p>
    <w:p w14:paraId="0AB0D595" w14:textId="77777777" w:rsidR="00582954" w:rsidRDefault="00645977">
      <w:pPr>
        <w:widowControl w:val="0"/>
        <w:autoSpaceDE w:val="0"/>
        <w:autoSpaceDN w:val="0"/>
        <w:adjustRightInd w:val="0"/>
        <w:spacing w:after="0" w:line="240" w:lineRule="auto"/>
        <w:rPr>
          <w:rFonts w:ascii="Times New Roman" w:hAnsi="Times New Roman"/>
          <w:b/>
          <w:bCs/>
          <w:lang w:val="sk-SK"/>
        </w:rPr>
      </w:pPr>
      <w:r>
        <w:rPr>
          <w:rFonts w:ascii="Times New Roman" w:hAnsi="Times New Roman"/>
          <w:b/>
          <w:bCs/>
          <w:lang w:val="sk-SK"/>
        </w:rPr>
        <w:t>Ako vyzerá Tolucombi a obsah balenia</w:t>
      </w:r>
    </w:p>
    <w:p w14:paraId="3CFE6469"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u w:val="single"/>
          <w:lang w:val="sk-SK"/>
        </w:rPr>
        <w:t>40 mg/12,5 mg tablety</w:t>
      </w:r>
      <w:r>
        <w:rPr>
          <w:rFonts w:ascii="Times New Roman" w:hAnsi="Times New Roman"/>
          <w:lang w:val="sk-SK"/>
        </w:rPr>
        <w:t>: svetloružové, mramorované, oválne bikonvexné tablety s označením L1 na jednej strane, rozmer tablety: dĺžka približne 14 mm.</w:t>
      </w:r>
    </w:p>
    <w:p w14:paraId="065EDB3A"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u w:val="single"/>
          <w:lang w:val="sk-SK"/>
        </w:rPr>
        <w:t>80 mg/12,5 mg tablety</w:t>
      </w:r>
      <w:r>
        <w:rPr>
          <w:rFonts w:ascii="Times New Roman" w:hAnsi="Times New Roman"/>
          <w:lang w:val="sk-SK"/>
        </w:rPr>
        <w:t>: svetlooranžové, mramorované, oválne bikonvexné tablety s označením L2 na jednej strane, rozmer tablety: dĺžka približne 17 mm.</w:t>
      </w:r>
    </w:p>
    <w:p w14:paraId="000CF3B3"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u w:val="single"/>
          <w:lang w:val="sk-SK"/>
        </w:rPr>
        <w:t>80 mg/25 mg tablety</w:t>
      </w:r>
      <w:r>
        <w:rPr>
          <w:rFonts w:ascii="Times New Roman" w:hAnsi="Times New Roman"/>
          <w:lang w:val="sk-SK"/>
        </w:rPr>
        <w:t>: bledé hnedožlté, mramorované, oválne bikonvexné tablety s označením L3 na jednej strane, rozmer tablety: dĺžka približne 17 mm.</w:t>
      </w:r>
    </w:p>
    <w:p w14:paraId="0BEDD347" w14:textId="77777777" w:rsidR="00582954" w:rsidRDefault="00582954">
      <w:pPr>
        <w:widowControl w:val="0"/>
        <w:autoSpaceDE w:val="0"/>
        <w:autoSpaceDN w:val="0"/>
        <w:adjustRightInd w:val="0"/>
        <w:spacing w:after="0" w:line="240" w:lineRule="auto"/>
        <w:rPr>
          <w:rFonts w:ascii="Times New Roman" w:hAnsi="Times New Roman"/>
          <w:lang w:val="sk-SK"/>
        </w:rPr>
      </w:pPr>
    </w:p>
    <w:p w14:paraId="3DCEF594"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Blister (OPA/Alu/PVC fólia//Alu fólia): 14 x 1, 28 x 1, 30 x 1, 56 x 1, 60 x 1, 84 x 1, 90 x 1, 98 x 1 a 100 x 1 tableta v škatuľke.</w:t>
      </w:r>
    </w:p>
    <w:p w14:paraId="47B00B65" w14:textId="77777777" w:rsidR="00582954" w:rsidRDefault="00582954">
      <w:pPr>
        <w:widowControl w:val="0"/>
        <w:autoSpaceDE w:val="0"/>
        <w:autoSpaceDN w:val="0"/>
        <w:adjustRightInd w:val="0"/>
        <w:spacing w:after="0" w:line="240" w:lineRule="auto"/>
        <w:rPr>
          <w:rFonts w:ascii="Times New Roman" w:hAnsi="Times New Roman"/>
          <w:color w:val="000000"/>
          <w:lang w:val="sk-SK"/>
        </w:rPr>
      </w:pPr>
    </w:p>
    <w:p w14:paraId="47B20725" w14:textId="77777777" w:rsidR="00582954" w:rsidRDefault="00645977">
      <w:pPr>
        <w:widowControl w:val="0"/>
        <w:autoSpaceDE w:val="0"/>
        <w:autoSpaceDN w:val="0"/>
        <w:adjustRightInd w:val="0"/>
        <w:spacing w:after="0" w:line="240" w:lineRule="auto"/>
        <w:rPr>
          <w:rFonts w:ascii="Times New Roman" w:hAnsi="Times New Roman"/>
          <w:color w:val="000000"/>
          <w:lang w:val="sk-SK"/>
        </w:rPr>
      </w:pPr>
      <w:r>
        <w:rPr>
          <w:rFonts w:ascii="Times New Roman" w:hAnsi="Times New Roman"/>
          <w:color w:val="000000"/>
          <w:lang w:val="sk-SK"/>
        </w:rPr>
        <w:t>Na trh nemusia byť uvedené všetky veľkosti balenia.</w:t>
      </w:r>
    </w:p>
    <w:p w14:paraId="13C8EE09" w14:textId="77777777" w:rsidR="00582954" w:rsidRDefault="00582954">
      <w:pPr>
        <w:widowControl w:val="0"/>
        <w:autoSpaceDE w:val="0"/>
        <w:autoSpaceDN w:val="0"/>
        <w:adjustRightInd w:val="0"/>
        <w:spacing w:after="0" w:line="240" w:lineRule="auto"/>
        <w:rPr>
          <w:rFonts w:ascii="Times New Roman" w:hAnsi="Times New Roman"/>
          <w:lang w:val="sk-SK"/>
        </w:rPr>
      </w:pPr>
    </w:p>
    <w:p w14:paraId="1E608FB6" w14:textId="77777777" w:rsidR="00582954" w:rsidRDefault="00645977">
      <w:pPr>
        <w:widowControl w:val="0"/>
        <w:autoSpaceDE w:val="0"/>
        <w:autoSpaceDN w:val="0"/>
        <w:adjustRightInd w:val="0"/>
        <w:spacing w:after="0" w:line="240" w:lineRule="auto"/>
        <w:rPr>
          <w:rFonts w:ascii="Times New Roman" w:hAnsi="Times New Roman"/>
          <w:b/>
          <w:lang w:val="sk-SK"/>
        </w:rPr>
      </w:pPr>
      <w:r>
        <w:rPr>
          <w:rFonts w:ascii="Times New Roman" w:hAnsi="Times New Roman"/>
          <w:b/>
          <w:lang w:val="sk-SK"/>
        </w:rPr>
        <w:t>Držiteľ rozhodnutia o registrácii</w:t>
      </w:r>
    </w:p>
    <w:p w14:paraId="7975F4AF"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KRKA, d.d., Novo mesto, Šmarješka cesta 6, 8501 Novo mesto, Slovinsko</w:t>
      </w:r>
    </w:p>
    <w:p w14:paraId="3D38C6ED" w14:textId="77777777" w:rsidR="00582954" w:rsidRDefault="00582954">
      <w:pPr>
        <w:widowControl w:val="0"/>
        <w:autoSpaceDE w:val="0"/>
        <w:autoSpaceDN w:val="0"/>
        <w:adjustRightInd w:val="0"/>
        <w:spacing w:after="0" w:line="240" w:lineRule="auto"/>
        <w:rPr>
          <w:rFonts w:ascii="Times New Roman" w:hAnsi="Times New Roman"/>
          <w:b/>
          <w:lang w:val="sk-SK"/>
        </w:rPr>
      </w:pPr>
    </w:p>
    <w:p w14:paraId="4634348F" w14:textId="77777777" w:rsidR="00582954" w:rsidRDefault="00645977">
      <w:pPr>
        <w:widowControl w:val="0"/>
        <w:autoSpaceDE w:val="0"/>
        <w:autoSpaceDN w:val="0"/>
        <w:adjustRightInd w:val="0"/>
        <w:spacing w:after="0" w:line="240" w:lineRule="auto"/>
        <w:rPr>
          <w:rFonts w:ascii="Times New Roman" w:hAnsi="Times New Roman"/>
          <w:b/>
          <w:lang w:val="sk-SK"/>
        </w:rPr>
      </w:pPr>
      <w:r>
        <w:rPr>
          <w:rFonts w:ascii="Times New Roman" w:hAnsi="Times New Roman"/>
          <w:b/>
          <w:lang w:val="sk-SK"/>
        </w:rPr>
        <w:t>Výrobca</w:t>
      </w:r>
    </w:p>
    <w:p w14:paraId="5BD13035" w14:textId="77777777" w:rsidR="00582954" w:rsidRDefault="00645977">
      <w:pPr>
        <w:widowControl w:val="0"/>
        <w:spacing w:after="0" w:line="240" w:lineRule="auto"/>
        <w:rPr>
          <w:rFonts w:ascii="Times New Roman" w:hAnsi="Times New Roman"/>
          <w:lang w:val="sk-SK"/>
        </w:rPr>
      </w:pPr>
      <w:r>
        <w:rPr>
          <w:rFonts w:ascii="Times New Roman" w:hAnsi="Times New Roman"/>
          <w:lang w:val="sk-SK"/>
        </w:rPr>
        <w:t>KRKA, d.d., Novo mesto, Šmarješka cesta 6, 8501 Novo mesto, Slovinsko</w:t>
      </w:r>
    </w:p>
    <w:p w14:paraId="03334E6E" w14:textId="77777777" w:rsidR="00582954" w:rsidRDefault="00645977">
      <w:pPr>
        <w:widowControl w:val="0"/>
        <w:overflowPunct w:val="0"/>
        <w:autoSpaceDE w:val="0"/>
        <w:autoSpaceDN w:val="0"/>
        <w:adjustRightInd w:val="0"/>
        <w:spacing w:after="0" w:line="240" w:lineRule="auto"/>
        <w:textAlignment w:val="baseline"/>
        <w:rPr>
          <w:rFonts w:ascii="Times New Roman" w:hAnsi="Times New Roman"/>
          <w:highlight w:val="lightGray"/>
          <w:lang w:val="sk-SK" w:eastAsia="cs-CZ"/>
        </w:rPr>
      </w:pPr>
      <w:r>
        <w:rPr>
          <w:rFonts w:ascii="Times New Roman" w:hAnsi="Times New Roman"/>
          <w:highlight w:val="lightGray"/>
          <w:lang w:val="sk-SK" w:eastAsia="cs-CZ"/>
        </w:rPr>
        <w:t>KRKA-POLSKA Sp. z o.o., ul. Równoległa 5, 02-235 Warszawa, Poľsko</w:t>
      </w:r>
    </w:p>
    <w:p w14:paraId="62547806" w14:textId="77777777" w:rsidR="00582954" w:rsidRDefault="00645977">
      <w:pPr>
        <w:widowControl w:val="0"/>
        <w:numPr>
          <w:ilvl w:val="12"/>
          <w:numId w:val="0"/>
        </w:numPr>
        <w:spacing w:after="0" w:line="240" w:lineRule="auto"/>
        <w:ind w:right="-2"/>
        <w:rPr>
          <w:rFonts w:ascii="Times New Roman" w:hAnsi="Times New Roman"/>
          <w:lang w:val="sk-SK"/>
        </w:rPr>
      </w:pPr>
      <w:r>
        <w:rPr>
          <w:rFonts w:ascii="Times New Roman" w:hAnsi="Times New Roman"/>
          <w:highlight w:val="lightGray"/>
          <w:lang w:val="sk-SK"/>
        </w:rPr>
        <w:t>TAD Pharma GmbH, Heinz-Lohmann-Straße 5, 27472 Cuxhaven, Nemecko</w:t>
      </w:r>
    </w:p>
    <w:p w14:paraId="5D8D6282" w14:textId="77777777" w:rsidR="00582954" w:rsidRDefault="00582954">
      <w:pPr>
        <w:widowControl w:val="0"/>
        <w:autoSpaceDE w:val="0"/>
        <w:autoSpaceDN w:val="0"/>
        <w:adjustRightInd w:val="0"/>
        <w:spacing w:after="0" w:line="240" w:lineRule="auto"/>
        <w:rPr>
          <w:rFonts w:ascii="Times New Roman" w:hAnsi="Times New Roman"/>
          <w:lang w:val="sl-SI"/>
        </w:rPr>
      </w:pPr>
    </w:p>
    <w:p w14:paraId="14090E63"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Ak potrebujete akúkoľvek informáciu o tomto lieku, kontaktujte </w:t>
      </w:r>
      <w:r>
        <w:rPr>
          <w:rFonts w:ascii="Times New Roman" w:eastAsia="Times New Roman" w:hAnsi="Times New Roman"/>
          <w:noProof/>
          <w:snapToGrid w:val="0"/>
          <w:lang w:val="sk-SK"/>
        </w:rPr>
        <w:t xml:space="preserve">miestneho </w:t>
      </w:r>
      <w:r>
        <w:rPr>
          <w:rFonts w:ascii="Times New Roman" w:hAnsi="Times New Roman"/>
          <w:lang w:val="sk-SK"/>
        </w:rPr>
        <w:t>zástupcu držiteľa rozhodnutia o registrácii:</w:t>
      </w:r>
    </w:p>
    <w:p w14:paraId="3A79BACA" w14:textId="77777777" w:rsidR="00582954" w:rsidRDefault="00582954">
      <w:pPr>
        <w:widowControl w:val="0"/>
        <w:tabs>
          <w:tab w:val="left" w:pos="567"/>
        </w:tabs>
        <w:spacing w:after="0" w:line="240" w:lineRule="auto"/>
        <w:rPr>
          <w:rFonts w:ascii="Times New Roman" w:eastAsia="Times New Roman" w:hAnsi="Times New Roman"/>
          <w:noProof/>
          <w:highlight w:val="yellow"/>
          <w:lang w:val="sl-SI"/>
        </w:rPr>
      </w:pPr>
    </w:p>
    <w:tbl>
      <w:tblPr>
        <w:tblW w:w="9360" w:type="dxa"/>
        <w:tblInd w:w="-34" w:type="dxa"/>
        <w:tblLayout w:type="fixed"/>
        <w:tblLook w:val="04A0" w:firstRow="1" w:lastRow="0" w:firstColumn="1" w:lastColumn="0" w:noHBand="0" w:noVBand="1"/>
      </w:tblPr>
      <w:tblGrid>
        <w:gridCol w:w="4680"/>
        <w:gridCol w:w="4680"/>
      </w:tblGrid>
      <w:tr w:rsidR="00582954" w14:paraId="5D989DE3" w14:textId="77777777">
        <w:tc>
          <w:tcPr>
            <w:tcW w:w="4680" w:type="dxa"/>
          </w:tcPr>
          <w:p w14:paraId="6AFFB484" w14:textId="77777777" w:rsidR="00582954" w:rsidRDefault="00645977">
            <w:pPr>
              <w:tabs>
                <w:tab w:val="left" w:pos="567"/>
              </w:tabs>
              <w:spacing w:after="0" w:line="260" w:lineRule="exact"/>
              <w:rPr>
                <w:rFonts w:ascii="Times New Roman" w:eastAsia="Times New Roman" w:hAnsi="Times New Roman"/>
                <w:b/>
                <w:noProof/>
                <w:lang w:val="pt-PT"/>
              </w:rPr>
            </w:pPr>
            <w:r>
              <w:rPr>
                <w:rFonts w:ascii="Times New Roman" w:eastAsia="Times New Roman" w:hAnsi="Times New Roman"/>
                <w:b/>
                <w:noProof/>
                <w:lang w:val="pt-PT"/>
              </w:rPr>
              <w:t>België/Belgique/Belgien</w:t>
            </w:r>
          </w:p>
          <w:p w14:paraId="6EBD23B0" w14:textId="77777777" w:rsidR="00582954" w:rsidRDefault="00645977">
            <w:pPr>
              <w:tabs>
                <w:tab w:val="left" w:pos="567"/>
              </w:tabs>
              <w:spacing w:after="0" w:line="240" w:lineRule="auto"/>
              <w:rPr>
                <w:rFonts w:ascii="Times New Roman" w:eastAsia="Times New Roman" w:hAnsi="Times New Roman"/>
                <w:b/>
                <w:noProof/>
                <w:lang w:val="fr-FR" w:eastAsia="sl-SI"/>
              </w:rPr>
            </w:pPr>
            <w:r>
              <w:rPr>
                <w:rFonts w:ascii="Times New Roman" w:eastAsia="Times New Roman" w:hAnsi="Times New Roman"/>
                <w:lang w:val="fr-FR" w:eastAsia="sl-SI"/>
              </w:rPr>
              <w:t>KRKA Belgium, SA.</w:t>
            </w:r>
          </w:p>
          <w:p w14:paraId="690EFAF7" w14:textId="77777777" w:rsidR="00582954" w:rsidRDefault="00645977">
            <w:pPr>
              <w:tabs>
                <w:tab w:val="left" w:pos="567"/>
              </w:tabs>
              <w:spacing w:after="0" w:line="260" w:lineRule="exact"/>
              <w:rPr>
                <w:rFonts w:ascii="Times New Roman" w:eastAsia="Times New Roman" w:hAnsi="Times New Roman"/>
                <w:b/>
                <w:noProof/>
                <w:lang w:val="pt-PT"/>
              </w:rPr>
            </w:pPr>
            <w:r>
              <w:rPr>
                <w:rFonts w:ascii="Times New Roman" w:eastAsia="Times New Roman" w:hAnsi="Times New Roman"/>
                <w:noProof/>
                <w:lang w:val="pt-PT" w:eastAsia="sl-SI"/>
              </w:rPr>
              <w:t>Tél/Tel:</w:t>
            </w:r>
            <w:r>
              <w:rPr>
                <w:rFonts w:ascii="Times New Roman" w:eastAsia="Times New Roman" w:hAnsi="Times New Roman"/>
                <w:b/>
                <w:noProof/>
                <w:lang w:val="pt-PT" w:eastAsia="sl-SI"/>
              </w:rPr>
              <w:t xml:space="preserve"> </w:t>
            </w:r>
            <w:r>
              <w:rPr>
                <w:rFonts w:ascii="Times New Roman" w:eastAsia="Times New Roman" w:hAnsi="Times New Roman"/>
                <w:noProof/>
                <w:lang w:val="fr-FR" w:eastAsia="sl-SI"/>
              </w:rPr>
              <w:t xml:space="preserve">+32 (0) </w:t>
            </w:r>
            <w:r>
              <w:rPr>
                <w:rFonts w:ascii="Times New Roman" w:hAnsi="Times New Roman"/>
                <w:lang w:val="de-DE" w:eastAsia="sl-SI"/>
              </w:rPr>
              <w:t>487 50 73 62</w:t>
            </w:r>
          </w:p>
          <w:p w14:paraId="7EBEC273" w14:textId="77777777" w:rsidR="00582954" w:rsidRDefault="00582954">
            <w:pPr>
              <w:widowControl w:val="0"/>
              <w:tabs>
                <w:tab w:val="left" w:pos="567"/>
              </w:tabs>
              <w:spacing w:after="0" w:line="240" w:lineRule="auto"/>
              <w:rPr>
                <w:rFonts w:ascii="Times New Roman" w:eastAsia="Times New Roman" w:hAnsi="Times New Roman"/>
                <w:noProof/>
                <w:lang w:val="en-GB" w:eastAsia="sl-SI"/>
              </w:rPr>
            </w:pPr>
          </w:p>
        </w:tc>
        <w:tc>
          <w:tcPr>
            <w:tcW w:w="4680" w:type="dxa"/>
          </w:tcPr>
          <w:p w14:paraId="7736A51E" w14:textId="77777777" w:rsidR="00582954" w:rsidRDefault="00645977">
            <w:pPr>
              <w:widowControl w:val="0"/>
              <w:tabs>
                <w:tab w:val="left" w:pos="567"/>
              </w:tabs>
              <w:spacing w:after="0" w:line="240" w:lineRule="auto"/>
              <w:rPr>
                <w:rFonts w:ascii="Times New Roman" w:eastAsia="Times New Roman" w:hAnsi="Times New Roman"/>
                <w:b/>
                <w:noProof/>
                <w:lang w:val="en-GB" w:eastAsia="sl-SI"/>
              </w:rPr>
            </w:pPr>
            <w:r>
              <w:rPr>
                <w:rFonts w:ascii="Times New Roman" w:eastAsia="Times New Roman" w:hAnsi="Times New Roman"/>
                <w:b/>
                <w:noProof/>
                <w:lang w:val="en-GB" w:eastAsia="sl-SI"/>
              </w:rPr>
              <w:t>Lietuva</w:t>
            </w:r>
          </w:p>
          <w:p w14:paraId="06696D1C" w14:textId="77777777" w:rsidR="00582954" w:rsidRDefault="00645977">
            <w:pPr>
              <w:widowControl w:val="0"/>
              <w:tabs>
                <w:tab w:val="left" w:pos="567"/>
              </w:tabs>
              <w:spacing w:after="0" w:line="240" w:lineRule="auto"/>
              <w:rPr>
                <w:rFonts w:ascii="Times New Roman" w:eastAsia="Times New Roman" w:hAnsi="Times New Roman"/>
                <w:lang w:val="en-GB" w:eastAsia="sl-SI"/>
              </w:rPr>
            </w:pPr>
            <w:r>
              <w:rPr>
                <w:rFonts w:ascii="Times New Roman" w:eastAsia="Times New Roman" w:hAnsi="Times New Roman"/>
                <w:lang w:val="en-GB" w:eastAsia="sl-SI"/>
              </w:rPr>
              <w:t>UAB KRKA Lietuva</w:t>
            </w:r>
          </w:p>
          <w:p w14:paraId="158B6C5E" w14:textId="77777777" w:rsidR="00582954" w:rsidRDefault="00645977">
            <w:pPr>
              <w:widowControl w:val="0"/>
              <w:numPr>
                <w:ilvl w:val="12"/>
                <w:numId w:val="0"/>
              </w:numPr>
              <w:tabs>
                <w:tab w:val="left" w:pos="567"/>
              </w:tabs>
              <w:spacing w:after="0" w:line="240" w:lineRule="auto"/>
              <w:ind w:right="-2"/>
              <w:rPr>
                <w:rFonts w:ascii="Times New Roman" w:eastAsia="Times New Roman" w:hAnsi="Times New Roman"/>
                <w:noProof/>
                <w:lang w:val="en-GB" w:eastAsia="sl-SI"/>
              </w:rPr>
            </w:pPr>
            <w:r>
              <w:rPr>
                <w:rFonts w:ascii="Times New Roman" w:eastAsia="Times New Roman" w:hAnsi="Times New Roman"/>
                <w:noProof/>
                <w:lang w:val="en-GB" w:eastAsia="sl-SI"/>
              </w:rPr>
              <w:t>Tel: + 370 5 236 27 40</w:t>
            </w:r>
          </w:p>
          <w:p w14:paraId="20C91789" w14:textId="77777777" w:rsidR="00582954" w:rsidRDefault="00582954">
            <w:pPr>
              <w:widowControl w:val="0"/>
              <w:numPr>
                <w:ilvl w:val="12"/>
                <w:numId w:val="0"/>
              </w:numPr>
              <w:tabs>
                <w:tab w:val="left" w:pos="567"/>
              </w:tabs>
              <w:spacing w:after="0" w:line="240" w:lineRule="auto"/>
              <w:ind w:right="-2"/>
              <w:rPr>
                <w:rFonts w:ascii="Times New Roman" w:eastAsia="Times New Roman" w:hAnsi="Times New Roman"/>
                <w:noProof/>
                <w:lang w:val="en-GB" w:eastAsia="sl-SI"/>
              </w:rPr>
            </w:pPr>
          </w:p>
        </w:tc>
      </w:tr>
      <w:tr w:rsidR="00582954" w14:paraId="1EFD49A1" w14:textId="77777777">
        <w:tc>
          <w:tcPr>
            <w:tcW w:w="4680" w:type="dxa"/>
          </w:tcPr>
          <w:p w14:paraId="42EDF35E" w14:textId="77777777" w:rsidR="00582954" w:rsidRDefault="00645977">
            <w:pPr>
              <w:tabs>
                <w:tab w:val="left" w:pos="567"/>
              </w:tabs>
              <w:spacing w:after="0" w:line="260" w:lineRule="exact"/>
              <w:rPr>
                <w:rFonts w:ascii="Times New Roman" w:eastAsia="Times New Roman" w:hAnsi="Times New Roman"/>
                <w:b/>
                <w:noProof/>
                <w:lang w:val="ru-RU"/>
              </w:rPr>
            </w:pPr>
            <w:r>
              <w:rPr>
                <w:rFonts w:ascii="Times New Roman" w:eastAsia="Times New Roman" w:hAnsi="Times New Roman"/>
                <w:b/>
                <w:noProof/>
                <w:lang w:val="ru-RU"/>
              </w:rPr>
              <w:t>България</w:t>
            </w:r>
          </w:p>
          <w:p w14:paraId="3D9E3830" w14:textId="77777777" w:rsidR="00582954" w:rsidRDefault="00645977">
            <w:pPr>
              <w:tabs>
                <w:tab w:val="left" w:pos="567"/>
              </w:tabs>
              <w:spacing w:after="0" w:line="260" w:lineRule="exact"/>
              <w:rPr>
                <w:rFonts w:ascii="Times New Roman" w:eastAsia="Times New Roman" w:hAnsi="Times New Roman"/>
                <w:b/>
                <w:noProof/>
                <w:lang w:val="ru-RU"/>
              </w:rPr>
            </w:pPr>
            <w:r>
              <w:rPr>
                <w:rFonts w:ascii="Times New Roman" w:hAnsi="Times New Roman"/>
                <w:color w:val="000000"/>
                <w:lang w:val="en-GB" w:eastAsia="sl-SI"/>
              </w:rPr>
              <w:t>КРКА</w:t>
            </w:r>
            <w:r>
              <w:rPr>
                <w:rFonts w:ascii="Times New Roman" w:hAnsi="Times New Roman"/>
                <w:color w:val="000000"/>
                <w:lang w:val="fi-FI" w:eastAsia="sl-SI"/>
              </w:rPr>
              <w:t xml:space="preserve"> </w:t>
            </w:r>
            <w:r>
              <w:rPr>
                <w:rFonts w:ascii="Times New Roman" w:hAnsi="Times New Roman"/>
                <w:color w:val="000000"/>
                <w:lang w:val="en-GB" w:eastAsia="sl-SI"/>
              </w:rPr>
              <w:t>България</w:t>
            </w:r>
            <w:r>
              <w:rPr>
                <w:rFonts w:ascii="Times New Roman" w:hAnsi="Times New Roman"/>
                <w:color w:val="000000"/>
                <w:lang w:val="fi-FI" w:eastAsia="sl-SI"/>
              </w:rPr>
              <w:t xml:space="preserve"> </w:t>
            </w:r>
            <w:r>
              <w:rPr>
                <w:rFonts w:ascii="Times New Roman" w:hAnsi="Times New Roman"/>
                <w:color w:val="000000"/>
                <w:lang w:val="en-GB" w:eastAsia="sl-SI"/>
              </w:rPr>
              <w:t>ЕООД</w:t>
            </w:r>
          </w:p>
          <w:p w14:paraId="79DE5782" w14:textId="77777777" w:rsidR="00582954" w:rsidRDefault="00645977">
            <w:pPr>
              <w:tabs>
                <w:tab w:val="left" w:pos="567"/>
              </w:tabs>
              <w:spacing w:after="0" w:line="260" w:lineRule="exact"/>
              <w:rPr>
                <w:rFonts w:ascii="Times New Roman" w:eastAsia="Times New Roman" w:hAnsi="Times New Roman"/>
                <w:b/>
                <w:noProof/>
                <w:lang w:val="en-GB"/>
              </w:rPr>
            </w:pPr>
            <w:r>
              <w:rPr>
                <w:rFonts w:ascii="Times New Roman" w:eastAsia="Times New Roman" w:hAnsi="Times New Roman"/>
                <w:noProof/>
                <w:lang w:val="en-GB"/>
              </w:rPr>
              <w:t>Teл.:</w:t>
            </w:r>
            <w:r>
              <w:rPr>
                <w:rFonts w:ascii="Times New Roman" w:eastAsia="Times New Roman" w:hAnsi="Times New Roman"/>
                <w:b/>
                <w:noProof/>
                <w:lang w:val="en-GB"/>
              </w:rPr>
              <w:t xml:space="preserve"> + </w:t>
            </w:r>
            <w:r>
              <w:rPr>
                <w:rFonts w:ascii="Times New Roman" w:eastAsia="Times New Roman" w:hAnsi="Times New Roman"/>
                <w:lang w:val="en-GB"/>
              </w:rPr>
              <w:t>359 (02)</w:t>
            </w:r>
            <w:r>
              <w:rPr>
                <w:rFonts w:ascii="Times New Roman" w:eastAsia="Times New Roman" w:hAnsi="Times New Roman"/>
                <w:b/>
                <w:lang w:val="en-GB"/>
              </w:rPr>
              <w:t xml:space="preserve"> </w:t>
            </w:r>
            <w:r>
              <w:rPr>
                <w:rFonts w:ascii="Times New Roman" w:eastAsia="Times New Roman" w:hAnsi="Times New Roman"/>
                <w:lang w:val="en-GB"/>
              </w:rPr>
              <w:t>962 34 50</w:t>
            </w:r>
          </w:p>
          <w:p w14:paraId="61D020C4" w14:textId="77777777" w:rsidR="00582954" w:rsidRDefault="00582954">
            <w:pPr>
              <w:widowControl w:val="0"/>
              <w:tabs>
                <w:tab w:val="left" w:pos="567"/>
              </w:tabs>
              <w:spacing w:after="0" w:line="240" w:lineRule="auto"/>
              <w:rPr>
                <w:rFonts w:ascii="Times New Roman" w:eastAsia="Times New Roman" w:hAnsi="Times New Roman"/>
                <w:noProof/>
                <w:lang w:val="en-GB" w:eastAsia="sl-SI"/>
              </w:rPr>
            </w:pPr>
          </w:p>
        </w:tc>
        <w:tc>
          <w:tcPr>
            <w:tcW w:w="4680" w:type="dxa"/>
          </w:tcPr>
          <w:p w14:paraId="0885F9DD" w14:textId="77777777" w:rsidR="00582954" w:rsidRDefault="00645977">
            <w:pPr>
              <w:numPr>
                <w:ilvl w:val="12"/>
                <w:numId w:val="0"/>
              </w:numPr>
              <w:tabs>
                <w:tab w:val="left" w:pos="567"/>
              </w:tabs>
              <w:spacing w:after="0" w:line="260" w:lineRule="exact"/>
              <w:ind w:right="-2"/>
              <w:rPr>
                <w:rFonts w:ascii="Times New Roman" w:eastAsia="Times New Roman" w:hAnsi="Times New Roman"/>
                <w:b/>
                <w:noProof/>
                <w:lang w:val="pt-PT"/>
              </w:rPr>
            </w:pPr>
            <w:r>
              <w:rPr>
                <w:rFonts w:ascii="Times New Roman" w:eastAsia="Times New Roman" w:hAnsi="Times New Roman"/>
                <w:b/>
                <w:noProof/>
                <w:lang w:val="pt-PT"/>
              </w:rPr>
              <w:t>Luxembourg/Luxemburg</w:t>
            </w:r>
          </w:p>
          <w:p w14:paraId="16CF5407" w14:textId="77777777" w:rsidR="00582954" w:rsidRDefault="00645977">
            <w:pPr>
              <w:widowControl w:val="0"/>
              <w:numPr>
                <w:ilvl w:val="12"/>
                <w:numId w:val="0"/>
              </w:numPr>
              <w:tabs>
                <w:tab w:val="left" w:pos="567"/>
              </w:tabs>
              <w:spacing w:after="0" w:line="240" w:lineRule="auto"/>
              <w:ind w:right="-2"/>
              <w:rPr>
                <w:rFonts w:ascii="Times New Roman" w:eastAsia="Times New Roman" w:hAnsi="Times New Roman"/>
                <w:lang w:val="pt-PT"/>
              </w:rPr>
            </w:pPr>
            <w:r>
              <w:rPr>
                <w:rFonts w:ascii="Times New Roman" w:eastAsia="Times New Roman" w:hAnsi="Times New Roman"/>
                <w:lang w:val="de-DE"/>
              </w:rPr>
              <w:t>KRKA Belgium, SA.</w:t>
            </w:r>
          </w:p>
          <w:p w14:paraId="2AD7419F" w14:textId="77777777" w:rsidR="00582954" w:rsidRDefault="00645977">
            <w:pPr>
              <w:widowControl w:val="0"/>
              <w:numPr>
                <w:ilvl w:val="12"/>
                <w:numId w:val="0"/>
              </w:numPr>
              <w:tabs>
                <w:tab w:val="left" w:pos="567"/>
              </w:tabs>
              <w:spacing w:after="0" w:line="240" w:lineRule="auto"/>
              <w:ind w:right="-2"/>
              <w:rPr>
                <w:rFonts w:ascii="Times New Roman" w:eastAsia="Times New Roman" w:hAnsi="Times New Roman"/>
                <w:noProof/>
                <w:lang w:val="en-GB" w:eastAsia="sl-SI"/>
              </w:rPr>
            </w:pPr>
            <w:r>
              <w:rPr>
                <w:rFonts w:ascii="Times New Roman" w:eastAsia="Times New Roman" w:hAnsi="Times New Roman"/>
                <w:noProof/>
                <w:lang w:val="pt-PT"/>
              </w:rPr>
              <w:t>Tél/Tel:</w:t>
            </w:r>
            <w:r>
              <w:rPr>
                <w:rFonts w:ascii="Times New Roman" w:eastAsia="Times New Roman" w:hAnsi="Times New Roman"/>
                <w:b/>
                <w:noProof/>
                <w:lang w:val="pt-PT"/>
              </w:rPr>
              <w:t xml:space="preserve"> </w:t>
            </w:r>
            <w:r>
              <w:rPr>
                <w:rFonts w:ascii="Times New Roman" w:eastAsia="Times New Roman" w:hAnsi="Times New Roman"/>
                <w:noProof/>
                <w:lang w:val="fr-FR" w:eastAsia="sl-SI"/>
              </w:rPr>
              <w:t xml:space="preserve">+32 (0) </w:t>
            </w:r>
            <w:r>
              <w:rPr>
                <w:rFonts w:ascii="Times New Roman" w:hAnsi="Times New Roman"/>
                <w:lang w:val="de-DE" w:eastAsia="sl-SI"/>
              </w:rPr>
              <w:t>487 50 73 62</w:t>
            </w:r>
            <w:r>
              <w:rPr>
                <w:rFonts w:ascii="Times New Roman" w:eastAsia="Times New Roman" w:hAnsi="Times New Roman"/>
                <w:noProof/>
                <w:lang w:val="fr-FR" w:eastAsia="sl-SI"/>
              </w:rPr>
              <w:t xml:space="preserve"> (BE)</w:t>
            </w:r>
          </w:p>
        </w:tc>
      </w:tr>
      <w:tr w:rsidR="00582954" w14:paraId="540BCFB1" w14:textId="77777777">
        <w:trPr>
          <w:trHeight w:val="986"/>
        </w:trPr>
        <w:tc>
          <w:tcPr>
            <w:tcW w:w="4680" w:type="dxa"/>
          </w:tcPr>
          <w:p w14:paraId="75FE694C" w14:textId="77777777" w:rsidR="00582954" w:rsidRDefault="00645977">
            <w:pPr>
              <w:widowControl w:val="0"/>
              <w:tabs>
                <w:tab w:val="left" w:pos="567"/>
              </w:tabs>
              <w:spacing w:after="0" w:line="240" w:lineRule="auto"/>
              <w:rPr>
                <w:rFonts w:ascii="Times New Roman" w:eastAsia="Times New Roman" w:hAnsi="Times New Roman"/>
                <w:b/>
                <w:noProof/>
                <w:lang w:val="en-GB" w:eastAsia="sl-SI"/>
              </w:rPr>
            </w:pPr>
            <w:r>
              <w:rPr>
                <w:rFonts w:ascii="Times New Roman" w:eastAsia="Times New Roman" w:hAnsi="Times New Roman"/>
                <w:b/>
                <w:noProof/>
                <w:lang w:val="en-GB" w:eastAsia="sl-SI"/>
              </w:rPr>
              <w:t>Česká republika</w:t>
            </w:r>
          </w:p>
          <w:p w14:paraId="3C1A7136" w14:textId="77777777" w:rsidR="00582954" w:rsidRDefault="00645977">
            <w:pPr>
              <w:widowControl w:val="0"/>
              <w:tabs>
                <w:tab w:val="left" w:pos="567"/>
              </w:tabs>
              <w:spacing w:after="0" w:line="240" w:lineRule="auto"/>
              <w:rPr>
                <w:rFonts w:ascii="Times New Roman" w:eastAsia="Times New Roman" w:hAnsi="Times New Roman"/>
                <w:noProof/>
                <w:lang w:val="en-GB" w:eastAsia="sl-SI"/>
              </w:rPr>
            </w:pPr>
            <w:r>
              <w:rPr>
                <w:rFonts w:ascii="Times New Roman" w:eastAsia="Times New Roman" w:hAnsi="Times New Roman"/>
                <w:color w:val="000000"/>
                <w:lang w:val="en-GB" w:eastAsia="sl-SI"/>
              </w:rPr>
              <w:t>KRKA ČR, s.r.o.</w:t>
            </w:r>
          </w:p>
          <w:p w14:paraId="5D75EDF8" w14:textId="77777777" w:rsidR="00582954" w:rsidRDefault="00645977">
            <w:pPr>
              <w:widowControl w:val="0"/>
              <w:tabs>
                <w:tab w:val="left" w:pos="567"/>
              </w:tabs>
              <w:spacing w:after="0" w:line="240" w:lineRule="auto"/>
              <w:rPr>
                <w:rFonts w:ascii="Times New Roman" w:eastAsia="Times New Roman" w:hAnsi="Times New Roman"/>
                <w:noProof/>
                <w:lang w:val="en-GB" w:eastAsia="sl-SI"/>
              </w:rPr>
            </w:pPr>
            <w:r>
              <w:rPr>
                <w:rFonts w:ascii="Times New Roman" w:eastAsia="Times New Roman" w:hAnsi="Times New Roman"/>
                <w:noProof/>
                <w:lang w:val="en-GB" w:eastAsia="sl-SI"/>
              </w:rPr>
              <w:t>Tel: + 420 (0) 221 115 150</w:t>
            </w:r>
          </w:p>
          <w:p w14:paraId="10373CA1" w14:textId="77777777" w:rsidR="00582954" w:rsidRDefault="00582954">
            <w:pPr>
              <w:widowControl w:val="0"/>
              <w:tabs>
                <w:tab w:val="left" w:pos="567"/>
              </w:tabs>
              <w:spacing w:after="0" w:line="240" w:lineRule="auto"/>
              <w:rPr>
                <w:rFonts w:ascii="Times New Roman" w:eastAsia="Times New Roman" w:hAnsi="Times New Roman"/>
                <w:noProof/>
                <w:lang w:val="en-GB" w:eastAsia="sl-SI"/>
              </w:rPr>
            </w:pPr>
          </w:p>
        </w:tc>
        <w:tc>
          <w:tcPr>
            <w:tcW w:w="4680" w:type="dxa"/>
          </w:tcPr>
          <w:p w14:paraId="321DB7CB" w14:textId="77777777" w:rsidR="00582954" w:rsidRDefault="00645977">
            <w:pPr>
              <w:widowControl w:val="0"/>
              <w:numPr>
                <w:ilvl w:val="12"/>
                <w:numId w:val="0"/>
              </w:numPr>
              <w:tabs>
                <w:tab w:val="left" w:pos="567"/>
              </w:tabs>
              <w:spacing w:after="0" w:line="240" w:lineRule="auto"/>
              <w:ind w:right="-2"/>
              <w:rPr>
                <w:rFonts w:ascii="Times New Roman" w:eastAsia="Times New Roman" w:hAnsi="Times New Roman"/>
                <w:b/>
                <w:noProof/>
                <w:lang w:val="en-GB" w:eastAsia="sl-SI"/>
              </w:rPr>
            </w:pPr>
            <w:r>
              <w:rPr>
                <w:rFonts w:ascii="Times New Roman" w:eastAsia="Times New Roman" w:hAnsi="Times New Roman"/>
                <w:b/>
                <w:noProof/>
                <w:lang w:val="en-GB" w:eastAsia="sl-SI"/>
              </w:rPr>
              <w:t>Magyarország</w:t>
            </w:r>
          </w:p>
          <w:p w14:paraId="3920AF47" w14:textId="77777777" w:rsidR="00582954" w:rsidRDefault="00645977">
            <w:pPr>
              <w:widowControl w:val="0"/>
              <w:numPr>
                <w:ilvl w:val="12"/>
                <w:numId w:val="0"/>
              </w:numPr>
              <w:tabs>
                <w:tab w:val="left" w:pos="567"/>
              </w:tabs>
              <w:spacing w:after="0" w:line="240" w:lineRule="auto"/>
              <w:ind w:right="-2"/>
              <w:rPr>
                <w:rFonts w:ascii="Times New Roman" w:eastAsia="Times New Roman" w:hAnsi="Times New Roman"/>
                <w:noProof/>
                <w:lang w:val="en-GB" w:eastAsia="sl-SI"/>
              </w:rPr>
            </w:pPr>
            <w:r>
              <w:rPr>
                <w:rFonts w:ascii="Times New Roman" w:eastAsia="Times New Roman" w:hAnsi="Times New Roman"/>
                <w:lang w:val="en-GB" w:eastAsia="sl-SI"/>
              </w:rPr>
              <w:t xml:space="preserve">KRKA </w:t>
            </w:r>
            <w:r>
              <w:rPr>
                <w:rFonts w:ascii="Times New Roman" w:eastAsia="Times New Roman" w:hAnsi="Times New Roman"/>
                <w:noProof/>
                <w:color w:val="000000"/>
                <w:lang w:val="en-GB" w:eastAsia="sl-SI"/>
              </w:rPr>
              <w:t>Magyarország Kereskedelmi Kft.</w:t>
            </w:r>
          </w:p>
          <w:p w14:paraId="35F10A0A" w14:textId="77777777" w:rsidR="00582954" w:rsidRDefault="00645977">
            <w:pPr>
              <w:widowControl w:val="0"/>
              <w:numPr>
                <w:ilvl w:val="12"/>
                <w:numId w:val="0"/>
              </w:numPr>
              <w:tabs>
                <w:tab w:val="left" w:pos="567"/>
              </w:tabs>
              <w:spacing w:after="0" w:line="240" w:lineRule="auto"/>
              <w:ind w:right="-2"/>
              <w:rPr>
                <w:rFonts w:ascii="Times New Roman" w:eastAsia="Times New Roman" w:hAnsi="Times New Roman"/>
                <w:iCs/>
                <w:lang w:val="en-GB" w:eastAsia="sl-SI"/>
              </w:rPr>
            </w:pPr>
            <w:r>
              <w:rPr>
                <w:rFonts w:ascii="Times New Roman" w:eastAsia="Times New Roman" w:hAnsi="Times New Roman"/>
                <w:noProof/>
                <w:lang w:val="en-GB" w:eastAsia="sl-SI"/>
              </w:rPr>
              <w:t xml:space="preserve">Tel.: + </w:t>
            </w:r>
            <w:r>
              <w:rPr>
                <w:rFonts w:ascii="Times New Roman" w:eastAsia="Times New Roman" w:hAnsi="Times New Roman"/>
                <w:iCs/>
                <w:lang w:val="en-GB" w:eastAsia="sl-SI"/>
              </w:rPr>
              <w:t>36 (1) 355 8490</w:t>
            </w:r>
          </w:p>
          <w:p w14:paraId="7B1AF3E7" w14:textId="77777777" w:rsidR="00582954" w:rsidRDefault="00582954">
            <w:pPr>
              <w:widowControl w:val="0"/>
              <w:numPr>
                <w:ilvl w:val="12"/>
                <w:numId w:val="0"/>
              </w:numPr>
              <w:tabs>
                <w:tab w:val="left" w:pos="567"/>
              </w:tabs>
              <w:spacing w:after="0" w:line="240" w:lineRule="auto"/>
              <w:ind w:right="-2"/>
              <w:rPr>
                <w:rFonts w:ascii="Times New Roman" w:eastAsia="Times New Roman" w:hAnsi="Times New Roman"/>
                <w:noProof/>
                <w:lang w:val="en-GB" w:eastAsia="sl-SI"/>
              </w:rPr>
            </w:pPr>
          </w:p>
        </w:tc>
      </w:tr>
      <w:tr w:rsidR="00582954" w14:paraId="2FC1558D" w14:textId="77777777">
        <w:tc>
          <w:tcPr>
            <w:tcW w:w="4680" w:type="dxa"/>
          </w:tcPr>
          <w:p w14:paraId="642B8CFE" w14:textId="77777777" w:rsidR="00582954" w:rsidRDefault="00645977">
            <w:pPr>
              <w:widowControl w:val="0"/>
              <w:tabs>
                <w:tab w:val="left" w:pos="567"/>
              </w:tabs>
              <w:spacing w:after="0" w:line="240" w:lineRule="auto"/>
              <w:rPr>
                <w:rFonts w:ascii="Times New Roman" w:eastAsia="Times New Roman" w:hAnsi="Times New Roman"/>
                <w:b/>
                <w:noProof/>
                <w:lang w:val="sv-SE" w:eastAsia="sl-SI"/>
              </w:rPr>
            </w:pPr>
            <w:r>
              <w:rPr>
                <w:rFonts w:ascii="Times New Roman" w:eastAsia="Times New Roman" w:hAnsi="Times New Roman"/>
                <w:b/>
                <w:noProof/>
                <w:lang w:val="sv-SE" w:eastAsia="sl-SI"/>
              </w:rPr>
              <w:t>Danmark</w:t>
            </w:r>
          </w:p>
          <w:p w14:paraId="75CCE85A" w14:textId="77777777" w:rsidR="00582954" w:rsidRDefault="00645977">
            <w:pPr>
              <w:widowControl w:val="0"/>
              <w:tabs>
                <w:tab w:val="left" w:pos="567"/>
              </w:tabs>
              <w:spacing w:after="0" w:line="240" w:lineRule="auto"/>
              <w:rPr>
                <w:rFonts w:ascii="Times New Roman" w:eastAsia="Times New Roman" w:hAnsi="Times New Roman"/>
                <w:noProof/>
                <w:lang w:val="sv-SE" w:eastAsia="sl-SI"/>
              </w:rPr>
            </w:pPr>
            <w:r>
              <w:rPr>
                <w:rFonts w:ascii="Times New Roman" w:eastAsia="Times New Roman" w:hAnsi="Times New Roman"/>
                <w:noProof/>
                <w:lang w:val="sv-SE" w:eastAsia="sl-SI"/>
              </w:rPr>
              <w:t>KRKA Sverige AB</w:t>
            </w:r>
          </w:p>
          <w:p w14:paraId="50FABD1B" w14:textId="77777777" w:rsidR="00582954" w:rsidRDefault="00645977">
            <w:pPr>
              <w:widowControl w:val="0"/>
              <w:tabs>
                <w:tab w:val="left" w:pos="567"/>
              </w:tabs>
              <w:spacing w:after="0" w:line="240" w:lineRule="auto"/>
              <w:rPr>
                <w:rFonts w:ascii="Times New Roman" w:eastAsia="Times New Roman" w:hAnsi="Times New Roman"/>
                <w:noProof/>
                <w:lang w:val="sv-SE" w:eastAsia="sl-SI"/>
              </w:rPr>
            </w:pPr>
            <w:r>
              <w:rPr>
                <w:rFonts w:ascii="Times New Roman" w:eastAsia="Times New Roman" w:hAnsi="Times New Roman"/>
                <w:noProof/>
                <w:lang w:val="sv-SE" w:eastAsia="sl-SI"/>
              </w:rPr>
              <w:t>Tlf: + 46 (0)</w:t>
            </w:r>
            <w:r>
              <w:rPr>
                <w:rFonts w:ascii="Times New Roman" w:eastAsia="Times New Roman" w:hAnsi="Times New Roman"/>
                <w:lang w:val="sv-SE" w:eastAsia="sl-SI"/>
              </w:rPr>
              <w:t>8 643 67 66 (SE)</w:t>
            </w:r>
          </w:p>
          <w:p w14:paraId="3E358AC0" w14:textId="77777777" w:rsidR="00582954" w:rsidRDefault="00582954">
            <w:pPr>
              <w:widowControl w:val="0"/>
              <w:tabs>
                <w:tab w:val="left" w:pos="567"/>
              </w:tabs>
              <w:spacing w:after="0" w:line="240" w:lineRule="auto"/>
              <w:rPr>
                <w:rFonts w:ascii="Times New Roman" w:eastAsia="Times New Roman" w:hAnsi="Times New Roman"/>
                <w:noProof/>
                <w:lang w:val="sv-SE" w:eastAsia="sl-SI"/>
              </w:rPr>
            </w:pPr>
          </w:p>
        </w:tc>
        <w:tc>
          <w:tcPr>
            <w:tcW w:w="4680" w:type="dxa"/>
          </w:tcPr>
          <w:p w14:paraId="2718CEB4" w14:textId="77777777" w:rsidR="00582954" w:rsidRDefault="00645977">
            <w:pPr>
              <w:widowControl w:val="0"/>
              <w:numPr>
                <w:ilvl w:val="12"/>
                <w:numId w:val="0"/>
              </w:numPr>
              <w:tabs>
                <w:tab w:val="left" w:pos="567"/>
              </w:tabs>
              <w:spacing w:after="0" w:line="240" w:lineRule="auto"/>
              <w:ind w:right="-2"/>
              <w:rPr>
                <w:rFonts w:ascii="Times New Roman" w:eastAsia="Times New Roman" w:hAnsi="Times New Roman"/>
                <w:b/>
                <w:noProof/>
                <w:lang w:val="sv-SE" w:eastAsia="sl-SI"/>
              </w:rPr>
            </w:pPr>
            <w:r>
              <w:rPr>
                <w:rFonts w:ascii="Times New Roman" w:eastAsia="Times New Roman" w:hAnsi="Times New Roman"/>
                <w:b/>
                <w:noProof/>
                <w:lang w:val="sv-SE" w:eastAsia="sl-SI"/>
              </w:rPr>
              <w:t>Malta</w:t>
            </w:r>
          </w:p>
          <w:p w14:paraId="7DBE98E4" w14:textId="77777777" w:rsidR="00582954" w:rsidRDefault="00645977">
            <w:pPr>
              <w:widowControl w:val="0"/>
              <w:numPr>
                <w:ilvl w:val="12"/>
                <w:numId w:val="0"/>
              </w:numPr>
              <w:spacing w:after="0" w:line="240" w:lineRule="auto"/>
              <w:ind w:right="-2"/>
              <w:rPr>
                <w:rFonts w:ascii="Times New Roman" w:hAnsi="Times New Roman"/>
                <w:lang w:val="sv-SE" w:eastAsia="sl-SI"/>
              </w:rPr>
            </w:pPr>
            <w:r>
              <w:rPr>
                <w:rFonts w:ascii="Times New Roman" w:hAnsi="Times New Roman"/>
                <w:bCs/>
                <w:lang w:val="sv-SE" w:eastAsia="sl-SI"/>
              </w:rPr>
              <w:t>E. J. Busuttil Ltd.</w:t>
            </w:r>
          </w:p>
          <w:p w14:paraId="13FC6A4D" w14:textId="77777777" w:rsidR="00582954" w:rsidRDefault="00645977">
            <w:pPr>
              <w:widowControl w:val="0"/>
              <w:numPr>
                <w:ilvl w:val="12"/>
                <w:numId w:val="0"/>
              </w:numPr>
              <w:tabs>
                <w:tab w:val="left" w:pos="567"/>
              </w:tabs>
              <w:spacing w:after="0" w:line="240" w:lineRule="auto"/>
              <w:ind w:right="-2"/>
              <w:rPr>
                <w:rFonts w:ascii="Times New Roman" w:hAnsi="Times New Roman"/>
                <w:lang w:val="sv-SE" w:eastAsia="sl-SI"/>
              </w:rPr>
            </w:pPr>
            <w:r>
              <w:rPr>
                <w:rFonts w:ascii="Times New Roman" w:hAnsi="Times New Roman"/>
                <w:lang w:val="sv-SE" w:eastAsia="sl-SI"/>
              </w:rPr>
              <w:t>Tel: + 356 21 445 885</w:t>
            </w:r>
          </w:p>
          <w:p w14:paraId="5586CF08" w14:textId="77777777" w:rsidR="00582954" w:rsidRDefault="00582954">
            <w:pPr>
              <w:widowControl w:val="0"/>
              <w:numPr>
                <w:ilvl w:val="12"/>
                <w:numId w:val="0"/>
              </w:numPr>
              <w:tabs>
                <w:tab w:val="left" w:pos="567"/>
              </w:tabs>
              <w:spacing w:after="0" w:line="240" w:lineRule="auto"/>
              <w:ind w:right="-2"/>
              <w:rPr>
                <w:rFonts w:ascii="Times New Roman" w:eastAsia="Times New Roman" w:hAnsi="Times New Roman"/>
                <w:noProof/>
                <w:lang w:val="sv-SE" w:eastAsia="sl-SI"/>
              </w:rPr>
            </w:pPr>
          </w:p>
        </w:tc>
      </w:tr>
      <w:tr w:rsidR="00582954" w14:paraId="06F5DB1F" w14:textId="77777777">
        <w:tc>
          <w:tcPr>
            <w:tcW w:w="4680" w:type="dxa"/>
          </w:tcPr>
          <w:p w14:paraId="26FBCE6D" w14:textId="77777777" w:rsidR="00582954" w:rsidRDefault="00645977">
            <w:pPr>
              <w:widowControl w:val="0"/>
              <w:tabs>
                <w:tab w:val="left" w:pos="567"/>
              </w:tabs>
              <w:spacing w:after="0" w:line="240" w:lineRule="auto"/>
              <w:rPr>
                <w:rFonts w:ascii="Times New Roman" w:eastAsia="Times New Roman" w:hAnsi="Times New Roman"/>
                <w:b/>
                <w:noProof/>
                <w:lang w:val="de-DE" w:eastAsia="sl-SI"/>
              </w:rPr>
            </w:pPr>
            <w:r>
              <w:rPr>
                <w:rFonts w:ascii="Times New Roman" w:eastAsia="Times New Roman" w:hAnsi="Times New Roman"/>
                <w:b/>
                <w:noProof/>
                <w:lang w:val="de-DE" w:eastAsia="sl-SI"/>
              </w:rPr>
              <w:t>Deutschland</w:t>
            </w:r>
          </w:p>
          <w:p w14:paraId="252AFB06" w14:textId="77777777" w:rsidR="00582954" w:rsidRDefault="00645977">
            <w:pPr>
              <w:widowControl w:val="0"/>
              <w:tabs>
                <w:tab w:val="left" w:pos="567"/>
              </w:tabs>
              <w:spacing w:after="0" w:line="240" w:lineRule="auto"/>
              <w:rPr>
                <w:rFonts w:ascii="Times New Roman" w:eastAsia="Times New Roman" w:hAnsi="Times New Roman"/>
                <w:noProof/>
                <w:lang w:val="de-DE" w:eastAsia="sl-SI"/>
              </w:rPr>
            </w:pPr>
            <w:r>
              <w:rPr>
                <w:rFonts w:ascii="Times New Roman" w:eastAsia="Times New Roman" w:hAnsi="Times New Roman"/>
                <w:lang w:val="de-DE" w:eastAsia="sl-SI"/>
              </w:rPr>
              <w:t>TAD Pharma GmbH</w:t>
            </w:r>
          </w:p>
          <w:p w14:paraId="7CECDD55" w14:textId="77777777" w:rsidR="00582954" w:rsidRDefault="00645977">
            <w:pPr>
              <w:widowControl w:val="0"/>
              <w:tabs>
                <w:tab w:val="left" w:pos="567"/>
              </w:tabs>
              <w:spacing w:after="0" w:line="240" w:lineRule="auto"/>
              <w:rPr>
                <w:rFonts w:ascii="Times New Roman" w:eastAsia="Times New Roman" w:hAnsi="Times New Roman"/>
                <w:noProof/>
                <w:lang w:val="de-DE" w:eastAsia="sl-SI"/>
              </w:rPr>
            </w:pPr>
            <w:r>
              <w:rPr>
                <w:rFonts w:ascii="Times New Roman" w:eastAsia="Times New Roman" w:hAnsi="Times New Roman"/>
                <w:noProof/>
                <w:lang w:val="de-DE" w:eastAsia="sl-SI"/>
              </w:rPr>
              <w:t xml:space="preserve">Tel: + </w:t>
            </w:r>
            <w:r>
              <w:rPr>
                <w:rFonts w:ascii="Times New Roman" w:eastAsia="Times New Roman" w:hAnsi="Times New Roman"/>
                <w:iCs/>
                <w:lang w:val="de-DE" w:eastAsia="sl-SI"/>
              </w:rPr>
              <w:t>49 (0) 4721 606-0</w:t>
            </w:r>
          </w:p>
          <w:p w14:paraId="25F40303" w14:textId="77777777" w:rsidR="00582954" w:rsidRDefault="00582954">
            <w:pPr>
              <w:widowControl w:val="0"/>
              <w:tabs>
                <w:tab w:val="left" w:pos="567"/>
              </w:tabs>
              <w:spacing w:after="0" w:line="240" w:lineRule="auto"/>
              <w:rPr>
                <w:rFonts w:ascii="Times New Roman" w:eastAsia="Times New Roman" w:hAnsi="Times New Roman"/>
                <w:noProof/>
                <w:lang w:val="de-DE" w:eastAsia="sl-SI"/>
              </w:rPr>
            </w:pPr>
          </w:p>
        </w:tc>
        <w:tc>
          <w:tcPr>
            <w:tcW w:w="4680" w:type="dxa"/>
          </w:tcPr>
          <w:p w14:paraId="1D244AC1" w14:textId="77777777" w:rsidR="00582954" w:rsidRDefault="00645977">
            <w:pPr>
              <w:numPr>
                <w:ilvl w:val="12"/>
                <w:numId w:val="0"/>
              </w:numPr>
              <w:tabs>
                <w:tab w:val="left" w:pos="567"/>
              </w:tabs>
              <w:spacing w:after="0" w:line="260" w:lineRule="exact"/>
              <w:ind w:right="-2"/>
              <w:rPr>
                <w:rFonts w:ascii="Times New Roman" w:eastAsia="Times New Roman" w:hAnsi="Times New Roman"/>
                <w:b/>
                <w:noProof/>
                <w:lang w:val="pt-PT"/>
              </w:rPr>
            </w:pPr>
            <w:r>
              <w:rPr>
                <w:rFonts w:ascii="Times New Roman" w:eastAsia="Times New Roman" w:hAnsi="Times New Roman"/>
                <w:b/>
                <w:noProof/>
                <w:lang w:val="pt-PT"/>
              </w:rPr>
              <w:t>Nederland</w:t>
            </w:r>
          </w:p>
          <w:p w14:paraId="14549E97" w14:textId="77777777" w:rsidR="00582954" w:rsidRDefault="00645977">
            <w:pPr>
              <w:numPr>
                <w:ilvl w:val="12"/>
                <w:numId w:val="0"/>
              </w:numPr>
              <w:tabs>
                <w:tab w:val="left" w:pos="567"/>
              </w:tabs>
              <w:spacing w:after="0" w:line="240" w:lineRule="auto"/>
              <w:ind w:right="-2"/>
              <w:rPr>
                <w:rFonts w:ascii="Times New Roman" w:eastAsia="Times New Roman" w:hAnsi="Times New Roman"/>
                <w:b/>
                <w:noProof/>
                <w:lang w:val="sv-SE" w:eastAsia="sl-SI"/>
              </w:rPr>
            </w:pPr>
            <w:r>
              <w:rPr>
                <w:rFonts w:ascii="Times New Roman" w:eastAsia="Times New Roman" w:hAnsi="Times New Roman"/>
                <w:lang w:val="sv-SE" w:eastAsia="sl-SI"/>
              </w:rPr>
              <w:t>KRKA Belgium, SA.</w:t>
            </w:r>
          </w:p>
          <w:p w14:paraId="0D54BD7B" w14:textId="77777777" w:rsidR="00582954" w:rsidRDefault="00645977">
            <w:pPr>
              <w:widowControl w:val="0"/>
              <w:numPr>
                <w:ilvl w:val="12"/>
                <w:numId w:val="0"/>
              </w:numPr>
              <w:tabs>
                <w:tab w:val="left" w:pos="567"/>
              </w:tabs>
              <w:spacing w:after="0" w:line="240" w:lineRule="auto"/>
              <w:ind w:right="-2"/>
              <w:rPr>
                <w:rFonts w:ascii="Times New Roman" w:eastAsia="Times New Roman" w:hAnsi="Times New Roman"/>
                <w:noProof/>
                <w:lang w:val="sv-SE" w:eastAsia="sl-SI"/>
              </w:rPr>
            </w:pPr>
            <w:r>
              <w:rPr>
                <w:rFonts w:ascii="Times New Roman" w:eastAsia="Times New Roman" w:hAnsi="Times New Roman"/>
                <w:noProof/>
                <w:lang w:val="sv-SE" w:eastAsia="sl-SI"/>
              </w:rPr>
              <w:t>Tel:</w:t>
            </w:r>
            <w:r>
              <w:rPr>
                <w:rFonts w:ascii="Times New Roman" w:eastAsia="Times New Roman" w:hAnsi="Times New Roman"/>
                <w:b/>
                <w:noProof/>
                <w:lang w:val="sv-SE" w:eastAsia="sl-SI"/>
              </w:rPr>
              <w:t xml:space="preserve"> </w:t>
            </w:r>
            <w:r>
              <w:rPr>
                <w:rFonts w:ascii="Times New Roman" w:eastAsia="Times New Roman" w:hAnsi="Times New Roman"/>
                <w:noProof/>
                <w:lang w:val="sv-SE" w:eastAsia="sl-SI"/>
              </w:rPr>
              <w:t>+ 32 (0) 487 50 73 62 (BE)</w:t>
            </w:r>
          </w:p>
        </w:tc>
      </w:tr>
      <w:tr w:rsidR="00582954" w14:paraId="152700F6" w14:textId="77777777">
        <w:tc>
          <w:tcPr>
            <w:tcW w:w="4680" w:type="dxa"/>
          </w:tcPr>
          <w:p w14:paraId="20E3FA06" w14:textId="77777777" w:rsidR="00582954" w:rsidRDefault="00645977">
            <w:pPr>
              <w:widowControl w:val="0"/>
              <w:tabs>
                <w:tab w:val="left" w:pos="567"/>
              </w:tabs>
              <w:spacing w:after="0" w:line="240" w:lineRule="auto"/>
              <w:rPr>
                <w:rFonts w:ascii="Times New Roman" w:eastAsia="Times New Roman" w:hAnsi="Times New Roman"/>
                <w:b/>
                <w:noProof/>
                <w:lang w:val="it-IT" w:eastAsia="sl-SI"/>
              </w:rPr>
            </w:pPr>
            <w:r>
              <w:rPr>
                <w:rFonts w:ascii="Times New Roman" w:eastAsia="Times New Roman" w:hAnsi="Times New Roman"/>
                <w:b/>
                <w:noProof/>
                <w:lang w:val="it-IT" w:eastAsia="sl-SI"/>
              </w:rPr>
              <w:t>Eesti</w:t>
            </w:r>
          </w:p>
          <w:p w14:paraId="64FB6FC6" w14:textId="77777777" w:rsidR="00582954" w:rsidRDefault="00645977">
            <w:pPr>
              <w:widowControl w:val="0"/>
              <w:tabs>
                <w:tab w:val="left" w:pos="567"/>
              </w:tabs>
              <w:spacing w:after="0" w:line="240" w:lineRule="auto"/>
              <w:rPr>
                <w:rFonts w:ascii="Times New Roman" w:eastAsia="Times New Roman" w:hAnsi="Times New Roman"/>
                <w:noProof/>
                <w:lang w:val="it-IT" w:eastAsia="sl-SI"/>
              </w:rPr>
            </w:pPr>
            <w:r>
              <w:rPr>
                <w:rFonts w:ascii="Times New Roman" w:eastAsia="Times New Roman" w:hAnsi="Times New Roman"/>
                <w:lang w:val="it-IT" w:eastAsia="sl-SI"/>
              </w:rPr>
              <w:t xml:space="preserve">KRKA, d.d., Novo mesto </w:t>
            </w:r>
            <w:r>
              <w:rPr>
                <w:rFonts w:ascii="Times New Roman" w:eastAsia="Times New Roman" w:hAnsi="Times New Roman"/>
                <w:color w:val="000000"/>
                <w:lang w:val="it-IT" w:eastAsia="sl-SI"/>
              </w:rPr>
              <w:t>Eesti filiaal</w:t>
            </w:r>
          </w:p>
          <w:p w14:paraId="1CFBF698" w14:textId="77777777" w:rsidR="00582954" w:rsidRDefault="00645977">
            <w:pPr>
              <w:widowControl w:val="0"/>
              <w:tabs>
                <w:tab w:val="left" w:pos="567"/>
              </w:tabs>
              <w:spacing w:after="0" w:line="240" w:lineRule="auto"/>
              <w:rPr>
                <w:rFonts w:ascii="Times New Roman" w:eastAsia="Times New Roman" w:hAnsi="Times New Roman"/>
                <w:noProof/>
                <w:lang w:val="en-GB" w:eastAsia="sl-SI"/>
              </w:rPr>
            </w:pPr>
            <w:r>
              <w:rPr>
                <w:rFonts w:ascii="Times New Roman" w:eastAsia="Times New Roman" w:hAnsi="Times New Roman"/>
                <w:noProof/>
                <w:lang w:val="en-GB" w:eastAsia="sl-SI"/>
              </w:rPr>
              <w:t>Tel: + 372 (0) 6 671 658</w:t>
            </w:r>
          </w:p>
          <w:p w14:paraId="092FDBC5" w14:textId="77777777" w:rsidR="00582954" w:rsidRDefault="00582954">
            <w:pPr>
              <w:widowControl w:val="0"/>
              <w:tabs>
                <w:tab w:val="left" w:pos="567"/>
              </w:tabs>
              <w:spacing w:after="0" w:line="240" w:lineRule="auto"/>
              <w:rPr>
                <w:rFonts w:ascii="Times New Roman" w:eastAsia="Times New Roman" w:hAnsi="Times New Roman"/>
                <w:noProof/>
                <w:lang w:val="en-GB" w:eastAsia="sl-SI"/>
              </w:rPr>
            </w:pPr>
          </w:p>
        </w:tc>
        <w:tc>
          <w:tcPr>
            <w:tcW w:w="4680" w:type="dxa"/>
          </w:tcPr>
          <w:p w14:paraId="0C0ED109" w14:textId="77777777" w:rsidR="00582954" w:rsidRDefault="00645977">
            <w:pPr>
              <w:widowControl w:val="0"/>
              <w:numPr>
                <w:ilvl w:val="12"/>
                <w:numId w:val="0"/>
              </w:numPr>
              <w:tabs>
                <w:tab w:val="left" w:pos="567"/>
              </w:tabs>
              <w:spacing w:after="0" w:line="240" w:lineRule="auto"/>
              <w:ind w:right="-2"/>
              <w:rPr>
                <w:rFonts w:ascii="Times New Roman" w:eastAsia="Times New Roman" w:hAnsi="Times New Roman"/>
                <w:b/>
                <w:noProof/>
                <w:lang w:val="sv-SE" w:eastAsia="sl-SI"/>
              </w:rPr>
            </w:pPr>
            <w:r>
              <w:rPr>
                <w:rFonts w:ascii="Times New Roman" w:eastAsia="Times New Roman" w:hAnsi="Times New Roman"/>
                <w:b/>
                <w:noProof/>
                <w:lang w:val="sv-SE" w:eastAsia="sl-SI"/>
              </w:rPr>
              <w:t>Norge</w:t>
            </w:r>
          </w:p>
          <w:p w14:paraId="2F761026" w14:textId="77777777" w:rsidR="00582954" w:rsidRDefault="00645977">
            <w:pPr>
              <w:widowControl w:val="0"/>
              <w:numPr>
                <w:ilvl w:val="12"/>
                <w:numId w:val="0"/>
              </w:numPr>
              <w:tabs>
                <w:tab w:val="left" w:pos="567"/>
              </w:tabs>
              <w:spacing w:after="0" w:line="240" w:lineRule="auto"/>
              <w:ind w:right="-2"/>
              <w:rPr>
                <w:rFonts w:ascii="Times New Roman" w:eastAsia="Times New Roman" w:hAnsi="Times New Roman"/>
                <w:noProof/>
                <w:lang w:val="sv-SE" w:eastAsia="sl-SI"/>
              </w:rPr>
            </w:pPr>
            <w:r>
              <w:rPr>
                <w:rFonts w:ascii="Times New Roman" w:eastAsia="Times New Roman" w:hAnsi="Times New Roman"/>
                <w:noProof/>
                <w:lang w:val="sv-SE" w:eastAsia="sl-SI"/>
              </w:rPr>
              <w:t>KRKA Sverige AB</w:t>
            </w:r>
          </w:p>
          <w:p w14:paraId="5F565F63" w14:textId="77777777" w:rsidR="00582954" w:rsidRDefault="00645977">
            <w:pPr>
              <w:widowControl w:val="0"/>
              <w:numPr>
                <w:ilvl w:val="12"/>
                <w:numId w:val="0"/>
              </w:numPr>
              <w:tabs>
                <w:tab w:val="left" w:pos="567"/>
              </w:tabs>
              <w:spacing w:after="0" w:line="240" w:lineRule="auto"/>
              <w:ind w:right="-2"/>
              <w:rPr>
                <w:rFonts w:ascii="Times New Roman" w:eastAsia="Times New Roman" w:hAnsi="Times New Roman"/>
                <w:lang w:val="sv-SE" w:eastAsia="sl-SI"/>
              </w:rPr>
            </w:pPr>
            <w:r>
              <w:rPr>
                <w:rFonts w:ascii="Times New Roman" w:eastAsia="Times New Roman" w:hAnsi="Times New Roman"/>
                <w:noProof/>
                <w:lang w:val="sv-SE" w:eastAsia="sl-SI"/>
              </w:rPr>
              <w:t>Tlf: + 46 (0)</w:t>
            </w:r>
            <w:r>
              <w:rPr>
                <w:rFonts w:ascii="Times New Roman" w:eastAsia="Times New Roman" w:hAnsi="Times New Roman"/>
                <w:lang w:val="sv-SE" w:eastAsia="sl-SI"/>
              </w:rPr>
              <w:t>8 643 67 66 (SE)</w:t>
            </w:r>
          </w:p>
          <w:p w14:paraId="0F965426" w14:textId="77777777" w:rsidR="00582954" w:rsidRDefault="00582954">
            <w:pPr>
              <w:widowControl w:val="0"/>
              <w:numPr>
                <w:ilvl w:val="12"/>
                <w:numId w:val="0"/>
              </w:numPr>
              <w:tabs>
                <w:tab w:val="left" w:pos="567"/>
              </w:tabs>
              <w:spacing w:after="0" w:line="240" w:lineRule="auto"/>
              <w:ind w:right="-2"/>
              <w:rPr>
                <w:rFonts w:ascii="Times New Roman" w:eastAsia="Times New Roman" w:hAnsi="Times New Roman"/>
                <w:noProof/>
                <w:lang w:val="sv-SE" w:eastAsia="sl-SI"/>
              </w:rPr>
            </w:pPr>
          </w:p>
        </w:tc>
      </w:tr>
      <w:tr w:rsidR="00582954" w14:paraId="64096323" w14:textId="77777777">
        <w:tc>
          <w:tcPr>
            <w:tcW w:w="4680" w:type="dxa"/>
          </w:tcPr>
          <w:p w14:paraId="145C97F7" w14:textId="77777777" w:rsidR="00582954" w:rsidRDefault="00645977">
            <w:pPr>
              <w:widowControl w:val="0"/>
              <w:tabs>
                <w:tab w:val="left" w:pos="567"/>
              </w:tabs>
              <w:spacing w:after="0" w:line="240" w:lineRule="auto"/>
              <w:rPr>
                <w:rFonts w:ascii="Times New Roman" w:eastAsia="Times New Roman" w:hAnsi="Times New Roman"/>
                <w:b/>
                <w:noProof/>
                <w:lang w:val="it-IT" w:eastAsia="sl-SI"/>
              </w:rPr>
            </w:pPr>
            <w:r>
              <w:rPr>
                <w:rFonts w:ascii="Times New Roman" w:eastAsia="Times New Roman" w:hAnsi="Times New Roman"/>
                <w:b/>
                <w:noProof/>
                <w:lang w:val="en-GB" w:eastAsia="sl-SI"/>
              </w:rPr>
              <w:t>Ελλάδα</w:t>
            </w:r>
          </w:p>
          <w:p w14:paraId="3F3E93DB" w14:textId="77777777" w:rsidR="00582954" w:rsidRDefault="00645977">
            <w:pPr>
              <w:widowControl w:val="0"/>
              <w:spacing w:after="0" w:line="240" w:lineRule="auto"/>
              <w:rPr>
                <w:rFonts w:ascii="Times New Roman" w:hAnsi="Times New Roman"/>
                <w:lang w:val="it-IT"/>
              </w:rPr>
            </w:pPr>
            <w:r>
              <w:rPr>
                <w:rFonts w:ascii="Times New Roman" w:hAnsi="Times New Roman"/>
                <w:lang w:val="sv-SE"/>
              </w:rPr>
              <w:t>KRKA ΕΛΛΑΣ ΕΠΕ</w:t>
            </w:r>
          </w:p>
          <w:p w14:paraId="5EBB0A14" w14:textId="77777777" w:rsidR="00582954" w:rsidRDefault="00645977">
            <w:pPr>
              <w:widowControl w:val="0"/>
              <w:tabs>
                <w:tab w:val="left" w:pos="567"/>
              </w:tabs>
              <w:spacing w:after="0" w:line="240" w:lineRule="auto"/>
              <w:rPr>
                <w:rFonts w:ascii="Times New Roman" w:eastAsia="Times New Roman" w:hAnsi="Times New Roman"/>
                <w:lang w:val="en-GB" w:eastAsia="sl-SI"/>
              </w:rPr>
            </w:pPr>
            <w:r>
              <w:rPr>
                <w:rFonts w:ascii="Times New Roman" w:hAnsi="Times New Roman"/>
                <w:noProof/>
              </w:rPr>
              <w:lastRenderedPageBreak/>
              <w:t xml:space="preserve">Τηλ: </w:t>
            </w:r>
            <w:r>
              <w:rPr>
                <w:rFonts w:ascii="Times New Roman" w:hAnsi="Times New Roman"/>
              </w:rPr>
              <w:t>+ 30 2100101613</w:t>
            </w:r>
          </w:p>
          <w:p w14:paraId="487E9315" w14:textId="77777777" w:rsidR="00582954" w:rsidRDefault="00582954">
            <w:pPr>
              <w:widowControl w:val="0"/>
              <w:tabs>
                <w:tab w:val="left" w:pos="567"/>
              </w:tabs>
              <w:spacing w:after="0" w:line="240" w:lineRule="auto"/>
              <w:rPr>
                <w:rFonts w:ascii="Times New Roman" w:eastAsia="Times New Roman" w:hAnsi="Times New Roman"/>
                <w:noProof/>
                <w:lang w:val="en-GB" w:eastAsia="sl-SI"/>
              </w:rPr>
            </w:pPr>
          </w:p>
        </w:tc>
        <w:tc>
          <w:tcPr>
            <w:tcW w:w="4680" w:type="dxa"/>
          </w:tcPr>
          <w:p w14:paraId="3ADD6319" w14:textId="77777777" w:rsidR="00582954" w:rsidRDefault="00645977">
            <w:pPr>
              <w:widowControl w:val="0"/>
              <w:numPr>
                <w:ilvl w:val="12"/>
                <w:numId w:val="0"/>
              </w:numPr>
              <w:tabs>
                <w:tab w:val="left" w:pos="567"/>
              </w:tabs>
              <w:spacing w:after="0" w:line="240" w:lineRule="auto"/>
              <w:ind w:right="-2"/>
              <w:rPr>
                <w:rFonts w:ascii="Times New Roman" w:eastAsia="Times New Roman" w:hAnsi="Times New Roman"/>
                <w:b/>
                <w:noProof/>
                <w:lang w:val="de-DE" w:eastAsia="sl-SI"/>
              </w:rPr>
            </w:pPr>
            <w:r>
              <w:rPr>
                <w:rFonts w:ascii="Times New Roman" w:eastAsia="Times New Roman" w:hAnsi="Times New Roman"/>
                <w:b/>
                <w:noProof/>
                <w:lang w:val="de-DE" w:eastAsia="sl-SI"/>
              </w:rPr>
              <w:lastRenderedPageBreak/>
              <w:t>Österreich</w:t>
            </w:r>
          </w:p>
          <w:p w14:paraId="5A2F8115" w14:textId="77777777" w:rsidR="00582954" w:rsidRDefault="00645977">
            <w:pPr>
              <w:widowControl w:val="0"/>
              <w:numPr>
                <w:ilvl w:val="12"/>
                <w:numId w:val="0"/>
              </w:numPr>
              <w:tabs>
                <w:tab w:val="left" w:pos="567"/>
              </w:tabs>
              <w:spacing w:after="0" w:line="240" w:lineRule="auto"/>
              <w:ind w:right="-2"/>
              <w:rPr>
                <w:rFonts w:ascii="Times New Roman" w:eastAsia="Times New Roman" w:hAnsi="Times New Roman"/>
                <w:lang w:val="de-DE" w:eastAsia="sl-SI"/>
              </w:rPr>
            </w:pPr>
            <w:r>
              <w:rPr>
                <w:rFonts w:ascii="Times New Roman" w:eastAsia="Times New Roman" w:hAnsi="Times New Roman"/>
                <w:lang w:val="de-DE" w:eastAsia="sl-SI"/>
              </w:rPr>
              <w:t>KRKA Pharma GmbH, Wien</w:t>
            </w:r>
          </w:p>
          <w:p w14:paraId="6B77FC03" w14:textId="77777777" w:rsidR="00582954" w:rsidRDefault="00645977">
            <w:pPr>
              <w:widowControl w:val="0"/>
              <w:numPr>
                <w:ilvl w:val="12"/>
                <w:numId w:val="0"/>
              </w:numPr>
              <w:tabs>
                <w:tab w:val="left" w:pos="567"/>
              </w:tabs>
              <w:spacing w:after="0" w:line="240" w:lineRule="auto"/>
              <w:ind w:right="-2"/>
              <w:rPr>
                <w:rFonts w:ascii="Times New Roman" w:eastAsia="Times New Roman" w:hAnsi="Times New Roman"/>
                <w:iCs/>
                <w:lang w:val="de-DE" w:eastAsia="sl-SI"/>
              </w:rPr>
            </w:pPr>
            <w:r>
              <w:rPr>
                <w:rFonts w:ascii="Times New Roman" w:eastAsia="Times New Roman" w:hAnsi="Times New Roman"/>
                <w:lang w:val="de-DE" w:eastAsia="sl-SI"/>
              </w:rPr>
              <w:lastRenderedPageBreak/>
              <w:t>Tel:</w:t>
            </w:r>
            <w:r>
              <w:rPr>
                <w:rFonts w:ascii="Times New Roman" w:eastAsia="Times New Roman" w:hAnsi="Times New Roman"/>
                <w:bCs/>
                <w:lang w:val="de-DE" w:eastAsia="sl-SI"/>
              </w:rPr>
              <w:t xml:space="preserve"> + </w:t>
            </w:r>
            <w:r>
              <w:rPr>
                <w:rFonts w:ascii="Times New Roman" w:eastAsia="Times New Roman" w:hAnsi="Times New Roman"/>
                <w:lang w:val="de-DE" w:eastAsia="sl-SI"/>
              </w:rPr>
              <w:t>43 (0)1 66 24 300</w:t>
            </w:r>
          </w:p>
          <w:p w14:paraId="750BE2D1" w14:textId="77777777" w:rsidR="00582954" w:rsidRDefault="00582954">
            <w:pPr>
              <w:widowControl w:val="0"/>
              <w:numPr>
                <w:ilvl w:val="12"/>
                <w:numId w:val="0"/>
              </w:numPr>
              <w:tabs>
                <w:tab w:val="left" w:pos="567"/>
              </w:tabs>
              <w:spacing w:after="0" w:line="240" w:lineRule="auto"/>
              <w:ind w:right="-2"/>
              <w:rPr>
                <w:rFonts w:ascii="Times New Roman" w:eastAsia="Times New Roman" w:hAnsi="Times New Roman"/>
                <w:noProof/>
                <w:lang w:val="de-DE" w:eastAsia="sl-SI"/>
              </w:rPr>
            </w:pPr>
          </w:p>
        </w:tc>
      </w:tr>
      <w:tr w:rsidR="00582954" w14:paraId="47D20872" w14:textId="77777777">
        <w:tc>
          <w:tcPr>
            <w:tcW w:w="4680" w:type="dxa"/>
          </w:tcPr>
          <w:p w14:paraId="572D0F41" w14:textId="77777777" w:rsidR="00582954" w:rsidRDefault="00645977">
            <w:pPr>
              <w:widowControl w:val="0"/>
              <w:tabs>
                <w:tab w:val="left" w:pos="567"/>
              </w:tabs>
              <w:spacing w:after="0" w:line="240" w:lineRule="auto"/>
              <w:rPr>
                <w:rFonts w:ascii="Times New Roman" w:eastAsia="Times New Roman" w:hAnsi="Times New Roman"/>
                <w:b/>
                <w:noProof/>
                <w:lang w:val="es-ES_tradnl" w:eastAsia="sl-SI"/>
              </w:rPr>
            </w:pPr>
            <w:r>
              <w:rPr>
                <w:rFonts w:ascii="Times New Roman" w:eastAsia="Times New Roman" w:hAnsi="Times New Roman"/>
                <w:b/>
                <w:noProof/>
                <w:lang w:val="es-ES_tradnl" w:eastAsia="sl-SI"/>
              </w:rPr>
              <w:lastRenderedPageBreak/>
              <w:t>España</w:t>
            </w:r>
          </w:p>
          <w:p w14:paraId="76AF0CC6" w14:textId="77777777" w:rsidR="00582954" w:rsidRDefault="00645977">
            <w:pPr>
              <w:widowControl w:val="0"/>
              <w:spacing w:after="0" w:line="240" w:lineRule="auto"/>
              <w:rPr>
                <w:rFonts w:ascii="Times New Roman" w:hAnsi="Times New Roman"/>
                <w:lang w:val="es-ES_tradnl" w:eastAsia="sl-SI"/>
              </w:rPr>
            </w:pPr>
            <w:r>
              <w:rPr>
                <w:rFonts w:ascii="Times New Roman" w:hAnsi="Times New Roman"/>
                <w:lang w:val="es-ES_tradnl" w:eastAsia="sl-SI"/>
              </w:rPr>
              <w:t>KRKA</w:t>
            </w:r>
            <w:r>
              <w:rPr>
                <w:rFonts w:ascii="Times New Roman" w:hAnsi="Times New Roman"/>
                <w:bCs/>
                <w:lang w:val="es-ES_tradnl" w:eastAsia="sl-SI"/>
              </w:rPr>
              <w:t xml:space="preserve"> Farmacéutica, S.L.</w:t>
            </w:r>
          </w:p>
          <w:p w14:paraId="3489F1CE" w14:textId="77777777" w:rsidR="00582954" w:rsidRDefault="00645977">
            <w:pPr>
              <w:widowControl w:val="0"/>
              <w:tabs>
                <w:tab w:val="left" w:pos="567"/>
              </w:tabs>
              <w:spacing w:after="0" w:line="240" w:lineRule="auto"/>
              <w:rPr>
                <w:rFonts w:ascii="Times New Roman" w:hAnsi="Times New Roman"/>
                <w:lang w:val="en-GB" w:eastAsia="sl-SI"/>
              </w:rPr>
            </w:pPr>
            <w:r>
              <w:rPr>
                <w:rFonts w:ascii="Times New Roman" w:hAnsi="Times New Roman"/>
                <w:lang w:val="en-GB" w:eastAsia="sl-SI"/>
              </w:rPr>
              <w:t>Tel: + 34 911 61 03 80</w:t>
            </w:r>
          </w:p>
          <w:p w14:paraId="2B0E38A4" w14:textId="77777777" w:rsidR="00582954" w:rsidRDefault="00582954">
            <w:pPr>
              <w:widowControl w:val="0"/>
              <w:tabs>
                <w:tab w:val="left" w:pos="567"/>
              </w:tabs>
              <w:spacing w:after="0" w:line="240" w:lineRule="auto"/>
              <w:rPr>
                <w:rFonts w:ascii="Times New Roman" w:eastAsia="Times New Roman" w:hAnsi="Times New Roman"/>
                <w:noProof/>
                <w:lang w:val="en-GB" w:eastAsia="sl-SI"/>
              </w:rPr>
            </w:pPr>
          </w:p>
        </w:tc>
        <w:tc>
          <w:tcPr>
            <w:tcW w:w="4680" w:type="dxa"/>
          </w:tcPr>
          <w:p w14:paraId="5B9FA605" w14:textId="77777777" w:rsidR="00582954" w:rsidRDefault="00645977">
            <w:pPr>
              <w:widowControl w:val="0"/>
              <w:numPr>
                <w:ilvl w:val="12"/>
                <w:numId w:val="0"/>
              </w:numPr>
              <w:tabs>
                <w:tab w:val="left" w:pos="567"/>
              </w:tabs>
              <w:spacing w:after="0" w:line="240" w:lineRule="auto"/>
              <w:ind w:right="-2"/>
              <w:rPr>
                <w:rFonts w:ascii="Times New Roman" w:eastAsia="Times New Roman" w:hAnsi="Times New Roman"/>
                <w:b/>
                <w:noProof/>
                <w:lang w:val="sv-SE" w:eastAsia="sl-SI"/>
              </w:rPr>
            </w:pPr>
            <w:r>
              <w:rPr>
                <w:rFonts w:ascii="Times New Roman" w:eastAsia="Times New Roman" w:hAnsi="Times New Roman"/>
                <w:b/>
                <w:noProof/>
                <w:lang w:val="sv-SE" w:eastAsia="sl-SI"/>
              </w:rPr>
              <w:t>Polska</w:t>
            </w:r>
          </w:p>
          <w:p w14:paraId="16B101BC" w14:textId="77777777" w:rsidR="00582954" w:rsidRDefault="00645977">
            <w:pPr>
              <w:widowControl w:val="0"/>
              <w:numPr>
                <w:ilvl w:val="12"/>
                <w:numId w:val="0"/>
              </w:numPr>
              <w:tabs>
                <w:tab w:val="left" w:pos="567"/>
              </w:tabs>
              <w:spacing w:after="0" w:line="240" w:lineRule="auto"/>
              <w:ind w:right="-2"/>
              <w:rPr>
                <w:rFonts w:ascii="Times New Roman" w:eastAsia="Times New Roman" w:hAnsi="Times New Roman"/>
                <w:noProof/>
                <w:lang w:val="sv-SE" w:eastAsia="sl-SI"/>
              </w:rPr>
            </w:pPr>
            <w:r>
              <w:rPr>
                <w:rFonts w:ascii="Times New Roman" w:hAnsi="Times New Roman"/>
                <w:lang w:val="sv-SE" w:eastAsia="sl-SI"/>
              </w:rPr>
              <w:t xml:space="preserve">KRKA-POLSKA </w:t>
            </w:r>
            <w:r>
              <w:rPr>
                <w:rFonts w:ascii="Times New Roman" w:eastAsia="Times New Roman" w:hAnsi="Times New Roman"/>
                <w:noProof/>
                <w:lang w:val="sv-SE" w:eastAsia="sl-SI"/>
              </w:rPr>
              <w:t>Sp. z o.o.</w:t>
            </w:r>
          </w:p>
          <w:p w14:paraId="1F9C3CB3" w14:textId="77777777" w:rsidR="00582954" w:rsidRDefault="00645977">
            <w:pPr>
              <w:widowControl w:val="0"/>
              <w:numPr>
                <w:ilvl w:val="12"/>
                <w:numId w:val="0"/>
              </w:numPr>
              <w:tabs>
                <w:tab w:val="left" w:pos="567"/>
              </w:tabs>
              <w:spacing w:after="0" w:line="240" w:lineRule="auto"/>
              <w:ind w:right="-2"/>
              <w:rPr>
                <w:rFonts w:ascii="Times New Roman" w:eastAsia="Times New Roman" w:hAnsi="Times New Roman"/>
                <w:noProof/>
                <w:lang w:val="en-GB" w:eastAsia="sl-SI"/>
              </w:rPr>
            </w:pPr>
            <w:r>
              <w:rPr>
                <w:rFonts w:ascii="Times New Roman" w:eastAsia="Times New Roman" w:hAnsi="Times New Roman"/>
                <w:noProof/>
                <w:lang w:val="en-GB" w:eastAsia="sl-SI"/>
              </w:rPr>
              <w:t>Tel.: + 48 (0)22 573 7500</w:t>
            </w:r>
          </w:p>
          <w:p w14:paraId="47D169BB" w14:textId="77777777" w:rsidR="00582954" w:rsidRDefault="00582954">
            <w:pPr>
              <w:widowControl w:val="0"/>
              <w:numPr>
                <w:ilvl w:val="12"/>
                <w:numId w:val="0"/>
              </w:numPr>
              <w:tabs>
                <w:tab w:val="left" w:pos="567"/>
              </w:tabs>
              <w:spacing w:after="0" w:line="240" w:lineRule="auto"/>
              <w:ind w:right="-2"/>
              <w:rPr>
                <w:rFonts w:ascii="Times New Roman" w:eastAsia="Times New Roman" w:hAnsi="Times New Roman"/>
                <w:noProof/>
                <w:lang w:val="en-GB" w:eastAsia="sl-SI"/>
              </w:rPr>
            </w:pPr>
          </w:p>
        </w:tc>
      </w:tr>
      <w:tr w:rsidR="00582954" w14:paraId="0B21306F" w14:textId="77777777">
        <w:tc>
          <w:tcPr>
            <w:tcW w:w="4680" w:type="dxa"/>
          </w:tcPr>
          <w:p w14:paraId="5F9ACB43" w14:textId="77777777" w:rsidR="00582954" w:rsidRDefault="00645977">
            <w:pPr>
              <w:widowControl w:val="0"/>
              <w:tabs>
                <w:tab w:val="left" w:pos="567"/>
              </w:tabs>
              <w:spacing w:after="0" w:line="240" w:lineRule="auto"/>
              <w:rPr>
                <w:rFonts w:ascii="Times New Roman" w:eastAsia="Times New Roman" w:hAnsi="Times New Roman"/>
                <w:b/>
                <w:noProof/>
                <w:lang w:val="fr-FR" w:eastAsia="sl-SI"/>
              </w:rPr>
            </w:pPr>
            <w:r>
              <w:rPr>
                <w:rFonts w:ascii="Times New Roman" w:eastAsia="Times New Roman" w:hAnsi="Times New Roman"/>
                <w:b/>
                <w:noProof/>
                <w:lang w:val="fr-FR" w:eastAsia="sl-SI"/>
              </w:rPr>
              <w:t>France</w:t>
            </w:r>
          </w:p>
          <w:p w14:paraId="5074BEFA" w14:textId="77777777" w:rsidR="00582954" w:rsidRDefault="00645977">
            <w:pPr>
              <w:widowControl w:val="0"/>
              <w:spacing w:after="0" w:line="240" w:lineRule="auto"/>
              <w:rPr>
                <w:rFonts w:ascii="Times New Roman" w:hAnsi="Times New Roman"/>
                <w:lang w:val="fr-FR" w:eastAsia="sl-SI"/>
              </w:rPr>
            </w:pPr>
            <w:r>
              <w:rPr>
                <w:rFonts w:ascii="Times New Roman" w:hAnsi="Times New Roman"/>
                <w:lang w:val="fr-FR" w:eastAsia="sl-SI"/>
              </w:rPr>
              <w:t xml:space="preserve">KRKA </w:t>
            </w:r>
            <w:r>
              <w:rPr>
                <w:rFonts w:ascii="Times New Roman" w:hAnsi="Times New Roman"/>
                <w:bCs/>
                <w:lang w:val="fr-FR" w:eastAsia="sl-SI"/>
              </w:rPr>
              <w:t>France Eurl</w:t>
            </w:r>
          </w:p>
          <w:p w14:paraId="29CF5D68" w14:textId="77777777" w:rsidR="00582954" w:rsidRDefault="00645977">
            <w:pPr>
              <w:widowControl w:val="0"/>
              <w:tabs>
                <w:tab w:val="left" w:pos="567"/>
              </w:tabs>
              <w:spacing w:after="0" w:line="240" w:lineRule="auto"/>
              <w:rPr>
                <w:rFonts w:ascii="Times New Roman" w:eastAsia="Times New Roman" w:hAnsi="Times New Roman"/>
                <w:noProof/>
                <w:lang w:val="fr-FR" w:eastAsia="sl-SI"/>
              </w:rPr>
            </w:pPr>
            <w:r>
              <w:rPr>
                <w:rFonts w:ascii="Times New Roman" w:hAnsi="Times New Roman"/>
                <w:lang w:val="fr-FR" w:eastAsia="sl-SI"/>
              </w:rPr>
              <w:t>Tél: + 33 (0)1 57 40 82 25</w:t>
            </w:r>
          </w:p>
          <w:p w14:paraId="133F176E" w14:textId="77777777" w:rsidR="00582954" w:rsidRDefault="00582954">
            <w:pPr>
              <w:widowControl w:val="0"/>
              <w:tabs>
                <w:tab w:val="left" w:pos="567"/>
              </w:tabs>
              <w:spacing w:after="0" w:line="240" w:lineRule="auto"/>
              <w:rPr>
                <w:rFonts w:ascii="Times New Roman" w:eastAsia="Times New Roman" w:hAnsi="Times New Roman"/>
                <w:noProof/>
                <w:lang w:val="fr-FR" w:eastAsia="sl-SI"/>
              </w:rPr>
            </w:pPr>
          </w:p>
        </w:tc>
        <w:tc>
          <w:tcPr>
            <w:tcW w:w="4680" w:type="dxa"/>
          </w:tcPr>
          <w:p w14:paraId="767296B9" w14:textId="77777777" w:rsidR="00582954" w:rsidRDefault="00645977">
            <w:pPr>
              <w:widowControl w:val="0"/>
              <w:numPr>
                <w:ilvl w:val="12"/>
                <w:numId w:val="0"/>
              </w:numPr>
              <w:tabs>
                <w:tab w:val="left" w:pos="567"/>
              </w:tabs>
              <w:spacing w:after="0" w:line="240" w:lineRule="auto"/>
              <w:ind w:right="-2"/>
              <w:rPr>
                <w:rFonts w:ascii="Times New Roman" w:eastAsia="Times New Roman" w:hAnsi="Times New Roman"/>
                <w:b/>
                <w:noProof/>
                <w:lang w:val="es-ES_tradnl" w:eastAsia="sl-SI"/>
              </w:rPr>
            </w:pPr>
            <w:r>
              <w:rPr>
                <w:rFonts w:ascii="Times New Roman" w:eastAsia="Times New Roman" w:hAnsi="Times New Roman"/>
                <w:b/>
                <w:noProof/>
                <w:lang w:val="es-ES_tradnl" w:eastAsia="sl-SI"/>
              </w:rPr>
              <w:t>Portugal</w:t>
            </w:r>
          </w:p>
          <w:p w14:paraId="250D2727" w14:textId="77777777" w:rsidR="00582954" w:rsidRDefault="00645977">
            <w:pPr>
              <w:widowControl w:val="0"/>
              <w:numPr>
                <w:ilvl w:val="12"/>
                <w:numId w:val="0"/>
              </w:numPr>
              <w:tabs>
                <w:tab w:val="left" w:pos="567"/>
              </w:tabs>
              <w:spacing w:after="0" w:line="240" w:lineRule="auto"/>
              <w:ind w:right="-2"/>
              <w:rPr>
                <w:rFonts w:ascii="Times New Roman" w:eastAsia="Times New Roman" w:hAnsi="Times New Roman"/>
                <w:noProof/>
                <w:lang w:val="es-ES_tradnl" w:eastAsia="sl-SI"/>
              </w:rPr>
            </w:pPr>
            <w:r>
              <w:rPr>
                <w:rFonts w:ascii="Times New Roman" w:eastAsia="Times New Roman" w:hAnsi="Times New Roman"/>
                <w:bCs/>
                <w:lang w:val="es-ES_tradnl" w:eastAsia="sl-SI"/>
              </w:rPr>
              <w:t>KRKA Farmacêutica, Sociedade Unipessoal Lda.</w:t>
            </w:r>
          </w:p>
          <w:p w14:paraId="04A3C509" w14:textId="77777777" w:rsidR="00582954" w:rsidRDefault="00645977">
            <w:pPr>
              <w:widowControl w:val="0"/>
              <w:numPr>
                <w:ilvl w:val="12"/>
                <w:numId w:val="0"/>
              </w:numPr>
              <w:tabs>
                <w:tab w:val="left" w:pos="567"/>
              </w:tabs>
              <w:spacing w:after="0" w:line="240" w:lineRule="auto"/>
              <w:ind w:right="-2"/>
              <w:rPr>
                <w:rFonts w:ascii="Times New Roman" w:eastAsia="Times New Roman" w:hAnsi="Times New Roman"/>
                <w:lang w:val="en-GB" w:eastAsia="sl-SI"/>
              </w:rPr>
            </w:pPr>
            <w:r>
              <w:rPr>
                <w:rFonts w:ascii="Times New Roman" w:eastAsia="Times New Roman" w:hAnsi="Times New Roman"/>
                <w:noProof/>
                <w:lang w:val="en-GB" w:eastAsia="sl-SI"/>
              </w:rPr>
              <w:t xml:space="preserve">Tel: + </w:t>
            </w:r>
            <w:r>
              <w:rPr>
                <w:rFonts w:ascii="Times New Roman" w:eastAsia="Times New Roman" w:hAnsi="Times New Roman"/>
                <w:lang w:val="en-GB" w:eastAsia="sl-SI"/>
              </w:rPr>
              <w:t>351 (0)21 46 43 650</w:t>
            </w:r>
          </w:p>
          <w:p w14:paraId="19CA90C9" w14:textId="77777777" w:rsidR="00582954" w:rsidRDefault="00582954">
            <w:pPr>
              <w:widowControl w:val="0"/>
              <w:numPr>
                <w:ilvl w:val="12"/>
                <w:numId w:val="0"/>
              </w:numPr>
              <w:tabs>
                <w:tab w:val="left" w:pos="567"/>
              </w:tabs>
              <w:spacing w:after="0" w:line="240" w:lineRule="auto"/>
              <w:ind w:right="-2"/>
              <w:rPr>
                <w:rFonts w:ascii="Times New Roman" w:eastAsia="Times New Roman" w:hAnsi="Times New Roman"/>
                <w:noProof/>
                <w:lang w:val="en-GB" w:eastAsia="sl-SI"/>
              </w:rPr>
            </w:pPr>
          </w:p>
        </w:tc>
      </w:tr>
      <w:tr w:rsidR="00582954" w14:paraId="792F251C" w14:textId="77777777">
        <w:tc>
          <w:tcPr>
            <w:tcW w:w="4680" w:type="dxa"/>
          </w:tcPr>
          <w:p w14:paraId="134BDBC2" w14:textId="77777777" w:rsidR="00582954" w:rsidRDefault="00645977">
            <w:pPr>
              <w:widowControl w:val="0"/>
              <w:tabs>
                <w:tab w:val="left" w:pos="567"/>
              </w:tabs>
              <w:spacing w:after="0" w:line="240" w:lineRule="auto"/>
              <w:rPr>
                <w:rFonts w:ascii="Times New Roman" w:eastAsia="Times New Roman" w:hAnsi="Times New Roman"/>
                <w:b/>
                <w:noProof/>
                <w:lang w:val="sv-SE" w:eastAsia="sl-SI"/>
              </w:rPr>
            </w:pPr>
            <w:r>
              <w:rPr>
                <w:rFonts w:ascii="Times New Roman" w:eastAsia="Times New Roman" w:hAnsi="Times New Roman"/>
                <w:b/>
                <w:noProof/>
                <w:lang w:val="sv-SE" w:eastAsia="sl-SI"/>
              </w:rPr>
              <w:t>Hrvatska</w:t>
            </w:r>
          </w:p>
          <w:p w14:paraId="603A5540" w14:textId="77777777" w:rsidR="00582954" w:rsidRDefault="00645977">
            <w:pPr>
              <w:widowControl w:val="0"/>
              <w:tabs>
                <w:tab w:val="left" w:pos="567"/>
              </w:tabs>
              <w:spacing w:after="0" w:line="240" w:lineRule="auto"/>
              <w:rPr>
                <w:rFonts w:ascii="Times New Roman" w:eastAsia="Times New Roman" w:hAnsi="Times New Roman"/>
                <w:noProof/>
                <w:lang w:val="sv-SE" w:eastAsia="sl-SI"/>
              </w:rPr>
            </w:pPr>
            <w:r>
              <w:rPr>
                <w:rFonts w:ascii="Times New Roman" w:eastAsia="Times New Roman" w:hAnsi="Times New Roman"/>
                <w:lang w:val="sv-SE"/>
              </w:rPr>
              <w:t>KRKA - FARMA</w:t>
            </w:r>
            <w:r>
              <w:rPr>
                <w:rFonts w:ascii="Times New Roman" w:eastAsia="Times New Roman" w:hAnsi="Times New Roman"/>
                <w:noProof/>
                <w:lang w:val="sv-SE" w:eastAsia="sl-SI"/>
              </w:rPr>
              <w:t xml:space="preserve"> d.o.o.</w:t>
            </w:r>
          </w:p>
          <w:p w14:paraId="38E565CC" w14:textId="77777777" w:rsidR="00582954" w:rsidRDefault="00645977">
            <w:pPr>
              <w:widowControl w:val="0"/>
              <w:tabs>
                <w:tab w:val="left" w:pos="567"/>
              </w:tabs>
              <w:spacing w:after="0" w:line="240" w:lineRule="auto"/>
              <w:rPr>
                <w:rFonts w:ascii="Times New Roman" w:eastAsia="Times New Roman" w:hAnsi="Times New Roman"/>
                <w:noProof/>
                <w:lang w:val="en-GB" w:eastAsia="sl-SI"/>
              </w:rPr>
            </w:pPr>
            <w:r>
              <w:rPr>
                <w:rFonts w:ascii="Times New Roman" w:eastAsia="Times New Roman" w:hAnsi="Times New Roman"/>
                <w:noProof/>
                <w:lang w:val="en-GB" w:eastAsia="sl-SI"/>
              </w:rPr>
              <w:t>Tel: + 385 1 6312 101</w:t>
            </w:r>
          </w:p>
          <w:p w14:paraId="537F0C04" w14:textId="77777777" w:rsidR="00582954" w:rsidRDefault="00582954">
            <w:pPr>
              <w:widowControl w:val="0"/>
              <w:tabs>
                <w:tab w:val="left" w:pos="567"/>
              </w:tabs>
              <w:spacing w:after="0" w:line="240" w:lineRule="auto"/>
              <w:rPr>
                <w:rFonts w:ascii="Times New Roman" w:eastAsia="Times New Roman" w:hAnsi="Times New Roman"/>
                <w:noProof/>
                <w:lang w:val="en-GB" w:eastAsia="sl-SI"/>
              </w:rPr>
            </w:pPr>
          </w:p>
        </w:tc>
        <w:tc>
          <w:tcPr>
            <w:tcW w:w="4680" w:type="dxa"/>
          </w:tcPr>
          <w:p w14:paraId="4BFCC52D" w14:textId="77777777" w:rsidR="00582954" w:rsidRDefault="00645977">
            <w:pPr>
              <w:widowControl w:val="0"/>
              <w:numPr>
                <w:ilvl w:val="12"/>
                <w:numId w:val="0"/>
              </w:numPr>
              <w:tabs>
                <w:tab w:val="left" w:pos="567"/>
              </w:tabs>
              <w:spacing w:after="0" w:line="240" w:lineRule="auto"/>
              <w:ind w:right="-2"/>
              <w:rPr>
                <w:rFonts w:ascii="Times New Roman" w:eastAsia="Times New Roman" w:hAnsi="Times New Roman"/>
                <w:b/>
                <w:noProof/>
                <w:lang w:val="en-GB" w:eastAsia="sl-SI"/>
              </w:rPr>
            </w:pPr>
            <w:r>
              <w:rPr>
                <w:rFonts w:ascii="Times New Roman" w:eastAsia="Times New Roman" w:hAnsi="Times New Roman"/>
                <w:b/>
                <w:noProof/>
                <w:lang w:val="en-GB" w:eastAsia="sl-SI"/>
              </w:rPr>
              <w:t>România</w:t>
            </w:r>
          </w:p>
          <w:p w14:paraId="3B253361" w14:textId="77777777" w:rsidR="00582954" w:rsidRDefault="00645977">
            <w:pPr>
              <w:widowControl w:val="0"/>
              <w:tabs>
                <w:tab w:val="left" w:pos="567"/>
              </w:tabs>
              <w:spacing w:after="0" w:line="240" w:lineRule="auto"/>
              <w:rPr>
                <w:rFonts w:ascii="Times New Roman" w:eastAsia="Times New Roman" w:hAnsi="Times New Roman"/>
                <w:bCs/>
                <w:lang w:val="en-GB" w:eastAsia="sl-SI"/>
              </w:rPr>
            </w:pPr>
            <w:r>
              <w:rPr>
                <w:rFonts w:ascii="Times New Roman" w:eastAsia="Times New Roman" w:hAnsi="Times New Roman"/>
                <w:bCs/>
                <w:lang w:val="en-GB" w:eastAsia="sl-SI"/>
              </w:rPr>
              <w:t>KRKA Romania S.R.L., Bucharest</w:t>
            </w:r>
          </w:p>
          <w:p w14:paraId="1D30D686" w14:textId="77777777" w:rsidR="00582954" w:rsidRDefault="00645977">
            <w:pPr>
              <w:widowControl w:val="0"/>
              <w:numPr>
                <w:ilvl w:val="12"/>
                <w:numId w:val="0"/>
              </w:numPr>
              <w:tabs>
                <w:tab w:val="left" w:pos="567"/>
              </w:tabs>
              <w:spacing w:after="0" w:line="240" w:lineRule="auto"/>
              <w:ind w:right="-2"/>
              <w:rPr>
                <w:rFonts w:ascii="Times New Roman" w:hAnsi="Times New Roman"/>
                <w:lang w:val="en-GB" w:eastAsia="sl-SI"/>
              </w:rPr>
            </w:pPr>
            <w:r>
              <w:rPr>
                <w:rFonts w:ascii="Times New Roman" w:hAnsi="Times New Roman"/>
                <w:lang w:val="en-GB" w:eastAsia="sl-SI"/>
              </w:rPr>
              <w:t>Tel: + 4 021 310 66 05</w:t>
            </w:r>
          </w:p>
          <w:p w14:paraId="75A294B0" w14:textId="77777777" w:rsidR="00582954" w:rsidRDefault="00582954">
            <w:pPr>
              <w:widowControl w:val="0"/>
              <w:numPr>
                <w:ilvl w:val="12"/>
                <w:numId w:val="0"/>
              </w:numPr>
              <w:tabs>
                <w:tab w:val="left" w:pos="567"/>
              </w:tabs>
              <w:spacing w:after="0" w:line="240" w:lineRule="auto"/>
              <w:ind w:right="-2"/>
              <w:rPr>
                <w:rFonts w:ascii="Times New Roman" w:eastAsia="Times New Roman" w:hAnsi="Times New Roman"/>
                <w:noProof/>
                <w:lang w:val="en-GB" w:eastAsia="sl-SI"/>
              </w:rPr>
            </w:pPr>
          </w:p>
        </w:tc>
      </w:tr>
      <w:tr w:rsidR="00582954" w14:paraId="215D695C" w14:textId="77777777">
        <w:tc>
          <w:tcPr>
            <w:tcW w:w="4680" w:type="dxa"/>
          </w:tcPr>
          <w:p w14:paraId="20AFA912" w14:textId="77777777" w:rsidR="00582954" w:rsidRDefault="00645977">
            <w:pPr>
              <w:widowControl w:val="0"/>
              <w:tabs>
                <w:tab w:val="left" w:pos="567"/>
              </w:tabs>
              <w:spacing w:after="0" w:line="240" w:lineRule="auto"/>
              <w:rPr>
                <w:rFonts w:ascii="Times New Roman" w:eastAsia="Times New Roman" w:hAnsi="Times New Roman"/>
                <w:b/>
                <w:noProof/>
                <w:lang w:val="sv-SE" w:eastAsia="sl-SI"/>
              </w:rPr>
            </w:pPr>
            <w:r>
              <w:rPr>
                <w:rFonts w:ascii="Times New Roman" w:eastAsia="Times New Roman" w:hAnsi="Times New Roman"/>
                <w:noProof/>
                <w:lang w:val="sv-SE" w:eastAsia="sl-SI"/>
              </w:rPr>
              <w:br w:type="page"/>
            </w:r>
            <w:r>
              <w:rPr>
                <w:rFonts w:ascii="Times New Roman" w:eastAsia="Times New Roman" w:hAnsi="Times New Roman"/>
                <w:b/>
                <w:noProof/>
                <w:lang w:val="sv-SE" w:eastAsia="sl-SI"/>
              </w:rPr>
              <w:t>Ireland</w:t>
            </w:r>
          </w:p>
          <w:p w14:paraId="0DF5E1CC" w14:textId="77777777" w:rsidR="00582954" w:rsidRDefault="00645977">
            <w:pPr>
              <w:widowControl w:val="0"/>
              <w:tabs>
                <w:tab w:val="left" w:pos="567"/>
              </w:tabs>
              <w:spacing w:after="0" w:line="240" w:lineRule="auto"/>
              <w:rPr>
                <w:rFonts w:ascii="Times New Roman" w:eastAsia="Times New Roman" w:hAnsi="Times New Roman"/>
                <w:noProof/>
                <w:lang w:val="sv-SE" w:eastAsia="sl-SI"/>
              </w:rPr>
            </w:pPr>
            <w:r>
              <w:rPr>
                <w:rFonts w:ascii="Times New Roman" w:eastAsia="Times New Roman" w:hAnsi="Times New Roman"/>
                <w:noProof/>
                <w:lang w:val="sv-SE" w:eastAsia="sl-SI"/>
              </w:rPr>
              <w:t>KRKA Pharma Dublin, Ltd.</w:t>
            </w:r>
          </w:p>
          <w:p w14:paraId="2CE402D0" w14:textId="77777777" w:rsidR="00582954" w:rsidRDefault="00645977">
            <w:pPr>
              <w:widowControl w:val="0"/>
              <w:spacing w:after="0" w:line="240" w:lineRule="auto"/>
              <w:rPr>
                <w:rFonts w:ascii="Times New Roman" w:hAnsi="Times New Roman"/>
                <w:noProof/>
                <w:lang w:eastAsia="sl-SI"/>
              </w:rPr>
            </w:pPr>
            <w:r>
              <w:rPr>
                <w:rFonts w:ascii="Times New Roman" w:hAnsi="Times New Roman"/>
                <w:lang w:eastAsia="sl-SI"/>
              </w:rPr>
              <w:t>Tel: + 353 1 413 3710</w:t>
            </w:r>
          </w:p>
          <w:p w14:paraId="424CA5C7" w14:textId="77777777" w:rsidR="00582954" w:rsidRDefault="00582954">
            <w:pPr>
              <w:widowControl w:val="0"/>
              <w:tabs>
                <w:tab w:val="left" w:pos="567"/>
              </w:tabs>
              <w:spacing w:after="0" w:line="240" w:lineRule="auto"/>
              <w:rPr>
                <w:rFonts w:ascii="Times New Roman" w:eastAsia="Times New Roman" w:hAnsi="Times New Roman"/>
                <w:noProof/>
                <w:lang w:val="en-GB" w:eastAsia="sl-SI"/>
              </w:rPr>
            </w:pPr>
          </w:p>
        </w:tc>
        <w:tc>
          <w:tcPr>
            <w:tcW w:w="4680" w:type="dxa"/>
          </w:tcPr>
          <w:p w14:paraId="11809053" w14:textId="77777777" w:rsidR="00582954" w:rsidRDefault="00645977">
            <w:pPr>
              <w:widowControl w:val="0"/>
              <w:numPr>
                <w:ilvl w:val="12"/>
                <w:numId w:val="0"/>
              </w:numPr>
              <w:tabs>
                <w:tab w:val="left" w:pos="567"/>
              </w:tabs>
              <w:spacing w:after="0" w:line="240" w:lineRule="auto"/>
              <w:ind w:right="-2"/>
              <w:rPr>
                <w:rFonts w:ascii="Times New Roman" w:eastAsia="Times New Roman" w:hAnsi="Times New Roman"/>
                <w:b/>
                <w:noProof/>
                <w:lang w:val="it-IT" w:eastAsia="sl-SI"/>
              </w:rPr>
            </w:pPr>
            <w:r>
              <w:rPr>
                <w:rFonts w:ascii="Times New Roman" w:eastAsia="Times New Roman" w:hAnsi="Times New Roman"/>
                <w:b/>
                <w:noProof/>
                <w:lang w:val="it-IT" w:eastAsia="sl-SI"/>
              </w:rPr>
              <w:t>Slovenija</w:t>
            </w:r>
          </w:p>
          <w:p w14:paraId="0C2D6924" w14:textId="77777777" w:rsidR="00582954" w:rsidRDefault="00645977">
            <w:pPr>
              <w:widowControl w:val="0"/>
              <w:numPr>
                <w:ilvl w:val="12"/>
                <w:numId w:val="0"/>
              </w:numPr>
              <w:tabs>
                <w:tab w:val="left" w:pos="567"/>
              </w:tabs>
              <w:spacing w:after="0" w:line="240" w:lineRule="auto"/>
              <w:ind w:right="-2"/>
              <w:rPr>
                <w:rFonts w:ascii="Times New Roman" w:eastAsia="Times New Roman" w:hAnsi="Times New Roman"/>
                <w:noProof/>
                <w:lang w:val="it-IT" w:eastAsia="sl-SI"/>
              </w:rPr>
            </w:pPr>
            <w:r>
              <w:rPr>
                <w:rFonts w:ascii="Times New Roman" w:eastAsia="Times New Roman" w:hAnsi="Times New Roman"/>
                <w:lang w:val="it-IT" w:eastAsia="sl-SI"/>
              </w:rPr>
              <w:t>KRKA, d.d., Novo mesto</w:t>
            </w:r>
          </w:p>
          <w:p w14:paraId="45274B44" w14:textId="77777777" w:rsidR="00582954" w:rsidRDefault="00645977">
            <w:pPr>
              <w:widowControl w:val="0"/>
              <w:numPr>
                <w:ilvl w:val="12"/>
                <w:numId w:val="0"/>
              </w:numPr>
              <w:tabs>
                <w:tab w:val="left" w:pos="567"/>
              </w:tabs>
              <w:spacing w:after="0" w:line="240" w:lineRule="auto"/>
              <w:ind w:right="-2"/>
              <w:rPr>
                <w:rFonts w:ascii="Times New Roman" w:eastAsia="Times New Roman" w:hAnsi="Times New Roman"/>
                <w:noProof/>
                <w:lang w:val="it-IT" w:eastAsia="sl-SI"/>
              </w:rPr>
            </w:pPr>
            <w:r>
              <w:rPr>
                <w:rFonts w:ascii="Times New Roman" w:eastAsia="Times New Roman" w:hAnsi="Times New Roman"/>
                <w:noProof/>
                <w:lang w:val="it-IT" w:eastAsia="sl-SI"/>
              </w:rPr>
              <w:t>Tel: + 386 (0) 1 47 51 100</w:t>
            </w:r>
          </w:p>
          <w:p w14:paraId="0F7F4A98" w14:textId="77777777" w:rsidR="00582954" w:rsidRDefault="00582954">
            <w:pPr>
              <w:widowControl w:val="0"/>
              <w:numPr>
                <w:ilvl w:val="12"/>
                <w:numId w:val="0"/>
              </w:numPr>
              <w:tabs>
                <w:tab w:val="left" w:pos="567"/>
              </w:tabs>
              <w:spacing w:after="0" w:line="240" w:lineRule="auto"/>
              <w:ind w:right="-2"/>
              <w:rPr>
                <w:rFonts w:ascii="Times New Roman" w:eastAsia="Times New Roman" w:hAnsi="Times New Roman"/>
                <w:noProof/>
                <w:lang w:val="it-IT" w:eastAsia="sl-SI"/>
              </w:rPr>
            </w:pPr>
          </w:p>
        </w:tc>
      </w:tr>
      <w:tr w:rsidR="00582954" w14:paraId="3A4A9423" w14:textId="77777777">
        <w:tc>
          <w:tcPr>
            <w:tcW w:w="4680" w:type="dxa"/>
            <w:hideMark/>
          </w:tcPr>
          <w:p w14:paraId="179FB47C" w14:textId="77777777" w:rsidR="00582954" w:rsidRDefault="00645977">
            <w:pPr>
              <w:widowControl w:val="0"/>
              <w:tabs>
                <w:tab w:val="left" w:pos="567"/>
              </w:tabs>
              <w:spacing w:after="0" w:line="240" w:lineRule="auto"/>
              <w:rPr>
                <w:rFonts w:ascii="Times New Roman" w:eastAsia="Times New Roman" w:hAnsi="Times New Roman"/>
                <w:b/>
                <w:noProof/>
                <w:lang w:val="sv-SE" w:eastAsia="sl-SI"/>
              </w:rPr>
            </w:pPr>
            <w:r>
              <w:rPr>
                <w:rFonts w:ascii="Times New Roman" w:eastAsia="Times New Roman" w:hAnsi="Times New Roman"/>
                <w:b/>
                <w:noProof/>
                <w:lang w:val="sv-SE" w:eastAsia="sl-SI"/>
              </w:rPr>
              <w:t>Ísland</w:t>
            </w:r>
          </w:p>
          <w:p w14:paraId="64DBA627" w14:textId="77777777" w:rsidR="00582954" w:rsidRDefault="00645977">
            <w:pPr>
              <w:widowControl w:val="0"/>
              <w:tabs>
                <w:tab w:val="left" w:pos="567"/>
              </w:tabs>
              <w:spacing w:after="0" w:line="240" w:lineRule="auto"/>
              <w:rPr>
                <w:rFonts w:ascii="Times New Roman" w:eastAsia="Times New Roman" w:hAnsi="Times New Roman"/>
                <w:noProof/>
                <w:lang w:val="sv-SE" w:eastAsia="sl-SI"/>
              </w:rPr>
            </w:pPr>
            <w:r>
              <w:rPr>
                <w:rFonts w:ascii="Times New Roman" w:eastAsia="Times New Roman" w:hAnsi="Times New Roman"/>
                <w:noProof/>
                <w:lang w:val="sv-SE" w:eastAsia="sl-SI"/>
              </w:rPr>
              <w:t>LYFIS ehf.</w:t>
            </w:r>
          </w:p>
          <w:p w14:paraId="59820D58" w14:textId="77777777" w:rsidR="00582954" w:rsidRDefault="00645977">
            <w:pPr>
              <w:widowControl w:val="0"/>
              <w:tabs>
                <w:tab w:val="left" w:pos="567"/>
              </w:tabs>
              <w:spacing w:after="0" w:line="240" w:lineRule="auto"/>
              <w:rPr>
                <w:rFonts w:ascii="Times New Roman" w:eastAsia="Times New Roman" w:hAnsi="Times New Roman"/>
                <w:noProof/>
                <w:lang w:val="sv-SE" w:eastAsia="sl-SI"/>
              </w:rPr>
            </w:pPr>
            <w:r>
              <w:rPr>
                <w:rFonts w:ascii="Times New Roman" w:eastAsia="Times New Roman" w:hAnsi="Times New Roman"/>
                <w:noProof/>
                <w:lang w:val="sv-SE" w:eastAsia="sl-SI"/>
              </w:rPr>
              <w:t xml:space="preserve">Sími: + </w:t>
            </w:r>
            <w:r>
              <w:rPr>
                <w:rFonts w:ascii="Times New Roman" w:eastAsia="Times New Roman" w:hAnsi="Times New Roman"/>
                <w:lang w:val="sv-SE" w:eastAsia="sl-SI"/>
              </w:rPr>
              <w:t>354 534 3500</w:t>
            </w:r>
          </w:p>
          <w:p w14:paraId="6D46C760" w14:textId="77777777" w:rsidR="00582954" w:rsidRDefault="00582954">
            <w:pPr>
              <w:widowControl w:val="0"/>
              <w:tabs>
                <w:tab w:val="left" w:pos="567"/>
              </w:tabs>
              <w:spacing w:after="0" w:line="240" w:lineRule="auto"/>
              <w:rPr>
                <w:rFonts w:ascii="Times New Roman" w:eastAsia="Times New Roman" w:hAnsi="Times New Roman"/>
                <w:noProof/>
                <w:lang w:val="sv-SE" w:eastAsia="sl-SI"/>
              </w:rPr>
            </w:pPr>
          </w:p>
        </w:tc>
        <w:tc>
          <w:tcPr>
            <w:tcW w:w="4680" w:type="dxa"/>
          </w:tcPr>
          <w:p w14:paraId="4F5BA8FB" w14:textId="77777777" w:rsidR="00582954" w:rsidRDefault="00645977">
            <w:pPr>
              <w:widowControl w:val="0"/>
              <w:numPr>
                <w:ilvl w:val="12"/>
                <w:numId w:val="0"/>
              </w:numPr>
              <w:tabs>
                <w:tab w:val="left" w:pos="567"/>
              </w:tabs>
              <w:spacing w:after="0" w:line="240" w:lineRule="auto"/>
              <w:ind w:right="-2"/>
              <w:rPr>
                <w:rFonts w:ascii="Times New Roman" w:eastAsia="Times New Roman" w:hAnsi="Times New Roman"/>
                <w:noProof/>
                <w:lang w:val="en-GB" w:eastAsia="sl-SI"/>
              </w:rPr>
            </w:pPr>
            <w:r>
              <w:rPr>
                <w:rFonts w:ascii="Times New Roman" w:eastAsia="Times New Roman" w:hAnsi="Times New Roman"/>
                <w:b/>
                <w:noProof/>
                <w:lang w:val="en-GB" w:eastAsia="sl-SI"/>
              </w:rPr>
              <w:t>Slovenská</w:t>
            </w:r>
            <w:r>
              <w:rPr>
                <w:rFonts w:ascii="Times New Roman" w:eastAsia="Times New Roman" w:hAnsi="Times New Roman"/>
                <w:noProof/>
                <w:lang w:val="en-GB" w:eastAsia="sl-SI"/>
              </w:rPr>
              <w:t xml:space="preserve"> </w:t>
            </w:r>
            <w:r>
              <w:rPr>
                <w:rFonts w:ascii="Times New Roman" w:eastAsia="Times New Roman" w:hAnsi="Times New Roman"/>
                <w:b/>
                <w:noProof/>
                <w:lang w:val="en-GB" w:eastAsia="sl-SI"/>
              </w:rPr>
              <w:t>republika</w:t>
            </w:r>
          </w:p>
          <w:p w14:paraId="0A6E8FCF" w14:textId="77777777" w:rsidR="00582954" w:rsidRDefault="00645977">
            <w:pPr>
              <w:widowControl w:val="0"/>
              <w:numPr>
                <w:ilvl w:val="12"/>
                <w:numId w:val="0"/>
              </w:numPr>
              <w:spacing w:after="0" w:line="240" w:lineRule="auto"/>
              <w:ind w:right="-2"/>
              <w:rPr>
                <w:rFonts w:ascii="Times New Roman" w:eastAsia="Times New Roman" w:hAnsi="Times New Roman"/>
                <w:noProof/>
                <w:lang w:val="en-GB" w:eastAsia="sl-SI"/>
              </w:rPr>
            </w:pPr>
            <w:r>
              <w:rPr>
                <w:rFonts w:ascii="Times New Roman" w:hAnsi="Times New Roman"/>
                <w:lang w:val="en-GB" w:eastAsia="sl-SI"/>
              </w:rPr>
              <w:t>KRKA Slovensko</w:t>
            </w:r>
            <w:r>
              <w:rPr>
                <w:rFonts w:ascii="Times New Roman" w:hAnsi="Times New Roman"/>
                <w:color w:val="000000"/>
                <w:lang w:val="en-GB" w:eastAsia="sl-SI"/>
              </w:rPr>
              <w:t>, s.r.o.</w:t>
            </w:r>
          </w:p>
          <w:p w14:paraId="4E8FBDE2" w14:textId="77777777" w:rsidR="00582954" w:rsidRDefault="00645977">
            <w:pPr>
              <w:widowControl w:val="0"/>
              <w:numPr>
                <w:ilvl w:val="12"/>
                <w:numId w:val="0"/>
              </w:numPr>
              <w:tabs>
                <w:tab w:val="left" w:pos="567"/>
              </w:tabs>
              <w:spacing w:after="0" w:line="240" w:lineRule="auto"/>
              <w:ind w:right="-2"/>
              <w:rPr>
                <w:rFonts w:ascii="Times New Roman" w:eastAsia="Times New Roman" w:hAnsi="Times New Roman"/>
                <w:noProof/>
                <w:lang w:val="en-GB" w:eastAsia="sl-SI"/>
              </w:rPr>
            </w:pPr>
            <w:r>
              <w:rPr>
                <w:rFonts w:ascii="Times New Roman" w:eastAsia="Times New Roman" w:hAnsi="Times New Roman"/>
                <w:noProof/>
                <w:lang w:val="en-GB" w:eastAsia="sl-SI"/>
              </w:rPr>
              <w:t>Tel: + 421 (0) 2 571 04 501</w:t>
            </w:r>
          </w:p>
          <w:p w14:paraId="7B745E17" w14:textId="77777777" w:rsidR="00582954" w:rsidRDefault="00582954">
            <w:pPr>
              <w:widowControl w:val="0"/>
              <w:numPr>
                <w:ilvl w:val="12"/>
                <w:numId w:val="0"/>
              </w:numPr>
              <w:tabs>
                <w:tab w:val="left" w:pos="567"/>
              </w:tabs>
              <w:spacing w:after="0" w:line="240" w:lineRule="auto"/>
              <w:ind w:right="-2"/>
              <w:rPr>
                <w:rFonts w:ascii="Times New Roman" w:eastAsia="Times New Roman" w:hAnsi="Times New Roman"/>
                <w:noProof/>
                <w:lang w:val="en-GB" w:eastAsia="sl-SI"/>
              </w:rPr>
            </w:pPr>
          </w:p>
        </w:tc>
      </w:tr>
      <w:tr w:rsidR="00582954" w14:paraId="6D6F548B" w14:textId="77777777">
        <w:tc>
          <w:tcPr>
            <w:tcW w:w="4680" w:type="dxa"/>
          </w:tcPr>
          <w:p w14:paraId="5A21DF40" w14:textId="77777777" w:rsidR="00582954" w:rsidRDefault="00645977">
            <w:pPr>
              <w:widowControl w:val="0"/>
              <w:tabs>
                <w:tab w:val="left" w:pos="567"/>
              </w:tabs>
              <w:spacing w:after="0" w:line="240" w:lineRule="auto"/>
              <w:rPr>
                <w:rFonts w:ascii="Times New Roman" w:eastAsia="Times New Roman" w:hAnsi="Times New Roman"/>
                <w:b/>
                <w:noProof/>
                <w:lang w:val="it-IT" w:eastAsia="sl-SI"/>
              </w:rPr>
            </w:pPr>
            <w:r>
              <w:rPr>
                <w:rFonts w:ascii="Times New Roman" w:eastAsia="Times New Roman" w:hAnsi="Times New Roman"/>
                <w:b/>
                <w:noProof/>
                <w:lang w:val="it-IT" w:eastAsia="sl-SI"/>
              </w:rPr>
              <w:t>Italia</w:t>
            </w:r>
          </w:p>
          <w:p w14:paraId="607E809A" w14:textId="77777777" w:rsidR="00582954" w:rsidRDefault="00645977">
            <w:pPr>
              <w:widowControl w:val="0"/>
              <w:numPr>
                <w:ilvl w:val="12"/>
                <w:numId w:val="0"/>
              </w:numPr>
              <w:spacing w:after="0" w:line="240" w:lineRule="auto"/>
              <w:ind w:right="-2"/>
              <w:rPr>
                <w:rFonts w:ascii="Times New Roman" w:hAnsi="Times New Roman"/>
                <w:lang w:val="it-IT" w:eastAsia="sl-SI"/>
              </w:rPr>
            </w:pPr>
            <w:r>
              <w:rPr>
                <w:rFonts w:ascii="Times New Roman" w:hAnsi="Times New Roman"/>
                <w:lang w:val="it-IT" w:eastAsia="sl-SI"/>
              </w:rPr>
              <w:t>KRKA Farmaceutici Milano S.r.l.</w:t>
            </w:r>
          </w:p>
          <w:p w14:paraId="7018726D" w14:textId="77777777" w:rsidR="00582954" w:rsidRDefault="00645977">
            <w:pPr>
              <w:widowControl w:val="0"/>
              <w:numPr>
                <w:ilvl w:val="12"/>
                <w:numId w:val="0"/>
              </w:numPr>
              <w:spacing w:after="0" w:line="240" w:lineRule="auto"/>
              <w:ind w:right="-2"/>
              <w:rPr>
                <w:rFonts w:ascii="Times New Roman" w:hAnsi="Times New Roman"/>
                <w:lang w:val="en-GB" w:eastAsia="sl-SI"/>
              </w:rPr>
            </w:pPr>
            <w:r>
              <w:rPr>
                <w:rFonts w:ascii="Times New Roman" w:hAnsi="Times New Roman"/>
                <w:lang w:val="en-GB" w:eastAsia="sl-SI"/>
              </w:rPr>
              <w:t>Tel: + 39 02 3300 8841</w:t>
            </w:r>
          </w:p>
          <w:p w14:paraId="74EAC1AC" w14:textId="77777777" w:rsidR="00582954" w:rsidRDefault="00582954">
            <w:pPr>
              <w:widowControl w:val="0"/>
              <w:numPr>
                <w:ilvl w:val="12"/>
                <w:numId w:val="0"/>
              </w:numPr>
              <w:spacing w:after="0" w:line="240" w:lineRule="auto"/>
              <w:ind w:right="-2"/>
              <w:rPr>
                <w:rFonts w:ascii="Times New Roman" w:hAnsi="Times New Roman"/>
                <w:noProof/>
                <w:lang w:val="en-GB" w:eastAsia="sl-SI"/>
              </w:rPr>
            </w:pPr>
          </w:p>
        </w:tc>
        <w:tc>
          <w:tcPr>
            <w:tcW w:w="4680" w:type="dxa"/>
          </w:tcPr>
          <w:p w14:paraId="6D14C9E9" w14:textId="77777777" w:rsidR="00582954" w:rsidRDefault="00645977">
            <w:pPr>
              <w:numPr>
                <w:ilvl w:val="12"/>
                <w:numId w:val="0"/>
              </w:numPr>
              <w:tabs>
                <w:tab w:val="left" w:pos="567"/>
              </w:tabs>
              <w:spacing w:after="0" w:line="260" w:lineRule="exact"/>
              <w:ind w:right="-2"/>
              <w:rPr>
                <w:rFonts w:ascii="Times New Roman" w:eastAsia="Times New Roman" w:hAnsi="Times New Roman"/>
                <w:b/>
                <w:noProof/>
                <w:lang w:val="sv-SE"/>
              </w:rPr>
            </w:pPr>
            <w:r>
              <w:rPr>
                <w:rFonts w:ascii="Times New Roman" w:eastAsia="Times New Roman" w:hAnsi="Times New Roman"/>
                <w:b/>
                <w:noProof/>
                <w:lang w:val="sv-SE"/>
              </w:rPr>
              <w:t>Suomi/Finland</w:t>
            </w:r>
          </w:p>
          <w:p w14:paraId="5192D52C" w14:textId="77777777" w:rsidR="00582954" w:rsidRDefault="00645977">
            <w:pPr>
              <w:numPr>
                <w:ilvl w:val="12"/>
                <w:numId w:val="0"/>
              </w:numPr>
              <w:tabs>
                <w:tab w:val="left" w:pos="567"/>
              </w:tabs>
              <w:spacing w:after="0" w:line="240" w:lineRule="auto"/>
              <w:ind w:right="-2"/>
              <w:rPr>
                <w:rFonts w:ascii="Times New Roman" w:eastAsia="Times New Roman" w:hAnsi="Times New Roman"/>
                <w:b/>
                <w:noProof/>
                <w:lang w:val="sv-SE" w:eastAsia="sl-SI"/>
              </w:rPr>
            </w:pPr>
            <w:r>
              <w:rPr>
                <w:rFonts w:ascii="Times New Roman" w:eastAsia="Times New Roman" w:hAnsi="Times New Roman"/>
                <w:noProof/>
                <w:lang w:val="sv-SE" w:eastAsia="sl-SI"/>
              </w:rPr>
              <w:t>KRKA Finland Oy</w:t>
            </w:r>
          </w:p>
          <w:p w14:paraId="0908D79F" w14:textId="77777777" w:rsidR="00582954" w:rsidRDefault="00645977">
            <w:pPr>
              <w:numPr>
                <w:ilvl w:val="12"/>
                <w:numId w:val="0"/>
              </w:numPr>
              <w:tabs>
                <w:tab w:val="left" w:pos="567"/>
              </w:tabs>
              <w:spacing w:after="0" w:line="260" w:lineRule="exact"/>
              <w:ind w:right="-2"/>
              <w:rPr>
                <w:rFonts w:ascii="Times New Roman" w:eastAsia="Times New Roman" w:hAnsi="Times New Roman"/>
                <w:b/>
                <w:noProof/>
                <w:lang w:val="sv-SE"/>
              </w:rPr>
            </w:pPr>
            <w:r>
              <w:rPr>
                <w:rFonts w:ascii="Times New Roman" w:eastAsia="Times New Roman" w:hAnsi="Times New Roman"/>
                <w:noProof/>
                <w:lang w:val="sv-SE" w:eastAsia="sl-SI"/>
              </w:rPr>
              <w:t>Puh/Tel:</w:t>
            </w:r>
            <w:r>
              <w:rPr>
                <w:rFonts w:ascii="Times New Roman" w:eastAsia="Times New Roman" w:hAnsi="Times New Roman"/>
                <w:b/>
                <w:noProof/>
                <w:lang w:val="sv-SE" w:eastAsia="sl-SI"/>
              </w:rPr>
              <w:t xml:space="preserve"> </w:t>
            </w:r>
            <w:r>
              <w:rPr>
                <w:rFonts w:ascii="Times New Roman" w:eastAsia="Times New Roman" w:hAnsi="Times New Roman"/>
                <w:noProof/>
                <w:lang w:val="sv-SE" w:eastAsia="sl-SI"/>
              </w:rPr>
              <w:t>+358 20 754 5330</w:t>
            </w:r>
          </w:p>
          <w:p w14:paraId="3344B20C" w14:textId="77777777" w:rsidR="00582954" w:rsidRDefault="00582954">
            <w:pPr>
              <w:widowControl w:val="0"/>
              <w:numPr>
                <w:ilvl w:val="12"/>
                <w:numId w:val="0"/>
              </w:numPr>
              <w:tabs>
                <w:tab w:val="left" w:pos="567"/>
              </w:tabs>
              <w:spacing w:after="0" w:line="240" w:lineRule="auto"/>
              <w:ind w:right="-2"/>
              <w:rPr>
                <w:rFonts w:ascii="Times New Roman" w:eastAsia="Times New Roman" w:hAnsi="Times New Roman"/>
                <w:noProof/>
                <w:lang w:val="sv-SE" w:eastAsia="sl-SI"/>
              </w:rPr>
            </w:pPr>
          </w:p>
        </w:tc>
      </w:tr>
      <w:tr w:rsidR="00582954" w14:paraId="4859D8F8" w14:textId="77777777">
        <w:tc>
          <w:tcPr>
            <w:tcW w:w="4680" w:type="dxa"/>
          </w:tcPr>
          <w:p w14:paraId="630B3EB2" w14:textId="77777777" w:rsidR="00582954" w:rsidRDefault="00645977">
            <w:pPr>
              <w:widowControl w:val="0"/>
              <w:tabs>
                <w:tab w:val="left" w:pos="567"/>
              </w:tabs>
              <w:spacing w:after="0" w:line="240" w:lineRule="auto"/>
              <w:rPr>
                <w:rFonts w:ascii="Times New Roman" w:eastAsia="Times New Roman" w:hAnsi="Times New Roman"/>
                <w:b/>
                <w:noProof/>
                <w:lang w:val="sv-SE" w:eastAsia="sl-SI"/>
              </w:rPr>
            </w:pPr>
            <w:r>
              <w:rPr>
                <w:rFonts w:ascii="Times New Roman" w:eastAsia="Times New Roman" w:hAnsi="Times New Roman"/>
                <w:b/>
                <w:noProof/>
                <w:lang w:val="en-GB" w:eastAsia="sl-SI"/>
              </w:rPr>
              <w:t>Κύπρος</w:t>
            </w:r>
          </w:p>
          <w:p w14:paraId="41712993" w14:textId="77777777" w:rsidR="00582954" w:rsidRDefault="00645977">
            <w:pPr>
              <w:widowControl w:val="0"/>
              <w:tabs>
                <w:tab w:val="left" w:pos="567"/>
              </w:tabs>
              <w:spacing w:after="0" w:line="240" w:lineRule="auto"/>
              <w:rPr>
                <w:rFonts w:ascii="Times New Roman" w:eastAsia="Times New Roman" w:hAnsi="Times New Roman"/>
                <w:lang w:val="sv-SE" w:eastAsia="sl-SI"/>
              </w:rPr>
            </w:pPr>
            <w:r>
              <w:rPr>
                <w:rFonts w:ascii="Times New Roman" w:eastAsia="Times New Roman" w:hAnsi="Times New Roman"/>
                <w:lang w:val="hr-HR" w:eastAsia="sl-SI"/>
              </w:rPr>
              <w:t>KI.PA. (PHARMACAL) LIMITED</w:t>
            </w:r>
          </w:p>
          <w:p w14:paraId="2D54D05C" w14:textId="77777777" w:rsidR="00582954" w:rsidRDefault="00645977">
            <w:pPr>
              <w:widowControl w:val="0"/>
              <w:tabs>
                <w:tab w:val="left" w:pos="567"/>
              </w:tabs>
              <w:spacing w:after="0" w:line="240" w:lineRule="auto"/>
              <w:rPr>
                <w:rFonts w:ascii="Times New Roman" w:eastAsia="Times New Roman" w:hAnsi="Times New Roman"/>
                <w:noProof/>
                <w:lang w:val="sv-SE" w:eastAsia="sl-SI"/>
              </w:rPr>
            </w:pPr>
            <w:r>
              <w:rPr>
                <w:rFonts w:ascii="Times New Roman" w:eastAsia="Times New Roman" w:hAnsi="Times New Roman"/>
                <w:noProof/>
                <w:lang w:val="en-GB" w:eastAsia="sl-SI"/>
              </w:rPr>
              <w:t>Τηλ</w:t>
            </w:r>
            <w:r>
              <w:rPr>
                <w:rFonts w:ascii="Times New Roman" w:eastAsia="Times New Roman" w:hAnsi="Times New Roman"/>
                <w:noProof/>
                <w:lang w:val="sv-SE" w:eastAsia="sl-SI"/>
              </w:rPr>
              <w:t>: + 357 24 651 882</w:t>
            </w:r>
          </w:p>
          <w:p w14:paraId="29CA18BD" w14:textId="77777777" w:rsidR="00582954" w:rsidRDefault="00582954">
            <w:pPr>
              <w:widowControl w:val="0"/>
              <w:tabs>
                <w:tab w:val="left" w:pos="567"/>
              </w:tabs>
              <w:spacing w:after="0" w:line="240" w:lineRule="auto"/>
              <w:rPr>
                <w:rFonts w:ascii="Times New Roman" w:eastAsia="Times New Roman" w:hAnsi="Times New Roman"/>
                <w:noProof/>
                <w:lang w:val="sv-SE" w:eastAsia="sl-SI"/>
              </w:rPr>
            </w:pPr>
          </w:p>
        </w:tc>
        <w:tc>
          <w:tcPr>
            <w:tcW w:w="4680" w:type="dxa"/>
          </w:tcPr>
          <w:p w14:paraId="4923D0CB" w14:textId="77777777" w:rsidR="00582954" w:rsidRDefault="00645977">
            <w:pPr>
              <w:widowControl w:val="0"/>
              <w:numPr>
                <w:ilvl w:val="12"/>
                <w:numId w:val="0"/>
              </w:numPr>
              <w:tabs>
                <w:tab w:val="left" w:pos="567"/>
              </w:tabs>
              <w:spacing w:after="0" w:line="240" w:lineRule="auto"/>
              <w:ind w:right="-2"/>
              <w:rPr>
                <w:rFonts w:ascii="Times New Roman" w:eastAsia="Times New Roman" w:hAnsi="Times New Roman"/>
                <w:b/>
                <w:noProof/>
                <w:lang w:val="sv-SE" w:eastAsia="sl-SI"/>
              </w:rPr>
            </w:pPr>
            <w:r>
              <w:rPr>
                <w:rFonts w:ascii="Times New Roman" w:eastAsia="Times New Roman" w:hAnsi="Times New Roman"/>
                <w:b/>
                <w:noProof/>
                <w:lang w:val="sv-SE" w:eastAsia="sl-SI"/>
              </w:rPr>
              <w:t>Sverige</w:t>
            </w:r>
          </w:p>
          <w:p w14:paraId="7E0DD62E" w14:textId="77777777" w:rsidR="00582954" w:rsidRDefault="00645977">
            <w:pPr>
              <w:widowControl w:val="0"/>
              <w:numPr>
                <w:ilvl w:val="12"/>
                <w:numId w:val="0"/>
              </w:numPr>
              <w:tabs>
                <w:tab w:val="left" w:pos="567"/>
              </w:tabs>
              <w:spacing w:after="0" w:line="240" w:lineRule="auto"/>
              <w:ind w:right="-2"/>
              <w:rPr>
                <w:rFonts w:ascii="Times New Roman" w:eastAsia="Times New Roman" w:hAnsi="Times New Roman"/>
                <w:noProof/>
                <w:lang w:val="sv-SE" w:eastAsia="sl-SI"/>
              </w:rPr>
            </w:pPr>
            <w:r>
              <w:rPr>
                <w:rFonts w:ascii="Times New Roman" w:eastAsia="Times New Roman" w:hAnsi="Times New Roman"/>
                <w:noProof/>
                <w:lang w:val="sv-SE" w:eastAsia="sl-SI"/>
              </w:rPr>
              <w:t>KRKA Sverige AB</w:t>
            </w:r>
          </w:p>
          <w:p w14:paraId="73DEAC20" w14:textId="77777777" w:rsidR="00582954" w:rsidRDefault="00645977">
            <w:pPr>
              <w:widowControl w:val="0"/>
              <w:numPr>
                <w:ilvl w:val="12"/>
                <w:numId w:val="0"/>
              </w:numPr>
              <w:tabs>
                <w:tab w:val="left" w:pos="567"/>
              </w:tabs>
              <w:spacing w:after="0" w:line="240" w:lineRule="auto"/>
              <w:ind w:right="-2"/>
              <w:rPr>
                <w:rFonts w:ascii="Times New Roman" w:eastAsia="Times New Roman" w:hAnsi="Times New Roman"/>
                <w:lang w:val="sv-SE" w:eastAsia="sl-SI"/>
              </w:rPr>
            </w:pPr>
            <w:r>
              <w:rPr>
                <w:rFonts w:ascii="Times New Roman" w:eastAsia="Times New Roman" w:hAnsi="Times New Roman"/>
                <w:noProof/>
                <w:lang w:val="sv-SE" w:eastAsia="sl-SI"/>
              </w:rPr>
              <w:t>Tel: + 46 (0)</w:t>
            </w:r>
            <w:r>
              <w:rPr>
                <w:rFonts w:ascii="Times New Roman" w:eastAsia="Times New Roman" w:hAnsi="Times New Roman"/>
                <w:lang w:val="sv-SE" w:eastAsia="sl-SI"/>
              </w:rPr>
              <w:t>8 643 67 66 (SE)</w:t>
            </w:r>
          </w:p>
          <w:p w14:paraId="407E4CEC" w14:textId="77777777" w:rsidR="00582954" w:rsidRDefault="00582954">
            <w:pPr>
              <w:widowControl w:val="0"/>
              <w:numPr>
                <w:ilvl w:val="12"/>
                <w:numId w:val="0"/>
              </w:numPr>
              <w:tabs>
                <w:tab w:val="left" w:pos="567"/>
              </w:tabs>
              <w:spacing w:after="0" w:line="240" w:lineRule="auto"/>
              <w:ind w:right="-2"/>
              <w:rPr>
                <w:rFonts w:ascii="Times New Roman" w:eastAsia="Times New Roman" w:hAnsi="Times New Roman"/>
                <w:noProof/>
                <w:lang w:val="sv-SE" w:eastAsia="sl-SI"/>
              </w:rPr>
            </w:pPr>
          </w:p>
        </w:tc>
      </w:tr>
      <w:tr w:rsidR="00582954" w14:paraId="65B52CB8" w14:textId="77777777">
        <w:tc>
          <w:tcPr>
            <w:tcW w:w="4680" w:type="dxa"/>
          </w:tcPr>
          <w:p w14:paraId="39E576C3" w14:textId="77777777" w:rsidR="00582954" w:rsidRDefault="00645977">
            <w:pPr>
              <w:widowControl w:val="0"/>
              <w:tabs>
                <w:tab w:val="left" w:pos="567"/>
              </w:tabs>
              <w:spacing w:after="0" w:line="240" w:lineRule="auto"/>
              <w:rPr>
                <w:rFonts w:ascii="Times New Roman" w:eastAsia="Times New Roman" w:hAnsi="Times New Roman"/>
                <w:b/>
                <w:noProof/>
                <w:lang w:val="sv-SE" w:eastAsia="sl-SI"/>
              </w:rPr>
            </w:pPr>
            <w:r>
              <w:rPr>
                <w:rFonts w:ascii="Times New Roman" w:eastAsia="Times New Roman" w:hAnsi="Times New Roman"/>
                <w:b/>
                <w:noProof/>
                <w:lang w:val="sv-SE" w:eastAsia="sl-SI"/>
              </w:rPr>
              <w:t>Latvija</w:t>
            </w:r>
          </w:p>
          <w:p w14:paraId="3309FA6C" w14:textId="77777777" w:rsidR="00582954" w:rsidRDefault="00645977">
            <w:pPr>
              <w:widowControl w:val="0"/>
              <w:numPr>
                <w:ilvl w:val="12"/>
                <w:numId w:val="0"/>
              </w:numPr>
              <w:spacing w:after="0" w:line="240" w:lineRule="auto"/>
              <w:ind w:right="-2"/>
              <w:rPr>
                <w:rFonts w:ascii="Times New Roman" w:hAnsi="Times New Roman"/>
                <w:lang w:val="sv-SE" w:eastAsia="sl-SI"/>
              </w:rPr>
            </w:pPr>
            <w:r>
              <w:rPr>
                <w:rFonts w:ascii="Times New Roman" w:hAnsi="Times New Roman"/>
                <w:lang w:val="sv-SE" w:eastAsia="sl-SI"/>
              </w:rPr>
              <w:t>KRKA Latvija SIA</w:t>
            </w:r>
          </w:p>
          <w:p w14:paraId="20D8C413" w14:textId="77777777" w:rsidR="00582954" w:rsidRDefault="00645977">
            <w:pPr>
              <w:widowControl w:val="0"/>
              <w:tabs>
                <w:tab w:val="left" w:pos="567"/>
              </w:tabs>
              <w:spacing w:after="0" w:line="240" w:lineRule="auto"/>
              <w:rPr>
                <w:rFonts w:ascii="Times New Roman" w:eastAsia="Times New Roman" w:hAnsi="Times New Roman"/>
                <w:noProof/>
                <w:lang w:val="sv-SE" w:eastAsia="sl-SI"/>
              </w:rPr>
            </w:pPr>
            <w:r>
              <w:rPr>
                <w:rFonts w:ascii="Times New Roman" w:eastAsia="Times New Roman" w:hAnsi="Times New Roman"/>
                <w:noProof/>
                <w:lang w:val="sv-SE" w:eastAsia="sl-SI"/>
              </w:rPr>
              <w:t>Tel: + 371 6 733 86 10</w:t>
            </w:r>
          </w:p>
          <w:p w14:paraId="36E6C147" w14:textId="77777777" w:rsidR="00582954" w:rsidRDefault="00582954">
            <w:pPr>
              <w:widowControl w:val="0"/>
              <w:tabs>
                <w:tab w:val="left" w:pos="567"/>
              </w:tabs>
              <w:spacing w:after="0" w:line="240" w:lineRule="auto"/>
              <w:rPr>
                <w:rFonts w:ascii="Times New Roman" w:eastAsia="Times New Roman" w:hAnsi="Times New Roman"/>
                <w:noProof/>
                <w:lang w:val="sv-SE" w:eastAsia="sl-SI"/>
              </w:rPr>
            </w:pPr>
          </w:p>
        </w:tc>
        <w:tc>
          <w:tcPr>
            <w:tcW w:w="4680" w:type="dxa"/>
          </w:tcPr>
          <w:p w14:paraId="4D91995C" w14:textId="77777777" w:rsidR="00582954" w:rsidRDefault="00582954">
            <w:pPr>
              <w:widowControl w:val="0"/>
              <w:numPr>
                <w:ilvl w:val="12"/>
                <w:numId w:val="0"/>
              </w:numPr>
              <w:tabs>
                <w:tab w:val="left" w:pos="567"/>
              </w:tabs>
              <w:spacing w:after="0" w:line="240" w:lineRule="auto"/>
              <w:ind w:right="-2"/>
              <w:rPr>
                <w:rFonts w:ascii="Times New Roman" w:eastAsia="Times New Roman" w:hAnsi="Times New Roman"/>
                <w:noProof/>
                <w:lang w:val="en-GB" w:eastAsia="sl-SI"/>
              </w:rPr>
            </w:pPr>
          </w:p>
        </w:tc>
      </w:tr>
    </w:tbl>
    <w:p w14:paraId="728187ED" w14:textId="77777777" w:rsidR="00582954" w:rsidRDefault="00582954">
      <w:pPr>
        <w:widowControl w:val="0"/>
        <w:tabs>
          <w:tab w:val="left" w:pos="567"/>
        </w:tabs>
        <w:spacing w:after="0" w:line="240" w:lineRule="auto"/>
        <w:rPr>
          <w:rFonts w:ascii="Times New Roman" w:eastAsia="Times New Roman" w:hAnsi="Times New Roman"/>
          <w:noProof/>
          <w:highlight w:val="yellow"/>
          <w:lang w:val="en-GB"/>
        </w:rPr>
      </w:pPr>
    </w:p>
    <w:p w14:paraId="6E487D51" w14:textId="5D3B1752" w:rsidR="00582954" w:rsidRDefault="00645977">
      <w:pPr>
        <w:widowControl w:val="0"/>
        <w:spacing w:after="0" w:line="240" w:lineRule="auto"/>
        <w:rPr>
          <w:rFonts w:ascii="Times New Roman" w:hAnsi="Times New Roman"/>
          <w:lang w:val="sk-SK"/>
        </w:rPr>
      </w:pPr>
      <w:r>
        <w:rPr>
          <w:rFonts w:ascii="Times New Roman" w:hAnsi="Times New Roman"/>
          <w:b/>
          <w:lang w:val="sk-SK"/>
        </w:rPr>
        <w:t xml:space="preserve">Táto písomná informácia bola naposledy aktualizovaná </w:t>
      </w:r>
      <w:r w:rsidR="00C27525">
        <w:rPr>
          <w:rFonts w:ascii="Times New Roman" w:hAnsi="Times New Roman"/>
          <w:b/>
          <w:lang w:val="sk-SK"/>
        </w:rPr>
        <w:t xml:space="preserve">v </w:t>
      </w:r>
      <w:r w:rsidR="00C449C5">
        <w:rPr>
          <w:rFonts w:ascii="Times New Roman" w:hAnsi="Times New Roman"/>
          <w:b/>
          <w:lang w:val="sk-SK"/>
        </w:rPr>
        <w:t>07/2025</w:t>
      </w:r>
      <w:r>
        <w:rPr>
          <w:rFonts w:ascii="Times New Roman" w:hAnsi="Times New Roman"/>
          <w:b/>
          <w:lang w:val="sk-SK"/>
        </w:rPr>
        <w:t>.</w:t>
      </w:r>
    </w:p>
    <w:p w14:paraId="6DFC6DC1" w14:textId="77777777" w:rsidR="00582954" w:rsidRDefault="00582954">
      <w:pPr>
        <w:widowControl w:val="0"/>
        <w:autoSpaceDE w:val="0"/>
        <w:autoSpaceDN w:val="0"/>
        <w:adjustRightInd w:val="0"/>
        <w:spacing w:after="0" w:line="240" w:lineRule="auto"/>
        <w:rPr>
          <w:rFonts w:ascii="Times New Roman" w:hAnsi="Times New Roman"/>
          <w:b/>
          <w:lang w:val="sk-SK"/>
        </w:rPr>
      </w:pPr>
    </w:p>
    <w:p w14:paraId="080B8385" w14:textId="77777777" w:rsidR="00582954" w:rsidRDefault="00582954">
      <w:pPr>
        <w:widowControl w:val="0"/>
        <w:autoSpaceDE w:val="0"/>
        <w:autoSpaceDN w:val="0"/>
        <w:adjustRightInd w:val="0"/>
        <w:spacing w:after="0" w:line="240" w:lineRule="auto"/>
        <w:rPr>
          <w:rFonts w:ascii="Times New Roman" w:hAnsi="Times New Roman"/>
          <w:b/>
          <w:lang w:val="sk-SK"/>
        </w:rPr>
      </w:pPr>
    </w:p>
    <w:p w14:paraId="3CC14947" w14:textId="77777777" w:rsidR="00582954" w:rsidRDefault="00645977">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Podrobné informácie o tomto lieku sú dostupné na internetovej stránke Európskej agentúry pre lieky </w:t>
      </w:r>
      <w:hyperlink r:id="rId14" w:history="1">
        <w:r>
          <w:rPr>
            <w:rStyle w:val="Hypertextovprepojenie"/>
            <w:rFonts w:ascii="Times New Roman" w:hAnsi="Times New Roman"/>
            <w:lang w:val="sk-SK"/>
          </w:rPr>
          <w:t>https://www.ema.europa.eu</w:t>
        </w:r>
      </w:hyperlink>
      <w:r>
        <w:rPr>
          <w:rFonts w:ascii="Times New Roman" w:hAnsi="Times New Roman"/>
          <w:lang w:val="sk-SK"/>
        </w:rPr>
        <w:t>.</w:t>
      </w:r>
    </w:p>
    <w:sectPr w:rsidR="00582954">
      <w:headerReference w:type="even" r:id="rId15"/>
      <w:headerReference w:type="default" r:id="rId16"/>
      <w:footerReference w:type="even" r:id="rId17"/>
      <w:footerReference w:type="default" r:id="rId18"/>
      <w:headerReference w:type="first" r:id="rId19"/>
      <w:footerReference w:type="first" r:id="rId20"/>
      <w:pgSz w:w="12240" w:h="15840" w:code="1"/>
      <w:pgMar w:top="993" w:right="1467" w:bottom="709" w:left="1418" w:header="737" w:footer="6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1F9C3" w14:textId="77777777" w:rsidR="00690F5C" w:rsidRDefault="00690F5C">
      <w:pPr>
        <w:spacing w:after="0" w:line="240" w:lineRule="auto"/>
      </w:pPr>
      <w:r>
        <w:separator/>
      </w:r>
    </w:p>
  </w:endnote>
  <w:endnote w:type="continuationSeparator" w:id="0">
    <w:p w14:paraId="07BB80E7" w14:textId="77777777" w:rsidR="00690F5C" w:rsidRDefault="00690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69F7E" w14:textId="77777777" w:rsidR="00582954" w:rsidRDefault="0058295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2D3F" w14:textId="77777777" w:rsidR="00582954" w:rsidRDefault="00645977">
    <w:pPr>
      <w:pStyle w:val="Pta"/>
      <w:spacing w:after="0" w:line="240" w:lineRule="auto"/>
      <w:jc w:val="cente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19</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CCC2F" w14:textId="77777777" w:rsidR="00582954" w:rsidRDefault="005829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7AA6E" w14:textId="77777777" w:rsidR="00690F5C" w:rsidRDefault="00690F5C">
      <w:pPr>
        <w:spacing w:after="0" w:line="240" w:lineRule="auto"/>
      </w:pPr>
      <w:r>
        <w:separator/>
      </w:r>
    </w:p>
  </w:footnote>
  <w:footnote w:type="continuationSeparator" w:id="0">
    <w:p w14:paraId="4B4BF3D6" w14:textId="77777777" w:rsidR="00690F5C" w:rsidRDefault="00690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C49A" w14:textId="77777777" w:rsidR="00582954" w:rsidRDefault="0058295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B49D" w14:textId="77777777" w:rsidR="00582954" w:rsidRDefault="0058295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4A80A" w14:textId="77777777" w:rsidR="00582954" w:rsidRDefault="005829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CC0FF4"/>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2F985A2C"/>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BFD4B07C"/>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C00280A4"/>
    <w:lvl w:ilvl="0">
      <w:start w:val="1"/>
      <w:numFmt w:val="decimal"/>
      <w:pStyle w:val="slovanzoznam2"/>
      <w:lvlText w:val="%1."/>
      <w:lvlJc w:val="left"/>
      <w:pPr>
        <w:tabs>
          <w:tab w:val="num" w:pos="643"/>
        </w:tabs>
        <w:ind w:left="643" w:hanging="360"/>
      </w:pPr>
    </w:lvl>
  </w:abstractNum>
  <w:abstractNum w:abstractNumId="4" w15:restartNumberingAfterBreak="0">
    <w:nsid w:val="FFFFFF80"/>
    <w:multiLevelType w:val="singleLevel"/>
    <w:tmpl w:val="83AE289E"/>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E0F748"/>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0A4520"/>
    <w:lvl w:ilvl="0">
      <w:start w:val="1"/>
      <w:numFmt w:val="bullet"/>
      <w:pStyle w:val="Zo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96A91C"/>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526350"/>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4FFCD3BE"/>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0448675A"/>
    <w:multiLevelType w:val="hybridMultilevel"/>
    <w:tmpl w:val="55A87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F213F2"/>
    <w:multiLevelType w:val="hybridMultilevel"/>
    <w:tmpl w:val="A52292DE"/>
    <w:lvl w:ilvl="0" w:tplc="7BDAC8F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834D11"/>
    <w:multiLevelType w:val="hybridMultilevel"/>
    <w:tmpl w:val="8D347A64"/>
    <w:lvl w:ilvl="0" w:tplc="CE5C1B8E">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43143D"/>
    <w:multiLevelType w:val="hybridMultilevel"/>
    <w:tmpl w:val="90D26864"/>
    <w:lvl w:ilvl="0" w:tplc="61D6DA8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5" w15:restartNumberingAfterBreak="0">
    <w:nsid w:val="2AB80688"/>
    <w:multiLevelType w:val="hybridMultilevel"/>
    <w:tmpl w:val="979835E8"/>
    <w:lvl w:ilvl="0" w:tplc="E5AC82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23C5E4F"/>
    <w:multiLevelType w:val="hybridMultilevel"/>
    <w:tmpl w:val="CE5A104C"/>
    <w:lvl w:ilvl="0" w:tplc="6EF068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B835DA"/>
    <w:multiLevelType w:val="hybridMultilevel"/>
    <w:tmpl w:val="77C6667E"/>
    <w:lvl w:ilvl="0" w:tplc="71B0FED2">
      <w:start w:val="1"/>
      <w:numFmt w:val="bullet"/>
      <w:lvlText w:val="-"/>
      <w:lvlJc w:val="left"/>
      <w:pPr>
        <w:ind w:left="720" w:hanging="360"/>
      </w:pPr>
      <w:rPr>
        <w:rFonts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62D2DE3"/>
    <w:multiLevelType w:val="hybridMultilevel"/>
    <w:tmpl w:val="1B7A9A14"/>
    <w:lvl w:ilvl="0" w:tplc="FFFFFFFF">
      <w:start w:val="1"/>
      <w:numFmt w:val="bullet"/>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22F4859"/>
    <w:multiLevelType w:val="hybridMultilevel"/>
    <w:tmpl w:val="5EC63F2E"/>
    <w:lvl w:ilvl="0" w:tplc="E5AC82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D63061"/>
    <w:multiLevelType w:val="hybridMultilevel"/>
    <w:tmpl w:val="D7C41A36"/>
    <w:lvl w:ilvl="0" w:tplc="6EF0682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70764F"/>
    <w:multiLevelType w:val="hybridMultilevel"/>
    <w:tmpl w:val="EFAA03A8"/>
    <w:lvl w:ilvl="0" w:tplc="E5AC820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B5001D"/>
    <w:multiLevelType w:val="hybridMultilevel"/>
    <w:tmpl w:val="23480D64"/>
    <w:lvl w:ilvl="0" w:tplc="71B0FED2">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7E4223"/>
    <w:multiLevelType w:val="hybridMultilevel"/>
    <w:tmpl w:val="1952BF96"/>
    <w:lvl w:ilvl="0" w:tplc="330A4FBC">
      <w:start w:val="1"/>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61720C3E"/>
    <w:multiLevelType w:val="hybridMultilevel"/>
    <w:tmpl w:val="29A86B28"/>
    <w:lvl w:ilvl="0" w:tplc="8EB6546C">
      <w:start w:val="4"/>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65E8351F"/>
    <w:multiLevelType w:val="hybridMultilevel"/>
    <w:tmpl w:val="2CA4E5CC"/>
    <w:lvl w:ilvl="0" w:tplc="6EF0682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F24A36"/>
    <w:multiLevelType w:val="hybridMultilevel"/>
    <w:tmpl w:val="0DD031E8"/>
    <w:lvl w:ilvl="0" w:tplc="6EF068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872163"/>
    <w:multiLevelType w:val="hybridMultilevel"/>
    <w:tmpl w:val="B9940312"/>
    <w:lvl w:ilvl="0" w:tplc="6EF068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306AA4"/>
    <w:multiLevelType w:val="hybridMultilevel"/>
    <w:tmpl w:val="B43AC4F8"/>
    <w:lvl w:ilvl="0" w:tplc="E5AC82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1548DA"/>
    <w:multiLevelType w:val="hybridMultilevel"/>
    <w:tmpl w:val="1F2E8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2700209">
    <w:abstractNumId w:val="11"/>
  </w:num>
  <w:num w:numId="2" w16cid:durableId="367335006">
    <w:abstractNumId w:val="26"/>
  </w:num>
  <w:num w:numId="3" w16cid:durableId="1321620339">
    <w:abstractNumId w:val="10"/>
  </w:num>
  <w:num w:numId="4" w16cid:durableId="576474326">
    <w:abstractNumId w:val="21"/>
  </w:num>
  <w:num w:numId="5" w16cid:durableId="281815170">
    <w:abstractNumId w:val="27"/>
  </w:num>
  <w:num w:numId="6" w16cid:durableId="720710673">
    <w:abstractNumId w:val="17"/>
  </w:num>
  <w:num w:numId="7" w16cid:durableId="1335838917">
    <w:abstractNumId w:val="28"/>
  </w:num>
  <w:num w:numId="8" w16cid:durableId="1284579680">
    <w:abstractNumId w:val="20"/>
  </w:num>
  <w:num w:numId="9" w16cid:durableId="718555472">
    <w:abstractNumId w:val="22"/>
  </w:num>
  <w:num w:numId="10" w16cid:durableId="111870996">
    <w:abstractNumId w:val="29"/>
  </w:num>
  <w:num w:numId="11" w16cid:durableId="1503815113">
    <w:abstractNumId w:val="15"/>
  </w:num>
  <w:num w:numId="12" w16cid:durableId="929123999">
    <w:abstractNumId w:val="30"/>
  </w:num>
  <w:num w:numId="13" w16cid:durableId="1845704345">
    <w:abstractNumId w:val="9"/>
  </w:num>
  <w:num w:numId="14" w16cid:durableId="1098257202">
    <w:abstractNumId w:val="19"/>
  </w:num>
  <w:num w:numId="15" w16cid:durableId="255017342">
    <w:abstractNumId w:val="8"/>
  </w:num>
  <w:num w:numId="16" w16cid:durableId="575435369">
    <w:abstractNumId w:val="3"/>
  </w:num>
  <w:num w:numId="17" w16cid:durableId="602038322">
    <w:abstractNumId w:val="2"/>
  </w:num>
  <w:num w:numId="18" w16cid:durableId="1563709025">
    <w:abstractNumId w:val="1"/>
  </w:num>
  <w:num w:numId="19" w16cid:durableId="2104183139">
    <w:abstractNumId w:val="0"/>
  </w:num>
  <w:num w:numId="20" w16cid:durableId="861935655">
    <w:abstractNumId w:val="7"/>
  </w:num>
  <w:num w:numId="21" w16cid:durableId="1191066109">
    <w:abstractNumId w:val="6"/>
  </w:num>
  <w:num w:numId="22" w16cid:durableId="1419599429">
    <w:abstractNumId w:val="5"/>
  </w:num>
  <w:num w:numId="23" w16cid:durableId="1779253093">
    <w:abstractNumId w:val="4"/>
  </w:num>
  <w:num w:numId="24" w16cid:durableId="449477564">
    <w:abstractNumId w:val="14"/>
  </w:num>
  <w:num w:numId="25" w16cid:durableId="1550340771">
    <w:abstractNumId w:val="24"/>
  </w:num>
  <w:num w:numId="26" w16cid:durableId="2056539393">
    <w:abstractNumId w:val="12"/>
  </w:num>
  <w:num w:numId="27" w16cid:durableId="1065179446">
    <w:abstractNumId w:val="16"/>
  </w:num>
  <w:num w:numId="28" w16cid:durableId="687947262">
    <w:abstractNumId w:val="23"/>
  </w:num>
  <w:num w:numId="29" w16cid:durableId="934216685">
    <w:abstractNumId w:val="18"/>
  </w:num>
  <w:num w:numId="30" w16cid:durableId="54473012">
    <w:abstractNumId w:val="25"/>
  </w:num>
  <w:num w:numId="31" w16cid:durableId="1976520413">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954"/>
    <w:rsid w:val="00164532"/>
    <w:rsid w:val="00393021"/>
    <w:rsid w:val="00465995"/>
    <w:rsid w:val="00582954"/>
    <w:rsid w:val="00645977"/>
    <w:rsid w:val="00690F5C"/>
    <w:rsid w:val="00751BA5"/>
    <w:rsid w:val="0082724C"/>
    <w:rsid w:val="00A34BE3"/>
    <w:rsid w:val="00A52D49"/>
    <w:rsid w:val="00C27525"/>
    <w:rsid w:val="00C449C5"/>
    <w:rsid w:val="00F06B78"/>
    <w:rsid w:val="00FA3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D3554DD"/>
  <w15:chartTrackingRefBased/>
  <w15:docId w15:val="{F7C0AA2A-F57F-4F6F-885B-66328B67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200" w:line="276" w:lineRule="auto"/>
    </w:pPr>
    <w:rPr>
      <w:sz w:val="22"/>
      <w:szCs w:val="22"/>
    </w:rPr>
  </w:style>
  <w:style w:type="paragraph" w:styleId="Nadpis1">
    <w:name w:val="heading 1"/>
    <w:basedOn w:val="Normlny"/>
    <w:next w:val="Normlny"/>
    <w:link w:val="Nadpis1Char"/>
    <w:uiPriority w:val="9"/>
    <w:qFormat/>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uiPriority w:val="9"/>
    <w:semiHidden/>
    <w:unhideWhenUsed/>
    <w:qFormat/>
    <w:pPr>
      <w:keepNext/>
      <w:spacing w:before="240" w:after="60"/>
      <w:outlineLvl w:val="1"/>
    </w:pPr>
    <w:rPr>
      <w:rFonts w:ascii="Cambria" w:eastAsia="Times New Roman" w:hAnsi="Cambria"/>
      <w:b/>
      <w:bCs/>
      <w:i/>
      <w:iCs/>
      <w:sz w:val="28"/>
      <w:szCs w:val="28"/>
    </w:rPr>
  </w:style>
  <w:style w:type="paragraph" w:styleId="Nadpis3">
    <w:name w:val="heading 3"/>
    <w:basedOn w:val="Normlny"/>
    <w:next w:val="Normlny"/>
    <w:link w:val="Nadpis3Char"/>
    <w:uiPriority w:val="9"/>
    <w:semiHidden/>
    <w:unhideWhenUsed/>
    <w:qFormat/>
    <w:pPr>
      <w:keepNext/>
      <w:spacing w:before="240" w:after="60"/>
      <w:outlineLvl w:val="2"/>
    </w:pPr>
    <w:rPr>
      <w:rFonts w:ascii="Cambria" w:eastAsia="Times New Roman" w:hAnsi="Cambria"/>
      <w:b/>
      <w:bCs/>
      <w:sz w:val="26"/>
      <w:szCs w:val="26"/>
    </w:rPr>
  </w:style>
  <w:style w:type="paragraph" w:styleId="Nadpis4">
    <w:name w:val="heading 4"/>
    <w:basedOn w:val="Normlny"/>
    <w:next w:val="Normlny"/>
    <w:link w:val="Nadpis4Char"/>
    <w:uiPriority w:val="9"/>
    <w:semiHidden/>
    <w:unhideWhenUsed/>
    <w:qFormat/>
    <w:pPr>
      <w:keepNext/>
      <w:spacing w:before="240" w:after="60"/>
      <w:outlineLvl w:val="3"/>
    </w:pPr>
    <w:rPr>
      <w:rFonts w:eastAsia="Times New Roman"/>
      <w:b/>
      <w:bCs/>
      <w:sz w:val="28"/>
      <w:szCs w:val="28"/>
    </w:rPr>
  </w:style>
  <w:style w:type="paragraph" w:styleId="Nadpis5">
    <w:name w:val="heading 5"/>
    <w:basedOn w:val="Normlny"/>
    <w:next w:val="Normlny"/>
    <w:link w:val="Nadpis5Char"/>
    <w:uiPriority w:val="9"/>
    <w:semiHidden/>
    <w:unhideWhenUsed/>
    <w:qFormat/>
    <w:pPr>
      <w:spacing w:before="240" w:after="60"/>
      <w:outlineLvl w:val="4"/>
    </w:pPr>
    <w:rPr>
      <w:rFonts w:eastAsia="Times New Roman"/>
      <w:b/>
      <w:bCs/>
      <w:i/>
      <w:iCs/>
      <w:sz w:val="26"/>
      <w:szCs w:val="26"/>
    </w:rPr>
  </w:style>
  <w:style w:type="paragraph" w:styleId="Nadpis6">
    <w:name w:val="heading 6"/>
    <w:basedOn w:val="Normlny"/>
    <w:next w:val="Normlny"/>
    <w:link w:val="Nadpis6Char"/>
    <w:uiPriority w:val="9"/>
    <w:semiHidden/>
    <w:unhideWhenUsed/>
    <w:qFormat/>
    <w:pPr>
      <w:spacing w:before="240" w:after="60"/>
      <w:outlineLvl w:val="5"/>
    </w:pPr>
    <w:rPr>
      <w:rFonts w:eastAsia="Times New Roman"/>
      <w:b/>
      <w:bCs/>
    </w:rPr>
  </w:style>
  <w:style w:type="paragraph" w:styleId="Nadpis7">
    <w:name w:val="heading 7"/>
    <w:basedOn w:val="Normlny"/>
    <w:next w:val="Normlny"/>
    <w:link w:val="Nadpis7Char"/>
    <w:uiPriority w:val="9"/>
    <w:semiHidden/>
    <w:unhideWhenUsed/>
    <w:qFormat/>
    <w:pPr>
      <w:spacing w:before="240" w:after="60"/>
      <w:outlineLvl w:val="6"/>
    </w:pPr>
    <w:rPr>
      <w:rFonts w:eastAsia="Times New Roman"/>
      <w:sz w:val="24"/>
      <w:szCs w:val="24"/>
    </w:rPr>
  </w:style>
  <w:style w:type="paragraph" w:styleId="Nadpis8">
    <w:name w:val="heading 8"/>
    <w:basedOn w:val="Normlny"/>
    <w:next w:val="Normlny"/>
    <w:link w:val="Nadpis8Char"/>
    <w:uiPriority w:val="9"/>
    <w:semiHidden/>
    <w:unhideWhenUsed/>
    <w:qFormat/>
    <w:pPr>
      <w:spacing w:before="240" w:after="60"/>
      <w:outlineLvl w:val="7"/>
    </w:pPr>
    <w:rPr>
      <w:rFonts w:eastAsia="Times New Roman"/>
      <w:i/>
      <w:iCs/>
      <w:sz w:val="24"/>
      <w:szCs w:val="24"/>
    </w:rPr>
  </w:style>
  <w:style w:type="paragraph" w:styleId="Nadpis9">
    <w:name w:val="heading 9"/>
    <w:basedOn w:val="Normlny"/>
    <w:next w:val="Normlny"/>
    <w:link w:val="Nadpis9Char"/>
    <w:uiPriority w:val="9"/>
    <w:semiHidden/>
    <w:unhideWhenUsed/>
    <w:qFormat/>
    <w:pPr>
      <w:spacing w:before="240" w:after="60"/>
      <w:outlineLvl w:val="8"/>
    </w:pPr>
    <w:rPr>
      <w:rFonts w:ascii="Cambria" w:eastAsia="Times New Roman" w:hAnsi="Cambri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pPr>
      <w:ind w:left="720"/>
      <w:contextualSpacing/>
    </w:pPr>
  </w:style>
  <w:style w:type="paragraph" w:styleId="Textbubliny">
    <w:name w:val="Balloon Text"/>
    <w:basedOn w:val="Normlny"/>
    <w:link w:val="TextbublinyChar"/>
    <w:uiPriority w:val="99"/>
    <w:semiHidden/>
    <w:unhideWhenUsed/>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Pr>
      <w:rFonts w:ascii="Tahoma" w:hAnsi="Tahoma" w:cs="Tahoma"/>
      <w:sz w:val="16"/>
      <w:szCs w:val="16"/>
    </w:rPr>
  </w:style>
  <w:style w:type="character" w:styleId="Hypertextovprepojenie">
    <w:name w:val="Hyperlink"/>
    <w:uiPriority w:val="99"/>
    <w:unhideWhenUsed/>
    <w:rPr>
      <w:color w:val="0000FF"/>
      <w:u w:val="single"/>
    </w:rPr>
  </w:style>
  <w:style w:type="character" w:customStyle="1" w:styleId="hps">
    <w:name w:val="hps"/>
    <w:basedOn w:val="Predvolenpsmoodseku"/>
  </w:style>
  <w:style w:type="paragraph" w:styleId="Obyajntext">
    <w:name w:val="Plain Text"/>
    <w:basedOn w:val="Normlny"/>
    <w:link w:val="ObyajntextChar"/>
    <w:uiPriority w:val="99"/>
    <w:unhideWhenUsed/>
    <w:pPr>
      <w:spacing w:after="0" w:line="240" w:lineRule="auto"/>
    </w:pPr>
    <w:rPr>
      <w:rFonts w:ascii="Consolas" w:hAnsi="Consolas"/>
      <w:sz w:val="21"/>
      <w:szCs w:val="21"/>
      <w:lang w:val="x-none" w:eastAsia="x-none"/>
    </w:rPr>
  </w:style>
  <w:style w:type="character" w:customStyle="1" w:styleId="ObyajntextChar">
    <w:name w:val="Obyčajný text Char"/>
    <w:link w:val="Obyajntext"/>
    <w:uiPriority w:val="99"/>
    <w:rPr>
      <w:rFonts w:ascii="Consolas" w:hAnsi="Consolas"/>
      <w:sz w:val="21"/>
      <w:szCs w:val="21"/>
      <w:lang w:val="x-none" w:eastAsia="x-none"/>
    </w:rPr>
  </w:style>
  <w:style w:type="paragraph" w:styleId="Hlavika">
    <w:name w:val="header"/>
    <w:basedOn w:val="Normlny"/>
    <w:link w:val="HlavikaChar"/>
    <w:uiPriority w:val="99"/>
    <w:unhideWhenUsed/>
    <w:pPr>
      <w:tabs>
        <w:tab w:val="center" w:pos="4536"/>
        <w:tab w:val="right" w:pos="9072"/>
      </w:tabs>
    </w:pPr>
  </w:style>
  <w:style w:type="character" w:customStyle="1" w:styleId="HlavikaChar">
    <w:name w:val="Hlavička Char"/>
    <w:link w:val="Hlavika"/>
    <w:uiPriority w:val="99"/>
    <w:rPr>
      <w:sz w:val="22"/>
      <w:szCs w:val="22"/>
      <w:lang w:val="en-US" w:eastAsia="en-US"/>
    </w:rPr>
  </w:style>
  <w:style w:type="paragraph" w:styleId="Pta">
    <w:name w:val="footer"/>
    <w:basedOn w:val="Normlny"/>
    <w:link w:val="PtaChar"/>
    <w:uiPriority w:val="99"/>
    <w:unhideWhenUsed/>
    <w:pPr>
      <w:tabs>
        <w:tab w:val="center" w:pos="4536"/>
        <w:tab w:val="right" w:pos="9072"/>
      </w:tabs>
    </w:pPr>
  </w:style>
  <w:style w:type="character" w:customStyle="1" w:styleId="PtaChar">
    <w:name w:val="Päta Char"/>
    <w:link w:val="Pta"/>
    <w:uiPriority w:val="99"/>
    <w:rPr>
      <w:sz w:val="22"/>
      <w:szCs w:val="22"/>
      <w:lang w:val="en-US" w:eastAsia="en-US"/>
    </w:rPr>
  </w:style>
  <w:style w:type="character" w:customStyle="1" w:styleId="FooterChar">
    <w:name w:val="Footer Char"/>
    <w:uiPriority w:val="99"/>
    <w:rPr>
      <w:snapToGrid w:val="0"/>
      <w:sz w:val="22"/>
      <w:lang w:val="en-GB" w:eastAsia="x-none"/>
    </w:rPr>
  </w:style>
  <w:style w:type="paragraph" w:styleId="Zoznamsodrkami">
    <w:name w:val="List Bullet"/>
    <w:basedOn w:val="Normlny"/>
    <w:autoRedefine/>
    <w:pPr>
      <w:numPr>
        <w:numId w:val="13"/>
      </w:numPr>
      <w:spacing w:after="0" w:line="240" w:lineRule="auto"/>
    </w:pPr>
    <w:rPr>
      <w:rFonts w:ascii="Times New Roman" w:eastAsia="Times New Roman" w:hAnsi="Times New Roman"/>
      <w:szCs w:val="24"/>
      <w:lang w:val="sk-SK" w:eastAsia="sk-SK"/>
    </w:rPr>
  </w:style>
  <w:style w:type="paragraph" w:customStyle="1" w:styleId="TitleA">
    <w:name w:val="Title A"/>
    <w:basedOn w:val="Odsekzoznamu"/>
    <w:qFormat/>
    <w:pPr>
      <w:widowControl w:val="0"/>
      <w:spacing w:after="0" w:line="240" w:lineRule="auto"/>
      <w:ind w:left="0"/>
      <w:jc w:val="center"/>
    </w:pPr>
    <w:rPr>
      <w:rFonts w:ascii="Times New Roman" w:hAnsi="Times New Roman"/>
      <w:b/>
      <w:bCs/>
    </w:rPr>
  </w:style>
  <w:style w:type="paragraph" w:customStyle="1" w:styleId="TitleB">
    <w:name w:val="Title B"/>
    <w:basedOn w:val="Normlny"/>
    <w:qFormat/>
    <w:pPr>
      <w:tabs>
        <w:tab w:val="left" w:pos="567"/>
      </w:tabs>
      <w:spacing w:after="0" w:line="240" w:lineRule="auto"/>
      <w:ind w:left="567" w:hanging="567"/>
    </w:pPr>
    <w:rPr>
      <w:rFonts w:ascii="Times New Roman" w:eastAsia="Times New Roman" w:hAnsi="Times New Roman"/>
      <w:b/>
      <w:noProof/>
      <w:snapToGrid w:val="0"/>
      <w:lang w:val="sk-SK"/>
    </w:rPr>
  </w:style>
  <w:style w:type="paragraph" w:styleId="Bibliografia">
    <w:name w:val="Bibliography"/>
    <w:basedOn w:val="Normlny"/>
    <w:next w:val="Normlny"/>
    <w:uiPriority w:val="37"/>
    <w:semiHidden/>
    <w:unhideWhenUsed/>
  </w:style>
  <w:style w:type="paragraph" w:styleId="Oznaitext">
    <w:name w:val="Block Text"/>
    <w:basedOn w:val="Normlny"/>
    <w:uiPriority w:val="99"/>
    <w:semiHidden/>
    <w:unhideWhenUsed/>
    <w:pPr>
      <w:spacing w:after="120"/>
      <w:ind w:left="1440" w:right="1440"/>
    </w:pPr>
  </w:style>
  <w:style w:type="paragraph" w:styleId="Bezriadkovania">
    <w:name w:val="No Spacing"/>
    <w:uiPriority w:val="1"/>
    <w:qFormat/>
    <w:rPr>
      <w:sz w:val="22"/>
      <w:szCs w:val="22"/>
    </w:rPr>
  </w:style>
  <w:style w:type="paragraph" w:styleId="Citcia">
    <w:name w:val="Quote"/>
    <w:basedOn w:val="Normlny"/>
    <w:next w:val="Normlny"/>
    <w:link w:val="CitciaChar"/>
    <w:uiPriority w:val="29"/>
    <w:qFormat/>
    <w:rPr>
      <w:i/>
      <w:iCs/>
      <w:color w:val="000000"/>
    </w:rPr>
  </w:style>
  <w:style w:type="character" w:customStyle="1" w:styleId="CitciaChar">
    <w:name w:val="Citácia Char"/>
    <w:link w:val="Citcia"/>
    <w:uiPriority w:val="29"/>
    <w:rPr>
      <w:i/>
      <w:iCs/>
      <w:color w:val="000000"/>
      <w:sz w:val="22"/>
      <w:szCs w:val="22"/>
      <w:lang w:val="en-US" w:eastAsia="en-US"/>
    </w:rPr>
  </w:style>
  <w:style w:type="paragraph" w:styleId="Dtum">
    <w:name w:val="Date"/>
    <w:basedOn w:val="Normlny"/>
    <w:next w:val="Normlny"/>
    <w:link w:val="DtumChar"/>
    <w:uiPriority w:val="99"/>
    <w:semiHidden/>
    <w:unhideWhenUsed/>
  </w:style>
  <w:style w:type="character" w:customStyle="1" w:styleId="DtumChar">
    <w:name w:val="Dátum Char"/>
    <w:link w:val="Dtum"/>
    <w:uiPriority w:val="99"/>
    <w:semiHidden/>
    <w:rPr>
      <w:sz w:val="22"/>
      <w:szCs w:val="22"/>
      <w:lang w:val="en-US" w:eastAsia="en-US"/>
    </w:rPr>
  </w:style>
  <w:style w:type="paragraph" w:styleId="Podpise-mailu">
    <w:name w:val="E-mail Signature"/>
    <w:basedOn w:val="Normlny"/>
    <w:link w:val="Podpise-mailuChar"/>
    <w:uiPriority w:val="99"/>
    <w:semiHidden/>
    <w:unhideWhenUsed/>
  </w:style>
  <w:style w:type="character" w:customStyle="1" w:styleId="Podpise-mailuChar">
    <w:name w:val="Podpis e-mailu Char"/>
    <w:link w:val="Podpise-mailu"/>
    <w:uiPriority w:val="99"/>
    <w:semiHidden/>
    <w:rPr>
      <w:sz w:val="22"/>
      <w:szCs w:val="22"/>
      <w:lang w:val="en-US" w:eastAsia="en-US"/>
    </w:rPr>
  </w:style>
  <w:style w:type="paragraph" w:styleId="Hlavikasprvy">
    <w:name w:val="Message Header"/>
    <w:basedOn w:val="Normlny"/>
    <w:link w:val="Hlavikasprvy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HlavikasprvyChar">
    <w:name w:val="Hlavička správy Char"/>
    <w:link w:val="Hlavikasprvy"/>
    <w:uiPriority w:val="99"/>
    <w:semiHidden/>
    <w:rPr>
      <w:rFonts w:ascii="Cambria" w:eastAsia="Times New Roman" w:hAnsi="Cambria" w:cs="Times New Roman"/>
      <w:sz w:val="24"/>
      <w:szCs w:val="24"/>
      <w:shd w:val="pct20" w:color="auto" w:fill="auto"/>
      <w:lang w:val="en-US" w:eastAsia="en-US"/>
    </w:rPr>
  </w:style>
  <w:style w:type="paragraph" w:styleId="AdresaHTML">
    <w:name w:val="HTML Address"/>
    <w:basedOn w:val="Normlny"/>
    <w:link w:val="AdresaHTMLChar"/>
    <w:uiPriority w:val="99"/>
    <w:semiHidden/>
    <w:unhideWhenUsed/>
    <w:rPr>
      <w:i/>
      <w:iCs/>
    </w:rPr>
  </w:style>
  <w:style w:type="character" w:customStyle="1" w:styleId="AdresaHTMLChar">
    <w:name w:val="Adresa HTML Char"/>
    <w:link w:val="AdresaHTML"/>
    <w:uiPriority w:val="99"/>
    <w:semiHidden/>
    <w:rPr>
      <w:i/>
      <w:iCs/>
      <w:sz w:val="22"/>
      <w:szCs w:val="22"/>
      <w:lang w:val="en-US" w:eastAsia="en-US"/>
    </w:rPr>
  </w:style>
  <w:style w:type="paragraph" w:styleId="PredformtovanHTML">
    <w:name w:val="HTML Preformatted"/>
    <w:basedOn w:val="Normlny"/>
    <w:link w:val="PredformtovanHTMLChar"/>
    <w:uiPriority w:val="99"/>
    <w:semiHidden/>
    <w:unhideWhenUsed/>
    <w:rPr>
      <w:rFonts w:ascii="Courier New" w:hAnsi="Courier New"/>
      <w:sz w:val="20"/>
      <w:szCs w:val="20"/>
    </w:rPr>
  </w:style>
  <w:style w:type="character" w:customStyle="1" w:styleId="PredformtovanHTMLChar">
    <w:name w:val="Predformátované HTML Char"/>
    <w:link w:val="PredformtovanHTML"/>
    <w:uiPriority w:val="99"/>
    <w:semiHidden/>
    <w:rPr>
      <w:rFonts w:ascii="Courier New" w:hAnsi="Courier New" w:cs="Courier New"/>
      <w:lang w:val="en-US" w:eastAsia="en-US"/>
    </w:rPr>
  </w:style>
  <w:style w:type="paragraph" w:styleId="Zvraznencitcia">
    <w:name w:val="Intense Quote"/>
    <w:basedOn w:val="Normlny"/>
    <w:next w:val="Normlny"/>
    <w:link w:val="ZvraznencitciaChar"/>
    <w:uiPriority w:val="30"/>
    <w:qFormat/>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Pr>
      <w:b/>
      <w:bCs/>
      <w:i/>
      <w:iCs/>
      <w:color w:val="4F81BD"/>
      <w:sz w:val="22"/>
      <w:szCs w:val="22"/>
      <w:lang w:val="en-US" w:eastAsia="en-US"/>
    </w:rPr>
  </w:style>
  <w:style w:type="paragraph" w:styleId="Zoznamobrzkov">
    <w:name w:val="table of figures"/>
    <w:basedOn w:val="Normlny"/>
    <w:next w:val="Normlny"/>
    <w:uiPriority w:val="99"/>
    <w:semiHidden/>
    <w:unhideWhenUsed/>
  </w:style>
  <w:style w:type="paragraph" w:styleId="Zoznamcitci">
    <w:name w:val="table of authorities"/>
    <w:basedOn w:val="Normlny"/>
    <w:next w:val="Normlny"/>
    <w:uiPriority w:val="99"/>
    <w:semiHidden/>
    <w:unhideWhenUsed/>
    <w:pPr>
      <w:ind w:left="220" w:hanging="220"/>
    </w:pPr>
  </w:style>
  <w:style w:type="paragraph" w:styleId="Hlavikazoznamucitci">
    <w:name w:val="toa heading"/>
    <w:basedOn w:val="Normlny"/>
    <w:next w:val="Normlny"/>
    <w:uiPriority w:val="99"/>
    <w:semiHidden/>
    <w:unhideWhenUsed/>
    <w:pPr>
      <w:spacing w:before="120"/>
    </w:pPr>
    <w:rPr>
      <w:rFonts w:ascii="Cambria" w:eastAsia="Times New Roman" w:hAnsi="Cambria"/>
      <w:b/>
      <w:bCs/>
      <w:sz w:val="24"/>
      <w:szCs w:val="24"/>
    </w:rPr>
  </w:style>
  <w:style w:type="paragraph" w:styleId="Obsah1">
    <w:name w:val="toc 1"/>
    <w:basedOn w:val="Normlny"/>
    <w:next w:val="Normlny"/>
    <w:autoRedefine/>
    <w:uiPriority w:val="39"/>
    <w:semiHidden/>
    <w:unhideWhenUsed/>
  </w:style>
  <w:style w:type="paragraph" w:styleId="Obsah2">
    <w:name w:val="toc 2"/>
    <w:basedOn w:val="Normlny"/>
    <w:next w:val="Normlny"/>
    <w:autoRedefine/>
    <w:uiPriority w:val="39"/>
    <w:semiHidden/>
    <w:unhideWhenUsed/>
    <w:pPr>
      <w:ind w:left="220"/>
    </w:pPr>
  </w:style>
  <w:style w:type="paragraph" w:styleId="Obsah3">
    <w:name w:val="toc 3"/>
    <w:basedOn w:val="Normlny"/>
    <w:next w:val="Normlny"/>
    <w:autoRedefine/>
    <w:uiPriority w:val="39"/>
    <w:semiHidden/>
    <w:unhideWhenUsed/>
    <w:pPr>
      <w:ind w:left="440"/>
    </w:pPr>
  </w:style>
  <w:style w:type="paragraph" w:styleId="Obsah4">
    <w:name w:val="toc 4"/>
    <w:basedOn w:val="Normlny"/>
    <w:next w:val="Normlny"/>
    <w:autoRedefine/>
    <w:uiPriority w:val="39"/>
    <w:semiHidden/>
    <w:unhideWhenUsed/>
    <w:pPr>
      <w:ind w:left="660"/>
    </w:pPr>
  </w:style>
  <w:style w:type="paragraph" w:styleId="Obsah5">
    <w:name w:val="toc 5"/>
    <w:basedOn w:val="Normlny"/>
    <w:next w:val="Normlny"/>
    <w:autoRedefine/>
    <w:uiPriority w:val="39"/>
    <w:semiHidden/>
    <w:unhideWhenUsed/>
    <w:pPr>
      <w:ind w:left="880"/>
    </w:pPr>
  </w:style>
  <w:style w:type="paragraph" w:styleId="Obsah6">
    <w:name w:val="toc 6"/>
    <w:basedOn w:val="Normlny"/>
    <w:next w:val="Normlny"/>
    <w:autoRedefine/>
    <w:uiPriority w:val="39"/>
    <w:semiHidden/>
    <w:unhideWhenUsed/>
    <w:pPr>
      <w:ind w:left="1100"/>
    </w:pPr>
  </w:style>
  <w:style w:type="paragraph" w:styleId="Obsah7">
    <w:name w:val="toc 7"/>
    <w:basedOn w:val="Normlny"/>
    <w:next w:val="Normlny"/>
    <w:autoRedefine/>
    <w:uiPriority w:val="39"/>
    <w:semiHidden/>
    <w:unhideWhenUsed/>
    <w:pPr>
      <w:ind w:left="1320"/>
    </w:pPr>
  </w:style>
  <w:style w:type="paragraph" w:styleId="Obsah8">
    <w:name w:val="toc 8"/>
    <w:basedOn w:val="Normlny"/>
    <w:next w:val="Normlny"/>
    <w:autoRedefine/>
    <w:uiPriority w:val="39"/>
    <w:semiHidden/>
    <w:unhideWhenUsed/>
    <w:pPr>
      <w:ind w:left="1540"/>
    </w:pPr>
  </w:style>
  <w:style w:type="paragraph" w:styleId="Obsah9">
    <w:name w:val="toc 9"/>
    <w:basedOn w:val="Normlny"/>
    <w:next w:val="Normlny"/>
    <w:autoRedefine/>
    <w:uiPriority w:val="39"/>
    <w:semiHidden/>
    <w:unhideWhenUsed/>
    <w:pPr>
      <w:ind w:left="1760"/>
    </w:pPr>
  </w:style>
  <w:style w:type="paragraph" w:styleId="Textvysvetlivky">
    <w:name w:val="endnote text"/>
    <w:basedOn w:val="Normlny"/>
    <w:link w:val="TextvysvetlivkyChar"/>
    <w:uiPriority w:val="99"/>
    <w:semiHidden/>
    <w:unhideWhenUsed/>
    <w:rPr>
      <w:sz w:val="20"/>
      <w:szCs w:val="20"/>
    </w:rPr>
  </w:style>
  <w:style w:type="character" w:customStyle="1" w:styleId="TextvysvetlivkyChar">
    <w:name w:val="Text vysvetlivky Char"/>
    <w:link w:val="Textvysvetlivky"/>
    <w:uiPriority w:val="99"/>
    <w:semiHidden/>
    <w:rPr>
      <w:lang w:val="en-US" w:eastAsia="en-US"/>
    </w:rPr>
  </w:style>
  <w:style w:type="paragraph" w:styleId="Textmakra">
    <w:name w:val="macro"/>
    <w:link w:val="Textmakra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rPr>
  </w:style>
  <w:style w:type="character" w:customStyle="1" w:styleId="TextmakraChar">
    <w:name w:val="Text makra Char"/>
    <w:link w:val="Textmakra"/>
    <w:uiPriority w:val="99"/>
    <w:semiHidden/>
    <w:rPr>
      <w:rFonts w:ascii="Courier New" w:hAnsi="Courier New" w:cs="Courier New"/>
      <w:lang w:val="en-US" w:eastAsia="en-US" w:bidi="ar-SA"/>
    </w:rPr>
  </w:style>
  <w:style w:type="paragraph" w:styleId="Popis">
    <w:name w:val="caption"/>
    <w:basedOn w:val="Normlny"/>
    <w:next w:val="Normlny"/>
    <w:uiPriority w:val="35"/>
    <w:semiHidden/>
    <w:unhideWhenUsed/>
    <w:qFormat/>
    <w:rPr>
      <w:b/>
      <w:bCs/>
      <w:sz w:val="20"/>
      <w:szCs w:val="20"/>
    </w:rPr>
  </w:style>
  <w:style w:type="paragraph" w:styleId="Nzov">
    <w:name w:val="Title"/>
    <w:basedOn w:val="Normlny"/>
    <w:next w:val="Normlny"/>
    <w:link w:val="NzovChar"/>
    <w:uiPriority w:val="10"/>
    <w:qFormat/>
    <w:pPr>
      <w:spacing w:before="240" w:after="60"/>
      <w:jc w:val="center"/>
      <w:outlineLvl w:val="0"/>
    </w:pPr>
    <w:rPr>
      <w:rFonts w:ascii="Cambria" w:eastAsia="Times New Roman" w:hAnsi="Cambria"/>
      <w:b/>
      <w:bCs/>
      <w:kern w:val="28"/>
      <w:sz w:val="32"/>
      <w:szCs w:val="32"/>
    </w:rPr>
  </w:style>
  <w:style w:type="character" w:customStyle="1" w:styleId="NzovChar">
    <w:name w:val="Názov Char"/>
    <w:link w:val="Nzov"/>
    <w:uiPriority w:val="10"/>
    <w:rPr>
      <w:rFonts w:ascii="Cambria" w:eastAsia="Times New Roman" w:hAnsi="Cambria" w:cs="Times New Roman"/>
      <w:b/>
      <w:bCs/>
      <w:kern w:val="28"/>
      <w:sz w:val="32"/>
      <w:szCs w:val="32"/>
      <w:lang w:val="en-US" w:eastAsia="en-US"/>
    </w:rPr>
  </w:style>
  <w:style w:type="character" w:customStyle="1" w:styleId="Nadpis1Char">
    <w:name w:val="Nadpis 1 Char"/>
    <w:link w:val="Nadpis1"/>
    <w:uiPriority w:val="9"/>
    <w:rPr>
      <w:rFonts w:ascii="Cambria" w:eastAsia="Times New Roman" w:hAnsi="Cambria" w:cs="Times New Roman"/>
      <w:b/>
      <w:bCs/>
      <w:kern w:val="32"/>
      <w:sz w:val="32"/>
      <w:szCs w:val="32"/>
      <w:lang w:val="en-US" w:eastAsia="en-US"/>
    </w:rPr>
  </w:style>
  <w:style w:type="character" w:customStyle="1" w:styleId="Nadpis2Char">
    <w:name w:val="Nadpis 2 Char"/>
    <w:link w:val="Nadpis2"/>
    <w:uiPriority w:val="9"/>
    <w:semiHidden/>
    <w:rPr>
      <w:rFonts w:ascii="Cambria" w:eastAsia="Times New Roman" w:hAnsi="Cambria" w:cs="Times New Roman"/>
      <w:b/>
      <w:bCs/>
      <w:i/>
      <w:iCs/>
      <w:sz w:val="28"/>
      <w:szCs w:val="28"/>
      <w:lang w:val="en-US" w:eastAsia="en-US"/>
    </w:rPr>
  </w:style>
  <w:style w:type="character" w:customStyle="1" w:styleId="Nadpis3Char">
    <w:name w:val="Nadpis 3 Char"/>
    <w:link w:val="Nadpis3"/>
    <w:uiPriority w:val="9"/>
    <w:semiHidden/>
    <w:rPr>
      <w:rFonts w:ascii="Cambria" w:eastAsia="Times New Roman" w:hAnsi="Cambria" w:cs="Times New Roman"/>
      <w:b/>
      <w:bCs/>
      <w:sz w:val="26"/>
      <w:szCs w:val="26"/>
      <w:lang w:val="en-US" w:eastAsia="en-US"/>
    </w:rPr>
  </w:style>
  <w:style w:type="character" w:customStyle="1" w:styleId="Nadpis4Char">
    <w:name w:val="Nadpis 4 Char"/>
    <w:link w:val="Nadpis4"/>
    <w:uiPriority w:val="9"/>
    <w:semiHidden/>
    <w:rPr>
      <w:rFonts w:ascii="Calibri" w:eastAsia="Times New Roman" w:hAnsi="Calibri" w:cs="Times New Roman"/>
      <w:b/>
      <w:bCs/>
      <w:sz w:val="28"/>
      <w:szCs w:val="28"/>
      <w:lang w:val="en-US" w:eastAsia="en-US"/>
    </w:rPr>
  </w:style>
  <w:style w:type="character" w:customStyle="1" w:styleId="Nadpis5Char">
    <w:name w:val="Nadpis 5 Char"/>
    <w:link w:val="Nadpis5"/>
    <w:uiPriority w:val="9"/>
    <w:semiHidden/>
    <w:rPr>
      <w:rFonts w:ascii="Calibri" w:eastAsia="Times New Roman" w:hAnsi="Calibri" w:cs="Times New Roman"/>
      <w:b/>
      <w:bCs/>
      <w:i/>
      <w:iCs/>
      <w:sz w:val="26"/>
      <w:szCs w:val="26"/>
      <w:lang w:val="en-US" w:eastAsia="en-US"/>
    </w:rPr>
  </w:style>
  <w:style w:type="character" w:customStyle="1" w:styleId="Nadpis6Char">
    <w:name w:val="Nadpis 6 Char"/>
    <w:link w:val="Nadpis6"/>
    <w:uiPriority w:val="9"/>
    <w:semiHidden/>
    <w:rPr>
      <w:rFonts w:ascii="Calibri" w:eastAsia="Times New Roman" w:hAnsi="Calibri" w:cs="Times New Roman"/>
      <w:b/>
      <w:bCs/>
      <w:sz w:val="22"/>
      <w:szCs w:val="22"/>
      <w:lang w:val="en-US" w:eastAsia="en-US"/>
    </w:rPr>
  </w:style>
  <w:style w:type="character" w:customStyle="1" w:styleId="Nadpis7Char">
    <w:name w:val="Nadpis 7 Char"/>
    <w:link w:val="Nadpis7"/>
    <w:uiPriority w:val="9"/>
    <w:semiHidden/>
    <w:rPr>
      <w:rFonts w:ascii="Calibri" w:eastAsia="Times New Roman" w:hAnsi="Calibri" w:cs="Times New Roman"/>
      <w:sz w:val="24"/>
      <w:szCs w:val="24"/>
      <w:lang w:val="en-US" w:eastAsia="en-US"/>
    </w:rPr>
  </w:style>
  <w:style w:type="character" w:customStyle="1" w:styleId="Nadpis8Char">
    <w:name w:val="Nadpis 8 Char"/>
    <w:link w:val="Nadpis8"/>
    <w:uiPriority w:val="9"/>
    <w:semiHidden/>
    <w:rPr>
      <w:rFonts w:ascii="Calibri" w:eastAsia="Times New Roman" w:hAnsi="Calibri" w:cs="Times New Roman"/>
      <w:i/>
      <w:iCs/>
      <w:sz w:val="24"/>
      <w:szCs w:val="24"/>
      <w:lang w:val="en-US" w:eastAsia="en-US"/>
    </w:rPr>
  </w:style>
  <w:style w:type="character" w:customStyle="1" w:styleId="Nadpis9Char">
    <w:name w:val="Nadpis 9 Char"/>
    <w:link w:val="Nadpis9"/>
    <w:uiPriority w:val="9"/>
    <w:semiHidden/>
    <w:rPr>
      <w:rFonts w:ascii="Cambria" w:eastAsia="Times New Roman" w:hAnsi="Cambria" w:cs="Times New Roman"/>
      <w:sz w:val="22"/>
      <w:szCs w:val="22"/>
      <w:lang w:val="en-US" w:eastAsia="en-US"/>
    </w:rPr>
  </w:style>
  <w:style w:type="paragraph" w:styleId="Adresanaoblke">
    <w:name w:val="envelope address"/>
    <w:basedOn w:val="Normlny"/>
    <w:uiPriority w:val="99"/>
    <w:semiHidden/>
    <w:unhideWhenUsed/>
    <w:pPr>
      <w:framePr w:w="7920" w:h="1980" w:hRule="exact" w:hSpace="141" w:wrap="auto" w:hAnchor="page" w:xAlign="center" w:yAlign="bottom"/>
      <w:ind w:left="2880"/>
    </w:pPr>
    <w:rPr>
      <w:rFonts w:ascii="Cambria" w:eastAsia="Times New Roman" w:hAnsi="Cambria"/>
      <w:sz w:val="24"/>
      <w:szCs w:val="24"/>
    </w:rPr>
  </w:style>
  <w:style w:type="paragraph" w:styleId="Spiatonadresanaoblke">
    <w:name w:val="envelope return"/>
    <w:basedOn w:val="Normlny"/>
    <w:uiPriority w:val="99"/>
    <w:semiHidden/>
    <w:unhideWhenUsed/>
    <w:rPr>
      <w:rFonts w:ascii="Cambria" w:eastAsia="Times New Roman" w:hAnsi="Cambria"/>
      <w:sz w:val="20"/>
      <w:szCs w:val="20"/>
    </w:rPr>
  </w:style>
  <w:style w:type="paragraph" w:styleId="Hlavikaobsahu">
    <w:name w:val="TOC Heading"/>
    <w:basedOn w:val="Nadpis1"/>
    <w:next w:val="Normlny"/>
    <w:uiPriority w:val="39"/>
    <w:semiHidden/>
    <w:unhideWhenUsed/>
    <w:qFormat/>
    <w:pPr>
      <w:outlineLvl w:val="9"/>
    </w:pPr>
  </w:style>
  <w:style w:type="paragraph" w:styleId="Normlnysozarkami">
    <w:name w:val="Normal Indent"/>
    <w:basedOn w:val="Normlny"/>
    <w:uiPriority w:val="99"/>
    <w:semiHidden/>
    <w:unhideWhenUsed/>
    <w:pPr>
      <w:ind w:left="708"/>
    </w:pPr>
  </w:style>
  <w:style w:type="paragraph" w:styleId="Normlnywebov">
    <w:name w:val="Normal (Web)"/>
    <w:basedOn w:val="Normlny"/>
    <w:uiPriority w:val="99"/>
    <w:semiHidden/>
    <w:unhideWhenUsed/>
    <w:rPr>
      <w:rFonts w:ascii="Times New Roman" w:hAnsi="Times New Roman"/>
      <w:sz w:val="24"/>
      <w:szCs w:val="24"/>
    </w:rPr>
  </w:style>
  <w:style w:type="paragraph" w:styleId="Nadpispoznmky">
    <w:name w:val="Note Heading"/>
    <w:basedOn w:val="Normlny"/>
    <w:next w:val="Normlny"/>
    <w:link w:val="NadpispoznmkyChar"/>
    <w:uiPriority w:val="99"/>
    <w:semiHidden/>
    <w:unhideWhenUsed/>
  </w:style>
  <w:style w:type="character" w:customStyle="1" w:styleId="NadpispoznmkyChar">
    <w:name w:val="Nadpis poznámky Char"/>
    <w:link w:val="Nadpispoznmky"/>
    <w:uiPriority w:val="99"/>
    <w:semiHidden/>
    <w:rPr>
      <w:sz w:val="22"/>
      <w:szCs w:val="22"/>
      <w:lang w:val="en-US" w:eastAsia="en-US"/>
    </w:rPr>
  </w:style>
  <w:style w:type="paragraph" w:styleId="slovanzoznam">
    <w:name w:val="List Number"/>
    <w:basedOn w:val="Normlny"/>
    <w:uiPriority w:val="99"/>
    <w:semiHidden/>
    <w:unhideWhenUsed/>
    <w:pPr>
      <w:numPr>
        <w:numId w:val="15"/>
      </w:numPr>
      <w:contextualSpacing/>
    </w:pPr>
  </w:style>
  <w:style w:type="paragraph" w:styleId="slovanzoznam2">
    <w:name w:val="List Number 2"/>
    <w:basedOn w:val="Normlny"/>
    <w:uiPriority w:val="99"/>
    <w:semiHidden/>
    <w:unhideWhenUsed/>
    <w:pPr>
      <w:numPr>
        <w:numId w:val="16"/>
      </w:numPr>
      <w:contextualSpacing/>
    </w:pPr>
  </w:style>
  <w:style w:type="paragraph" w:styleId="slovanzoznam3">
    <w:name w:val="List Number 3"/>
    <w:basedOn w:val="Normlny"/>
    <w:uiPriority w:val="99"/>
    <w:semiHidden/>
    <w:unhideWhenUsed/>
    <w:pPr>
      <w:numPr>
        <w:numId w:val="17"/>
      </w:numPr>
      <w:contextualSpacing/>
    </w:pPr>
  </w:style>
  <w:style w:type="paragraph" w:styleId="slovanzoznam4">
    <w:name w:val="List Number 4"/>
    <w:basedOn w:val="Normlny"/>
    <w:uiPriority w:val="99"/>
    <w:semiHidden/>
    <w:unhideWhenUsed/>
    <w:pPr>
      <w:numPr>
        <w:numId w:val="18"/>
      </w:numPr>
      <w:contextualSpacing/>
    </w:pPr>
  </w:style>
  <w:style w:type="paragraph" w:styleId="slovanzoznam5">
    <w:name w:val="List Number 5"/>
    <w:basedOn w:val="Normlny"/>
    <w:uiPriority w:val="99"/>
    <w:semiHidden/>
    <w:unhideWhenUsed/>
    <w:pPr>
      <w:numPr>
        <w:numId w:val="19"/>
      </w:numPr>
      <w:contextualSpacing/>
    </w:pPr>
  </w:style>
  <w:style w:type="paragraph" w:styleId="Zoznamsodrkami2">
    <w:name w:val="List Bullet 2"/>
    <w:basedOn w:val="Normlny"/>
    <w:uiPriority w:val="99"/>
    <w:semiHidden/>
    <w:unhideWhenUsed/>
    <w:pPr>
      <w:numPr>
        <w:numId w:val="20"/>
      </w:numPr>
      <w:contextualSpacing/>
    </w:pPr>
  </w:style>
  <w:style w:type="paragraph" w:styleId="Zoznamsodrkami3">
    <w:name w:val="List Bullet 3"/>
    <w:basedOn w:val="Normlny"/>
    <w:uiPriority w:val="99"/>
    <w:semiHidden/>
    <w:unhideWhenUsed/>
    <w:pPr>
      <w:numPr>
        <w:numId w:val="21"/>
      </w:numPr>
      <w:contextualSpacing/>
    </w:pPr>
  </w:style>
  <w:style w:type="paragraph" w:styleId="Zoznamsodrkami4">
    <w:name w:val="List Bullet 4"/>
    <w:basedOn w:val="Normlny"/>
    <w:uiPriority w:val="99"/>
    <w:semiHidden/>
    <w:unhideWhenUsed/>
    <w:pPr>
      <w:numPr>
        <w:numId w:val="22"/>
      </w:numPr>
      <w:contextualSpacing/>
    </w:pPr>
  </w:style>
  <w:style w:type="paragraph" w:styleId="Zoznamsodrkami5">
    <w:name w:val="List Bullet 5"/>
    <w:basedOn w:val="Normlny"/>
    <w:uiPriority w:val="99"/>
    <w:semiHidden/>
    <w:unhideWhenUsed/>
    <w:pPr>
      <w:numPr>
        <w:numId w:val="23"/>
      </w:numPr>
      <w:contextualSpacing/>
    </w:pPr>
  </w:style>
  <w:style w:type="paragraph" w:styleId="Podtitul">
    <w:name w:val="Subtitle"/>
    <w:basedOn w:val="Normlny"/>
    <w:next w:val="Normlny"/>
    <w:link w:val="PodtitulChar"/>
    <w:uiPriority w:val="11"/>
    <w:qFormat/>
    <w:pPr>
      <w:spacing w:after="60"/>
      <w:jc w:val="center"/>
      <w:outlineLvl w:val="1"/>
    </w:pPr>
    <w:rPr>
      <w:rFonts w:ascii="Cambria" w:eastAsia="Times New Roman" w:hAnsi="Cambria"/>
      <w:sz w:val="24"/>
      <w:szCs w:val="24"/>
    </w:rPr>
  </w:style>
  <w:style w:type="character" w:customStyle="1" w:styleId="PodtitulChar">
    <w:name w:val="Podtitul Char"/>
    <w:link w:val="Podtitul"/>
    <w:uiPriority w:val="11"/>
    <w:rPr>
      <w:rFonts w:ascii="Cambria" w:eastAsia="Times New Roman" w:hAnsi="Cambria" w:cs="Times New Roman"/>
      <w:sz w:val="24"/>
      <w:szCs w:val="24"/>
      <w:lang w:val="en-US" w:eastAsia="en-US"/>
    </w:rPr>
  </w:style>
  <w:style w:type="paragraph" w:styleId="Podpis">
    <w:name w:val="Signature"/>
    <w:basedOn w:val="Normlny"/>
    <w:link w:val="PodpisChar"/>
    <w:uiPriority w:val="99"/>
    <w:semiHidden/>
    <w:unhideWhenUsed/>
    <w:pPr>
      <w:ind w:left="4252"/>
    </w:pPr>
  </w:style>
  <w:style w:type="character" w:customStyle="1" w:styleId="PodpisChar">
    <w:name w:val="Podpis Char"/>
    <w:link w:val="Podpis"/>
    <w:uiPriority w:val="99"/>
    <w:semiHidden/>
    <w:rPr>
      <w:sz w:val="22"/>
      <w:szCs w:val="22"/>
      <w:lang w:val="en-US" w:eastAsia="en-US"/>
    </w:r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link w:val="Textkomentra"/>
    <w:uiPriority w:val="99"/>
    <w:semiHidden/>
    <w:rPr>
      <w:lang w:val="en-US" w:eastAsia="en-US"/>
    </w:rPr>
  </w:style>
  <w:style w:type="paragraph" w:styleId="Zoznam">
    <w:name w:val="List"/>
    <w:basedOn w:val="Normlny"/>
    <w:uiPriority w:val="99"/>
    <w:semiHidden/>
    <w:unhideWhenUsed/>
    <w:pPr>
      <w:ind w:left="283" w:hanging="283"/>
      <w:contextualSpacing/>
    </w:pPr>
  </w:style>
  <w:style w:type="paragraph" w:styleId="Pokraovaniezoznamu">
    <w:name w:val="List Continue"/>
    <w:basedOn w:val="Normlny"/>
    <w:uiPriority w:val="99"/>
    <w:semiHidden/>
    <w:unhideWhenUsed/>
    <w:pPr>
      <w:spacing w:after="120"/>
      <w:ind w:left="283"/>
      <w:contextualSpacing/>
    </w:pPr>
  </w:style>
  <w:style w:type="paragraph" w:styleId="Pokraovaniezoznamu2">
    <w:name w:val="List Continue 2"/>
    <w:basedOn w:val="Normlny"/>
    <w:uiPriority w:val="99"/>
    <w:semiHidden/>
    <w:unhideWhenUsed/>
    <w:pPr>
      <w:spacing w:after="120"/>
      <w:ind w:left="566"/>
      <w:contextualSpacing/>
    </w:pPr>
  </w:style>
  <w:style w:type="paragraph" w:styleId="Pokraovaniezoznamu3">
    <w:name w:val="List Continue 3"/>
    <w:basedOn w:val="Normlny"/>
    <w:uiPriority w:val="99"/>
    <w:semiHidden/>
    <w:unhideWhenUsed/>
    <w:pPr>
      <w:spacing w:after="120"/>
      <w:ind w:left="849"/>
      <w:contextualSpacing/>
    </w:pPr>
  </w:style>
  <w:style w:type="paragraph" w:styleId="Pokraovaniezoznamu4">
    <w:name w:val="List Continue 4"/>
    <w:basedOn w:val="Normlny"/>
    <w:uiPriority w:val="99"/>
    <w:semiHidden/>
    <w:unhideWhenUsed/>
    <w:pPr>
      <w:spacing w:after="120"/>
      <w:ind w:left="1132"/>
      <w:contextualSpacing/>
    </w:pPr>
  </w:style>
  <w:style w:type="paragraph" w:styleId="Pokraovaniezoznamu5">
    <w:name w:val="List Continue 5"/>
    <w:basedOn w:val="Normlny"/>
    <w:uiPriority w:val="99"/>
    <w:semiHidden/>
    <w:unhideWhenUsed/>
    <w:pPr>
      <w:spacing w:after="120"/>
      <w:ind w:left="1415"/>
      <w:contextualSpacing/>
    </w:pPr>
  </w:style>
  <w:style w:type="paragraph" w:styleId="Zoznam2">
    <w:name w:val="List 2"/>
    <w:basedOn w:val="Normlny"/>
    <w:uiPriority w:val="99"/>
    <w:semiHidden/>
    <w:unhideWhenUsed/>
    <w:pPr>
      <w:ind w:left="566" w:hanging="283"/>
      <w:contextualSpacing/>
    </w:pPr>
  </w:style>
  <w:style w:type="paragraph" w:styleId="Zoznam3">
    <w:name w:val="List 3"/>
    <w:basedOn w:val="Normlny"/>
    <w:uiPriority w:val="99"/>
    <w:semiHidden/>
    <w:unhideWhenUsed/>
    <w:pPr>
      <w:ind w:left="849" w:hanging="283"/>
      <w:contextualSpacing/>
    </w:pPr>
  </w:style>
  <w:style w:type="paragraph" w:styleId="Zoznam4">
    <w:name w:val="List 4"/>
    <w:basedOn w:val="Normlny"/>
    <w:uiPriority w:val="99"/>
    <w:semiHidden/>
    <w:unhideWhenUsed/>
    <w:pPr>
      <w:ind w:left="1132" w:hanging="283"/>
      <w:contextualSpacing/>
    </w:pPr>
  </w:style>
  <w:style w:type="paragraph" w:styleId="Zoznam5">
    <w:name w:val="List 5"/>
    <w:basedOn w:val="Normlny"/>
    <w:uiPriority w:val="99"/>
    <w:semiHidden/>
    <w:unhideWhenUsed/>
    <w:pPr>
      <w:ind w:left="1415" w:hanging="283"/>
      <w:contextualSpacing/>
    </w:pPr>
  </w:style>
  <w:style w:type="paragraph" w:styleId="Textpoznmkypodiarou">
    <w:name w:val="footnote text"/>
    <w:basedOn w:val="Normlny"/>
    <w:link w:val="TextpoznmkypodiarouChar"/>
    <w:uiPriority w:val="99"/>
    <w:semiHidden/>
    <w:unhideWhenUsed/>
    <w:rPr>
      <w:sz w:val="20"/>
      <w:szCs w:val="20"/>
    </w:rPr>
  </w:style>
  <w:style w:type="character" w:customStyle="1" w:styleId="TextpoznmkypodiarouChar">
    <w:name w:val="Text poznámky pod čiarou Char"/>
    <w:link w:val="Textpoznmkypodiarou"/>
    <w:uiPriority w:val="99"/>
    <w:semiHidden/>
    <w:rPr>
      <w:lang w:val="en-US" w:eastAsia="en-US"/>
    </w:rPr>
  </w:style>
  <w:style w:type="paragraph" w:styleId="Register1">
    <w:name w:val="index 1"/>
    <w:basedOn w:val="Normlny"/>
    <w:next w:val="Normlny"/>
    <w:autoRedefine/>
    <w:uiPriority w:val="99"/>
    <w:semiHidden/>
    <w:unhideWhenUsed/>
    <w:pPr>
      <w:ind w:left="220" w:hanging="220"/>
    </w:pPr>
  </w:style>
  <w:style w:type="paragraph" w:styleId="Nadpisregistra">
    <w:name w:val="index heading"/>
    <w:basedOn w:val="Normlny"/>
    <w:next w:val="Register1"/>
    <w:uiPriority w:val="99"/>
    <w:semiHidden/>
    <w:unhideWhenUsed/>
    <w:rPr>
      <w:rFonts w:ascii="Cambria" w:eastAsia="Times New Roman" w:hAnsi="Cambria"/>
      <w:b/>
      <w:bCs/>
    </w:rPr>
  </w:style>
  <w:style w:type="paragraph" w:styleId="Register2">
    <w:name w:val="index 2"/>
    <w:basedOn w:val="Normlny"/>
    <w:next w:val="Normlny"/>
    <w:autoRedefine/>
    <w:uiPriority w:val="99"/>
    <w:semiHidden/>
    <w:unhideWhenUsed/>
    <w:pPr>
      <w:ind w:left="440" w:hanging="220"/>
    </w:pPr>
  </w:style>
  <w:style w:type="paragraph" w:styleId="Register3">
    <w:name w:val="index 3"/>
    <w:basedOn w:val="Normlny"/>
    <w:next w:val="Normlny"/>
    <w:autoRedefine/>
    <w:uiPriority w:val="99"/>
    <w:semiHidden/>
    <w:unhideWhenUsed/>
    <w:pPr>
      <w:ind w:left="660" w:hanging="220"/>
    </w:pPr>
  </w:style>
  <w:style w:type="paragraph" w:styleId="Register4">
    <w:name w:val="index 4"/>
    <w:basedOn w:val="Normlny"/>
    <w:next w:val="Normlny"/>
    <w:autoRedefine/>
    <w:uiPriority w:val="99"/>
    <w:semiHidden/>
    <w:unhideWhenUsed/>
    <w:pPr>
      <w:ind w:left="880" w:hanging="220"/>
    </w:pPr>
  </w:style>
  <w:style w:type="paragraph" w:styleId="Register5">
    <w:name w:val="index 5"/>
    <w:basedOn w:val="Normlny"/>
    <w:next w:val="Normlny"/>
    <w:autoRedefine/>
    <w:uiPriority w:val="99"/>
    <w:semiHidden/>
    <w:unhideWhenUsed/>
    <w:pPr>
      <w:ind w:left="1100" w:hanging="220"/>
    </w:pPr>
  </w:style>
  <w:style w:type="paragraph" w:styleId="Register6">
    <w:name w:val="index 6"/>
    <w:basedOn w:val="Normlny"/>
    <w:next w:val="Normlny"/>
    <w:autoRedefine/>
    <w:uiPriority w:val="99"/>
    <w:semiHidden/>
    <w:unhideWhenUsed/>
    <w:pPr>
      <w:ind w:left="1320" w:hanging="220"/>
    </w:pPr>
  </w:style>
  <w:style w:type="paragraph" w:styleId="Register7">
    <w:name w:val="index 7"/>
    <w:basedOn w:val="Normlny"/>
    <w:next w:val="Normlny"/>
    <w:autoRedefine/>
    <w:uiPriority w:val="99"/>
    <w:semiHidden/>
    <w:unhideWhenUsed/>
    <w:pPr>
      <w:ind w:left="1540" w:hanging="220"/>
    </w:pPr>
  </w:style>
  <w:style w:type="paragraph" w:styleId="Register8">
    <w:name w:val="index 8"/>
    <w:basedOn w:val="Normlny"/>
    <w:next w:val="Normlny"/>
    <w:autoRedefine/>
    <w:uiPriority w:val="99"/>
    <w:semiHidden/>
    <w:unhideWhenUsed/>
    <w:pPr>
      <w:ind w:left="1760" w:hanging="220"/>
    </w:pPr>
  </w:style>
  <w:style w:type="paragraph" w:styleId="Register9">
    <w:name w:val="index 9"/>
    <w:basedOn w:val="Normlny"/>
    <w:next w:val="Normlny"/>
    <w:autoRedefine/>
    <w:uiPriority w:val="99"/>
    <w:semiHidden/>
    <w:unhideWhenUsed/>
    <w:pPr>
      <w:ind w:left="1980" w:hanging="220"/>
    </w:pPr>
  </w:style>
  <w:style w:type="paragraph" w:styleId="Zkladntext">
    <w:name w:val="Body Text"/>
    <w:basedOn w:val="Normlny"/>
    <w:link w:val="ZkladntextChar"/>
    <w:uiPriority w:val="99"/>
    <w:semiHidden/>
    <w:unhideWhenUsed/>
    <w:pPr>
      <w:spacing w:after="120"/>
    </w:pPr>
  </w:style>
  <w:style w:type="character" w:customStyle="1" w:styleId="ZkladntextChar">
    <w:name w:val="Základný text Char"/>
    <w:link w:val="Zkladntext"/>
    <w:uiPriority w:val="99"/>
    <w:semiHidden/>
    <w:rPr>
      <w:sz w:val="22"/>
      <w:szCs w:val="22"/>
      <w:lang w:val="en-US" w:eastAsia="en-US"/>
    </w:rPr>
  </w:style>
  <w:style w:type="paragraph" w:styleId="Prvzarkazkladnhotextu">
    <w:name w:val="Body Text First Indent"/>
    <w:basedOn w:val="Zkladntext"/>
    <w:link w:val="PrvzarkazkladnhotextuChar"/>
    <w:uiPriority w:val="99"/>
    <w:semiHidden/>
    <w:unhideWhenUsed/>
    <w:pPr>
      <w:ind w:firstLine="210"/>
    </w:pPr>
  </w:style>
  <w:style w:type="character" w:customStyle="1" w:styleId="PrvzarkazkladnhotextuChar">
    <w:name w:val="Prvá zarážka základného textu Char"/>
    <w:basedOn w:val="ZkladntextChar"/>
    <w:link w:val="Prvzarkazkladnhotextu"/>
    <w:uiPriority w:val="99"/>
    <w:semiHidden/>
    <w:rPr>
      <w:sz w:val="22"/>
      <w:szCs w:val="22"/>
      <w:lang w:val="en-US" w:eastAsia="en-US"/>
    </w:rPr>
  </w:style>
  <w:style w:type="paragraph" w:styleId="Zarkazkladnhotextu">
    <w:name w:val="Body Text Indent"/>
    <w:basedOn w:val="Normlny"/>
    <w:link w:val="ZarkazkladnhotextuChar"/>
    <w:uiPriority w:val="99"/>
    <w:semiHidden/>
    <w:unhideWhenUsed/>
    <w:pPr>
      <w:spacing w:after="120"/>
      <w:ind w:left="283"/>
    </w:pPr>
  </w:style>
  <w:style w:type="character" w:customStyle="1" w:styleId="ZarkazkladnhotextuChar">
    <w:name w:val="Zarážka základného textu Char"/>
    <w:link w:val="Zarkazkladnhotextu"/>
    <w:uiPriority w:val="99"/>
    <w:semiHidden/>
    <w:rPr>
      <w:sz w:val="22"/>
      <w:szCs w:val="22"/>
      <w:lang w:val="en-US" w:eastAsia="en-US"/>
    </w:rPr>
  </w:style>
  <w:style w:type="paragraph" w:styleId="Prvzarkazkladnhotextu2">
    <w:name w:val="Body Text First Indent 2"/>
    <w:basedOn w:val="Zarkazkladnhotextu"/>
    <w:link w:val="Prvzarkazkladnhotextu2Char"/>
    <w:uiPriority w:val="99"/>
    <w:semiHidden/>
    <w:unhideWhenUsed/>
    <w:pPr>
      <w:ind w:firstLine="210"/>
    </w:pPr>
  </w:style>
  <w:style w:type="character" w:customStyle="1" w:styleId="Prvzarkazkladnhotextu2Char">
    <w:name w:val="Prvá zarážka základného textu 2 Char"/>
    <w:basedOn w:val="ZarkazkladnhotextuChar"/>
    <w:link w:val="Prvzarkazkladnhotextu2"/>
    <w:uiPriority w:val="99"/>
    <w:semiHidden/>
    <w:rPr>
      <w:sz w:val="22"/>
      <w:szCs w:val="22"/>
      <w:lang w:val="en-US" w:eastAsia="en-US"/>
    </w:rPr>
  </w:style>
  <w:style w:type="paragraph" w:styleId="Zarkazkladnhotextu2">
    <w:name w:val="Body Text Indent 2"/>
    <w:basedOn w:val="Normlny"/>
    <w:link w:val="Zarkazkladnhotextu2Char"/>
    <w:uiPriority w:val="99"/>
    <w:semiHidden/>
    <w:unhideWhenUsed/>
    <w:pPr>
      <w:spacing w:after="120" w:line="480" w:lineRule="auto"/>
      <w:ind w:left="283"/>
    </w:pPr>
  </w:style>
  <w:style w:type="character" w:customStyle="1" w:styleId="Zarkazkladnhotextu2Char">
    <w:name w:val="Zarážka základného textu 2 Char"/>
    <w:link w:val="Zarkazkladnhotextu2"/>
    <w:uiPriority w:val="99"/>
    <w:semiHidden/>
    <w:rPr>
      <w:sz w:val="22"/>
      <w:szCs w:val="22"/>
      <w:lang w:val="en-US" w:eastAsia="en-US"/>
    </w:rPr>
  </w:style>
  <w:style w:type="paragraph" w:styleId="Zarkazkladnhotextu3">
    <w:name w:val="Body Text Indent 3"/>
    <w:basedOn w:val="Normlny"/>
    <w:link w:val="Zarkazkladnhotextu3Char"/>
    <w:uiPriority w:val="99"/>
    <w:semiHidden/>
    <w:unhideWhenUsed/>
    <w:pPr>
      <w:spacing w:after="120"/>
      <w:ind w:left="283"/>
    </w:pPr>
    <w:rPr>
      <w:sz w:val="16"/>
      <w:szCs w:val="16"/>
    </w:rPr>
  </w:style>
  <w:style w:type="character" w:customStyle="1" w:styleId="Zarkazkladnhotextu3Char">
    <w:name w:val="Zarážka základného textu 3 Char"/>
    <w:link w:val="Zarkazkladnhotextu3"/>
    <w:uiPriority w:val="99"/>
    <w:semiHidden/>
    <w:rPr>
      <w:sz w:val="16"/>
      <w:szCs w:val="16"/>
      <w:lang w:val="en-US" w:eastAsia="en-US"/>
    </w:rPr>
  </w:style>
  <w:style w:type="paragraph" w:styleId="Zkladntext2">
    <w:name w:val="Body Text 2"/>
    <w:basedOn w:val="Normlny"/>
    <w:link w:val="Zkladntext2Char"/>
    <w:uiPriority w:val="99"/>
    <w:semiHidden/>
    <w:unhideWhenUsed/>
    <w:pPr>
      <w:spacing w:after="120" w:line="480" w:lineRule="auto"/>
    </w:pPr>
  </w:style>
  <w:style w:type="character" w:customStyle="1" w:styleId="Zkladntext2Char">
    <w:name w:val="Základný text 2 Char"/>
    <w:link w:val="Zkladntext2"/>
    <w:uiPriority w:val="99"/>
    <w:semiHidden/>
    <w:rPr>
      <w:sz w:val="22"/>
      <w:szCs w:val="22"/>
      <w:lang w:val="en-US" w:eastAsia="en-US"/>
    </w:rPr>
  </w:style>
  <w:style w:type="paragraph" w:styleId="Zkladntext3">
    <w:name w:val="Body Text 3"/>
    <w:basedOn w:val="Normlny"/>
    <w:link w:val="Zkladntext3Char"/>
    <w:uiPriority w:val="99"/>
    <w:semiHidden/>
    <w:unhideWhenUsed/>
    <w:pPr>
      <w:spacing w:after="120"/>
    </w:pPr>
    <w:rPr>
      <w:sz w:val="16"/>
      <w:szCs w:val="16"/>
    </w:rPr>
  </w:style>
  <w:style w:type="character" w:customStyle="1" w:styleId="Zkladntext3Char">
    <w:name w:val="Základný text 3 Char"/>
    <w:link w:val="Zkladntext3"/>
    <w:uiPriority w:val="99"/>
    <w:semiHidden/>
    <w:rPr>
      <w:sz w:val="16"/>
      <w:szCs w:val="16"/>
      <w:lang w:val="en-US" w:eastAsia="en-US"/>
    </w:rPr>
  </w:style>
  <w:style w:type="paragraph" w:styleId="Oslovenie">
    <w:name w:val="Salutation"/>
    <w:basedOn w:val="Normlny"/>
    <w:next w:val="Normlny"/>
    <w:link w:val="OslovenieChar"/>
    <w:uiPriority w:val="99"/>
    <w:semiHidden/>
    <w:unhideWhenUsed/>
  </w:style>
  <w:style w:type="character" w:customStyle="1" w:styleId="OslovenieChar">
    <w:name w:val="Oslovenie Char"/>
    <w:link w:val="Oslovenie"/>
    <w:uiPriority w:val="99"/>
    <w:semiHidden/>
    <w:rPr>
      <w:sz w:val="22"/>
      <w:szCs w:val="22"/>
      <w:lang w:val="en-US" w:eastAsia="en-US"/>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link w:val="Predmetkomentra"/>
    <w:uiPriority w:val="99"/>
    <w:semiHidden/>
    <w:rPr>
      <w:b/>
      <w:bCs/>
      <w:lang w:val="en-US" w:eastAsia="en-US"/>
    </w:rPr>
  </w:style>
  <w:style w:type="paragraph" w:styleId="Zver">
    <w:name w:val="Closing"/>
    <w:basedOn w:val="Normlny"/>
    <w:link w:val="ZverChar"/>
    <w:uiPriority w:val="99"/>
    <w:semiHidden/>
    <w:unhideWhenUsed/>
    <w:pPr>
      <w:ind w:left="4252"/>
    </w:pPr>
  </w:style>
  <w:style w:type="character" w:customStyle="1" w:styleId="ZverChar">
    <w:name w:val="Záver Char"/>
    <w:link w:val="Zver"/>
    <w:uiPriority w:val="99"/>
    <w:semiHidden/>
    <w:rPr>
      <w:sz w:val="22"/>
      <w:szCs w:val="22"/>
      <w:lang w:val="en-US" w:eastAsia="en-US"/>
    </w:rPr>
  </w:style>
  <w:style w:type="paragraph" w:styleId="truktradokumentu">
    <w:name w:val="Document Map"/>
    <w:basedOn w:val="Normlny"/>
    <w:link w:val="truktradokumentuChar"/>
    <w:uiPriority w:val="99"/>
    <w:semiHidden/>
    <w:unhideWhenUsed/>
    <w:rPr>
      <w:rFonts w:ascii="Tahoma" w:hAnsi="Tahoma"/>
      <w:sz w:val="16"/>
      <w:szCs w:val="16"/>
    </w:rPr>
  </w:style>
  <w:style w:type="character" w:customStyle="1" w:styleId="truktradokumentuChar">
    <w:name w:val="Štruktúra dokumentu Char"/>
    <w:link w:val="truktradokumentu"/>
    <w:uiPriority w:val="99"/>
    <w:semiHidden/>
    <w:rPr>
      <w:rFonts w:ascii="Tahoma" w:hAnsi="Tahoma" w:cs="Tahoma"/>
      <w:sz w:val="16"/>
      <w:szCs w:val="16"/>
      <w:lang w:val="en-US" w:eastAsia="en-US"/>
    </w:rPr>
  </w:style>
  <w:style w:type="paragraph" w:customStyle="1" w:styleId="HeadingcentredAgency">
    <w:name w:val="Heading centred (Agency)"/>
    <w:basedOn w:val="Normlny"/>
    <w:next w:val="Normlny"/>
    <w:qFormat/>
    <w:pPr>
      <w:keepNext/>
      <w:spacing w:before="280" w:after="220" w:line="240" w:lineRule="auto"/>
      <w:jc w:val="center"/>
      <w:outlineLvl w:val="0"/>
    </w:pPr>
    <w:rPr>
      <w:rFonts w:ascii="Verdana" w:eastAsia="Verdana" w:hAnsi="Verdana" w:cs="Arial"/>
      <w:b/>
      <w:bCs/>
      <w:kern w:val="32"/>
      <w:sz w:val="27"/>
      <w:szCs w:val="27"/>
      <w:lang w:val="en-GB" w:eastAsia="en-GB"/>
    </w:rPr>
  </w:style>
  <w:style w:type="numbering" w:customStyle="1" w:styleId="NumberlistAgency">
    <w:name w:val="Number list (Agency)"/>
    <w:basedOn w:val="Bezzoznamu"/>
    <w:pPr>
      <w:numPr>
        <w:numId w:val="24"/>
      </w:numPr>
    </w:pPr>
  </w:style>
  <w:style w:type="paragraph" w:styleId="Revzia">
    <w:name w:val="Revision"/>
    <w:hidden/>
    <w:uiPriority w:val="99"/>
    <w:semiHidden/>
    <w:rPr>
      <w:sz w:val="22"/>
      <w:szCs w:val="22"/>
    </w:rPr>
  </w:style>
  <w:style w:type="paragraph" w:customStyle="1" w:styleId="Default">
    <w:name w:val="Default"/>
    <w:pPr>
      <w:autoSpaceDE w:val="0"/>
      <w:autoSpaceDN w:val="0"/>
      <w:adjustRightInd w:val="0"/>
    </w:pPr>
    <w:rPr>
      <w:rFonts w:ascii="Verdana" w:eastAsiaTheme="minorHAnsi" w:hAnsi="Verdana" w:cs="Verdana"/>
      <w:color w:val="000000"/>
      <w:sz w:val="24"/>
      <w:szCs w:val="24"/>
      <w:lang w:val="sk-SK"/>
    </w:rPr>
  </w:style>
  <w:style w:type="character" w:styleId="PouitHypertextovPrepojenie">
    <w:name w:val="FollowedHyperlink"/>
    <w:basedOn w:val="Predvolenpsmoodseku"/>
    <w:uiPriority w:val="99"/>
    <w:semiHidden/>
    <w:unhideWhenUsed/>
    <w:rPr>
      <w:color w:val="954F72" w:themeColor="followedHyperlink"/>
      <w:u w:val="single"/>
    </w:rPr>
  </w:style>
  <w:style w:type="character" w:customStyle="1" w:styleId="Nevyrieenzmienka1">
    <w:name w:val="Nevyriešená zmienka1"/>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6929">
      <w:bodyDiv w:val="1"/>
      <w:marLeft w:val="0"/>
      <w:marRight w:val="0"/>
      <w:marTop w:val="0"/>
      <w:marBottom w:val="0"/>
      <w:divBdr>
        <w:top w:val="none" w:sz="0" w:space="0" w:color="auto"/>
        <w:left w:val="none" w:sz="0" w:space="0" w:color="auto"/>
        <w:bottom w:val="none" w:sz="0" w:space="0" w:color="auto"/>
        <w:right w:val="none" w:sz="0" w:space="0" w:color="auto"/>
      </w:divBdr>
    </w:div>
    <w:div w:id="403262511">
      <w:bodyDiv w:val="1"/>
      <w:marLeft w:val="0"/>
      <w:marRight w:val="0"/>
      <w:marTop w:val="0"/>
      <w:marBottom w:val="0"/>
      <w:divBdr>
        <w:top w:val="none" w:sz="0" w:space="0" w:color="auto"/>
        <w:left w:val="none" w:sz="0" w:space="0" w:color="auto"/>
        <w:bottom w:val="none" w:sz="0" w:space="0" w:color="auto"/>
        <w:right w:val="none" w:sz="0" w:space="0" w:color="auto"/>
      </w:divBdr>
    </w:div>
    <w:div w:id="430050653">
      <w:bodyDiv w:val="1"/>
      <w:marLeft w:val="0"/>
      <w:marRight w:val="0"/>
      <w:marTop w:val="0"/>
      <w:marBottom w:val="0"/>
      <w:divBdr>
        <w:top w:val="none" w:sz="0" w:space="0" w:color="auto"/>
        <w:left w:val="none" w:sz="0" w:space="0" w:color="auto"/>
        <w:bottom w:val="none" w:sz="0" w:space="0" w:color="auto"/>
        <w:right w:val="none" w:sz="0" w:space="0" w:color="auto"/>
      </w:divBdr>
      <w:divsChild>
        <w:div w:id="235016964">
          <w:marLeft w:val="0"/>
          <w:marRight w:val="0"/>
          <w:marTop w:val="0"/>
          <w:marBottom w:val="0"/>
          <w:divBdr>
            <w:top w:val="none" w:sz="0" w:space="0" w:color="auto"/>
            <w:left w:val="none" w:sz="0" w:space="0" w:color="auto"/>
            <w:bottom w:val="none" w:sz="0" w:space="0" w:color="auto"/>
            <w:right w:val="none" w:sz="0" w:space="0" w:color="auto"/>
          </w:divBdr>
          <w:divsChild>
            <w:div w:id="1852988740">
              <w:marLeft w:val="0"/>
              <w:marRight w:val="0"/>
              <w:marTop w:val="0"/>
              <w:marBottom w:val="0"/>
              <w:divBdr>
                <w:top w:val="none" w:sz="0" w:space="0" w:color="auto"/>
                <w:left w:val="none" w:sz="0" w:space="0" w:color="auto"/>
                <w:bottom w:val="none" w:sz="0" w:space="0" w:color="auto"/>
                <w:right w:val="none" w:sz="0" w:space="0" w:color="auto"/>
              </w:divBdr>
              <w:divsChild>
                <w:div w:id="753405409">
                  <w:marLeft w:val="0"/>
                  <w:marRight w:val="0"/>
                  <w:marTop w:val="0"/>
                  <w:marBottom w:val="0"/>
                  <w:divBdr>
                    <w:top w:val="none" w:sz="0" w:space="0" w:color="auto"/>
                    <w:left w:val="none" w:sz="0" w:space="0" w:color="auto"/>
                    <w:bottom w:val="none" w:sz="0" w:space="0" w:color="auto"/>
                    <w:right w:val="none" w:sz="0" w:space="0" w:color="auto"/>
                  </w:divBdr>
                  <w:divsChild>
                    <w:div w:id="1427653327">
                      <w:marLeft w:val="0"/>
                      <w:marRight w:val="0"/>
                      <w:marTop w:val="0"/>
                      <w:marBottom w:val="0"/>
                      <w:divBdr>
                        <w:top w:val="none" w:sz="0" w:space="0" w:color="auto"/>
                        <w:left w:val="none" w:sz="0" w:space="0" w:color="auto"/>
                        <w:bottom w:val="none" w:sz="0" w:space="0" w:color="auto"/>
                        <w:right w:val="none" w:sz="0" w:space="0" w:color="auto"/>
                      </w:divBdr>
                      <w:divsChild>
                        <w:div w:id="563564285">
                          <w:marLeft w:val="0"/>
                          <w:marRight w:val="0"/>
                          <w:marTop w:val="0"/>
                          <w:marBottom w:val="0"/>
                          <w:divBdr>
                            <w:top w:val="none" w:sz="0" w:space="0" w:color="auto"/>
                            <w:left w:val="none" w:sz="0" w:space="0" w:color="auto"/>
                            <w:bottom w:val="none" w:sz="0" w:space="0" w:color="auto"/>
                            <w:right w:val="none" w:sz="0" w:space="0" w:color="auto"/>
                          </w:divBdr>
                          <w:divsChild>
                            <w:div w:id="2123769269">
                              <w:marLeft w:val="0"/>
                              <w:marRight w:val="0"/>
                              <w:marTop w:val="0"/>
                              <w:marBottom w:val="0"/>
                              <w:divBdr>
                                <w:top w:val="none" w:sz="0" w:space="0" w:color="auto"/>
                                <w:left w:val="none" w:sz="0" w:space="0" w:color="auto"/>
                                <w:bottom w:val="none" w:sz="0" w:space="0" w:color="auto"/>
                                <w:right w:val="none" w:sz="0" w:space="0" w:color="auto"/>
                              </w:divBdr>
                              <w:divsChild>
                                <w:div w:id="431359513">
                                  <w:marLeft w:val="0"/>
                                  <w:marRight w:val="0"/>
                                  <w:marTop w:val="0"/>
                                  <w:marBottom w:val="0"/>
                                  <w:divBdr>
                                    <w:top w:val="none" w:sz="0" w:space="0" w:color="auto"/>
                                    <w:left w:val="none" w:sz="0" w:space="0" w:color="auto"/>
                                    <w:bottom w:val="none" w:sz="0" w:space="0" w:color="auto"/>
                                    <w:right w:val="none" w:sz="0" w:space="0" w:color="auto"/>
                                  </w:divBdr>
                                  <w:divsChild>
                                    <w:div w:id="258374522">
                                      <w:marLeft w:val="0"/>
                                      <w:marRight w:val="0"/>
                                      <w:marTop w:val="0"/>
                                      <w:marBottom w:val="0"/>
                                      <w:divBdr>
                                        <w:top w:val="single" w:sz="6" w:space="0" w:color="F5F5F5"/>
                                        <w:left w:val="single" w:sz="6" w:space="0" w:color="F5F5F5"/>
                                        <w:bottom w:val="single" w:sz="6" w:space="0" w:color="F5F5F5"/>
                                        <w:right w:val="single" w:sz="6" w:space="0" w:color="F5F5F5"/>
                                      </w:divBdr>
                                      <w:divsChild>
                                        <w:div w:id="1152406504">
                                          <w:marLeft w:val="0"/>
                                          <w:marRight w:val="0"/>
                                          <w:marTop w:val="0"/>
                                          <w:marBottom w:val="0"/>
                                          <w:divBdr>
                                            <w:top w:val="none" w:sz="0" w:space="0" w:color="auto"/>
                                            <w:left w:val="none" w:sz="0" w:space="0" w:color="auto"/>
                                            <w:bottom w:val="none" w:sz="0" w:space="0" w:color="auto"/>
                                            <w:right w:val="none" w:sz="0" w:space="0" w:color="auto"/>
                                          </w:divBdr>
                                          <w:divsChild>
                                            <w:div w:id="137391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9571656">
      <w:bodyDiv w:val="1"/>
      <w:marLeft w:val="0"/>
      <w:marRight w:val="0"/>
      <w:marTop w:val="0"/>
      <w:marBottom w:val="0"/>
      <w:divBdr>
        <w:top w:val="none" w:sz="0" w:space="0" w:color="auto"/>
        <w:left w:val="none" w:sz="0" w:space="0" w:color="auto"/>
        <w:bottom w:val="none" w:sz="0" w:space="0" w:color="auto"/>
        <w:right w:val="none" w:sz="0" w:space="0" w:color="auto"/>
      </w:divBdr>
      <w:divsChild>
        <w:div w:id="147291200">
          <w:marLeft w:val="0"/>
          <w:marRight w:val="0"/>
          <w:marTop w:val="0"/>
          <w:marBottom w:val="0"/>
          <w:divBdr>
            <w:top w:val="none" w:sz="0" w:space="0" w:color="auto"/>
            <w:left w:val="none" w:sz="0" w:space="0" w:color="auto"/>
            <w:bottom w:val="none" w:sz="0" w:space="0" w:color="auto"/>
            <w:right w:val="none" w:sz="0" w:space="0" w:color="auto"/>
          </w:divBdr>
        </w:div>
        <w:div w:id="161825315">
          <w:marLeft w:val="0"/>
          <w:marRight w:val="0"/>
          <w:marTop w:val="0"/>
          <w:marBottom w:val="0"/>
          <w:divBdr>
            <w:top w:val="none" w:sz="0" w:space="0" w:color="auto"/>
            <w:left w:val="none" w:sz="0" w:space="0" w:color="auto"/>
            <w:bottom w:val="none" w:sz="0" w:space="0" w:color="auto"/>
            <w:right w:val="none" w:sz="0" w:space="0" w:color="auto"/>
          </w:divBdr>
        </w:div>
        <w:div w:id="167134400">
          <w:marLeft w:val="0"/>
          <w:marRight w:val="0"/>
          <w:marTop w:val="0"/>
          <w:marBottom w:val="0"/>
          <w:divBdr>
            <w:top w:val="none" w:sz="0" w:space="0" w:color="auto"/>
            <w:left w:val="none" w:sz="0" w:space="0" w:color="auto"/>
            <w:bottom w:val="none" w:sz="0" w:space="0" w:color="auto"/>
            <w:right w:val="none" w:sz="0" w:space="0" w:color="auto"/>
          </w:divBdr>
        </w:div>
        <w:div w:id="241642255">
          <w:marLeft w:val="0"/>
          <w:marRight w:val="0"/>
          <w:marTop w:val="0"/>
          <w:marBottom w:val="0"/>
          <w:divBdr>
            <w:top w:val="none" w:sz="0" w:space="0" w:color="auto"/>
            <w:left w:val="none" w:sz="0" w:space="0" w:color="auto"/>
            <w:bottom w:val="none" w:sz="0" w:space="0" w:color="auto"/>
            <w:right w:val="none" w:sz="0" w:space="0" w:color="auto"/>
          </w:divBdr>
        </w:div>
        <w:div w:id="296692277">
          <w:marLeft w:val="0"/>
          <w:marRight w:val="0"/>
          <w:marTop w:val="0"/>
          <w:marBottom w:val="0"/>
          <w:divBdr>
            <w:top w:val="none" w:sz="0" w:space="0" w:color="auto"/>
            <w:left w:val="none" w:sz="0" w:space="0" w:color="auto"/>
            <w:bottom w:val="none" w:sz="0" w:space="0" w:color="auto"/>
            <w:right w:val="none" w:sz="0" w:space="0" w:color="auto"/>
          </w:divBdr>
        </w:div>
        <w:div w:id="410851138">
          <w:marLeft w:val="0"/>
          <w:marRight w:val="0"/>
          <w:marTop w:val="0"/>
          <w:marBottom w:val="0"/>
          <w:divBdr>
            <w:top w:val="none" w:sz="0" w:space="0" w:color="auto"/>
            <w:left w:val="none" w:sz="0" w:space="0" w:color="auto"/>
            <w:bottom w:val="none" w:sz="0" w:space="0" w:color="auto"/>
            <w:right w:val="none" w:sz="0" w:space="0" w:color="auto"/>
          </w:divBdr>
        </w:div>
        <w:div w:id="723795422">
          <w:marLeft w:val="0"/>
          <w:marRight w:val="0"/>
          <w:marTop w:val="0"/>
          <w:marBottom w:val="0"/>
          <w:divBdr>
            <w:top w:val="none" w:sz="0" w:space="0" w:color="auto"/>
            <w:left w:val="none" w:sz="0" w:space="0" w:color="auto"/>
            <w:bottom w:val="none" w:sz="0" w:space="0" w:color="auto"/>
            <w:right w:val="none" w:sz="0" w:space="0" w:color="auto"/>
          </w:divBdr>
        </w:div>
        <w:div w:id="1019085913">
          <w:marLeft w:val="0"/>
          <w:marRight w:val="0"/>
          <w:marTop w:val="0"/>
          <w:marBottom w:val="0"/>
          <w:divBdr>
            <w:top w:val="none" w:sz="0" w:space="0" w:color="auto"/>
            <w:left w:val="none" w:sz="0" w:space="0" w:color="auto"/>
            <w:bottom w:val="none" w:sz="0" w:space="0" w:color="auto"/>
            <w:right w:val="none" w:sz="0" w:space="0" w:color="auto"/>
          </w:divBdr>
        </w:div>
        <w:div w:id="1130322255">
          <w:marLeft w:val="0"/>
          <w:marRight w:val="0"/>
          <w:marTop w:val="0"/>
          <w:marBottom w:val="0"/>
          <w:divBdr>
            <w:top w:val="none" w:sz="0" w:space="0" w:color="auto"/>
            <w:left w:val="none" w:sz="0" w:space="0" w:color="auto"/>
            <w:bottom w:val="none" w:sz="0" w:space="0" w:color="auto"/>
            <w:right w:val="none" w:sz="0" w:space="0" w:color="auto"/>
          </w:divBdr>
        </w:div>
        <w:div w:id="1186670714">
          <w:marLeft w:val="0"/>
          <w:marRight w:val="0"/>
          <w:marTop w:val="0"/>
          <w:marBottom w:val="0"/>
          <w:divBdr>
            <w:top w:val="none" w:sz="0" w:space="0" w:color="auto"/>
            <w:left w:val="none" w:sz="0" w:space="0" w:color="auto"/>
            <w:bottom w:val="none" w:sz="0" w:space="0" w:color="auto"/>
            <w:right w:val="none" w:sz="0" w:space="0" w:color="auto"/>
          </w:divBdr>
        </w:div>
        <w:div w:id="1190148143">
          <w:marLeft w:val="0"/>
          <w:marRight w:val="0"/>
          <w:marTop w:val="0"/>
          <w:marBottom w:val="0"/>
          <w:divBdr>
            <w:top w:val="none" w:sz="0" w:space="0" w:color="auto"/>
            <w:left w:val="none" w:sz="0" w:space="0" w:color="auto"/>
            <w:bottom w:val="none" w:sz="0" w:space="0" w:color="auto"/>
            <w:right w:val="none" w:sz="0" w:space="0" w:color="auto"/>
          </w:divBdr>
        </w:div>
        <w:div w:id="1262639737">
          <w:marLeft w:val="0"/>
          <w:marRight w:val="0"/>
          <w:marTop w:val="0"/>
          <w:marBottom w:val="0"/>
          <w:divBdr>
            <w:top w:val="none" w:sz="0" w:space="0" w:color="auto"/>
            <w:left w:val="none" w:sz="0" w:space="0" w:color="auto"/>
            <w:bottom w:val="none" w:sz="0" w:space="0" w:color="auto"/>
            <w:right w:val="none" w:sz="0" w:space="0" w:color="auto"/>
          </w:divBdr>
        </w:div>
        <w:div w:id="1263680238">
          <w:marLeft w:val="0"/>
          <w:marRight w:val="0"/>
          <w:marTop w:val="0"/>
          <w:marBottom w:val="0"/>
          <w:divBdr>
            <w:top w:val="none" w:sz="0" w:space="0" w:color="auto"/>
            <w:left w:val="none" w:sz="0" w:space="0" w:color="auto"/>
            <w:bottom w:val="none" w:sz="0" w:space="0" w:color="auto"/>
            <w:right w:val="none" w:sz="0" w:space="0" w:color="auto"/>
          </w:divBdr>
        </w:div>
        <w:div w:id="1289237060">
          <w:marLeft w:val="0"/>
          <w:marRight w:val="0"/>
          <w:marTop w:val="0"/>
          <w:marBottom w:val="0"/>
          <w:divBdr>
            <w:top w:val="none" w:sz="0" w:space="0" w:color="auto"/>
            <w:left w:val="none" w:sz="0" w:space="0" w:color="auto"/>
            <w:bottom w:val="none" w:sz="0" w:space="0" w:color="auto"/>
            <w:right w:val="none" w:sz="0" w:space="0" w:color="auto"/>
          </w:divBdr>
        </w:div>
        <w:div w:id="1348210896">
          <w:marLeft w:val="0"/>
          <w:marRight w:val="0"/>
          <w:marTop w:val="0"/>
          <w:marBottom w:val="0"/>
          <w:divBdr>
            <w:top w:val="none" w:sz="0" w:space="0" w:color="auto"/>
            <w:left w:val="none" w:sz="0" w:space="0" w:color="auto"/>
            <w:bottom w:val="none" w:sz="0" w:space="0" w:color="auto"/>
            <w:right w:val="none" w:sz="0" w:space="0" w:color="auto"/>
          </w:divBdr>
        </w:div>
        <w:div w:id="1404909718">
          <w:marLeft w:val="0"/>
          <w:marRight w:val="0"/>
          <w:marTop w:val="0"/>
          <w:marBottom w:val="0"/>
          <w:divBdr>
            <w:top w:val="none" w:sz="0" w:space="0" w:color="auto"/>
            <w:left w:val="none" w:sz="0" w:space="0" w:color="auto"/>
            <w:bottom w:val="none" w:sz="0" w:space="0" w:color="auto"/>
            <w:right w:val="none" w:sz="0" w:space="0" w:color="auto"/>
          </w:divBdr>
        </w:div>
        <w:div w:id="1498493466">
          <w:marLeft w:val="0"/>
          <w:marRight w:val="0"/>
          <w:marTop w:val="0"/>
          <w:marBottom w:val="0"/>
          <w:divBdr>
            <w:top w:val="none" w:sz="0" w:space="0" w:color="auto"/>
            <w:left w:val="none" w:sz="0" w:space="0" w:color="auto"/>
            <w:bottom w:val="none" w:sz="0" w:space="0" w:color="auto"/>
            <w:right w:val="none" w:sz="0" w:space="0" w:color="auto"/>
          </w:divBdr>
        </w:div>
        <w:div w:id="1568028217">
          <w:marLeft w:val="0"/>
          <w:marRight w:val="0"/>
          <w:marTop w:val="0"/>
          <w:marBottom w:val="0"/>
          <w:divBdr>
            <w:top w:val="none" w:sz="0" w:space="0" w:color="auto"/>
            <w:left w:val="none" w:sz="0" w:space="0" w:color="auto"/>
            <w:bottom w:val="none" w:sz="0" w:space="0" w:color="auto"/>
            <w:right w:val="none" w:sz="0" w:space="0" w:color="auto"/>
          </w:divBdr>
        </w:div>
        <w:div w:id="1712614651">
          <w:marLeft w:val="0"/>
          <w:marRight w:val="0"/>
          <w:marTop w:val="0"/>
          <w:marBottom w:val="0"/>
          <w:divBdr>
            <w:top w:val="none" w:sz="0" w:space="0" w:color="auto"/>
            <w:left w:val="none" w:sz="0" w:space="0" w:color="auto"/>
            <w:bottom w:val="none" w:sz="0" w:space="0" w:color="auto"/>
            <w:right w:val="none" w:sz="0" w:space="0" w:color="auto"/>
          </w:divBdr>
        </w:div>
        <w:div w:id="1790659853">
          <w:marLeft w:val="0"/>
          <w:marRight w:val="0"/>
          <w:marTop w:val="0"/>
          <w:marBottom w:val="0"/>
          <w:divBdr>
            <w:top w:val="none" w:sz="0" w:space="0" w:color="auto"/>
            <w:left w:val="none" w:sz="0" w:space="0" w:color="auto"/>
            <w:bottom w:val="none" w:sz="0" w:space="0" w:color="auto"/>
            <w:right w:val="none" w:sz="0" w:space="0" w:color="auto"/>
          </w:divBdr>
        </w:div>
        <w:div w:id="1828865312">
          <w:marLeft w:val="0"/>
          <w:marRight w:val="0"/>
          <w:marTop w:val="0"/>
          <w:marBottom w:val="0"/>
          <w:divBdr>
            <w:top w:val="none" w:sz="0" w:space="0" w:color="auto"/>
            <w:left w:val="none" w:sz="0" w:space="0" w:color="auto"/>
            <w:bottom w:val="none" w:sz="0" w:space="0" w:color="auto"/>
            <w:right w:val="none" w:sz="0" w:space="0" w:color="auto"/>
          </w:divBdr>
        </w:div>
        <w:div w:id="1834639434">
          <w:marLeft w:val="0"/>
          <w:marRight w:val="0"/>
          <w:marTop w:val="0"/>
          <w:marBottom w:val="0"/>
          <w:divBdr>
            <w:top w:val="none" w:sz="0" w:space="0" w:color="auto"/>
            <w:left w:val="none" w:sz="0" w:space="0" w:color="auto"/>
            <w:bottom w:val="none" w:sz="0" w:space="0" w:color="auto"/>
            <w:right w:val="none" w:sz="0" w:space="0" w:color="auto"/>
          </w:divBdr>
        </w:div>
        <w:div w:id="1886793762">
          <w:marLeft w:val="0"/>
          <w:marRight w:val="0"/>
          <w:marTop w:val="0"/>
          <w:marBottom w:val="0"/>
          <w:divBdr>
            <w:top w:val="none" w:sz="0" w:space="0" w:color="auto"/>
            <w:left w:val="none" w:sz="0" w:space="0" w:color="auto"/>
            <w:bottom w:val="none" w:sz="0" w:space="0" w:color="auto"/>
            <w:right w:val="none" w:sz="0" w:space="0" w:color="auto"/>
          </w:divBdr>
        </w:div>
        <w:div w:id="1929582193">
          <w:marLeft w:val="0"/>
          <w:marRight w:val="0"/>
          <w:marTop w:val="0"/>
          <w:marBottom w:val="0"/>
          <w:divBdr>
            <w:top w:val="none" w:sz="0" w:space="0" w:color="auto"/>
            <w:left w:val="none" w:sz="0" w:space="0" w:color="auto"/>
            <w:bottom w:val="none" w:sz="0" w:space="0" w:color="auto"/>
            <w:right w:val="none" w:sz="0" w:space="0" w:color="auto"/>
          </w:divBdr>
        </w:div>
        <w:div w:id="1934507070">
          <w:marLeft w:val="0"/>
          <w:marRight w:val="0"/>
          <w:marTop w:val="0"/>
          <w:marBottom w:val="0"/>
          <w:divBdr>
            <w:top w:val="none" w:sz="0" w:space="0" w:color="auto"/>
            <w:left w:val="none" w:sz="0" w:space="0" w:color="auto"/>
            <w:bottom w:val="none" w:sz="0" w:space="0" w:color="auto"/>
            <w:right w:val="none" w:sz="0" w:space="0" w:color="auto"/>
          </w:divBdr>
        </w:div>
        <w:div w:id="1992982303">
          <w:marLeft w:val="0"/>
          <w:marRight w:val="0"/>
          <w:marTop w:val="0"/>
          <w:marBottom w:val="0"/>
          <w:divBdr>
            <w:top w:val="none" w:sz="0" w:space="0" w:color="auto"/>
            <w:left w:val="none" w:sz="0" w:space="0" w:color="auto"/>
            <w:bottom w:val="none" w:sz="0" w:space="0" w:color="auto"/>
            <w:right w:val="none" w:sz="0" w:space="0" w:color="auto"/>
          </w:divBdr>
        </w:div>
        <w:div w:id="2035303746">
          <w:marLeft w:val="0"/>
          <w:marRight w:val="0"/>
          <w:marTop w:val="0"/>
          <w:marBottom w:val="0"/>
          <w:divBdr>
            <w:top w:val="none" w:sz="0" w:space="0" w:color="auto"/>
            <w:left w:val="none" w:sz="0" w:space="0" w:color="auto"/>
            <w:bottom w:val="none" w:sz="0" w:space="0" w:color="auto"/>
            <w:right w:val="none" w:sz="0" w:space="0" w:color="auto"/>
          </w:divBdr>
        </w:div>
        <w:div w:id="2078630937">
          <w:marLeft w:val="0"/>
          <w:marRight w:val="0"/>
          <w:marTop w:val="0"/>
          <w:marBottom w:val="0"/>
          <w:divBdr>
            <w:top w:val="none" w:sz="0" w:space="0" w:color="auto"/>
            <w:left w:val="none" w:sz="0" w:space="0" w:color="auto"/>
            <w:bottom w:val="none" w:sz="0" w:space="0" w:color="auto"/>
            <w:right w:val="none" w:sz="0" w:space="0" w:color="auto"/>
          </w:divBdr>
        </w:div>
        <w:div w:id="2130121362">
          <w:marLeft w:val="0"/>
          <w:marRight w:val="0"/>
          <w:marTop w:val="0"/>
          <w:marBottom w:val="0"/>
          <w:divBdr>
            <w:top w:val="none" w:sz="0" w:space="0" w:color="auto"/>
            <w:left w:val="none" w:sz="0" w:space="0" w:color="auto"/>
            <w:bottom w:val="none" w:sz="0" w:space="0" w:color="auto"/>
            <w:right w:val="none" w:sz="0" w:space="0" w:color="auto"/>
          </w:divBdr>
        </w:div>
        <w:div w:id="2132434076">
          <w:marLeft w:val="0"/>
          <w:marRight w:val="0"/>
          <w:marTop w:val="0"/>
          <w:marBottom w:val="0"/>
          <w:divBdr>
            <w:top w:val="none" w:sz="0" w:space="0" w:color="auto"/>
            <w:left w:val="none" w:sz="0" w:space="0" w:color="auto"/>
            <w:bottom w:val="none" w:sz="0" w:space="0" w:color="auto"/>
            <w:right w:val="none" w:sz="0" w:space="0" w:color="auto"/>
          </w:divBdr>
        </w:div>
      </w:divsChild>
    </w:div>
    <w:div w:id="526793226">
      <w:bodyDiv w:val="1"/>
      <w:marLeft w:val="0"/>
      <w:marRight w:val="0"/>
      <w:marTop w:val="0"/>
      <w:marBottom w:val="0"/>
      <w:divBdr>
        <w:top w:val="none" w:sz="0" w:space="0" w:color="auto"/>
        <w:left w:val="none" w:sz="0" w:space="0" w:color="auto"/>
        <w:bottom w:val="none" w:sz="0" w:space="0" w:color="auto"/>
        <w:right w:val="none" w:sz="0" w:space="0" w:color="auto"/>
      </w:divBdr>
    </w:div>
    <w:div w:id="726494623">
      <w:bodyDiv w:val="1"/>
      <w:marLeft w:val="0"/>
      <w:marRight w:val="0"/>
      <w:marTop w:val="0"/>
      <w:marBottom w:val="0"/>
      <w:divBdr>
        <w:top w:val="none" w:sz="0" w:space="0" w:color="auto"/>
        <w:left w:val="none" w:sz="0" w:space="0" w:color="auto"/>
        <w:bottom w:val="none" w:sz="0" w:space="0" w:color="auto"/>
        <w:right w:val="none" w:sz="0" w:space="0" w:color="auto"/>
      </w:divBdr>
    </w:div>
    <w:div w:id="792285953">
      <w:bodyDiv w:val="1"/>
      <w:marLeft w:val="0"/>
      <w:marRight w:val="0"/>
      <w:marTop w:val="0"/>
      <w:marBottom w:val="0"/>
      <w:divBdr>
        <w:top w:val="none" w:sz="0" w:space="0" w:color="auto"/>
        <w:left w:val="none" w:sz="0" w:space="0" w:color="auto"/>
        <w:bottom w:val="none" w:sz="0" w:space="0" w:color="auto"/>
        <w:right w:val="none" w:sz="0" w:space="0" w:color="auto"/>
      </w:divBdr>
      <w:divsChild>
        <w:div w:id="120926042">
          <w:marLeft w:val="0"/>
          <w:marRight w:val="0"/>
          <w:marTop w:val="0"/>
          <w:marBottom w:val="0"/>
          <w:divBdr>
            <w:top w:val="none" w:sz="0" w:space="0" w:color="auto"/>
            <w:left w:val="none" w:sz="0" w:space="0" w:color="auto"/>
            <w:bottom w:val="none" w:sz="0" w:space="0" w:color="auto"/>
            <w:right w:val="none" w:sz="0" w:space="0" w:color="auto"/>
          </w:divBdr>
        </w:div>
        <w:div w:id="651718627">
          <w:marLeft w:val="0"/>
          <w:marRight w:val="0"/>
          <w:marTop w:val="0"/>
          <w:marBottom w:val="0"/>
          <w:divBdr>
            <w:top w:val="none" w:sz="0" w:space="0" w:color="auto"/>
            <w:left w:val="none" w:sz="0" w:space="0" w:color="auto"/>
            <w:bottom w:val="none" w:sz="0" w:space="0" w:color="auto"/>
            <w:right w:val="none" w:sz="0" w:space="0" w:color="auto"/>
          </w:divBdr>
        </w:div>
        <w:div w:id="977538101">
          <w:marLeft w:val="0"/>
          <w:marRight w:val="0"/>
          <w:marTop w:val="0"/>
          <w:marBottom w:val="0"/>
          <w:divBdr>
            <w:top w:val="none" w:sz="0" w:space="0" w:color="auto"/>
            <w:left w:val="none" w:sz="0" w:space="0" w:color="auto"/>
            <w:bottom w:val="none" w:sz="0" w:space="0" w:color="auto"/>
            <w:right w:val="none" w:sz="0" w:space="0" w:color="auto"/>
          </w:divBdr>
        </w:div>
        <w:div w:id="1196574206">
          <w:marLeft w:val="0"/>
          <w:marRight w:val="0"/>
          <w:marTop w:val="0"/>
          <w:marBottom w:val="0"/>
          <w:divBdr>
            <w:top w:val="none" w:sz="0" w:space="0" w:color="auto"/>
            <w:left w:val="none" w:sz="0" w:space="0" w:color="auto"/>
            <w:bottom w:val="none" w:sz="0" w:space="0" w:color="auto"/>
            <w:right w:val="none" w:sz="0" w:space="0" w:color="auto"/>
          </w:divBdr>
        </w:div>
        <w:div w:id="1667786742">
          <w:marLeft w:val="0"/>
          <w:marRight w:val="0"/>
          <w:marTop w:val="0"/>
          <w:marBottom w:val="0"/>
          <w:divBdr>
            <w:top w:val="none" w:sz="0" w:space="0" w:color="auto"/>
            <w:left w:val="none" w:sz="0" w:space="0" w:color="auto"/>
            <w:bottom w:val="none" w:sz="0" w:space="0" w:color="auto"/>
            <w:right w:val="none" w:sz="0" w:space="0" w:color="auto"/>
          </w:divBdr>
        </w:div>
        <w:div w:id="1964605225">
          <w:marLeft w:val="0"/>
          <w:marRight w:val="0"/>
          <w:marTop w:val="0"/>
          <w:marBottom w:val="0"/>
          <w:divBdr>
            <w:top w:val="none" w:sz="0" w:space="0" w:color="auto"/>
            <w:left w:val="none" w:sz="0" w:space="0" w:color="auto"/>
            <w:bottom w:val="none" w:sz="0" w:space="0" w:color="auto"/>
            <w:right w:val="none" w:sz="0" w:space="0" w:color="auto"/>
          </w:divBdr>
        </w:div>
        <w:div w:id="2002660800">
          <w:marLeft w:val="0"/>
          <w:marRight w:val="0"/>
          <w:marTop w:val="0"/>
          <w:marBottom w:val="0"/>
          <w:divBdr>
            <w:top w:val="none" w:sz="0" w:space="0" w:color="auto"/>
            <w:left w:val="none" w:sz="0" w:space="0" w:color="auto"/>
            <w:bottom w:val="none" w:sz="0" w:space="0" w:color="auto"/>
            <w:right w:val="none" w:sz="0" w:space="0" w:color="auto"/>
          </w:divBdr>
        </w:div>
        <w:div w:id="2070640898">
          <w:marLeft w:val="0"/>
          <w:marRight w:val="0"/>
          <w:marTop w:val="0"/>
          <w:marBottom w:val="0"/>
          <w:divBdr>
            <w:top w:val="none" w:sz="0" w:space="0" w:color="auto"/>
            <w:left w:val="none" w:sz="0" w:space="0" w:color="auto"/>
            <w:bottom w:val="none" w:sz="0" w:space="0" w:color="auto"/>
            <w:right w:val="none" w:sz="0" w:space="0" w:color="auto"/>
          </w:divBdr>
        </w:div>
      </w:divsChild>
    </w:div>
    <w:div w:id="884947644">
      <w:bodyDiv w:val="1"/>
      <w:marLeft w:val="0"/>
      <w:marRight w:val="0"/>
      <w:marTop w:val="0"/>
      <w:marBottom w:val="0"/>
      <w:divBdr>
        <w:top w:val="none" w:sz="0" w:space="0" w:color="auto"/>
        <w:left w:val="none" w:sz="0" w:space="0" w:color="auto"/>
        <w:bottom w:val="none" w:sz="0" w:space="0" w:color="auto"/>
        <w:right w:val="none" w:sz="0" w:space="0" w:color="auto"/>
      </w:divBdr>
    </w:div>
    <w:div w:id="1016036685">
      <w:bodyDiv w:val="1"/>
      <w:marLeft w:val="0"/>
      <w:marRight w:val="0"/>
      <w:marTop w:val="0"/>
      <w:marBottom w:val="0"/>
      <w:divBdr>
        <w:top w:val="none" w:sz="0" w:space="0" w:color="auto"/>
        <w:left w:val="none" w:sz="0" w:space="0" w:color="auto"/>
        <w:bottom w:val="none" w:sz="0" w:space="0" w:color="auto"/>
        <w:right w:val="none" w:sz="0" w:space="0" w:color="auto"/>
      </w:divBdr>
    </w:div>
    <w:div w:id="1580367663">
      <w:bodyDiv w:val="1"/>
      <w:marLeft w:val="0"/>
      <w:marRight w:val="0"/>
      <w:marTop w:val="0"/>
      <w:marBottom w:val="0"/>
      <w:divBdr>
        <w:top w:val="none" w:sz="0" w:space="0" w:color="auto"/>
        <w:left w:val="none" w:sz="0" w:space="0" w:color="auto"/>
        <w:bottom w:val="none" w:sz="0" w:space="0" w:color="auto"/>
        <w:right w:val="none" w:sz="0" w:space="0" w:color="auto"/>
      </w:divBdr>
      <w:divsChild>
        <w:div w:id="847989701">
          <w:marLeft w:val="0"/>
          <w:marRight w:val="0"/>
          <w:marTop w:val="0"/>
          <w:marBottom w:val="0"/>
          <w:divBdr>
            <w:top w:val="none" w:sz="0" w:space="0" w:color="auto"/>
            <w:left w:val="none" w:sz="0" w:space="0" w:color="auto"/>
            <w:bottom w:val="none" w:sz="0" w:space="0" w:color="auto"/>
            <w:right w:val="none" w:sz="0" w:space="0" w:color="auto"/>
          </w:divBdr>
        </w:div>
        <w:div w:id="951741639">
          <w:marLeft w:val="0"/>
          <w:marRight w:val="0"/>
          <w:marTop w:val="0"/>
          <w:marBottom w:val="0"/>
          <w:divBdr>
            <w:top w:val="none" w:sz="0" w:space="0" w:color="auto"/>
            <w:left w:val="none" w:sz="0" w:space="0" w:color="auto"/>
            <w:bottom w:val="none" w:sz="0" w:space="0" w:color="auto"/>
            <w:right w:val="none" w:sz="0" w:space="0" w:color="auto"/>
          </w:divBdr>
        </w:div>
        <w:div w:id="1221791960">
          <w:marLeft w:val="0"/>
          <w:marRight w:val="0"/>
          <w:marTop w:val="0"/>
          <w:marBottom w:val="0"/>
          <w:divBdr>
            <w:top w:val="none" w:sz="0" w:space="0" w:color="auto"/>
            <w:left w:val="none" w:sz="0" w:space="0" w:color="auto"/>
            <w:bottom w:val="none" w:sz="0" w:space="0" w:color="auto"/>
            <w:right w:val="none" w:sz="0" w:space="0" w:color="auto"/>
          </w:divBdr>
        </w:div>
        <w:div w:id="1630167125">
          <w:marLeft w:val="0"/>
          <w:marRight w:val="0"/>
          <w:marTop w:val="0"/>
          <w:marBottom w:val="0"/>
          <w:divBdr>
            <w:top w:val="none" w:sz="0" w:space="0" w:color="auto"/>
            <w:left w:val="none" w:sz="0" w:space="0" w:color="auto"/>
            <w:bottom w:val="none" w:sz="0" w:space="0" w:color="auto"/>
            <w:right w:val="none" w:sz="0" w:space="0" w:color="auto"/>
          </w:divBdr>
        </w:div>
        <w:div w:id="1690792354">
          <w:marLeft w:val="0"/>
          <w:marRight w:val="0"/>
          <w:marTop w:val="0"/>
          <w:marBottom w:val="0"/>
          <w:divBdr>
            <w:top w:val="none" w:sz="0" w:space="0" w:color="auto"/>
            <w:left w:val="none" w:sz="0" w:space="0" w:color="auto"/>
            <w:bottom w:val="none" w:sz="0" w:space="0" w:color="auto"/>
            <w:right w:val="none" w:sz="0" w:space="0" w:color="auto"/>
          </w:divBdr>
        </w:div>
        <w:div w:id="1876966261">
          <w:marLeft w:val="0"/>
          <w:marRight w:val="0"/>
          <w:marTop w:val="0"/>
          <w:marBottom w:val="0"/>
          <w:divBdr>
            <w:top w:val="none" w:sz="0" w:space="0" w:color="auto"/>
            <w:left w:val="none" w:sz="0" w:space="0" w:color="auto"/>
            <w:bottom w:val="none" w:sz="0" w:space="0" w:color="auto"/>
            <w:right w:val="none" w:sz="0" w:space="0" w:color="auto"/>
          </w:divBdr>
        </w:div>
        <w:div w:id="2146047550">
          <w:marLeft w:val="0"/>
          <w:marRight w:val="0"/>
          <w:marTop w:val="0"/>
          <w:marBottom w:val="0"/>
          <w:divBdr>
            <w:top w:val="none" w:sz="0" w:space="0" w:color="auto"/>
            <w:left w:val="none" w:sz="0" w:space="0" w:color="auto"/>
            <w:bottom w:val="none" w:sz="0" w:space="0" w:color="auto"/>
            <w:right w:val="none" w:sz="0" w:space="0" w:color="auto"/>
          </w:divBdr>
        </w:div>
      </w:divsChild>
    </w:div>
    <w:div w:id="1791822462">
      <w:bodyDiv w:val="1"/>
      <w:marLeft w:val="0"/>
      <w:marRight w:val="0"/>
      <w:marTop w:val="0"/>
      <w:marBottom w:val="0"/>
      <w:divBdr>
        <w:top w:val="none" w:sz="0" w:space="0" w:color="auto"/>
        <w:left w:val="none" w:sz="0" w:space="0" w:color="auto"/>
        <w:bottom w:val="none" w:sz="0" w:space="0" w:color="auto"/>
        <w:right w:val="none" w:sz="0" w:space="0" w:color="auto"/>
      </w:divBdr>
      <w:divsChild>
        <w:div w:id="165638366">
          <w:marLeft w:val="0"/>
          <w:marRight w:val="0"/>
          <w:marTop w:val="0"/>
          <w:marBottom w:val="0"/>
          <w:divBdr>
            <w:top w:val="none" w:sz="0" w:space="0" w:color="auto"/>
            <w:left w:val="none" w:sz="0" w:space="0" w:color="auto"/>
            <w:bottom w:val="none" w:sz="0" w:space="0" w:color="auto"/>
            <w:right w:val="none" w:sz="0" w:space="0" w:color="auto"/>
          </w:divBdr>
        </w:div>
        <w:div w:id="569077478">
          <w:marLeft w:val="0"/>
          <w:marRight w:val="0"/>
          <w:marTop w:val="0"/>
          <w:marBottom w:val="0"/>
          <w:divBdr>
            <w:top w:val="none" w:sz="0" w:space="0" w:color="auto"/>
            <w:left w:val="none" w:sz="0" w:space="0" w:color="auto"/>
            <w:bottom w:val="none" w:sz="0" w:space="0" w:color="auto"/>
            <w:right w:val="none" w:sz="0" w:space="0" w:color="auto"/>
          </w:divBdr>
        </w:div>
        <w:div w:id="787895727">
          <w:marLeft w:val="0"/>
          <w:marRight w:val="0"/>
          <w:marTop w:val="0"/>
          <w:marBottom w:val="0"/>
          <w:divBdr>
            <w:top w:val="none" w:sz="0" w:space="0" w:color="auto"/>
            <w:left w:val="none" w:sz="0" w:space="0" w:color="auto"/>
            <w:bottom w:val="none" w:sz="0" w:space="0" w:color="auto"/>
            <w:right w:val="none" w:sz="0" w:space="0" w:color="auto"/>
          </w:divBdr>
        </w:div>
        <w:div w:id="932082459">
          <w:marLeft w:val="0"/>
          <w:marRight w:val="0"/>
          <w:marTop w:val="0"/>
          <w:marBottom w:val="0"/>
          <w:divBdr>
            <w:top w:val="none" w:sz="0" w:space="0" w:color="auto"/>
            <w:left w:val="none" w:sz="0" w:space="0" w:color="auto"/>
            <w:bottom w:val="none" w:sz="0" w:space="0" w:color="auto"/>
            <w:right w:val="none" w:sz="0" w:space="0" w:color="auto"/>
          </w:divBdr>
        </w:div>
        <w:div w:id="1112896001">
          <w:marLeft w:val="0"/>
          <w:marRight w:val="0"/>
          <w:marTop w:val="0"/>
          <w:marBottom w:val="0"/>
          <w:divBdr>
            <w:top w:val="none" w:sz="0" w:space="0" w:color="auto"/>
            <w:left w:val="none" w:sz="0" w:space="0" w:color="auto"/>
            <w:bottom w:val="none" w:sz="0" w:space="0" w:color="auto"/>
            <w:right w:val="none" w:sz="0" w:space="0" w:color="auto"/>
          </w:divBdr>
        </w:div>
        <w:div w:id="1135097611">
          <w:marLeft w:val="0"/>
          <w:marRight w:val="0"/>
          <w:marTop w:val="0"/>
          <w:marBottom w:val="0"/>
          <w:divBdr>
            <w:top w:val="none" w:sz="0" w:space="0" w:color="auto"/>
            <w:left w:val="none" w:sz="0" w:space="0" w:color="auto"/>
            <w:bottom w:val="none" w:sz="0" w:space="0" w:color="auto"/>
            <w:right w:val="none" w:sz="0" w:space="0" w:color="auto"/>
          </w:divBdr>
        </w:div>
        <w:div w:id="1199660847">
          <w:marLeft w:val="0"/>
          <w:marRight w:val="0"/>
          <w:marTop w:val="0"/>
          <w:marBottom w:val="0"/>
          <w:divBdr>
            <w:top w:val="none" w:sz="0" w:space="0" w:color="auto"/>
            <w:left w:val="none" w:sz="0" w:space="0" w:color="auto"/>
            <w:bottom w:val="none" w:sz="0" w:space="0" w:color="auto"/>
            <w:right w:val="none" w:sz="0" w:space="0" w:color="auto"/>
          </w:divBdr>
        </w:div>
        <w:div w:id="1950307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ema.europa.eu"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s://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B2851-B478-4223-AE31-D02D55CA21C7}">
  <ds:schemaRefs>
    <ds:schemaRef ds:uri="http://schemas.openxmlformats.org/officeDocument/2006/bibliography"/>
  </ds:schemaRefs>
</ds:datastoreItem>
</file>

<file path=customXml/itemProps2.xml><?xml version="1.0" encoding="utf-8"?>
<ds:datastoreItem xmlns:ds="http://schemas.openxmlformats.org/officeDocument/2006/customXml" ds:itemID="{057FEA83-102A-4CAF-A2C2-0C94D767A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21738</Words>
  <Characters>123913</Characters>
  <Application>Microsoft Office Word</Application>
  <DocSecurity>0</DocSecurity>
  <Lines>1032</Lines>
  <Paragraphs>290</Paragraphs>
  <ScaleCrop>false</ScaleCrop>
  <HeadingPairs>
    <vt:vector size="6" baseType="variant">
      <vt:variant>
        <vt:lpstr>Názov</vt:lpstr>
      </vt:variant>
      <vt:variant>
        <vt:i4>1</vt:i4>
      </vt:variant>
      <vt:variant>
        <vt:lpstr>Naslov</vt:lpstr>
      </vt:variant>
      <vt:variant>
        <vt:i4>1</vt:i4>
      </vt:variant>
      <vt:variant>
        <vt:lpstr>Title</vt:lpstr>
      </vt:variant>
      <vt:variant>
        <vt:i4>1</vt:i4>
      </vt:variant>
    </vt:vector>
  </HeadingPairs>
  <TitlesOfParts>
    <vt:vector size="3" baseType="lpstr">
      <vt:lpstr>Tolucombi, INN - telmisartan/hydrochlorothiazide</vt:lpstr>
      <vt:lpstr>Tolucombi, INN - telmisartan/hydrochlorothiazide</vt:lpstr>
      <vt:lpstr/>
    </vt:vector>
  </TitlesOfParts>
  <Company>Krka, d.d.</Company>
  <LinksUpToDate>false</LinksUpToDate>
  <CharactersWithSpaces>145361</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Tolucombi, INN - telmisartan/hydrochlorothiazide</dc:title>
  <dc:subject>EPAR</dc:subject>
  <dc:creator>CHMP</dc:creator>
  <cp:keywords>Tolucombi, INN - telmisartan/hydrochlorothiazide</cp:keywords>
  <cp:lastModifiedBy>Hečková, Katarína</cp:lastModifiedBy>
  <cp:revision>2</cp:revision>
  <cp:lastPrinted>2025-11-11T11:39:00Z</cp:lastPrinted>
  <dcterms:created xsi:type="dcterms:W3CDTF">2026-02-11T11:55:00Z</dcterms:created>
  <dcterms:modified xsi:type="dcterms:W3CDTF">2026-02-11T11:55:00Z</dcterms:modified>
</cp:coreProperties>
</file>