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6651" w14:textId="77777777" w:rsidR="009A4D97" w:rsidRDefault="009A4D97">
      <w:pPr>
        <w:spacing w:after="0" w:line="240" w:lineRule="auto"/>
        <w:jc w:val="center"/>
        <w:rPr>
          <w:rFonts w:ascii="Arial Narrow" w:hAnsi="Arial Narrow"/>
          <w:b/>
          <w:color w:val="000000"/>
          <w:sz w:val="28"/>
          <w:szCs w:val="24"/>
        </w:rPr>
      </w:pPr>
    </w:p>
    <w:p w14:paraId="2E7C05B9" w14:textId="77777777" w:rsidR="009A4D97" w:rsidRDefault="009A4D97">
      <w:pPr>
        <w:spacing w:after="0" w:line="240" w:lineRule="auto"/>
        <w:jc w:val="center"/>
        <w:rPr>
          <w:rFonts w:ascii="Arial Narrow" w:hAnsi="Arial Narrow"/>
          <w:b/>
          <w:color w:val="000000"/>
          <w:sz w:val="28"/>
          <w:szCs w:val="24"/>
        </w:rPr>
      </w:pPr>
    </w:p>
    <w:p w14:paraId="321E1D1A" w14:textId="0D591B61" w:rsidR="006B151F" w:rsidRDefault="00B22EFE">
      <w:pPr>
        <w:spacing w:after="0" w:line="240" w:lineRule="auto"/>
        <w:jc w:val="center"/>
        <w:rPr>
          <w:rFonts w:ascii="Arial Narrow" w:hAnsi="Arial Narrow"/>
          <w:b/>
          <w:color w:val="000000"/>
          <w:sz w:val="28"/>
          <w:szCs w:val="24"/>
        </w:rPr>
      </w:pPr>
      <w:r>
        <w:rPr>
          <w:rFonts w:ascii="Arial Narrow" w:hAnsi="Arial Narrow"/>
          <w:b/>
          <w:color w:val="000000"/>
          <w:sz w:val="28"/>
          <w:szCs w:val="24"/>
        </w:rPr>
        <w:t>Vyhodnotenie dotazníka spokojnosti klienta</w:t>
      </w:r>
    </w:p>
    <w:p w14:paraId="321E1D1C" w14:textId="75693E76" w:rsidR="006B151F" w:rsidRDefault="00B22EFE" w:rsidP="00136E9D">
      <w:pPr>
        <w:spacing w:before="240" w:after="240" w:line="480" w:lineRule="auto"/>
        <w:jc w:val="center"/>
        <w:rPr>
          <w:rFonts w:ascii="Arial Narrow" w:hAnsi="Arial Narrow"/>
          <w:b/>
          <w:color w:val="000000"/>
          <w:sz w:val="28"/>
          <w:szCs w:val="24"/>
        </w:rPr>
      </w:pPr>
      <w:r>
        <w:rPr>
          <w:rFonts w:ascii="Arial Narrow" w:hAnsi="Arial Narrow"/>
          <w:b/>
          <w:color w:val="000000"/>
          <w:sz w:val="28"/>
          <w:szCs w:val="24"/>
        </w:rPr>
        <w:t>za roky 202</w:t>
      </w:r>
      <w:r w:rsidR="00962384">
        <w:rPr>
          <w:rFonts w:ascii="Arial Narrow" w:hAnsi="Arial Narrow"/>
          <w:b/>
          <w:color w:val="000000"/>
          <w:sz w:val="28"/>
          <w:szCs w:val="24"/>
        </w:rPr>
        <w:t>1</w:t>
      </w:r>
      <w:r>
        <w:rPr>
          <w:rFonts w:ascii="Arial Narrow" w:hAnsi="Arial Narrow"/>
          <w:b/>
          <w:color w:val="000000"/>
          <w:sz w:val="28"/>
          <w:szCs w:val="24"/>
        </w:rPr>
        <w:t>-202</w:t>
      </w:r>
      <w:r w:rsidR="00962384">
        <w:rPr>
          <w:rFonts w:ascii="Arial Narrow" w:hAnsi="Arial Narrow"/>
          <w:b/>
          <w:color w:val="000000"/>
          <w:sz w:val="28"/>
          <w:szCs w:val="24"/>
        </w:rPr>
        <w:t>4</w:t>
      </w:r>
    </w:p>
    <w:p w14:paraId="6355674C" w14:textId="5A4E8876" w:rsidR="009A4D97" w:rsidRDefault="009A4D97" w:rsidP="009A4D97">
      <w:pPr>
        <w:tabs>
          <w:tab w:val="left" w:pos="5232"/>
        </w:tabs>
        <w:spacing w:before="240" w:after="240" w:line="480" w:lineRule="auto"/>
        <w:rPr>
          <w:rFonts w:ascii="Arial Narrow" w:hAnsi="Arial Narrow"/>
          <w:b/>
          <w:color w:val="000000"/>
          <w:sz w:val="28"/>
          <w:szCs w:val="24"/>
        </w:rPr>
      </w:pPr>
      <w:r>
        <w:rPr>
          <w:rFonts w:ascii="Arial Narrow" w:hAnsi="Arial Narrow"/>
          <w:b/>
          <w:color w:val="000000"/>
          <w:sz w:val="28"/>
          <w:szCs w:val="24"/>
        </w:rPr>
        <w:tab/>
      </w:r>
    </w:p>
    <w:p w14:paraId="321E1D1D" w14:textId="77777777" w:rsidR="006B151F" w:rsidRDefault="00B22EFE">
      <w:p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Vážení klienti, ďakujeme vám za vašu spätnú väzbu poskytnutú prostredníctvom odpovedí na naše otázky uvedené v dotazníku, ktorý je voľne dostupný na našom internetovom portáli</w:t>
      </w:r>
    </w:p>
    <w:p w14:paraId="321E1D1E" w14:textId="70910FDF" w:rsidR="006B151F" w:rsidRDefault="00B22EFE">
      <w:pPr>
        <w:spacing w:after="60"/>
        <w:jc w:val="both"/>
      </w:pPr>
      <w:r>
        <w:rPr>
          <w:rFonts w:ascii="Arial Narrow" w:hAnsi="Arial Narrow"/>
          <w:b/>
          <w:bCs/>
          <w:sz w:val="24"/>
          <w:szCs w:val="24"/>
        </w:rPr>
        <w:t>ŠÚKL</w:t>
      </w:r>
      <w:r>
        <w:rPr>
          <w:rFonts w:ascii="Arial Narrow" w:hAnsi="Arial Narrow"/>
          <w:sz w:val="24"/>
          <w:szCs w:val="24"/>
        </w:rPr>
        <w:t>\O nás\Dotazníky\Vyhodnotenie dotazníka spokojnosti zákazníka za roky 202</w:t>
      </w:r>
      <w:r w:rsidR="00962384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-202</w:t>
      </w:r>
      <w:r w:rsidR="0096238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</w:p>
    <w:p w14:paraId="321E1D1F" w14:textId="77777777" w:rsidR="006B151F" w:rsidRDefault="006B151F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321E1D20" w14:textId="47DA8217" w:rsidR="006B151F" w:rsidRDefault="00B22EFE" w:rsidP="00C47E91">
      <w:pPr>
        <w:spacing w:after="60" w:line="276" w:lineRule="auto"/>
        <w:jc w:val="both"/>
      </w:pPr>
      <w:r>
        <w:rPr>
          <w:rFonts w:ascii="Arial Narrow" w:hAnsi="Arial Narrow"/>
          <w:sz w:val="24"/>
          <w:szCs w:val="24"/>
        </w:rPr>
        <w:t xml:space="preserve">Dotazník bol rozposlaný prostredníctvom e-mailovej komunikácie </w:t>
      </w:r>
      <w:r>
        <w:rPr>
          <w:rFonts w:ascii="Arial Narrow" w:hAnsi="Arial Narrow"/>
          <w:b/>
          <w:sz w:val="24"/>
          <w:szCs w:val="24"/>
        </w:rPr>
        <w:t>6</w:t>
      </w:r>
      <w:r w:rsidR="00962384">
        <w:rPr>
          <w:rFonts w:ascii="Arial Narrow" w:hAnsi="Arial Narrow"/>
          <w:b/>
          <w:sz w:val="24"/>
          <w:szCs w:val="24"/>
        </w:rPr>
        <w:t>91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zákazníkom, ktorým sme poskytovali služby v roku 2023. Vrátilo sa nám </w:t>
      </w:r>
      <w:r w:rsidR="00962384">
        <w:rPr>
          <w:rFonts w:ascii="Arial Narrow" w:hAnsi="Arial Narrow"/>
          <w:b/>
          <w:sz w:val="24"/>
          <w:szCs w:val="24"/>
        </w:rPr>
        <w:t>86</w:t>
      </w:r>
      <w:r>
        <w:rPr>
          <w:rFonts w:ascii="Arial Narrow" w:hAnsi="Arial Narrow"/>
          <w:sz w:val="24"/>
          <w:szCs w:val="24"/>
        </w:rPr>
        <w:t xml:space="preserve"> vyplnených predlôh (</w:t>
      </w:r>
      <w:r w:rsidR="00962384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 %), ktoré sme následne vyhodnotili. Vaše písomné komentáre boli prediskutované v organizačných útvaroch, ktorým boli adresované a vyvodili sme relevantné závery a opatrenia. </w:t>
      </w:r>
    </w:p>
    <w:p w14:paraId="321E1D21" w14:textId="77777777" w:rsidR="006B151F" w:rsidRDefault="00B22EFE" w:rsidP="00C47E91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Prosíme vás, aby ste nám i v budúcnosti poskytovali vaše návrhy a pripomienky súvisiace so službami poskytovanými našimi zamestnancami, aby sme spoločne dosiahli čo najväčšiu efektívnosť našich činností a spokojnosť pacientov.</w:t>
      </w:r>
    </w:p>
    <w:p w14:paraId="321E1D23" w14:textId="08A931E1" w:rsidR="006B151F" w:rsidRDefault="00B22EFE" w:rsidP="00C47E91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Výsledky spätnej väzby uvádzame v grafickej úprave za roky 202</w:t>
      </w:r>
      <w:r w:rsidR="00962384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až 202</w:t>
      </w:r>
      <w:r w:rsidR="0096238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</w:p>
    <w:p w14:paraId="321E1D28" w14:textId="67AA8617" w:rsidR="006B151F" w:rsidRDefault="00B22EFE" w:rsidP="00136E9D">
      <w:pPr>
        <w:spacing w:after="60" w:line="276" w:lineRule="auto"/>
        <w:jc w:val="both"/>
        <w:rPr>
          <w:rFonts w:cs="Calibri"/>
          <w:sz w:val="24"/>
          <w:szCs w:val="24"/>
        </w:rPr>
      </w:pPr>
      <w:r w:rsidRPr="00C47E91">
        <w:rPr>
          <w:rFonts w:ascii="Arial Narrow" w:hAnsi="Arial Narrow" w:cs="Calibri"/>
          <w:sz w:val="24"/>
          <w:szCs w:val="24"/>
        </w:rPr>
        <w:t xml:space="preserve">Najviac respondentov uvádzalo, že prichádza do styku v oblasti súvisiacej s registráciou liekov </w:t>
      </w:r>
      <w:r w:rsidR="00962384">
        <w:rPr>
          <w:rFonts w:ascii="Arial Narrow" w:hAnsi="Arial Narrow" w:cs="Calibri"/>
          <w:sz w:val="24"/>
          <w:szCs w:val="24"/>
        </w:rPr>
        <w:t>80</w:t>
      </w:r>
      <w:r w:rsidRPr="00C47E91">
        <w:rPr>
          <w:rFonts w:ascii="Arial Narrow" w:hAnsi="Arial Narrow" w:cs="Calibri"/>
          <w:sz w:val="24"/>
          <w:szCs w:val="24"/>
        </w:rPr>
        <w:t>, ďalej činnosťou týkajúcou sa klinického skúšania liekov a </w:t>
      </w:r>
      <w:proofErr w:type="spellStart"/>
      <w:r w:rsidRPr="00C47E91">
        <w:rPr>
          <w:rFonts w:ascii="Arial Narrow" w:hAnsi="Arial Narrow" w:cs="Calibri"/>
          <w:sz w:val="24"/>
          <w:szCs w:val="24"/>
        </w:rPr>
        <w:t>farmakovigilancie</w:t>
      </w:r>
      <w:proofErr w:type="spellEnd"/>
      <w:r w:rsidRPr="00C47E91">
        <w:rPr>
          <w:rFonts w:ascii="Arial Narrow" w:hAnsi="Arial Narrow" w:cs="Calibri"/>
          <w:sz w:val="24"/>
          <w:szCs w:val="24"/>
        </w:rPr>
        <w:t xml:space="preserve"> </w:t>
      </w:r>
      <w:r w:rsidR="00962384">
        <w:rPr>
          <w:rFonts w:ascii="Arial Narrow" w:hAnsi="Arial Narrow" w:cs="Calibri"/>
          <w:sz w:val="24"/>
          <w:szCs w:val="24"/>
        </w:rPr>
        <w:t>26</w:t>
      </w:r>
      <w:r w:rsidRPr="00C47E91">
        <w:rPr>
          <w:rFonts w:ascii="Arial Narrow" w:hAnsi="Arial Narrow" w:cs="Calibri"/>
          <w:sz w:val="24"/>
          <w:szCs w:val="24"/>
        </w:rPr>
        <w:t>, inšpekčnou činnosťou SVP a transfúznych zariadení</w:t>
      </w:r>
      <w:r w:rsidR="00C47E91">
        <w:rPr>
          <w:rFonts w:ascii="Arial Narrow" w:hAnsi="Arial Narrow" w:cs="Calibri"/>
          <w:sz w:val="24"/>
          <w:szCs w:val="24"/>
        </w:rPr>
        <w:t xml:space="preserve"> a</w:t>
      </w:r>
      <w:r w:rsidRPr="00C47E91">
        <w:rPr>
          <w:rFonts w:ascii="Arial Narrow" w:hAnsi="Arial Narrow" w:cs="Calibri"/>
          <w:sz w:val="24"/>
          <w:szCs w:val="24"/>
        </w:rPr>
        <w:t xml:space="preserve"> </w:t>
      </w:r>
      <w:r w:rsidR="00C47E91">
        <w:rPr>
          <w:rFonts w:ascii="Arial Narrow" w:hAnsi="Arial Narrow" w:cs="Calibri"/>
          <w:sz w:val="24"/>
          <w:szCs w:val="24"/>
        </w:rPr>
        <w:t>k</w:t>
      </w:r>
      <w:r w:rsidRPr="00C47E91">
        <w:rPr>
          <w:rFonts w:ascii="Arial Narrow" w:hAnsi="Arial Narrow" w:cs="Calibri"/>
          <w:sz w:val="24"/>
          <w:szCs w:val="24"/>
        </w:rPr>
        <w:t xml:space="preserve">ontrolou kvality liekov na trhu a liekopisným oddelením </w:t>
      </w:r>
      <w:r w:rsidR="00962384">
        <w:rPr>
          <w:rFonts w:ascii="Arial Narrow" w:hAnsi="Arial Narrow" w:cs="Calibri"/>
          <w:sz w:val="24"/>
          <w:szCs w:val="24"/>
        </w:rPr>
        <w:t>16</w:t>
      </w:r>
      <w:r w:rsidRPr="00C47E91">
        <w:rPr>
          <w:rFonts w:ascii="Arial Narrow" w:hAnsi="Arial Narrow" w:cs="Calibri"/>
          <w:sz w:val="24"/>
          <w:szCs w:val="24"/>
        </w:rPr>
        <w:t xml:space="preserve"> ďalej s inšpekčnou činnosťou – ODL-oddelenie lekární a distribúcie liekov </w:t>
      </w:r>
      <w:r w:rsidR="00962384">
        <w:rPr>
          <w:rFonts w:ascii="Arial Narrow" w:hAnsi="Arial Narrow" w:cs="Calibri"/>
          <w:sz w:val="24"/>
          <w:szCs w:val="24"/>
        </w:rPr>
        <w:t>29</w:t>
      </w:r>
      <w:r w:rsidRPr="00C47E91">
        <w:rPr>
          <w:rFonts w:ascii="Arial Narrow" w:hAnsi="Arial Narrow" w:cs="Calibri"/>
          <w:sz w:val="24"/>
          <w:szCs w:val="24"/>
        </w:rPr>
        <w:t xml:space="preserve">, oddelením právnym a referátom povolení </w:t>
      </w:r>
      <w:r w:rsidR="00962384">
        <w:rPr>
          <w:rFonts w:ascii="Arial Narrow" w:hAnsi="Arial Narrow" w:cs="Calibri"/>
          <w:sz w:val="24"/>
          <w:szCs w:val="24"/>
        </w:rPr>
        <w:t>19</w:t>
      </w:r>
      <w:r w:rsidRPr="00C47E91">
        <w:rPr>
          <w:rFonts w:ascii="Arial Narrow" w:hAnsi="Arial Narrow" w:cs="Calibri"/>
          <w:sz w:val="24"/>
          <w:szCs w:val="24"/>
        </w:rPr>
        <w:t xml:space="preserve">, sekciou zdravotníckych pomôcok </w:t>
      </w:r>
      <w:r w:rsidR="00962384">
        <w:rPr>
          <w:rFonts w:ascii="Arial Narrow" w:hAnsi="Arial Narrow" w:cs="Calibri"/>
          <w:sz w:val="24"/>
          <w:szCs w:val="24"/>
        </w:rPr>
        <w:t>14</w:t>
      </w:r>
      <w:r w:rsidRPr="00C47E91">
        <w:rPr>
          <w:rFonts w:ascii="Arial Narrow" w:hAnsi="Arial Narrow" w:cs="Calibri"/>
          <w:sz w:val="24"/>
          <w:szCs w:val="24"/>
        </w:rPr>
        <w:t xml:space="preserve">, SLK –oddelenie biologických metód </w:t>
      </w:r>
      <w:r w:rsidR="00962384">
        <w:rPr>
          <w:rFonts w:ascii="Arial Narrow" w:hAnsi="Arial Narrow" w:cs="Calibri"/>
          <w:sz w:val="24"/>
          <w:szCs w:val="24"/>
        </w:rPr>
        <w:t>1</w:t>
      </w:r>
      <w:r w:rsidRPr="00C47E91">
        <w:rPr>
          <w:rFonts w:ascii="Arial Narrow" w:hAnsi="Arial Narrow" w:cs="Calibri"/>
          <w:sz w:val="24"/>
          <w:szCs w:val="24"/>
        </w:rPr>
        <w:t xml:space="preserve">, a iné sekcie/oddelenia </w:t>
      </w:r>
      <w:r w:rsidR="00962384">
        <w:rPr>
          <w:rFonts w:ascii="Arial Narrow" w:hAnsi="Arial Narrow" w:cs="Calibri"/>
          <w:sz w:val="24"/>
          <w:szCs w:val="24"/>
        </w:rPr>
        <w:t>14</w:t>
      </w:r>
      <w:r w:rsidRPr="00C47E91">
        <w:rPr>
          <w:rFonts w:cs="Calibri"/>
          <w:sz w:val="24"/>
          <w:szCs w:val="24"/>
        </w:rPr>
        <w:t>.</w:t>
      </w:r>
    </w:p>
    <w:p w14:paraId="13E711CD" w14:textId="77777777" w:rsidR="007D65B5" w:rsidRDefault="007D65B5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0F9781D8" w14:textId="1C68F214" w:rsidR="00136E9D" w:rsidRDefault="007D65B5" w:rsidP="00136E9D">
      <w:pPr>
        <w:spacing w:after="60" w:line="276" w:lineRule="auto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194CA2C4" wp14:editId="60253534">
            <wp:extent cx="4762500" cy="3329940"/>
            <wp:effectExtent l="0" t="0" r="0" b="381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AC1E681-6F11-4A26-EDC1-7F28E76E1C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EF8993E" w14:textId="77777777" w:rsidR="00433642" w:rsidRDefault="00433642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0E0D263E" w14:textId="77777777" w:rsidR="00433642" w:rsidRDefault="00433642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011BA48A" w14:textId="5A8A53F2" w:rsidR="00A373B8" w:rsidRDefault="00A373B8" w:rsidP="00136E9D">
      <w:pPr>
        <w:spacing w:after="60" w:line="276" w:lineRule="auto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3F535BD9" wp14:editId="05F3C05D">
            <wp:extent cx="4724400" cy="3596640"/>
            <wp:effectExtent l="0" t="0" r="0" b="3810"/>
            <wp:docPr id="36" name="Graf 36" descr="Iné">
              <a:extLst xmlns:a="http://schemas.openxmlformats.org/drawingml/2006/main">
                <a:ext uri="{FF2B5EF4-FFF2-40B4-BE49-F238E27FC236}">
                  <a16:creationId xmlns:a16="http://schemas.microsoft.com/office/drawing/2014/main" id="{B8830ED4-ADEF-9BCC-3536-7B0F11B5C0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C3444F" w14:textId="77777777" w:rsidR="00A373B8" w:rsidRDefault="00A373B8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7026C909" w14:textId="77777777" w:rsidR="009A4D97" w:rsidRDefault="009A4D97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3819689B" w14:textId="77777777" w:rsidR="009A4D97" w:rsidRDefault="009A4D97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378193BF" w14:textId="77777777" w:rsidR="009A4D97" w:rsidRDefault="009A4D97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09B0E1A8" w14:textId="77777777" w:rsidR="009A4D97" w:rsidRDefault="009A4D97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321E1D29" w14:textId="21CFB9F3" w:rsidR="006B151F" w:rsidRDefault="007D65B5">
      <w:r>
        <w:rPr>
          <w:noProof/>
        </w:rPr>
        <w:drawing>
          <wp:inline distT="0" distB="0" distL="0" distR="0" wp14:anchorId="391D7658" wp14:editId="3D1CFAFD">
            <wp:extent cx="4671060" cy="2886075"/>
            <wp:effectExtent l="0" t="0" r="15240" b="9525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id="{CBD61BEA-2606-8C71-4A33-379F218D40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1E1D2A" w14:textId="6920328F" w:rsidR="006B151F" w:rsidRDefault="007D65B5">
      <w:r>
        <w:rPr>
          <w:noProof/>
        </w:rPr>
        <w:drawing>
          <wp:inline distT="0" distB="0" distL="0" distR="0" wp14:anchorId="1939E962" wp14:editId="0182BD39">
            <wp:extent cx="4632960" cy="2773680"/>
            <wp:effectExtent l="0" t="0" r="15240" b="7620"/>
            <wp:docPr id="21" name="Graf 21">
              <a:extLst xmlns:a="http://schemas.openxmlformats.org/drawingml/2006/main">
                <a:ext uri="{FF2B5EF4-FFF2-40B4-BE49-F238E27FC236}">
                  <a16:creationId xmlns:a16="http://schemas.microsoft.com/office/drawing/2014/main" id="{466D6D95-5206-B7C9-736B-2FAA999FAD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1E1D2B" w14:textId="427D74D2" w:rsidR="006B151F" w:rsidRDefault="007D65B5">
      <w:r>
        <w:rPr>
          <w:noProof/>
        </w:rPr>
        <w:drawing>
          <wp:inline distT="0" distB="0" distL="0" distR="0" wp14:anchorId="61F765A4" wp14:editId="07A74EAC">
            <wp:extent cx="4632960" cy="2537460"/>
            <wp:effectExtent l="0" t="0" r="15240" b="15240"/>
            <wp:docPr id="22" name="Graf 22">
              <a:extLst xmlns:a="http://schemas.openxmlformats.org/drawingml/2006/main">
                <a:ext uri="{FF2B5EF4-FFF2-40B4-BE49-F238E27FC236}">
                  <a16:creationId xmlns:a16="http://schemas.microsoft.com/office/drawing/2014/main" id="{7093EB69-D9D0-E32E-4DC4-A197143BC1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1E1D2D" w14:textId="379941EF" w:rsidR="006B151F" w:rsidRDefault="007D65B5">
      <w:r>
        <w:rPr>
          <w:noProof/>
        </w:rPr>
        <w:drawing>
          <wp:inline distT="0" distB="0" distL="0" distR="0" wp14:anchorId="0D8332D6" wp14:editId="7D41FA61">
            <wp:extent cx="4762500" cy="2743200"/>
            <wp:effectExtent l="0" t="0" r="0" b="0"/>
            <wp:docPr id="23" name="Graf 23">
              <a:extLst xmlns:a="http://schemas.openxmlformats.org/drawingml/2006/main">
                <a:ext uri="{FF2B5EF4-FFF2-40B4-BE49-F238E27FC236}">
                  <a16:creationId xmlns:a16="http://schemas.microsoft.com/office/drawing/2014/main" id="{C4823C61-EDEE-44FD-9B84-EA6059CE8E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2641F41" w14:textId="6C0EC16E" w:rsidR="000465D9" w:rsidRDefault="00A70211">
      <w:r>
        <w:rPr>
          <w:noProof/>
        </w:rPr>
        <w:drawing>
          <wp:inline distT="0" distB="0" distL="0" distR="0" wp14:anchorId="0D1F798D" wp14:editId="791EA71E">
            <wp:extent cx="4781550" cy="2781300"/>
            <wp:effectExtent l="0" t="0" r="0" b="0"/>
            <wp:docPr id="24" name="Graf 24">
              <a:extLst xmlns:a="http://schemas.openxmlformats.org/drawingml/2006/main">
                <a:ext uri="{FF2B5EF4-FFF2-40B4-BE49-F238E27FC236}">
                  <a16:creationId xmlns:a16="http://schemas.microsoft.com/office/drawing/2014/main" id="{523AE351-F59B-6320-4213-0A307C3FD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1E1D2F" w14:textId="45548A90" w:rsidR="006B151F" w:rsidRDefault="00A70211">
      <w:r>
        <w:rPr>
          <w:noProof/>
        </w:rPr>
        <w:drawing>
          <wp:inline distT="0" distB="0" distL="0" distR="0" wp14:anchorId="5EE88B14" wp14:editId="6FE673A4">
            <wp:extent cx="4781550" cy="2638425"/>
            <wp:effectExtent l="0" t="0" r="0" b="9525"/>
            <wp:docPr id="25" name="Graf 25">
              <a:extLst xmlns:a="http://schemas.openxmlformats.org/drawingml/2006/main">
                <a:ext uri="{FF2B5EF4-FFF2-40B4-BE49-F238E27FC236}">
                  <a16:creationId xmlns:a16="http://schemas.microsoft.com/office/drawing/2014/main" id="{0F6815E4-6572-71F2-0342-29603F3836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75493D2" w14:textId="74D26577" w:rsidR="00A70211" w:rsidRDefault="0064034B">
      <w:r>
        <w:rPr>
          <w:noProof/>
        </w:rPr>
        <w:drawing>
          <wp:inline distT="0" distB="0" distL="0" distR="0" wp14:anchorId="37CDE0DB" wp14:editId="39654D7F">
            <wp:extent cx="4743450" cy="2705100"/>
            <wp:effectExtent l="0" t="0" r="0" b="0"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id="{CF209B21-1FD5-1CBF-F62D-540A0F0721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1E1D30" w14:textId="79EDD8A9" w:rsidR="006B151F" w:rsidRDefault="0064034B">
      <w:r>
        <w:rPr>
          <w:noProof/>
        </w:rPr>
        <w:drawing>
          <wp:inline distT="0" distB="0" distL="0" distR="0" wp14:anchorId="349DCC59" wp14:editId="1735A13B">
            <wp:extent cx="4743450" cy="2743200"/>
            <wp:effectExtent l="0" t="0" r="0" b="0"/>
            <wp:docPr id="27" name="Graf 27">
              <a:extLst xmlns:a="http://schemas.openxmlformats.org/drawingml/2006/main">
                <a:ext uri="{FF2B5EF4-FFF2-40B4-BE49-F238E27FC236}">
                  <a16:creationId xmlns:a16="http://schemas.microsoft.com/office/drawing/2014/main" id="{8141D1BD-C4FC-A5C3-28F5-AF5A4A889B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1E1D31" w14:textId="64B35EAD" w:rsidR="006B151F" w:rsidRDefault="0064034B">
      <w:r>
        <w:rPr>
          <w:noProof/>
        </w:rPr>
        <w:drawing>
          <wp:inline distT="0" distB="0" distL="0" distR="0" wp14:anchorId="5043EDA9" wp14:editId="671F2166">
            <wp:extent cx="4743450" cy="2809875"/>
            <wp:effectExtent l="0" t="0" r="0" b="9525"/>
            <wp:docPr id="28" name="Graf 28">
              <a:extLst xmlns:a="http://schemas.openxmlformats.org/drawingml/2006/main">
                <a:ext uri="{FF2B5EF4-FFF2-40B4-BE49-F238E27FC236}">
                  <a16:creationId xmlns:a16="http://schemas.microsoft.com/office/drawing/2014/main" id="{FCFD2FE9-40D7-EACB-1CE1-7D0322AB64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355C46D" w14:textId="4245D4A5" w:rsidR="00FE0549" w:rsidRDefault="002202B4">
      <w:r>
        <w:rPr>
          <w:noProof/>
        </w:rPr>
        <w:drawing>
          <wp:inline distT="0" distB="0" distL="0" distR="0" wp14:anchorId="0BFB8A39" wp14:editId="5102F9C2">
            <wp:extent cx="4686300" cy="2733675"/>
            <wp:effectExtent l="0" t="0" r="0" b="9525"/>
            <wp:docPr id="29" name="Graf 29">
              <a:extLst xmlns:a="http://schemas.openxmlformats.org/drawingml/2006/main">
                <a:ext uri="{FF2B5EF4-FFF2-40B4-BE49-F238E27FC236}">
                  <a16:creationId xmlns:a16="http://schemas.microsoft.com/office/drawing/2014/main" id="{7B7B4368-D86A-EC2B-B9A9-66108FD0AD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21E1D33" w14:textId="52E1DD53" w:rsidR="006B151F" w:rsidRDefault="002202B4">
      <w:r>
        <w:rPr>
          <w:noProof/>
        </w:rPr>
        <w:drawing>
          <wp:inline distT="0" distB="0" distL="0" distR="0" wp14:anchorId="3DF4A7BF" wp14:editId="084200FA">
            <wp:extent cx="4705350" cy="2695575"/>
            <wp:effectExtent l="0" t="0" r="0" b="9525"/>
            <wp:docPr id="30" name="Graf 30">
              <a:extLst xmlns:a="http://schemas.openxmlformats.org/drawingml/2006/main">
                <a:ext uri="{FF2B5EF4-FFF2-40B4-BE49-F238E27FC236}">
                  <a16:creationId xmlns:a16="http://schemas.microsoft.com/office/drawing/2014/main" id="{5ADE4277-7877-8F60-4ADE-BF3C68E692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21E1D34" w14:textId="3823C24A" w:rsidR="006B151F" w:rsidRDefault="002202B4">
      <w:r>
        <w:rPr>
          <w:noProof/>
        </w:rPr>
        <w:drawing>
          <wp:anchor distT="0" distB="0" distL="114300" distR="114300" simplePos="0" relativeHeight="251658240" behindDoc="0" locked="0" layoutInCell="1" allowOverlap="1" wp14:anchorId="695F1D40" wp14:editId="3F263749">
            <wp:simplePos x="899160" y="6888480"/>
            <wp:positionH relativeFrom="column">
              <wp:align>left</wp:align>
            </wp:positionH>
            <wp:positionV relativeFrom="paragraph">
              <wp:align>top</wp:align>
            </wp:positionV>
            <wp:extent cx="4686300" cy="2724150"/>
            <wp:effectExtent l="0" t="0" r="0" b="0"/>
            <wp:wrapSquare wrapText="bothSides"/>
            <wp:docPr id="31" name="Graf 31">
              <a:extLst xmlns:a="http://schemas.openxmlformats.org/drawingml/2006/main">
                <a:ext uri="{FF2B5EF4-FFF2-40B4-BE49-F238E27FC236}">
                  <a16:creationId xmlns:a16="http://schemas.microsoft.com/office/drawing/2014/main" id="{D28C47F1-376A-57E4-02BE-EB4885D647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9A4D97">
        <w:br w:type="textWrapping" w:clear="all"/>
      </w:r>
    </w:p>
    <w:p w14:paraId="13F98512" w14:textId="77777777" w:rsidR="009A4D97" w:rsidRDefault="009A4D97"/>
    <w:p w14:paraId="67690CE9" w14:textId="77777777" w:rsidR="009A4D97" w:rsidRDefault="009A4D97"/>
    <w:p w14:paraId="7BFA4DA0" w14:textId="77777777" w:rsidR="009A4D97" w:rsidRDefault="009A4D97">
      <w:r>
        <w:rPr>
          <w:noProof/>
        </w:rPr>
        <w:drawing>
          <wp:inline distT="0" distB="0" distL="0" distR="0" wp14:anchorId="3DE152BA" wp14:editId="0C00E147">
            <wp:extent cx="4676775" cy="2994660"/>
            <wp:effectExtent l="0" t="0" r="9525" b="15240"/>
            <wp:docPr id="33" name="Graf 33">
              <a:extLst xmlns:a="http://schemas.openxmlformats.org/drawingml/2006/main">
                <a:ext uri="{FF2B5EF4-FFF2-40B4-BE49-F238E27FC236}">
                  <a16:creationId xmlns:a16="http://schemas.microsoft.com/office/drawing/2014/main" id="{1FC417C4-C84C-D1EC-208F-22C5FC8E0E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A6B92BB" w14:textId="77777777" w:rsidR="009A4D97" w:rsidRDefault="009A4D97"/>
    <w:p w14:paraId="7FBA40AE" w14:textId="77777777" w:rsidR="00433642" w:rsidRDefault="00433642"/>
    <w:p w14:paraId="321E1D35" w14:textId="278A3404" w:rsidR="006B151F" w:rsidRDefault="002202B4">
      <w:r>
        <w:rPr>
          <w:noProof/>
        </w:rPr>
        <w:drawing>
          <wp:inline distT="0" distB="0" distL="0" distR="0" wp14:anchorId="1761C4EB" wp14:editId="35F6FEF2">
            <wp:extent cx="4676775" cy="2788920"/>
            <wp:effectExtent l="0" t="0" r="9525" b="11430"/>
            <wp:docPr id="32" name="Graf 32">
              <a:extLst xmlns:a="http://schemas.openxmlformats.org/drawingml/2006/main">
                <a:ext uri="{FF2B5EF4-FFF2-40B4-BE49-F238E27FC236}">
                  <a16:creationId xmlns:a16="http://schemas.microsoft.com/office/drawing/2014/main" id="{B1C8F625-C297-B55F-782A-BA7709EA55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AE7B122" w14:textId="77777777" w:rsidR="009A4D97" w:rsidRDefault="009A4D97" w:rsidP="009A4D97">
      <w:pPr>
        <w:ind w:firstLine="708"/>
      </w:pPr>
    </w:p>
    <w:p w14:paraId="16458211" w14:textId="77777777" w:rsidR="009A4D97" w:rsidRDefault="009A4D97" w:rsidP="009A4D97">
      <w:pPr>
        <w:ind w:firstLine="708"/>
      </w:pPr>
    </w:p>
    <w:p w14:paraId="01992AAF" w14:textId="77777777" w:rsidR="009A4D97" w:rsidRDefault="009A4D97" w:rsidP="009A4D97">
      <w:pPr>
        <w:ind w:firstLine="708"/>
      </w:pPr>
    </w:p>
    <w:p w14:paraId="6BCA0A34" w14:textId="77777777" w:rsidR="009A4D97" w:rsidRDefault="009A4D97" w:rsidP="009A4D97">
      <w:pPr>
        <w:ind w:firstLine="708"/>
      </w:pPr>
    </w:p>
    <w:p w14:paraId="44ECEFB2" w14:textId="77777777" w:rsidR="009A4D97" w:rsidRDefault="009A4D97" w:rsidP="009A4D97">
      <w:pPr>
        <w:ind w:firstLine="708"/>
      </w:pPr>
    </w:p>
    <w:p w14:paraId="3153619D" w14:textId="77777777" w:rsidR="009A4D97" w:rsidRDefault="009A4D97" w:rsidP="009A4D97">
      <w:pPr>
        <w:ind w:firstLine="708"/>
      </w:pPr>
    </w:p>
    <w:p w14:paraId="05F00998" w14:textId="77777777" w:rsidR="009A4D97" w:rsidRDefault="009A4D97" w:rsidP="009A4D97">
      <w:pPr>
        <w:ind w:firstLine="708"/>
      </w:pPr>
    </w:p>
    <w:p w14:paraId="1ACAE20E" w14:textId="77777777" w:rsidR="009A4D97" w:rsidRDefault="009A4D97"/>
    <w:p w14:paraId="4CB963AA" w14:textId="058357C5" w:rsidR="002202B4" w:rsidRDefault="002202B4">
      <w:r>
        <w:rPr>
          <w:noProof/>
        </w:rPr>
        <w:drawing>
          <wp:inline distT="0" distB="0" distL="0" distR="0" wp14:anchorId="606C656E" wp14:editId="263BC71F">
            <wp:extent cx="4640580" cy="2758440"/>
            <wp:effectExtent l="0" t="0" r="7620" b="3810"/>
            <wp:docPr id="34" name="Graf 34">
              <a:extLst xmlns:a="http://schemas.openxmlformats.org/drawingml/2006/main">
                <a:ext uri="{FF2B5EF4-FFF2-40B4-BE49-F238E27FC236}">
                  <a16:creationId xmlns:a16="http://schemas.microsoft.com/office/drawing/2014/main" id="{7A0DBC6B-3540-1CC4-F9DA-C2B4EBE27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1F544D4" w14:textId="77777777" w:rsidR="009A4D97" w:rsidRDefault="009A4D97"/>
    <w:p w14:paraId="41F9949A" w14:textId="77777777" w:rsidR="009A4D97" w:rsidRDefault="009A4D97"/>
    <w:p w14:paraId="321E1D3A" w14:textId="4CC3706E" w:rsidR="006B151F" w:rsidRDefault="002202B4">
      <w:r>
        <w:rPr>
          <w:noProof/>
        </w:rPr>
        <w:drawing>
          <wp:inline distT="0" distB="0" distL="0" distR="0" wp14:anchorId="19959C03" wp14:editId="3216A996">
            <wp:extent cx="4640580" cy="2819400"/>
            <wp:effectExtent l="0" t="0" r="7620" b="0"/>
            <wp:docPr id="35" name="Graf 35">
              <a:extLst xmlns:a="http://schemas.openxmlformats.org/drawingml/2006/main">
                <a:ext uri="{FF2B5EF4-FFF2-40B4-BE49-F238E27FC236}">
                  <a16:creationId xmlns:a16="http://schemas.microsoft.com/office/drawing/2014/main" id="{2D1B49F4-9A4C-9958-638F-C87D5C6B4A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6B151F" w:rsidSect="00C47E91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9780" w14:textId="77777777" w:rsidR="00225CAC" w:rsidRDefault="00225CAC">
      <w:pPr>
        <w:spacing w:after="0" w:line="240" w:lineRule="auto"/>
      </w:pPr>
      <w:r>
        <w:separator/>
      </w:r>
    </w:p>
  </w:endnote>
  <w:endnote w:type="continuationSeparator" w:id="0">
    <w:p w14:paraId="66EBAE86" w14:textId="77777777" w:rsidR="00225CAC" w:rsidRDefault="0022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13AF" w14:textId="4D1BAF68" w:rsidR="009A4D97" w:rsidRDefault="009A4D97" w:rsidP="009A4D97">
    <w:pPr>
      <w:pStyle w:val="Pta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0D50" w14:textId="2A85E771" w:rsidR="009A4D97" w:rsidRDefault="009A4D97" w:rsidP="009A4D97">
    <w:pPr>
      <w:pStyle w:val="Pta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2F2D" w14:textId="77777777" w:rsidR="00225CAC" w:rsidRDefault="00225C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04329B" w14:textId="77777777" w:rsidR="00225CAC" w:rsidRDefault="0022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BEBC" w14:textId="289F374D" w:rsidR="009A4D97" w:rsidRDefault="009A4D97">
    <w:pPr>
      <w:pStyle w:val="Hlavika"/>
      <w:jc w:val="right"/>
    </w:pPr>
  </w:p>
  <w:p w14:paraId="3FBD800D" w14:textId="77777777" w:rsidR="00C47E91" w:rsidRPr="00C47E91" w:rsidRDefault="00C47E91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89"/>
      <w:gridCol w:w="6381"/>
    </w:tblGrid>
    <w:tr w:rsidR="00C47E91" w14:paraId="46B2E3FA" w14:textId="77777777" w:rsidTr="00F905DA">
      <w:trPr>
        <w:trHeight w:hRule="exact" w:val="1049"/>
      </w:trPr>
      <w:tc>
        <w:tcPr>
          <w:tcW w:w="2689" w:type="dxa"/>
          <w:tcBorders>
            <w:bottom w:val="single" w:sz="4" w:space="0" w:color="006093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4F3AF8E" w14:textId="77777777" w:rsidR="00C47E91" w:rsidRDefault="00C47E91" w:rsidP="00C47E91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Times New Roman" w:hAnsi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57E0D6F2" wp14:editId="67A2D5AF">
                <wp:extent cx="1600200" cy="619121"/>
                <wp:effectExtent l="0" t="0" r="0" b="0"/>
                <wp:docPr id="2" name="Obrázok 26" descr="logo_svk_rgb_90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  <w:tcBorders>
            <w:bottom w:val="single" w:sz="4" w:space="0" w:color="006093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13A28419" w14:textId="77777777" w:rsidR="00C47E91" w:rsidRDefault="00C47E91" w:rsidP="00C47E91">
          <w:pPr>
            <w:tabs>
              <w:tab w:val="center" w:pos="4536"/>
              <w:tab w:val="right" w:pos="9072"/>
            </w:tabs>
            <w:spacing w:before="400" w:after="0"/>
            <w:jc w:val="right"/>
          </w:pPr>
          <w:r>
            <w:rPr>
              <w:rFonts w:ascii="Arial Narrow" w:hAnsi="Arial Narrow"/>
              <w:color w:val="006093"/>
              <w:szCs w:val="20"/>
            </w:rPr>
            <w:t>Štátny</w:t>
          </w:r>
          <w:r w:rsidRPr="009A4D97">
            <w:rPr>
              <w:rFonts w:ascii="Arial Narrow" w:hAnsi="Arial Narrow"/>
              <w:color w:val="006093"/>
              <w:szCs w:val="20"/>
            </w:rPr>
            <w:t xml:space="preserve"> </w:t>
          </w:r>
          <w:r>
            <w:rPr>
              <w:rFonts w:ascii="Arial Narrow" w:hAnsi="Arial Narrow"/>
              <w:color w:val="006093"/>
              <w:szCs w:val="20"/>
            </w:rPr>
            <w:t>ústav</w:t>
          </w:r>
          <w:r w:rsidRPr="009A4D97">
            <w:rPr>
              <w:rFonts w:ascii="Arial Narrow" w:hAnsi="Arial Narrow"/>
              <w:color w:val="006093"/>
              <w:szCs w:val="20"/>
            </w:rPr>
            <w:t xml:space="preserve"> pre </w:t>
          </w:r>
          <w:r>
            <w:rPr>
              <w:rFonts w:ascii="Arial Narrow" w:hAnsi="Arial Narrow"/>
              <w:color w:val="006093"/>
              <w:szCs w:val="20"/>
            </w:rPr>
            <w:t>kontrolu liečiv</w:t>
          </w:r>
        </w:p>
        <w:p w14:paraId="5CB27EAF" w14:textId="77777777" w:rsidR="00C47E91" w:rsidRDefault="00C47E91" w:rsidP="00C47E91">
          <w:pPr>
            <w:tabs>
              <w:tab w:val="center" w:pos="4536"/>
              <w:tab w:val="right" w:pos="9072"/>
            </w:tabs>
            <w:spacing w:after="120"/>
            <w:jc w:val="right"/>
          </w:pPr>
          <w:r>
            <w:rPr>
              <w:rFonts w:ascii="Arial Narrow" w:hAnsi="Arial Narrow"/>
              <w:color w:val="006093"/>
              <w:szCs w:val="20"/>
            </w:rPr>
            <w:t xml:space="preserve">Kvetná </w:t>
          </w:r>
          <w:r w:rsidRPr="009A4D97">
            <w:rPr>
              <w:rFonts w:ascii="Arial Narrow" w:hAnsi="Arial Narrow"/>
              <w:color w:val="006093"/>
              <w:szCs w:val="20"/>
            </w:rPr>
            <w:t>11, 825 08 Bratislava</w:t>
          </w:r>
        </w:p>
      </w:tc>
    </w:tr>
  </w:tbl>
  <w:p w14:paraId="1A42717D" w14:textId="62088D11" w:rsidR="00C47E91" w:rsidRDefault="00C47E91">
    <w:pPr>
      <w:pStyle w:val="Hlavika"/>
    </w:pPr>
  </w:p>
  <w:p w14:paraId="7D18BFAE" w14:textId="397E75BD" w:rsidR="00C47E91" w:rsidRDefault="00C47E91">
    <w:pPr>
      <w:pStyle w:val="Hlavika"/>
    </w:pPr>
  </w:p>
  <w:p w14:paraId="4377B37E" w14:textId="77777777" w:rsidR="00C47E91" w:rsidRDefault="00C47E9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1F"/>
    <w:rsid w:val="000465D9"/>
    <w:rsid w:val="00136E9D"/>
    <w:rsid w:val="0015193E"/>
    <w:rsid w:val="002202B4"/>
    <w:rsid w:val="00225CAC"/>
    <w:rsid w:val="00433642"/>
    <w:rsid w:val="0064034B"/>
    <w:rsid w:val="00667FDF"/>
    <w:rsid w:val="006B151F"/>
    <w:rsid w:val="006E1B8B"/>
    <w:rsid w:val="007D65B5"/>
    <w:rsid w:val="00874FF0"/>
    <w:rsid w:val="00962384"/>
    <w:rsid w:val="009A4D97"/>
    <w:rsid w:val="00A373B8"/>
    <w:rsid w:val="00A70211"/>
    <w:rsid w:val="00B22EFE"/>
    <w:rsid w:val="00C47E91"/>
    <w:rsid w:val="00C625C4"/>
    <w:rsid w:val="00E54473"/>
    <w:rsid w:val="00FA49F1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1D1A"/>
  <w15:docId w15:val="{CE3DFAA5-60F6-4313-B8C6-756D39A7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7E91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uiPriority w:val="99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center27\vojtekova$\DSK%202024\Grafy%20z%20vyhodnotenia%20%20DSK%20za%20rok%202012,%202013,%202014,%202015,%202016%20a%20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/>
              <a:t>Počet prijatých odpovedí vzhľadom</a:t>
            </a:r>
            <a:r>
              <a:rPr lang="sk-SK" sz="1200" baseline="0"/>
              <a:t> na celkový počet relevantne oslovených klientov za roky 2021-2024</a:t>
            </a:r>
            <a:endParaRPr lang="sk-SK" sz="1200"/>
          </a:p>
        </c:rich>
      </c:tx>
      <c:layout>
        <c:manualLayout>
          <c:xMode val="edge"/>
          <c:yMode val="edge"/>
          <c:x val="0.14398908136482941"/>
          <c:y val="1.563654100759528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822839902021592"/>
          <c:y val="0.13922220088342616"/>
          <c:w val="0.83867415751139729"/>
          <c:h val="0.70446721661901979"/>
        </c:manualLayout>
      </c:layout>
      <c:barChart>
        <c:barDir val="bar"/>
        <c:grouping val="clustered"/>
        <c:varyColors val="0"/>
        <c:ser>
          <c:idx val="4"/>
          <c:order val="0"/>
          <c:tx>
            <c:v>Rok  2021</c:v>
          </c:tx>
          <c:spPr>
            <a:solidFill>
              <a:srgbClr val="00B050"/>
            </a:solidFill>
          </c:spPr>
          <c:invertIfNegative val="0"/>
          <c:dLbls>
            <c:spPr>
              <a:solidFill>
                <a:schemeClr val="lt1"/>
              </a:solidFill>
              <a:ln w="19050" cap="flat" cmpd="sng" algn="ctr">
                <a:solidFill>
                  <a:srgbClr val="92D050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2"/>
              <c:pt idx="0">
                <c:v>618</c:v>
              </c:pt>
              <c:pt idx="1">
                <c:v>63</c:v>
              </c:pt>
            </c:numLit>
          </c:val>
          <c:extLst>
            <c:ext xmlns:c16="http://schemas.microsoft.com/office/drawing/2014/chart" uri="{C3380CC4-5D6E-409C-BE32-E72D297353CC}">
              <c16:uniqueId val="{00000000-961E-4E33-9A6A-7490D10C52A4}"/>
            </c:ext>
          </c:extLst>
        </c:ser>
        <c:ser>
          <c:idx val="0"/>
          <c:order val="1"/>
          <c:tx>
            <c:v>Rok 2022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 w="19050" cap="flat" cmpd="sng" algn="ctr">
                  <a:solidFill>
                    <a:srgbClr val="FF0000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61E-4E33-9A6A-7490D10C52A4}"/>
                </c:ext>
              </c:extLst>
            </c:dLbl>
            <c:spPr>
              <a:noFill/>
              <a:ln w="12700">
                <a:solidFill>
                  <a:srgbClr val="FF0000"/>
                </a:solidFill>
                <a:prstDash val="solid"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Hárok1!$DC$373:$DC$374</c:f>
              <c:numCache>
                <c:formatCode>General</c:formatCode>
                <c:ptCount val="2"/>
                <c:pt idx="0">
                  <c:v>825</c:v>
                </c:pt>
                <c:pt idx="1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1E-4E33-9A6A-7490D10C52A4}"/>
            </c:ext>
          </c:extLst>
        </c:ser>
        <c:ser>
          <c:idx val="2"/>
          <c:order val="2"/>
          <c:tx>
            <c:v>Rok 2023</c:v>
          </c:tx>
          <c:spPr>
            <a:solidFill>
              <a:schemeClr val="tx1"/>
            </a:solidFill>
          </c:spPr>
          <c:invertIfNegative val="0"/>
          <c:dLbls>
            <c:dLbl>
              <c:idx val="0"/>
              <c:spPr>
                <a:noFill/>
                <a:ln w="19050">
                  <a:solidFill>
                    <a:schemeClr val="tx1"/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 b="1"/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61E-4E33-9A6A-7490D10C52A4}"/>
                </c:ext>
              </c:extLst>
            </c:dLbl>
            <c:dLbl>
              <c:idx val="1"/>
              <c:spPr>
                <a:noFill/>
                <a:ln w="19050">
                  <a:solidFill>
                    <a:schemeClr val="tx1"/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 b="1"/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61E-4E33-9A6A-7490D10C52A4}"/>
                </c:ext>
              </c:extLst>
            </c:dLbl>
            <c:spPr>
              <a:noFill/>
              <a:ln w="19050">
                <a:solidFill>
                  <a:schemeClr val="tx1"/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Hárok1!$CW$405:$CW$406</c:f>
              <c:numCache>
                <c:formatCode>General</c:formatCode>
                <c:ptCount val="2"/>
                <c:pt idx="0">
                  <c:v>687</c:v>
                </c:pt>
                <c:pt idx="1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1E-4E33-9A6A-7490D10C52A4}"/>
            </c:ext>
          </c:extLst>
        </c:ser>
        <c:ser>
          <c:idx val="1"/>
          <c:order val="3"/>
          <c:tx>
            <c:v>Rok 2024</c:v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 w="19050" cap="flat" cmpd="sng" algn="ctr">
                  <a:solidFill>
                    <a:schemeClr val="accent1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961E-4E33-9A6A-7490D10C52A4}"/>
                </c:ext>
              </c:extLst>
            </c:dLbl>
            <c:dLbl>
              <c:idx val="1"/>
              <c:spPr>
                <a:solidFill>
                  <a:schemeClr val="lt1"/>
                </a:solidFill>
                <a:ln w="19050" cap="flat" cmpd="sng" algn="ctr">
                  <a:solidFill>
                    <a:schemeClr val="accent1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61E-4E33-9A6A-7490D10C52A4}"/>
                </c:ext>
              </c:extLst>
            </c:dLbl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Hárok1!$CX$384:$CX$385</c:f>
              <c:numCache>
                <c:formatCode>General</c:formatCode>
                <c:ptCount val="2"/>
                <c:pt idx="0">
                  <c:v>691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1E-4E33-9A6A-7490D10C5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2"/>
        <c:axId val="1758836640"/>
        <c:axId val="1"/>
      </c:barChart>
      <c:dateAx>
        <c:axId val="17588366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"/>
        <c:crosses val="autoZero"/>
        <c:auto val="0"/>
        <c:lblOffset val="100"/>
        <c:baseTimeUnit val="days"/>
      </c:date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rgbClr val="00B0F0"/>
            </a:solidFill>
          </a:ln>
        </c:spPr>
        <c:crossAx val="1758836640"/>
        <c:crosses val="autoZero"/>
        <c:crossBetween val="between"/>
      </c:valAx>
      <c:spPr>
        <a:solidFill>
          <a:schemeClr val="bg2">
            <a:lumMod val="90000"/>
          </a:schemeClr>
        </a:solidFill>
        <a:ln cmpd="sng">
          <a:solidFill>
            <a:schemeClr val="tx1"/>
          </a:solidFill>
          <a:prstDash val="sysDot"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sk-SK"/>
          </a:p>
        </c:txPr>
      </c:legendEntry>
      <c:legendEntry>
        <c:idx val="2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>
                <a:solidFill>
                  <a:srgbClr val="00B05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70002309711286093"/>
          <c:y val="0.17699672496690128"/>
          <c:w val="0.1520921784776903"/>
          <c:h val="0.28449027942303673"/>
        </c:manualLayout>
      </c:layout>
      <c:overlay val="0"/>
      <c:spPr>
        <a:solidFill>
          <a:sysClr val="window" lastClr="FFFFFF"/>
        </a:solidFill>
        <a:ln>
          <a:solidFill>
            <a:srgbClr val="00B050"/>
          </a:solidFill>
        </a:ln>
      </c:spPr>
    </c:legend>
    <c:plotVisOnly val="1"/>
    <c:dispBlanksAs val="gap"/>
    <c:showDLblsOverMax val="0"/>
  </c:chart>
  <c:spPr>
    <a:solidFill>
      <a:schemeClr val="bg2">
        <a:lumMod val="75000"/>
      </a:schemeClr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(8) Preukazujú zamestnanci ŠÚKL pri vybavovaní  vašich požiadaviek odborný a profesionálny prístup </a:t>
            </a:r>
            <a:endParaRPr lang="sk-SK" sz="10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475771853819477"/>
          <c:y val="0.17992099824731211"/>
          <c:w val="0.78635870516185458"/>
          <c:h val="0.65259878973461649"/>
        </c:manualLayout>
      </c:layout>
      <c:lineChart>
        <c:grouping val="standard"/>
        <c:varyColors val="0"/>
        <c:ser>
          <c:idx val="1"/>
          <c:order val="0"/>
          <c:tx>
            <c:v>Rok 2021</c:v>
          </c:tx>
          <c:spPr>
            <a:ln w="28575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Hárok1!$CG$188:$CG$192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Hárok1!$CJ$188:$CJ$192</c:f>
              <c:numCache>
                <c:formatCode>General</c:formatCode>
                <c:ptCount val="5"/>
                <c:pt idx="0">
                  <c:v>90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2C-4EF4-886B-02E2FB47475A}"/>
            </c:ext>
          </c:extLst>
        </c:ser>
        <c:ser>
          <c:idx val="2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Hárok1!$CQ$188:$CQ$192</c:f>
              <c:numCache>
                <c:formatCode>General</c:formatCode>
                <c:ptCount val="5"/>
                <c:pt idx="0">
                  <c:v>69</c:v>
                </c:pt>
                <c:pt idx="1">
                  <c:v>21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2C-4EF4-886B-02E2FB47475A}"/>
            </c:ext>
          </c:extLst>
        </c:ser>
        <c:ser>
          <c:idx val="3"/>
          <c:order val="2"/>
          <c:tx>
            <c:v>Rok 2023</c:v>
          </c:tx>
          <c:spPr>
            <a:ln>
              <a:solidFill>
                <a:sysClr val="windowText" lastClr="000000"/>
              </a:solidFill>
            </a:ln>
            <a:effectLst>
              <a:outerShdw blurRad="50800" dist="50800" dir="5400000" algn="ctr" rotWithShape="0">
                <a:schemeClr val="tx1"/>
              </a:outerShdw>
            </a:effectLst>
          </c:spPr>
          <c:marker>
            <c:symbol val="none"/>
          </c:marker>
          <c:val>
            <c:numRef>
              <c:f>Hárok1!$CT$188:$CT$192</c:f>
              <c:numCache>
                <c:formatCode>General</c:formatCode>
                <c:ptCount val="5"/>
                <c:pt idx="0">
                  <c:v>70</c:v>
                </c:pt>
                <c:pt idx="1">
                  <c:v>22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2C-4EF4-886B-02E2FB47475A}"/>
            </c:ext>
          </c:extLst>
        </c:ser>
        <c:ser>
          <c:idx val="0"/>
          <c:order val="3"/>
          <c:tx>
            <c:v>Rok 2024</c:v>
          </c:tx>
          <c:marker>
            <c:symbol val="none"/>
          </c:marker>
          <c:dLbls>
            <c:dLbl>
              <c:idx val="0"/>
              <c:layout>
                <c:manualLayout>
                  <c:x val="-6.6934404283801902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2C-4EF4-886B-02E2FB47475A}"/>
                </c:ext>
              </c:extLst>
            </c:dLbl>
            <c:dLbl>
              <c:idx val="2"/>
              <c:layout>
                <c:manualLayout>
                  <c:x val="-1.6064257028112448E-2"/>
                  <c:y val="-4.3596730245231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2C-4EF4-886B-02E2FB47475A}"/>
                </c:ext>
              </c:extLst>
            </c:dLbl>
            <c:dLbl>
              <c:idx val="3"/>
              <c:layout>
                <c:manualLayout>
                  <c:x val="0"/>
                  <c:y val="-5.44959128065395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2C-4EF4-886B-02E2FB47475A}"/>
                </c:ext>
              </c:extLst>
            </c:dLbl>
            <c:dLbl>
              <c:idx val="4"/>
              <c:layout>
                <c:manualLayout>
                  <c:x val="-4.2838018741633198E-2"/>
                  <c:y val="-4.3596730245231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2C-4EF4-886B-02E2FB47475A}"/>
                </c:ext>
              </c:extLst>
            </c:dLbl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Hárok1!$CZ$160:$CZ$164</c:f>
              <c:numCache>
                <c:formatCode>General</c:formatCode>
                <c:ptCount val="5"/>
                <c:pt idx="0">
                  <c:v>71</c:v>
                </c:pt>
                <c:pt idx="1">
                  <c:v>17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42C-4EF4-886B-02E2FB474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51616"/>
        <c:axId val="1"/>
      </c:lineChart>
      <c:catAx>
        <c:axId val="175885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40000"/>
                  <a:lumOff val="60000"/>
                </a:schemeClr>
              </a:solidFill>
            </a:ln>
            <a:effectLst>
              <a:outerShdw blurRad="50800" dist="50800" dir="5400000" algn="ctr" rotWithShape="0">
                <a:schemeClr val="bg1">
                  <a:lumMod val="85000"/>
                </a:schemeClr>
              </a:outerShdw>
            </a:effectLst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odpovedí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758851616"/>
        <c:crosses val="autoZero"/>
        <c:crossBetween val="between"/>
      </c:valAx>
      <c:spPr>
        <a:gradFill flip="none" rotWithShape="1">
          <a:gsLst>
            <a:gs pos="0">
              <a:schemeClr val="bg2">
                <a:shade val="30000"/>
                <a:satMod val="115000"/>
              </a:schemeClr>
            </a:gs>
            <a:gs pos="50000">
              <a:schemeClr val="bg2">
                <a:shade val="67500"/>
                <a:satMod val="115000"/>
              </a:schemeClr>
            </a:gs>
            <a:gs pos="100000">
              <a:schemeClr val="bg2">
                <a:shade val="100000"/>
                <a:satMod val="115000"/>
              </a:schemeClr>
            </a:gs>
          </a:gsLst>
          <a:path path="circle">
            <a:fillToRect l="100000" t="100000"/>
          </a:path>
          <a:tileRect r="-100000" b="-100000"/>
        </a:gradFill>
        <a:ln>
          <a:solidFill>
            <a:srgbClr val="7030A0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2"/>
        <c:txPr>
          <a:bodyPr/>
          <a:lstStyle/>
          <a:p>
            <a:pPr>
              <a:defRPr b="1" baseline="0">
                <a:solidFill>
                  <a:schemeClr val="tx1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588592690973869"/>
          <c:y val="0.27588007130508002"/>
          <c:w val="0.1829853798395682"/>
          <c:h val="0.25823475137280194"/>
        </c:manualLayout>
      </c:layout>
      <c:overlay val="0"/>
      <c:spPr>
        <a:solidFill>
          <a:schemeClr val="bg1"/>
        </a:solidFill>
        <a:ln w="0">
          <a:solidFill>
            <a:schemeClr val="tx1"/>
          </a:solidFill>
          <a:prstDash val="sysDot"/>
        </a:ln>
      </c:spPr>
      <c:txPr>
        <a:bodyPr/>
        <a:lstStyle/>
        <a:p>
          <a:pPr>
            <a:defRPr b="1">
              <a:solidFill>
                <a:schemeClr val="tx2">
                  <a:lumMod val="75000"/>
                </a:schemeClr>
              </a:solidFill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  <a:ln w="22225"/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(9) Ste spokojný s dodržiavaním predpisov zo strany zamestnancov ŠÚKL pri vybavovaní vašich požiadaviek </a:t>
            </a:r>
            <a:endParaRPr lang="sk-SK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36347508800206"/>
          <c:y val="0.1901738845144357"/>
          <c:w val="0.76251185019782985"/>
          <c:h val="0.6327121609798777"/>
        </c:manualLayout>
      </c:layout>
      <c:lineChart>
        <c:grouping val="standard"/>
        <c:varyColors val="0"/>
        <c:ser>
          <c:idx val="4"/>
          <c:order val="0"/>
          <c:tx>
            <c:v>Rok 2021</c:v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Hárok1!$CG$217:$CG$221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Hárok1!$CJ$217:$CJ$221</c:f>
              <c:numCache>
                <c:formatCode>General</c:formatCode>
                <c:ptCount val="5"/>
                <c:pt idx="0">
                  <c:v>87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03-41A6-A3B2-BDCBF7C5A937}"/>
            </c:ext>
          </c:extLst>
        </c:ser>
        <c:ser>
          <c:idx val="0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Hárok1!$CQ$217:$CQ$221</c:f>
              <c:numCache>
                <c:formatCode>General</c:formatCode>
                <c:ptCount val="5"/>
                <c:pt idx="0">
                  <c:v>68</c:v>
                </c:pt>
                <c:pt idx="1">
                  <c:v>21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03-41A6-A3B2-BDCBF7C5A937}"/>
            </c:ext>
          </c:extLst>
        </c:ser>
        <c:ser>
          <c:idx val="2"/>
          <c:order val="2"/>
          <c:tx>
            <c:v>Rok 2023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Hárok1!$CT$217:$CT$221</c:f>
              <c:numCache>
                <c:formatCode>General</c:formatCode>
                <c:ptCount val="5"/>
                <c:pt idx="0">
                  <c:v>65</c:v>
                </c:pt>
                <c:pt idx="1">
                  <c:v>25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903-41A6-A3B2-BDCBF7C5A937}"/>
            </c:ext>
          </c:extLst>
        </c:ser>
        <c:ser>
          <c:idx val="1"/>
          <c:order val="3"/>
          <c:tx>
            <c:v>Rok 2024</c:v>
          </c:tx>
          <c:spPr>
            <a:ln w="28575">
              <a:solidFill>
                <a:srgbClr val="00B0F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7.25806451612903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03-41A6-A3B2-BDCBF7C5A937}"/>
                </c:ext>
              </c:extLst>
            </c:dLbl>
            <c:dLbl>
              <c:idx val="1"/>
              <c:layout>
                <c:manualLayout>
                  <c:x val="8.0645161290322578E-3"/>
                  <c:y val="-5.01567398119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03-41A6-A3B2-BDCBF7C5A937}"/>
                </c:ext>
              </c:extLst>
            </c:dLbl>
            <c:dLbl>
              <c:idx val="2"/>
              <c:layout>
                <c:manualLayout>
                  <c:x val="-9.8565169610477358E-17"/>
                  <c:y val="-5.0156739811912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03-41A6-A3B2-BDCBF7C5A937}"/>
                </c:ext>
              </c:extLst>
            </c:dLbl>
            <c:dLbl>
              <c:idx val="3"/>
              <c:layout>
                <c:manualLayout>
                  <c:x val="0"/>
                  <c:y val="-5.015673981191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03-41A6-A3B2-BDCBF7C5A937}"/>
                </c:ext>
              </c:extLst>
            </c:dLbl>
            <c:dLbl>
              <c:idx val="4"/>
              <c:layout>
                <c:manualLayout>
                  <c:x val="-3.2258064516129031E-2"/>
                  <c:y val="-4.179728317659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03-41A6-A3B2-BDCBF7C5A937}"/>
                </c:ext>
              </c:extLst>
            </c:dLbl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Hárok1!$CZ$188:$CZ$192</c:f>
              <c:numCache>
                <c:formatCode>General</c:formatCode>
                <c:ptCount val="5"/>
                <c:pt idx="0">
                  <c:v>67</c:v>
                </c:pt>
                <c:pt idx="1">
                  <c:v>20</c:v>
                </c:pt>
                <c:pt idx="2">
                  <c:v>5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903-41A6-A3B2-BDCBF7C5A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32480"/>
        <c:axId val="1"/>
      </c:lineChart>
      <c:catAx>
        <c:axId val="175883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9050">
              <a:solidFill>
                <a:srgbClr val="0070C0">
                  <a:alpha val="13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odpovedí</a:t>
                </a:r>
                <a:endParaRPr lang="sk-SK" sz="1050"/>
              </a:p>
            </c:rich>
          </c:tx>
          <c:layout>
            <c:manualLayout>
              <c:xMode val="edge"/>
              <c:yMode val="edge"/>
              <c:x val="3.7825543984421305E-2"/>
              <c:y val="0.1901736891039090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 w="3175">
            <a:solidFill>
              <a:srgbClr val="7030A0"/>
            </a:solidFill>
          </a:ln>
        </c:spPr>
        <c:crossAx val="1758832480"/>
        <c:crosses val="autoZero"/>
        <c:crossBetween val="between"/>
      </c:valAx>
      <c:spPr>
        <a:gradFill flip="none" rotWithShape="1">
          <a:gsLst>
            <a:gs pos="0">
              <a:srgbClr val="FCFDCF">
                <a:shade val="30000"/>
                <a:satMod val="115000"/>
              </a:srgbClr>
            </a:gs>
            <a:gs pos="16000">
              <a:srgbClr val="FCFDCF">
                <a:shade val="67500"/>
                <a:satMod val="115000"/>
              </a:srgbClr>
            </a:gs>
            <a:gs pos="82000">
              <a:srgbClr val="FCFDCF">
                <a:shade val="100000"/>
                <a:satMod val="115000"/>
              </a:srgbClr>
            </a:gs>
          </a:gsLst>
          <a:lin ang="2700000" scaled="1"/>
          <a:tileRect/>
        </a:gradFill>
        <a:ln w="12700">
          <a:solidFill>
            <a:srgbClr val="0070C0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aseline="0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 baseline="0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sz="1000" baseline="0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8752137837609006"/>
          <c:y val="0.24765647240803362"/>
          <c:w val="0.18372322411311492"/>
          <c:h val="0.30232666057808605"/>
        </c:manualLayout>
      </c:layout>
      <c:overlay val="0"/>
      <c:spPr>
        <a:solidFill>
          <a:schemeClr val="bg1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baseline="0"/>
          </a:pPr>
          <a:endParaRPr lang="sk-SK"/>
        </a:p>
      </c:txPr>
    </c:legend>
    <c:plotVisOnly val="1"/>
    <c:dispBlanksAs val="gap"/>
    <c:showDLblsOverMax val="0"/>
  </c:chart>
  <c:spPr>
    <a:solidFill>
      <a:srgbClr val="EEF3A9"/>
    </a:solidFill>
    <a:ln w="22225"/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(10) Ste spokojný so spôsobom komunikácie a ochotou zamestnancov riešiť vaše požiadavky </a:t>
            </a:r>
            <a:endParaRPr lang="sk-SK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8439707231718"/>
          <c:y val="0.17363586561025665"/>
          <c:w val="0.76165048118985124"/>
          <c:h val="0.63120771361913097"/>
        </c:manualLayout>
      </c:layout>
      <c:lineChart>
        <c:grouping val="standard"/>
        <c:varyColors val="0"/>
        <c:ser>
          <c:idx val="4"/>
          <c:order val="0"/>
          <c:tx>
            <c:v>Rok 2021</c:v>
          </c:tx>
          <c:spPr>
            <a:ln w="28575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Hárok1!$CG$243:$CG$247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Hárok1!$CJ$243:$CJ$247</c:f>
              <c:numCache>
                <c:formatCode>General</c:formatCode>
                <c:ptCount val="5"/>
                <c:pt idx="0">
                  <c:v>94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D7-4862-B7E7-09C16B8F280F}"/>
            </c:ext>
          </c:extLst>
        </c:ser>
        <c:ser>
          <c:idx val="0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Hárok1!$CQ$243:$CQ$247</c:f>
              <c:numCache>
                <c:formatCode>General</c:formatCode>
                <c:ptCount val="5"/>
                <c:pt idx="0">
                  <c:v>67</c:v>
                </c:pt>
                <c:pt idx="1">
                  <c:v>21</c:v>
                </c:pt>
                <c:pt idx="2">
                  <c:v>3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D7-4862-B7E7-09C16B8F280F}"/>
            </c:ext>
          </c:extLst>
        </c:ser>
        <c:ser>
          <c:idx val="2"/>
          <c:order val="2"/>
          <c:tx>
            <c:v>Rok 2023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Hárok1!$CT$243:$CT$247</c:f>
              <c:numCache>
                <c:formatCode>General</c:formatCode>
                <c:ptCount val="5"/>
                <c:pt idx="0">
                  <c:v>66</c:v>
                </c:pt>
                <c:pt idx="1">
                  <c:v>21</c:v>
                </c:pt>
                <c:pt idx="2">
                  <c:v>7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D7-4862-B7E7-09C16B8F280F}"/>
            </c:ext>
          </c:extLst>
        </c:ser>
        <c:ser>
          <c:idx val="1"/>
          <c:order val="3"/>
          <c:tx>
            <c:v>Rok 2024</c:v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dLbl>
              <c:idx val="2"/>
              <c:layout>
                <c:manualLayout>
                  <c:x val="-1.8970189701897018E-2"/>
                  <c:y val="-2.9075804776739357E-2"/>
                </c:manualLayout>
              </c:layout>
              <c:spPr>
                <a:solidFill>
                  <a:schemeClr val="bg1">
                    <a:lumMod val="85000"/>
                    <a:alpha val="69000"/>
                  </a:schemeClr>
                </a:solidFill>
                <a:ln w="19050" cap="flat" cmpd="sng" algn="ctr">
                  <a:solidFill>
                    <a:schemeClr val="accent1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D7-4862-B7E7-09C16B8F280F}"/>
                </c:ext>
              </c:extLst>
            </c:dLbl>
            <c:dLbl>
              <c:idx val="3"/>
              <c:layout>
                <c:manualLayout>
                  <c:x val="-8.130081300813009E-3"/>
                  <c:y val="-2.9075804776739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D7-4862-B7E7-09C16B8F280F}"/>
                </c:ext>
              </c:extLst>
            </c:dLbl>
            <c:dLbl>
              <c:idx val="4"/>
              <c:layout>
                <c:manualLayout>
                  <c:x val="-3.5230352303523137E-2"/>
                  <c:y val="-4.5690550363447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D7-4862-B7E7-09C16B8F280F}"/>
                </c:ext>
              </c:extLst>
            </c:dLbl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Hárok1!$CZ$214:$CZ$218</c:f>
              <c:numCache>
                <c:formatCode>General</c:formatCode>
                <c:ptCount val="5"/>
                <c:pt idx="0">
                  <c:v>63</c:v>
                </c:pt>
                <c:pt idx="1">
                  <c:v>23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FD7-4862-B7E7-09C16B8F2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46208"/>
        <c:axId val="1"/>
      </c:lineChart>
      <c:catAx>
        <c:axId val="175884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2.7777564389817128E-2"/>
              <c:y val="0.1813793836518098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758846208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>
          <a:solidFill>
            <a:srgbClr val="7030A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3117363378358193"/>
          <c:y val="0.28037383177570091"/>
          <c:w val="0.19876704436335699"/>
          <c:h val="0.25863132962038282"/>
        </c:manualLayout>
      </c:layout>
      <c:overlay val="0"/>
      <c:spPr>
        <a:solidFill>
          <a:schemeClr val="bg1"/>
        </a:solidFill>
        <a:ln>
          <a:solidFill>
            <a:srgbClr val="00B050"/>
          </a:solidFill>
        </a:ln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rgbClr val="E2D5D0"/>
    </a:solidFill>
    <a:ln w="22225">
      <a:solidFill>
        <a:schemeClr val="accent2">
          <a:lumMod val="60000"/>
          <a:lumOff val="40000"/>
        </a:schemeClr>
      </a:solidFill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/>
              <a:t>(11) Ste spokojný s etickým prístupom zamestnancov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157267790918847"/>
          <c:y val="0.13763565891472868"/>
          <c:w val="0.77740048118985139"/>
          <c:h val="0.68754155730533684"/>
        </c:manualLayout>
      </c:layout>
      <c:lineChart>
        <c:grouping val="standard"/>
        <c:varyColors val="0"/>
        <c:ser>
          <c:idx val="4"/>
          <c:order val="0"/>
          <c:tx>
            <c:v>Rok 2021</c:v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Hárok1!$CH$267:$CH$271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Hárok1!$CK$267:$CK$271</c:f>
              <c:numCache>
                <c:formatCode>General</c:formatCode>
                <c:ptCount val="5"/>
                <c:pt idx="0">
                  <c:v>97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F5-45E9-A0B6-280ABBDC874C}"/>
            </c:ext>
          </c:extLst>
        </c:ser>
        <c:ser>
          <c:idx val="2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Hárok1!$CP$269:$CP$273</c:f>
              <c:numCache>
                <c:formatCode>General</c:formatCode>
                <c:ptCount val="5"/>
                <c:pt idx="0">
                  <c:v>72</c:v>
                </c:pt>
                <c:pt idx="1">
                  <c:v>16</c:v>
                </c:pt>
                <c:pt idx="2">
                  <c:v>4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F5-45E9-A0B6-280ABBDC874C}"/>
            </c:ext>
          </c:extLst>
        </c:ser>
        <c:ser>
          <c:idx val="0"/>
          <c:order val="2"/>
          <c:tx>
            <c:v>Rok 2023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Hárok1!$CT$269:$CT$273</c:f>
              <c:numCache>
                <c:formatCode>General</c:formatCode>
                <c:ptCount val="5"/>
                <c:pt idx="0">
                  <c:v>76</c:v>
                </c:pt>
                <c:pt idx="1">
                  <c:v>17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F5-45E9-A0B6-280ABBDC874C}"/>
            </c:ext>
          </c:extLst>
        </c:ser>
        <c:ser>
          <c:idx val="1"/>
          <c:order val="3"/>
          <c:tx>
            <c:v>Rok 2024</c:v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7.2874493927125528E-2"/>
                  <c:y val="-3.87596899224806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F5-45E9-A0B6-280ABBDC874C}"/>
                </c:ext>
              </c:extLst>
            </c:dLbl>
            <c:dLbl>
              <c:idx val="1"/>
              <c:layout>
                <c:manualLayout>
                  <c:x val="-1.6194331983805717E-2"/>
                  <c:y val="-2.32558139534883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F5-45E9-A0B6-280ABBDC874C}"/>
                </c:ext>
              </c:extLst>
            </c:dLbl>
            <c:dLbl>
              <c:idx val="2"/>
              <c:layout>
                <c:manualLayout>
                  <c:x val="0"/>
                  <c:y val="-3.48837209302327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7F5-45E9-A0B6-280ABBDC874C}"/>
                </c:ext>
              </c:extLst>
            </c:dLbl>
            <c:dLbl>
              <c:idx val="3"/>
              <c:layout>
                <c:manualLayout>
                  <c:x val="-1.079622132253721E-2"/>
                  <c:y val="-3.875968992248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F5-45E9-A0B6-280ABBDC874C}"/>
                </c:ext>
              </c:extLst>
            </c:dLbl>
            <c:dLbl>
              <c:idx val="4"/>
              <c:layout>
                <c:manualLayout>
                  <c:x val="-4.048582995951417E-2"/>
                  <c:y val="-6.2015503875968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F5-45E9-A0B6-280ABBDC874C}"/>
                </c:ext>
              </c:extLst>
            </c:dLbl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Hárok1!$CZ$240:$CZ$244</c:f>
              <c:numCache>
                <c:formatCode>General</c:formatCode>
                <c:ptCount val="5"/>
                <c:pt idx="0">
                  <c:v>73</c:v>
                </c:pt>
                <c:pt idx="1">
                  <c:v>18</c:v>
                </c:pt>
                <c:pt idx="2" formatCode="mmm\-yy">
                  <c:v>1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7F5-45E9-A0B6-280ABBDC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34976"/>
        <c:axId val="1"/>
      </c:lineChart>
      <c:catAx>
        <c:axId val="175883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/>
        </c:sp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6350"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100" b="1" i="0" baseline="0"/>
                  <a:t>%  z celkového počtu odpovedí</a:t>
                </a:r>
                <a:endParaRPr lang="sk-SK" sz="1100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758834976"/>
        <c:crosses val="autoZero"/>
        <c:crossBetween val="between"/>
      </c:valAx>
      <c:spPr>
        <a:gradFill flip="none" rotWithShape="1">
          <a:gsLst>
            <a:gs pos="0">
              <a:schemeClr val="accent3">
                <a:lumMod val="20000"/>
                <a:lumOff val="80000"/>
                <a:shade val="30000"/>
                <a:satMod val="115000"/>
              </a:schemeClr>
            </a:gs>
            <a:gs pos="50000">
              <a:schemeClr val="accent3">
                <a:lumMod val="20000"/>
                <a:lumOff val="80000"/>
                <a:shade val="67500"/>
                <a:satMod val="115000"/>
              </a:schemeClr>
            </a:gs>
            <a:gs pos="0">
              <a:schemeClr val="accent3">
                <a:lumMod val="20000"/>
                <a:lumOff val="80000"/>
                <a:shade val="100000"/>
                <a:satMod val="115000"/>
              </a:schemeClr>
            </a:gs>
          </a:gsLst>
          <a:path path="circle">
            <a:fillToRect l="100000" t="100000"/>
          </a:path>
          <a:tileRect r="-100000" b="-100000"/>
        </a:gradFill>
        <a:ln w="6350">
          <a:solidFill>
            <a:srgbClr val="00B050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6040188296301017"/>
          <c:y val="0.23740853821843699"/>
          <c:w val="0.18446704283422066"/>
          <c:h val="0.30673130144446226"/>
        </c:manualLayout>
      </c:layout>
      <c:overlay val="0"/>
      <c:spPr>
        <a:solidFill>
          <a:schemeClr val="bg1"/>
        </a:solidFill>
        <a:ln w="12700">
          <a:solidFill>
            <a:srgbClr val="00B050"/>
          </a:solidFill>
        </a:ln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  <a:ln>
      <a:solidFill>
        <a:srgbClr val="00B050"/>
      </a:solidFill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(12)</a:t>
            </a:r>
            <a:r>
              <a:rPr lang="sk-SK" sz="1800" b="1" i="0" u="none" strike="noStrike" baseline="0"/>
              <a:t> </a:t>
            </a:r>
            <a:r>
              <a:rPr lang="sk-SK" sz="1200" b="1" i="0" u="none" strike="noStrike" baseline="0"/>
              <a:t>Ako hodnotíte proces odstraňovania chýb pri vybavovaní vašich požiadaviek z časového, kvalitatívneho a kvantitatívneho pohľadu </a:t>
            </a:r>
            <a:endParaRPr lang="sk-SK"/>
          </a:p>
        </c:rich>
      </c:tx>
      <c:layout>
        <c:manualLayout>
          <c:xMode val="edge"/>
          <c:yMode val="edge"/>
          <c:x val="0.1515782173569767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500480122911464"/>
          <c:y val="0.25534991612286995"/>
          <c:w val="0.75498879596581125"/>
          <c:h val="0.57542515881167033"/>
        </c:manualLayout>
      </c:layout>
      <c:lineChart>
        <c:grouping val="standard"/>
        <c:varyColors val="0"/>
        <c:ser>
          <c:idx val="0"/>
          <c:order val="0"/>
          <c:tx>
            <c:v>Rok 2021</c:v>
          </c:tx>
          <c:spPr>
            <a:ln w="28575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Hárok1!$CF$292:$CF$296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Hárok1!$CI$292:$CI$296</c:f>
              <c:numCache>
                <c:formatCode>General</c:formatCode>
                <c:ptCount val="5"/>
                <c:pt idx="0">
                  <c:v>79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D6-47AD-9BB1-FC68E228D710}"/>
            </c:ext>
          </c:extLst>
        </c:ser>
        <c:ser>
          <c:idx val="2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Hárok1!$CQ$294:$CQ$298</c:f>
              <c:numCache>
                <c:formatCode>General</c:formatCode>
                <c:ptCount val="5"/>
                <c:pt idx="0">
                  <c:v>52</c:v>
                </c:pt>
                <c:pt idx="1">
                  <c:v>33</c:v>
                </c:pt>
                <c:pt idx="2">
                  <c:v>7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D6-47AD-9BB1-FC68E228D710}"/>
            </c:ext>
          </c:extLst>
        </c:ser>
        <c:ser>
          <c:idx val="3"/>
          <c:order val="2"/>
          <c:tx>
            <c:v>Rok 2023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Hárok1!$CT$297:$CT$301</c:f>
              <c:numCache>
                <c:formatCode>General</c:formatCode>
                <c:ptCount val="5"/>
                <c:pt idx="0">
                  <c:v>48</c:v>
                </c:pt>
                <c:pt idx="1">
                  <c:v>38</c:v>
                </c:pt>
                <c:pt idx="2">
                  <c:v>9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D6-47AD-9BB1-FC68E228D710}"/>
            </c:ext>
          </c:extLst>
        </c:ser>
        <c:ser>
          <c:idx val="1"/>
          <c:order val="3"/>
          <c:tx>
            <c:v>Rok 2024</c:v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7.0460704607046065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D6-47AD-9BB1-FC68E228D710}"/>
                </c:ext>
              </c:extLst>
            </c:dLbl>
            <c:dLbl>
              <c:idx val="2"/>
              <c:layout>
                <c:manualLayout>
                  <c:x val="-2.1680216802168022E-2"/>
                  <c:y val="-6.931702344546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D6-47AD-9BB1-FC68E228D710}"/>
                </c:ext>
              </c:extLst>
            </c:dLbl>
            <c:dLbl>
              <c:idx val="3"/>
              <c:layout>
                <c:manualLayout>
                  <c:x val="-1.6260162601626115E-2"/>
                  <c:y val="-3.669724770642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D6-47AD-9BB1-FC68E228D710}"/>
                </c:ext>
              </c:extLst>
            </c:dLbl>
            <c:dLbl>
              <c:idx val="4"/>
              <c:layout>
                <c:manualLayout>
                  <c:x val="-3.5230352303523033E-2"/>
                  <c:y val="-5.30071355759429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D6-47AD-9BB1-FC68E228D710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Hárok1!$CZ$267:$CZ$271</c:f>
              <c:numCache>
                <c:formatCode>General</c:formatCode>
                <c:ptCount val="5"/>
                <c:pt idx="0">
                  <c:v>50</c:v>
                </c:pt>
                <c:pt idx="1">
                  <c:v>33</c:v>
                </c:pt>
                <c:pt idx="2">
                  <c:v>7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FD6-47AD-9BB1-FC68E228D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48704"/>
        <c:axId val="1"/>
      </c:lineChart>
      <c:catAx>
        <c:axId val="175884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90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2.9526918891236157E-2"/>
              <c:y val="0.222581364829396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>
            <a:solidFill>
              <a:srgbClr val="FF0000"/>
            </a:solidFill>
          </a:ln>
        </c:spPr>
        <c:crossAx val="1758848704"/>
        <c:crosses val="autoZero"/>
        <c:crossBetween val="between"/>
      </c:valAx>
      <c:spPr>
        <a:gradFill flip="none" rotWithShape="1">
          <a:gsLst>
            <a:gs pos="0">
              <a:schemeClr val="bg2">
                <a:shade val="30000"/>
                <a:satMod val="115000"/>
              </a:schemeClr>
            </a:gs>
            <a:gs pos="0">
              <a:schemeClr val="bg2">
                <a:shade val="67500"/>
                <a:satMod val="115000"/>
              </a:schemeClr>
            </a:gs>
            <a:gs pos="100000">
              <a:schemeClr val="bg2">
                <a:shade val="100000"/>
                <a:satMod val="115000"/>
              </a:schemeClr>
            </a:gs>
          </a:gsLst>
          <a:path path="circle">
            <a:fillToRect l="100000" t="100000"/>
          </a:path>
          <a:tileRect r="-100000" b="-100000"/>
        </a:gradFill>
        <a:ln w="22225">
          <a:solidFill>
            <a:srgbClr val="00B050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70237650171777311"/>
          <c:y val="0.2812125984251968"/>
          <c:w val="0.19605701726308603"/>
          <c:h val="0.25648859549122016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  <a:ln w="22225"/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Boli ste požiadaný o úplatu v záujme úspešného vybavenia vašej žiadosti </a:t>
            </a:r>
            <a:endParaRPr lang="sk-SK" sz="1200"/>
          </a:p>
        </c:rich>
      </c:tx>
      <c:layout>
        <c:manualLayout>
          <c:xMode val="edge"/>
          <c:yMode val="edge"/>
          <c:x val="0.10859453052239439"/>
          <c:y val="2.4312750379886725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621687410041488"/>
          <c:y val="0.18797285121316867"/>
          <c:w val="0.83463525561329122"/>
          <c:h val="0.63264164621701824"/>
        </c:manualLayout>
      </c:layout>
      <c:barChart>
        <c:barDir val="col"/>
        <c:grouping val="clustered"/>
        <c:varyColors val="0"/>
        <c:ser>
          <c:idx val="4"/>
          <c:order val="0"/>
          <c:tx>
            <c:v>Rok  2021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10-4C76-8746-BC4FF257C841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Hárok1!$BV$346:$BV$350</c:f>
              <c:strCache>
                <c:ptCount val="5"/>
                <c:pt idx="0">
                  <c:v>1-Nikdy (0)</c:v>
                </c:pt>
                <c:pt idx="1">
                  <c:v>2-Príležitostne
(1-25%)</c:v>
                </c:pt>
                <c:pt idx="2">
                  <c:v>3-Dosť často
 (25-60 %)</c:v>
                </c:pt>
                <c:pt idx="3">
                  <c:v>4-Veľmi často
 (60-99%)</c:v>
                </c:pt>
                <c:pt idx="4">
                  <c:v>5-Vždy
 (100%)</c:v>
                </c:pt>
              </c:strCache>
            </c:strRef>
          </c:cat>
          <c:val>
            <c:numRef>
              <c:f>Hárok1!$CH$334:$CH$338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10-4C76-8746-BC4FF257C841}"/>
            </c:ext>
          </c:extLst>
        </c:ser>
        <c:ser>
          <c:idx val="0"/>
          <c:order val="1"/>
          <c:tx>
            <c:v>Rok 2022</c:v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val>
            <c:numRef>
              <c:f>Hárok1!$CH$334:$CH$338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10-4C76-8746-BC4FF257C841}"/>
            </c:ext>
          </c:extLst>
        </c:ser>
        <c:ser>
          <c:idx val="2"/>
          <c:order val="2"/>
          <c:tx>
            <c:v>Rok 2023</c:v>
          </c:tx>
          <c:spPr>
            <a:solidFill>
              <a:schemeClr val="tx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6810-4C76-8746-BC4FF257C841}"/>
              </c:ext>
            </c:extLst>
          </c:dPt>
          <c:val>
            <c:numRef>
              <c:f>Hárok1!$CW$333:$CW$337</c:f>
              <c:numCache>
                <c:formatCode>General</c:formatCode>
                <c:ptCount val="5"/>
                <c:pt idx="0">
                  <c:v>99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810-4C76-8746-BC4FF257C841}"/>
            </c:ext>
          </c:extLst>
        </c:ser>
        <c:ser>
          <c:idx val="1"/>
          <c:order val="3"/>
          <c:tx>
            <c:v>Rok 2024</c:v>
          </c:tx>
          <c:spPr>
            <a:solidFill>
              <a:srgbClr val="00B0F0"/>
            </a:solidFill>
          </c:spPr>
          <c:invertIfNegative val="0"/>
          <c:dLbls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  <c:extLst>
            <c:ext xmlns:c16="http://schemas.microsoft.com/office/drawing/2014/chart" uri="{C3380CC4-5D6E-409C-BE32-E72D297353CC}">
              <c16:uniqueId val="{00000006-6810-4C76-8746-BC4FF257C8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827904"/>
        <c:axId val="1"/>
      </c:barChart>
      <c:catAx>
        <c:axId val="1758827904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low"/>
        <c:spPr>
          <a:ln/>
        </c:spPr>
        <c:txPr>
          <a:bodyPr rot="0" vert="horz" anchor="b" anchorCtr="0"/>
          <a:lstStyle/>
          <a:p>
            <a:pPr>
              <a:defRPr/>
            </a:pPr>
            <a:endParaRPr lang="sk-SK"/>
          </a:p>
        </c:txPr>
        <c:crossAx val="1"/>
        <c:crosses val="autoZero"/>
        <c:auto val="0"/>
        <c:lblAlgn val="ctr"/>
        <c:lblOffset val="20"/>
        <c:tickMarkSkip val="5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 odpovedí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58827904"/>
        <c:crosses val="autoZero"/>
        <c:crossBetween val="between"/>
        <c:minorUnit val="10"/>
      </c:valAx>
      <c:spPr>
        <a:solidFill>
          <a:schemeClr val="accent3">
            <a:lumMod val="60000"/>
            <a:lumOff val="40000"/>
          </a:schemeClr>
        </a:solidFill>
      </c:spPr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2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492136567606468"/>
          <c:y val="0.27865520099461255"/>
          <c:w val="0.1533187283041233"/>
          <c:h val="0.27338444536538192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Poskytli ste dobrovoľne úplatu v záujme rýchlejšieho vybavenia vašej žiadosti </a:t>
            </a:r>
            <a:endParaRPr lang="sk-SK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66954950303345"/>
          <c:y val="0.21728176966809037"/>
          <c:w val="0.8652183490398534"/>
          <c:h val="0.62171988918051924"/>
        </c:manualLayout>
      </c:layout>
      <c:barChart>
        <c:barDir val="col"/>
        <c:grouping val="clustered"/>
        <c:varyColors val="0"/>
        <c:ser>
          <c:idx val="4"/>
          <c:order val="0"/>
          <c:tx>
            <c:v>Rok  2021</c:v>
          </c:tx>
          <c:spPr>
            <a:solidFill>
              <a:srgbClr val="00B050"/>
            </a:solidFill>
          </c:spPr>
          <c:invertIfNegative val="0"/>
          <c:cat>
            <c:strRef>
              <c:f>Hárok1!$BV$346:$BV$350</c:f>
              <c:strCache>
                <c:ptCount val="5"/>
                <c:pt idx="0">
                  <c:v>1-Nikdy (0)</c:v>
                </c:pt>
                <c:pt idx="1">
                  <c:v>2-Príležitostne
(1-25%)</c:v>
                </c:pt>
                <c:pt idx="2">
                  <c:v>3-Dosť často
 (25-60 %)</c:v>
                </c:pt>
                <c:pt idx="3">
                  <c:v>4-Veľmi často
 (60-99%)</c:v>
                </c:pt>
                <c:pt idx="4">
                  <c:v>5-Vždy
 (100%)</c:v>
                </c:pt>
              </c:strCache>
            </c:strRef>
          </c:cat>
          <c:val>
            <c:numRef>
              <c:f>Hárok1!$CI$334:$CI$338</c:f>
              <c:numCache>
                <c:formatCode>General</c:formatCode>
                <c:ptCount val="5"/>
                <c:pt idx="0">
                  <c:v>99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A8-40BF-8CFE-6D44BF404C49}"/>
            </c:ext>
          </c:extLst>
        </c:ser>
        <c:ser>
          <c:idx val="0"/>
          <c:order val="1"/>
          <c:tx>
            <c:v>Rok 2022</c:v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invertIfNegative val="0"/>
          <c:val>
            <c:numLit>
              <c:formatCode>General</c:formatCode>
              <c:ptCount val="1"/>
              <c:pt idx="0">
                <c:v>100</c:v>
              </c:pt>
            </c:numLit>
          </c:val>
          <c:extLst>
            <c:ext xmlns:c16="http://schemas.microsoft.com/office/drawing/2014/chart" uri="{C3380CC4-5D6E-409C-BE32-E72D297353CC}">
              <c16:uniqueId val="{00000001-18A8-40BF-8CFE-6D44BF404C49}"/>
            </c:ext>
          </c:extLst>
        </c:ser>
        <c:ser>
          <c:idx val="1"/>
          <c:order val="2"/>
          <c:tx>
            <c:v>Rok 2023</c:v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Hárok1!$CW$333:$CW$337</c:f>
              <c:numCache>
                <c:formatCode>General</c:formatCode>
                <c:ptCount val="5"/>
                <c:pt idx="0">
                  <c:v>99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A8-40BF-8CFE-6D44BF404C49}"/>
            </c:ext>
          </c:extLst>
        </c:ser>
        <c:ser>
          <c:idx val="2"/>
          <c:order val="3"/>
          <c:tx>
            <c:v>Rok 2024</c:v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 w="19050" cap="flat" cmpd="sng" algn="ctr">
                  <a:solidFill>
                    <a:srgbClr val="00B0F0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8A8-40BF-8CFE-6D44BF404C49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  <c:extLst>
            <c:ext xmlns:c16="http://schemas.microsoft.com/office/drawing/2014/chart" uri="{C3380CC4-5D6E-409C-BE32-E72D297353CC}">
              <c16:uniqueId val="{00000004-18A8-40BF-8CFE-6D44BF404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839968"/>
        <c:axId val="1"/>
      </c:barChart>
      <c:catAx>
        <c:axId val="175883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0">
              <a:solidFill>
                <a:sysClr val="windowText" lastClr="000000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odpovedí</a:t>
                </a:r>
                <a:endParaRPr lang="sk-SK" sz="105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58839968"/>
        <c:crosses val="autoZero"/>
        <c:crossBetween val="between"/>
      </c:valAx>
      <c:spPr>
        <a:solidFill>
          <a:schemeClr val="accent4">
            <a:lumMod val="40000"/>
            <a:lumOff val="60000"/>
          </a:schemeClr>
        </a:solidFill>
        <a:ln w="12700">
          <a:solidFill>
            <a:schemeClr val="accent4">
              <a:lumMod val="60000"/>
              <a:lumOff val="40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2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3978120562798502"/>
          <c:y val="0.26064322945547297"/>
          <c:w val="0.15734843595370251"/>
          <c:h val="0.28699456582011756"/>
        </c:manualLayout>
      </c:layout>
      <c:overlay val="0"/>
      <c:spPr>
        <a:solidFill>
          <a:sysClr val="window" lastClr="FFFFFF"/>
        </a:solidFill>
        <a:ln>
          <a:solidFill>
            <a:schemeClr val="accent4">
              <a:lumMod val="60000"/>
              <a:lumOff val="40000"/>
            </a:schemeClr>
          </a:solidFill>
        </a:ln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 Poskytli ste úplatu v záujme úspešného vybavenia vašej žiadosti </a:t>
            </a:r>
            <a:endParaRPr lang="sk-SK" sz="1200"/>
          </a:p>
        </c:rich>
      </c:tx>
      <c:layout>
        <c:manualLayout>
          <c:xMode val="edge"/>
          <c:yMode val="edge"/>
          <c:x val="0.12125165354330708"/>
          <c:y val="3.08878164422995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586587821100675"/>
          <c:y val="0.17640774632900616"/>
          <c:w val="0.81147287311977567"/>
          <c:h val="0.64219149076953619"/>
        </c:manualLayout>
      </c:layout>
      <c:barChart>
        <c:barDir val="col"/>
        <c:grouping val="clustered"/>
        <c:varyColors val="0"/>
        <c:ser>
          <c:idx val="4"/>
          <c:order val="0"/>
          <c:tx>
            <c:v>Rok  2021</c:v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</c:spPr>
          <c:invertIfNegative val="0"/>
          <c:cat>
            <c:strRef>
              <c:f>Hárok1!$BV$346:$BV$350</c:f>
              <c:strCache>
                <c:ptCount val="5"/>
                <c:pt idx="0">
                  <c:v>1-Nikdy (0)</c:v>
                </c:pt>
                <c:pt idx="1">
                  <c:v>2-Príležitostne
(1-25%)</c:v>
                </c:pt>
                <c:pt idx="2">
                  <c:v>3-Dosť často
 (25-60 %)</c:v>
                </c:pt>
                <c:pt idx="3">
                  <c:v>4-Veľmi často
 (60-99%)</c:v>
                </c:pt>
                <c:pt idx="4">
                  <c:v>5-Vždy
 (100%)</c:v>
                </c:pt>
              </c:strCache>
            </c:strRef>
          </c:cat>
          <c:val>
            <c:numRef>
              <c:f>Hárok1!$CH$334:$CH$338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0-439D-86AB-1E6F65FBB6BC}"/>
            </c:ext>
          </c:extLst>
        </c:ser>
        <c:ser>
          <c:idx val="0"/>
          <c:order val="1"/>
          <c:tx>
            <c:v>Rok 2022</c:v>
          </c:tx>
          <c:spPr>
            <a:solidFill>
              <a:srgbClr val="FF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val>
            <c:numRef>
              <c:f>Hárok1!$CH$334:$CH$338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60-439D-86AB-1E6F65FBB6BC}"/>
            </c:ext>
          </c:extLst>
        </c:ser>
        <c:ser>
          <c:idx val="2"/>
          <c:order val="2"/>
          <c:tx>
            <c:v>Rok 2023</c:v>
          </c:tx>
          <c:spPr>
            <a:solidFill>
              <a:schemeClr val="tx1"/>
            </a:solidFill>
          </c:spPr>
          <c:invertIfNegative val="0"/>
          <c:val>
            <c:numRef>
              <c:f>Hárok1!$CW$333:$CW$337</c:f>
              <c:numCache>
                <c:formatCode>General</c:formatCode>
                <c:ptCount val="5"/>
                <c:pt idx="0">
                  <c:v>99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60-439D-86AB-1E6F65FBB6BC}"/>
            </c:ext>
          </c:extLst>
        </c:ser>
        <c:ser>
          <c:idx val="1"/>
          <c:order val="3"/>
          <c:tx>
            <c:v>Rok 2024</c:v>
          </c:tx>
          <c:spPr>
            <a:solidFill>
              <a:srgbClr val="00B0F0"/>
            </a:solidFill>
          </c:spPr>
          <c:invertIfNegative val="0"/>
          <c:dLbls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  <c:extLst>
            <c:ext xmlns:c16="http://schemas.microsoft.com/office/drawing/2014/chart" uri="{C3380CC4-5D6E-409C-BE32-E72D297353CC}">
              <c16:uniqueId val="{00000003-6860-439D-86AB-1E6F65FBB6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844960"/>
        <c:axId val="1"/>
      </c:barChart>
      <c:dateAx>
        <c:axId val="175884496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low"/>
        <c:crossAx val="1"/>
        <c:crosses val="autoZero"/>
        <c:auto val="0"/>
        <c:lblOffset val="10"/>
        <c:baseTimeUnit val="days"/>
      </c:date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  odpovedí</a:t>
                </a:r>
                <a:endParaRPr lang="sk-SK" sz="1050"/>
              </a:p>
            </c:rich>
          </c:tx>
          <c:layout>
            <c:manualLayout>
              <c:xMode val="edge"/>
              <c:yMode val="edge"/>
              <c:x val="4.7578582677165353E-2"/>
              <c:y val="0.157607315214630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58844960"/>
        <c:crossesAt val="1"/>
        <c:crossBetween val="between"/>
      </c:valAx>
      <c:spPr>
        <a:solidFill>
          <a:schemeClr val="bg2">
            <a:lumMod val="75000"/>
          </a:schemeClr>
        </a:solidFill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3602099737532813"/>
          <c:y val="0.2773204639742613"/>
          <c:w val="0.1535720734908137"/>
          <c:h val="0.24796613326559985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  <a:ln>
      <a:solidFill>
        <a:schemeClr val="accent1"/>
      </a:solidFill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Boli ste požiadaný o úplatu v záujme rýchlejšieho </a:t>
            </a:r>
          </a:p>
          <a:p>
            <a:pPr>
              <a:defRPr/>
            </a:pPr>
            <a:r>
              <a:rPr lang="sk-SK" sz="1200" b="1" i="0" u="none" strike="noStrike" baseline="0"/>
              <a:t>vybavenia vašej žiadosti </a:t>
            </a:r>
            <a:endParaRPr lang="sk-SK" sz="1200"/>
          </a:p>
        </c:rich>
      </c:tx>
      <c:layout>
        <c:manualLayout>
          <c:xMode val="edge"/>
          <c:yMode val="edge"/>
          <c:x val="0.16702800704128851"/>
          <c:y val="1.3888681742080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164129483814525"/>
          <c:y val="0.19480351414406533"/>
          <c:w val="0.81326290463692008"/>
          <c:h val="0.65586030912802562"/>
        </c:manualLayout>
      </c:layout>
      <c:barChart>
        <c:barDir val="col"/>
        <c:grouping val="clustered"/>
        <c:varyColors val="0"/>
        <c:ser>
          <c:idx val="4"/>
          <c:order val="0"/>
          <c:tx>
            <c:v>Rok  2021</c:v>
          </c:tx>
          <c:spPr>
            <a:solidFill>
              <a:srgbClr val="00B050"/>
            </a:solidFill>
          </c:spPr>
          <c:invertIfNegative val="0"/>
          <c:cat>
            <c:strRef>
              <c:f>Hárok1!$BV$346:$BV$350</c:f>
              <c:strCache>
                <c:ptCount val="5"/>
                <c:pt idx="0">
                  <c:v>1-Nikdy (0)</c:v>
                </c:pt>
                <c:pt idx="1">
                  <c:v>2-Príležitostne
(1-25%)</c:v>
                </c:pt>
                <c:pt idx="2">
                  <c:v>3-Dosť často
 (25-60 %)</c:v>
                </c:pt>
                <c:pt idx="3">
                  <c:v>4-Veľmi často
 (60-99%)</c:v>
                </c:pt>
                <c:pt idx="4">
                  <c:v>5-Vždy
 (100%)</c:v>
                </c:pt>
              </c:strCache>
            </c:strRef>
          </c:cat>
          <c:val>
            <c:numRef>
              <c:f>Hárok1!$CH$334:$CH$338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37-4F87-9B01-A915F1169A47}"/>
            </c:ext>
          </c:extLst>
        </c:ser>
        <c:ser>
          <c:idx val="0"/>
          <c:order val="1"/>
          <c:tx>
            <c:v>Rok 2022</c:v>
          </c:tx>
          <c:spPr>
            <a:solidFill>
              <a:srgbClr val="FF0000"/>
            </a:solidFill>
          </c:spPr>
          <c:invertIfNegative val="0"/>
          <c:val>
            <c:numRef>
              <c:f>Hárok1!$CH$334:$CH$338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37-4F87-9B01-A915F1169A47}"/>
            </c:ext>
          </c:extLst>
        </c:ser>
        <c:ser>
          <c:idx val="1"/>
          <c:order val="2"/>
          <c:tx>
            <c:v>Rok 2023</c:v>
          </c:tx>
          <c:spPr>
            <a:solidFill>
              <a:schemeClr val="tx1"/>
            </a:solidFill>
          </c:spPr>
          <c:invertIfNegative val="0"/>
          <c:val>
            <c:numRef>
              <c:f>Hárok1!$CW$333:$CW$337</c:f>
              <c:numCache>
                <c:formatCode>General</c:formatCode>
                <c:ptCount val="5"/>
                <c:pt idx="0">
                  <c:v>99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37-4F87-9B01-A915F1169A47}"/>
            </c:ext>
          </c:extLst>
        </c:ser>
        <c:ser>
          <c:idx val="2"/>
          <c:order val="3"/>
          <c:tx>
            <c:v>Rok 2024</c:v>
          </c:tx>
          <c:spPr>
            <a:solidFill>
              <a:srgbClr val="00B0F0"/>
            </a:solidFill>
          </c:spPr>
          <c:invertIfNegative val="0"/>
          <c:dLbls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  <c:extLst>
            <c:ext xmlns:c16="http://schemas.microsoft.com/office/drawing/2014/chart" uri="{C3380CC4-5D6E-409C-BE32-E72D297353CC}">
              <c16:uniqueId val="{00000003-ED37-4F87-9B01-A915F1169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835392"/>
        <c:axId val="1"/>
      </c:barChart>
      <c:catAx>
        <c:axId val="175883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odpovedí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58835392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  <a:ln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2853408384192933"/>
          <c:y val="0.26741795158613529"/>
          <c:w val="0.15418882880603779"/>
          <c:h val="0.26864123878665586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/>
              <a:t>Počet prijatých odpovedí v % vzhľadom</a:t>
            </a:r>
            <a:r>
              <a:rPr lang="sk-SK" sz="1200" baseline="0"/>
              <a:t> na sekciu/oddelenie ŠÚKL za Rok 2021-2024</a:t>
            </a:r>
            <a:endParaRPr lang="sk-SK" sz="1200"/>
          </a:p>
        </c:rich>
      </c:tx>
      <c:overlay val="1"/>
      <c:spPr>
        <a:ln>
          <a:solidFill>
            <a:schemeClr val="tx2">
              <a:lumMod val="60000"/>
              <a:lumOff val="40000"/>
            </a:schemeClr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0956284993683071"/>
          <c:y val="0.13993524921059994"/>
          <c:w val="0.76965562253208575"/>
          <c:h val="0.72342486377020143"/>
        </c:manualLayout>
      </c:layout>
      <c:barChart>
        <c:barDir val="col"/>
        <c:grouping val="clustered"/>
        <c:varyColors val="0"/>
        <c:ser>
          <c:idx val="4"/>
          <c:order val="0"/>
          <c:tx>
            <c:v>Rok  2021</c:v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</c:spPr>
          <c:invertIfNegative val="0"/>
          <c:cat>
            <c:strRef>
              <c:f>Hárok1!$CD$313:$CD$321</c:f>
              <c:strCache>
                <c:ptCount val="9"/>
                <c:pt idx="0">
                  <c:v>SRL</c:v>
                </c:pt>
                <c:pt idx="1">
                  <c:v>SI</c:v>
                </c:pt>
                <c:pt idx="2">
                  <c:v>ODL</c:v>
                </c:pt>
                <c:pt idx="3">
                  <c:v>SZP</c:v>
                </c:pt>
                <c:pt idx="4">
                  <c:v>SKSLaF</c:v>
                </c:pt>
                <c:pt idx="5">
                  <c:v>OP</c:v>
                </c:pt>
                <c:pt idx="6">
                  <c:v>SLK</c:v>
                </c:pt>
                <c:pt idx="7">
                  <c:v>ORaF</c:v>
                </c:pt>
                <c:pt idx="8">
                  <c:v>Iná sekcia/odd.</c:v>
                </c:pt>
              </c:strCache>
            </c:strRef>
          </c:cat>
          <c:val>
            <c:numRef>
              <c:f>Hárok1!$CF$313:$CF$321</c:f>
              <c:numCache>
                <c:formatCode>General</c:formatCode>
                <c:ptCount val="9"/>
                <c:pt idx="0">
                  <c:v>42</c:v>
                </c:pt>
                <c:pt idx="1">
                  <c:v>21</c:v>
                </c:pt>
                <c:pt idx="2">
                  <c:v>32</c:v>
                </c:pt>
                <c:pt idx="3">
                  <c:v>9</c:v>
                </c:pt>
                <c:pt idx="4">
                  <c:v>25</c:v>
                </c:pt>
                <c:pt idx="5">
                  <c:v>19</c:v>
                </c:pt>
                <c:pt idx="6">
                  <c:v>5</c:v>
                </c:pt>
                <c:pt idx="7">
                  <c:v>3</c:v>
                </c:pt>
                <c:pt idx="8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C-4CB0-A91A-3CF6D828644B}"/>
            </c:ext>
          </c:extLst>
        </c:ser>
        <c:ser>
          <c:idx val="0"/>
          <c:order val="1"/>
          <c:tx>
            <c:v>Rok  2022</c:v>
          </c:tx>
          <c:spPr>
            <a:solidFill>
              <a:srgbClr val="FF0000"/>
            </a:solidFill>
          </c:spPr>
          <c:invertIfNegative val="0"/>
          <c:val>
            <c:numRef>
              <c:f>Hárok1!$CP$425:$CP$433</c:f>
              <c:numCache>
                <c:formatCode>General</c:formatCode>
                <c:ptCount val="9"/>
                <c:pt idx="0">
                  <c:v>149</c:v>
                </c:pt>
                <c:pt idx="1">
                  <c:v>34</c:v>
                </c:pt>
                <c:pt idx="2">
                  <c:v>47</c:v>
                </c:pt>
                <c:pt idx="3">
                  <c:v>10</c:v>
                </c:pt>
                <c:pt idx="4">
                  <c:v>41</c:v>
                </c:pt>
                <c:pt idx="5">
                  <c:v>31</c:v>
                </c:pt>
                <c:pt idx="6">
                  <c:v>6</c:v>
                </c:pt>
                <c:pt idx="7">
                  <c:v>3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C-4CB0-A91A-3CF6D828644B}"/>
            </c:ext>
          </c:extLst>
        </c:ser>
        <c:ser>
          <c:idx val="2"/>
          <c:order val="2"/>
          <c:tx>
            <c:v>Rok 2O23</c:v>
          </c:tx>
          <c:spPr>
            <a:solidFill>
              <a:schemeClr val="tx1"/>
            </a:solidFill>
          </c:spPr>
          <c:invertIfNegative val="0"/>
          <c:val>
            <c:numRef>
              <c:f>Hárok1!$CO$436:$CO$444</c:f>
              <c:numCache>
                <c:formatCode>General</c:formatCode>
                <c:ptCount val="9"/>
                <c:pt idx="0">
                  <c:v>153</c:v>
                </c:pt>
                <c:pt idx="1">
                  <c:v>38</c:v>
                </c:pt>
                <c:pt idx="2">
                  <c:v>36</c:v>
                </c:pt>
                <c:pt idx="3">
                  <c:v>14</c:v>
                </c:pt>
                <c:pt idx="4">
                  <c:v>57</c:v>
                </c:pt>
                <c:pt idx="5">
                  <c:v>25</c:v>
                </c:pt>
                <c:pt idx="6" formatCode="0.00">
                  <c:v>2</c:v>
                </c:pt>
                <c:pt idx="7">
                  <c:v>2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C-4CB0-A91A-3CF6D828644B}"/>
            </c:ext>
          </c:extLst>
        </c:ser>
        <c:ser>
          <c:idx val="1"/>
          <c:order val="3"/>
          <c:tx>
            <c:v>Rok 2024</c:v>
          </c:tx>
          <c:spPr>
            <a:solidFill>
              <a:srgbClr val="00B0F0"/>
            </a:solidFill>
          </c:spPr>
          <c:invertIfNegative val="0"/>
          <c:dLbls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Hárok1!$CZ$415:$CZ$423</c:f>
              <c:numCache>
                <c:formatCode>General</c:formatCode>
                <c:ptCount val="9"/>
                <c:pt idx="0">
                  <c:v>80</c:v>
                </c:pt>
                <c:pt idx="1">
                  <c:v>16</c:v>
                </c:pt>
                <c:pt idx="2">
                  <c:v>29</c:v>
                </c:pt>
                <c:pt idx="3">
                  <c:v>14</c:v>
                </c:pt>
                <c:pt idx="4">
                  <c:v>26</c:v>
                </c:pt>
                <c:pt idx="5">
                  <c:v>19</c:v>
                </c:pt>
                <c:pt idx="6">
                  <c:v>1</c:v>
                </c:pt>
                <c:pt idx="7">
                  <c:v>0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3C-4CB0-A91A-3CF6D8286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841216"/>
        <c:axId val="1"/>
      </c:barChart>
      <c:catAx>
        <c:axId val="1758841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6350">
              <a:solidFill>
                <a:sysClr val="windowText" lastClr="000000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odpovedí</a:t>
                </a:r>
                <a:endParaRPr lang="sk-SK" sz="1050"/>
              </a:p>
            </c:rich>
          </c:tx>
          <c:layout>
            <c:manualLayout>
              <c:xMode val="edge"/>
              <c:yMode val="edge"/>
              <c:x val="6.924285441229262E-3"/>
              <c:y val="0.259365548849540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rgbClr val="00B0F0"/>
            </a:solidFill>
          </a:ln>
        </c:spPr>
        <c:crossAx val="1758841216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  <a:ln w="6350" cmpd="sng">
          <a:solidFill>
            <a:srgbClr val="FF0000"/>
          </a:solidFill>
          <a:prstDash val="sysDot"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>
                <a:solidFill>
                  <a:srgbClr val="00B0F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7340815156726097"/>
          <c:y val="0.26316666000506278"/>
          <c:w val="0.14540360615842562"/>
          <c:h val="0.24477716935129307"/>
        </c:manualLayout>
      </c:layout>
      <c:overlay val="0"/>
      <c:spPr>
        <a:solidFill>
          <a:sysClr val="window" lastClr="FFFFFF"/>
        </a:solidFill>
      </c:spPr>
    </c:legend>
    <c:plotVisOnly val="1"/>
    <c:dispBlanksAs val="gap"/>
    <c:showDLblsOverMax val="0"/>
  </c:chart>
  <c:spPr>
    <a:solidFill>
      <a:srgbClr val="C3D69B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100" b="1" i="0" u="none" strike="noStrike" baseline="0"/>
              <a:t>(1) Ste spokojný s celkovou kvalitou a odbornou úrovňou poskytovaných služieb </a:t>
            </a:r>
            <a:r>
              <a:rPr lang="sk-SK" sz="1100" b="0" i="0" u="none" strike="noStrike" baseline="0"/>
              <a:t> </a:t>
            </a:r>
            <a:r>
              <a:rPr lang="sk-SK" sz="1100" b="1" i="0" u="none" strike="noStrike" baseline="0"/>
              <a:t> </a:t>
            </a:r>
            <a:endParaRPr lang="sk-SK" sz="1100"/>
          </a:p>
        </c:rich>
      </c:tx>
      <c:layout>
        <c:manualLayout>
          <c:xMode val="edge"/>
          <c:yMode val="edge"/>
          <c:x val="0.14854161374989416"/>
          <c:y val="2.77780326002938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526500719668103"/>
          <c:y val="0.19552939377723416"/>
          <c:w val="0.77169203849518808"/>
          <c:h val="0.61009660250802022"/>
        </c:manualLayout>
      </c:layout>
      <c:lineChart>
        <c:grouping val="standard"/>
        <c:varyColors val="0"/>
        <c:ser>
          <c:idx val="4"/>
          <c:order val="0"/>
          <c:tx>
            <c:v>Rok 2021</c:v>
          </c:tx>
          <c:spPr>
            <a:ln w="1905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Hárok1!$CE$4:$CF$8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Hárok1!$CI$4:$CI$8</c:f>
              <c:numCache>
                <c:formatCode>General</c:formatCode>
                <c:ptCount val="5"/>
                <c:pt idx="0">
                  <c:v>82</c:v>
                </c:pt>
                <c:pt idx="1">
                  <c:v>14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36-44C2-A3EC-976B13697332}"/>
            </c:ext>
          </c:extLst>
        </c:ser>
        <c:ser>
          <c:idx val="0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Hárok1!$CQ$4:$CQ$8</c:f>
              <c:numCache>
                <c:formatCode>General</c:formatCode>
                <c:ptCount val="5"/>
                <c:pt idx="0">
                  <c:v>56</c:v>
                </c:pt>
                <c:pt idx="1">
                  <c:v>30.3</c:v>
                </c:pt>
                <c:pt idx="2" formatCode="mmm\-yy">
                  <c:v>5.3</c:v>
                </c:pt>
                <c:pt idx="3" formatCode="mmm\-yy">
                  <c:v>1.5</c:v>
                </c:pt>
                <c:pt idx="4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36-44C2-A3EC-976B13697332}"/>
            </c:ext>
          </c:extLst>
        </c:ser>
        <c:ser>
          <c:idx val="1"/>
          <c:order val="2"/>
          <c:tx>
            <c:v>Rok 2023</c:v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9408602150537638E-2"/>
                  <c:y val="1.117583603020496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70C0"/>
                        </a:solidFill>
                        <a:latin typeface="+mn-lt"/>
                        <a:ea typeface="+mn-ea"/>
                        <a:cs typeface="+mn-cs"/>
                      </a:rPr>
                      <a:t>58</a:t>
                    </a:r>
                    <a:endParaRPr lang="en-US">
                      <a:solidFill>
                        <a:srgbClr val="0070C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236-44C2-A3EC-976B13697332}"/>
                </c:ext>
              </c:extLst>
            </c:dLbl>
            <c:dLbl>
              <c:idx val="1"/>
              <c:layout>
                <c:manualLayout>
                  <c:x val="-3.1774193548387099E-2"/>
                  <c:y val="-5.354908306364625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70C0"/>
                        </a:solidFill>
                        <a:latin typeface="+mn-lt"/>
                        <a:ea typeface="+mn-ea"/>
                        <a:cs typeface="+mn-cs"/>
                      </a:rPr>
                      <a:t>28</a:t>
                    </a:r>
                    <a:endParaRPr lang="en-US">
                      <a:solidFill>
                        <a:srgbClr val="0070C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236-44C2-A3EC-976B1369733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236-44C2-A3EC-976B1369733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236-44C2-A3EC-976B1369733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236-44C2-A3EC-976B13697332}"/>
                </c:ext>
              </c:extLst>
            </c:dLbl>
            <c:spPr>
              <a:solidFill>
                <a:schemeClr val="lt1"/>
              </a:solidFill>
              <a:ln w="9525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Hárok1!$CU$4:$CU$8</c:f>
              <c:numCache>
                <c:formatCode>General</c:formatCode>
                <c:ptCount val="5"/>
                <c:pt idx="0">
                  <c:v>59</c:v>
                </c:pt>
                <c:pt idx="1">
                  <c:v>29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236-44C2-A3EC-976B13697332}"/>
            </c:ext>
          </c:extLst>
        </c:ser>
        <c:ser>
          <c:idx val="2"/>
          <c:order val="3"/>
          <c:tx>
            <c:v>Rok 2024</c:v>
          </c:tx>
          <c:spPr>
            <a:ln w="22225">
              <a:solidFill>
                <a:srgbClr val="0070C0"/>
              </a:solidFill>
            </a:ln>
          </c:spPr>
          <c:marker>
            <c:symbol val="none"/>
          </c:marker>
          <c:val>
            <c:numRef>
              <c:f>Hárok1!$DD$4:$DD$8</c:f>
              <c:numCache>
                <c:formatCode>General</c:formatCode>
                <c:ptCount val="5"/>
                <c:pt idx="0">
                  <c:v>58</c:v>
                </c:pt>
                <c:pt idx="1">
                  <c:v>28</c:v>
                </c:pt>
                <c:pt idx="2">
                  <c:v>5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236-44C2-A3EC-976B13697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34560"/>
        <c:axId val="1"/>
      </c:lineChart>
      <c:catAx>
        <c:axId val="175883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7030A0"/>
            </a:solidFill>
          </a:ln>
        </c:sp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</a:t>
                </a:r>
                <a:r>
                  <a:rPr lang="sk-SK" sz="1000" b="1" i="0" baseline="0"/>
                  <a:t>počtu odpovedí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58834560"/>
        <c:crosses val="autoZero"/>
        <c:crossBetween val="between"/>
      </c:valAx>
      <c:spPr>
        <a:gradFill flip="none" rotWithShape="1">
          <a:gsLst>
            <a:gs pos="0">
              <a:schemeClr val="accent3">
                <a:shade val="30000"/>
                <a:satMod val="115000"/>
                <a:lumMod val="32000"/>
              </a:schemeClr>
            </a:gs>
            <a:gs pos="0">
              <a:schemeClr val="accent3">
                <a:lumMod val="20000"/>
                <a:lumOff val="80000"/>
                <a:shade val="67500"/>
                <a:satMod val="115000"/>
              </a:schemeClr>
            </a:gs>
            <a:gs pos="100000">
              <a:schemeClr val="accent3">
                <a:lumMod val="20000"/>
                <a:lumOff val="80000"/>
                <a:shade val="100000"/>
                <a:satMod val="115000"/>
              </a:schemeClr>
            </a:gs>
          </a:gsLst>
          <a:path path="circle">
            <a:fillToRect l="100000" t="100000"/>
          </a:path>
          <a:tileRect r="-100000" b="-100000"/>
        </a:gradFill>
        <a:ln>
          <a:solidFill>
            <a:schemeClr val="accent1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 baseline="0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 baseline="0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 baseline="0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8550524934383206"/>
          <c:y val="0.27085166078378131"/>
          <c:w val="0.18372322411311492"/>
          <c:h val="0.27992687121006427"/>
        </c:manualLayout>
      </c:layout>
      <c:overlay val="0"/>
      <c:spPr>
        <a:solidFill>
          <a:srgbClr val="FFFFFF"/>
        </a:solidFill>
        <a:ln w="9525">
          <a:solidFill>
            <a:srgbClr val="7030A0"/>
          </a:solidFill>
        </a:ln>
      </c:spPr>
      <c:txPr>
        <a:bodyPr/>
        <a:lstStyle/>
        <a:p>
          <a:pPr>
            <a:defRPr b="1" baseline="0"/>
          </a:pPr>
          <a:endParaRPr lang="sk-SK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  <a:ln w="22225">
      <a:solidFill>
        <a:srgbClr val="92D05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/>
            </a:pPr>
            <a:r>
              <a:rPr lang="sk-SK" sz="1100" b="1" i="0" u="none" strike="noStrike" baseline="0"/>
              <a:t>(2) Ste spokojný s rýchlosťou vybavenia vašich požiadaviek </a:t>
            </a:r>
            <a:endParaRPr lang="sk-SK" sz="1100" b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52042289894486"/>
          <c:y val="0.15061368973615141"/>
          <c:w val="0.78851159230096202"/>
          <c:h val="0.69678915135608066"/>
        </c:manualLayout>
      </c:layout>
      <c:lineChart>
        <c:grouping val="standard"/>
        <c:varyColors val="0"/>
        <c:ser>
          <c:idx val="1"/>
          <c:order val="0"/>
          <c:tx>
            <c:v>Rok 2021</c:v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Hárok1!$CC$28:$CC$32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Hárok1!$CG$28:$CG$32</c:f>
              <c:numCache>
                <c:formatCode>General</c:formatCode>
                <c:ptCount val="5"/>
                <c:pt idx="0">
                  <c:v>58</c:v>
                </c:pt>
                <c:pt idx="1">
                  <c:v>35</c:v>
                </c:pt>
                <c:pt idx="2">
                  <c:v>5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A6-4C2D-BAB8-BDE44A1A7EE5}"/>
            </c:ext>
          </c:extLst>
        </c:ser>
        <c:ser>
          <c:idx val="0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Hárok1!$CQ$29:$CQ$33</c:f>
              <c:numCache>
                <c:formatCode>General</c:formatCode>
                <c:ptCount val="5"/>
                <c:pt idx="0">
                  <c:v>46.21</c:v>
                </c:pt>
                <c:pt idx="1">
                  <c:v>32.57</c:v>
                </c:pt>
                <c:pt idx="2">
                  <c:v>10.6</c:v>
                </c:pt>
                <c:pt idx="3">
                  <c:v>4.54</c:v>
                </c:pt>
                <c:pt idx="4">
                  <c:v>6.06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A6-4C2D-BAB8-BDE44A1A7EE5}"/>
            </c:ext>
          </c:extLst>
        </c:ser>
        <c:ser>
          <c:idx val="2"/>
          <c:order val="2"/>
          <c:tx>
            <c:v>Rok 2023</c:v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Hárok1!$CT$29:$CT$33</c:f>
              <c:numCache>
                <c:formatCode>General</c:formatCode>
                <c:ptCount val="5"/>
                <c:pt idx="0">
                  <c:v>42</c:v>
                </c:pt>
                <c:pt idx="1">
                  <c:v>38</c:v>
                </c:pt>
                <c:pt idx="2">
                  <c:v>11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A6-4C2D-BAB8-BDE44A1A7EE5}"/>
            </c:ext>
          </c:extLst>
        </c:ser>
        <c:ser>
          <c:idx val="3"/>
          <c:order val="3"/>
          <c:tx>
            <c:v>Rok 2024</c:v>
          </c:tx>
          <c:spPr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9611780455153954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A6-4C2D-BAB8-BDE44A1A7EE5}"/>
                </c:ext>
              </c:extLst>
            </c:dLbl>
            <c:dLbl>
              <c:idx val="1"/>
              <c:layout>
                <c:manualLayout>
                  <c:x val="-5.3547523427041548E-2"/>
                  <c:y val="5.2631578947368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A6-4C2D-BAB8-BDE44A1A7EE5}"/>
                </c:ext>
              </c:extLst>
            </c:dLbl>
            <c:dLbl>
              <c:idx val="2"/>
              <c:layout>
                <c:manualLayout>
                  <c:x val="-1.6064257028112448E-2"/>
                  <c:y val="-4.8245614035087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A6-4C2D-BAB8-BDE44A1A7EE5}"/>
                </c:ext>
              </c:extLst>
            </c:dLbl>
            <c:dLbl>
              <c:idx val="3"/>
              <c:layout>
                <c:manualLayout>
                  <c:x val="-3.4805890227576977E-2"/>
                  <c:y val="-4.824561403508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A6-4C2D-BAB8-BDE44A1A7EE5}"/>
                </c:ext>
              </c:extLst>
            </c:dLbl>
            <c:dLbl>
              <c:idx val="4"/>
              <c:layout>
                <c:manualLayout>
                  <c:x val="-6.4257028112449793E-2"/>
                  <c:y val="-4.82456140350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A6-4C2D-BAB8-BDE44A1A7EE5}"/>
                </c:ext>
              </c:extLst>
            </c:dLbl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Hárok1!$DC$28:$DC$32</c:f>
              <c:numCache>
                <c:formatCode>General</c:formatCode>
                <c:ptCount val="5"/>
                <c:pt idx="0">
                  <c:v>34</c:v>
                </c:pt>
                <c:pt idx="1">
                  <c:v>30</c:v>
                </c:pt>
                <c:pt idx="2">
                  <c:v>13</c:v>
                </c:pt>
                <c:pt idx="3">
                  <c:v>11</c:v>
                </c:pt>
                <c:pt idx="4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AA6-4C2D-BAB8-BDE44A1A7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39552"/>
        <c:axId val="1"/>
      </c:lineChart>
      <c:catAx>
        <c:axId val="175883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sk-SK" sz="1000" b="1" i="0" baseline="0"/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3.1180259094119263E-2"/>
              <c:y val="0.1853971543030805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>
            <a:solidFill>
              <a:srgbClr val="00B050"/>
            </a:solidFill>
          </a:ln>
        </c:spPr>
        <c:crossAx val="1758839552"/>
        <c:crosses val="autoZero"/>
        <c:crossBetween val="between"/>
      </c:valAx>
      <c:spPr>
        <a:gradFill flip="none" rotWithShape="1">
          <a:gsLst>
            <a:gs pos="0">
              <a:srgbClr val="ECF2FA">
                <a:shade val="30000"/>
                <a:satMod val="115000"/>
              </a:srgbClr>
            </a:gs>
            <a:gs pos="50000">
              <a:srgbClr val="ECF2FA">
                <a:shade val="67500"/>
                <a:satMod val="115000"/>
              </a:srgbClr>
            </a:gs>
            <a:gs pos="100000">
              <a:srgbClr val="ECF2FA">
                <a:shade val="100000"/>
                <a:satMod val="115000"/>
              </a:srgbClr>
            </a:gs>
          </a:gsLst>
          <a:path path="circle">
            <a:fillToRect l="100000" b="100000"/>
          </a:path>
          <a:tileRect t="-100000" r="-100000"/>
        </a:gradFill>
        <a:ln w="22225">
          <a:solidFill>
            <a:srgbClr val="00B050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8227429402649975"/>
          <c:y val="0.23380888244232628"/>
          <c:w val="0.18298537983956831"/>
          <c:h val="0.31724409448818897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22225">
      <a:solidFill>
        <a:schemeClr val="tx2">
          <a:lumMod val="60000"/>
          <a:lumOff val="40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100" b="1" i="0" u="none" strike="noStrike" baseline="0"/>
              <a:t>(3) Ste spokojný s postupmi pri vybavovaní sťažností a námietok </a:t>
            </a:r>
            <a:endParaRPr lang="sk-SK" sz="1100"/>
          </a:p>
        </c:rich>
      </c:tx>
      <c:layout>
        <c:manualLayout>
          <c:xMode val="edge"/>
          <c:yMode val="edge"/>
          <c:x val="0.13021801710270087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22419778172889"/>
          <c:y val="0.21332203266258384"/>
          <c:w val="0.77662299129604839"/>
          <c:h val="0.60956401283172934"/>
        </c:manualLayout>
      </c:layout>
      <c:lineChart>
        <c:grouping val="standard"/>
        <c:varyColors val="0"/>
        <c:ser>
          <c:idx val="2"/>
          <c:order val="0"/>
          <c:tx>
            <c:v>Rok 2021</c:v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Hárok1!$CE$53:$CE$57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Hárok1!$CH$53:$CH$57</c:f>
              <c:numCache>
                <c:formatCode>General</c:formatCode>
                <c:ptCount val="5"/>
                <c:pt idx="0">
                  <c:v>81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0A-4006-9471-258362FFEE3E}"/>
            </c:ext>
          </c:extLst>
        </c:ser>
        <c:ser>
          <c:idx val="0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Hárok1!$CQ$54:$CQ$58</c:f>
              <c:numCache>
                <c:formatCode>General</c:formatCode>
                <c:ptCount val="5"/>
                <c:pt idx="0">
                  <c:v>52</c:v>
                </c:pt>
                <c:pt idx="1">
                  <c:v>29</c:v>
                </c:pt>
                <c:pt idx="2">
                  <c:v>10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0A-4006-9471-258362FFEE3E}"/>
            </c:ext>
          </c:extLst>
        </c:ser>
        <c:ser>
          <c:idx val="3"/>
          <c:order val="2"/>
          <c:tx>
            <c:v>Rok 2023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Hárok1!$CT$54:$CT$58</c:f>
              <c:numCache>
                <c:formatCode>General</c:formatCode>
                <c:ptCount val="5"/>
                <c:pt idx="0">
                  <c:v>51</c:v>
                </c:pt>
                <c:pt idx="1">
                  <c:v>32</c:v>
                </c:pt>
                <c:pt idx="2">
                  <c:v>10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0A-4006-9471-258362FFEE3E}"/>
            </c:ext>
          </c:extLst>
        </c:ser>
        <c:ser>
          <c:idx val="1"/>
          <c:order val="3"/>
          <c:tx>
            <c:v>Rok 2024</c:v>
          </c:tx>
          <c:spPr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marker>
            <c:symbol val="none"/>
          </c:marker>
          <c:dLbls>
            <c:dLbl>
              <c:idx val="0"/>
              <c:spPr>
                <a:solidFill>
                  <a:schemeClr val="lt1"/>
                </a:solidFill>
                <a:ln w="19050" cap="flat" cmpd="sng" algn="ctr">
                  <a:solidFill>
                    <a:schemeClr val="accent1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70A-4006-9471-258362FFEE3E}"/>
                </c:ext>
              </c:extLst>
            </c:dLbl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Hárok1!$DC$52:$DC$56</c:f>
              <c:numCache>
                <c:formatCode>General</c:formatCode>
                <c:ptCount val="5"/>
                <c:pt idx="0">
                  <c:v>48</c:v>
                </c:pt>
                <c:pt idx="1">
                  <c:v>30</c:v>
                </c:pt>
                <c:pt idx="2">
                  <c:v>11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70A-4006-9471-258362FFE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50368"/>
        <c:axId val="1"/>
      </c:lineChart>
      <c:catAx>
        <c:axId val="175885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0" cmpd="dbl">
              <a:solidFill>
                <a:schemeClr val="bg1">
                  <a:lumMod val="6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100" b="1" i="0" baseline="0"/>
                  <a:t>% z celkového počtu </a:t>
                </a:r>
                <a:r>
                  <a:rPr lang="sk-SK" sz="1000" b="1" i="0" baseline="0"/>
                  <a:t>odpovedí</a:t>
                </a:r>
                <a:endParaRPr lang="sk-SK" sz="1000"/>
              </a:p>
            </c:rich>
          </c:tx>
          <c:layout>
            <c:manualLayout>
              <c:xMode val="edge"/>
              <c:yMode val="edge"/>
              <c:x val="1.6666666666666666E-2"/>
              <c:y val="0.175254811898512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58850368"/>
        <c:crosses val="autoZero"/>
        <c:crossBetween val="between"/>
      </c:valAx>
      <c:spPr>
        <a:gradFill flip="none" rotWithShape="1">
          <a:gsLst>
            <a:gs pos="0">
              <a:schemeClr val="bg2">
                <a:shade val="30000"/>
                <a:satMod val="115000"/>
              </a:schemeClr>
            </a:gs>
            <a:gs pos="0">
              <a:schemeClr val="bg2">
                <a:shade val="67500"/>
                <a:satMod val="115000"/>
              </a:schemeClr>
            </a:gs>
            <a:gs pos="100000">
              <a:schemeClr val="bg2">
                <a:shade val="100000"/>
                <a:satMod val="115000"/>
              </a:schemeClr>
            </a:gs>
          </a:gsLst>
          <a:path path="circle">
            <a:fillToRect l="100000" t="100000"/>
          </a:path>
          <a:tileRect r="-100000" b="-100000"/>
        </a:gradFill>
        <a:ln w="22225" cmpd="dbl">
          <a:solidFill>
            <a:srgbClr val="0070C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6375243417153496"/>
          <c:y val="0.23290828229804608"/>
          <c:w val="0.18372322411311492"/>
          <c:h val="0.33486876640419949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rgbClr val="E6E3D2"/>
    </a:solidFill>
    <a:ln w="22225">
      <a:solidFill>
        <a:schemeClr val="bg2">
          <a:lumMod val="50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(4) Ste spokojný s úpravou a zrozumiteľnosťou vydávaných dokumentov za rok 2024</a:t>
            </a:r>
            <a:endParaRPr lang="sk-SK" sz="1200"/>
          </a:p>
        </c:rich>
      </c:tx>
      <c:layout>
        <c:manualLayout>
          <c:xMode val="edge"/>
          <c:yMode val="edge"/>
          <c:x val="0.12109711286089239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395380577427822"/>
          <c:y val="0.194915791776028"/>
          <c:w val="0.77206902610467265"/>
          <c:h val="0.61659230096237971"/>
        </c:manualLayout>
      </c:layout>
      <c:lineChart>
        <c:grouping val="standard"/>
        <c:varyColors val="0"/>
        <c:ser>
          <c:idx val="2"/>
          <c:order val="0"/>
          <c:tx>
            <c:v>Rok 2021</c:v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Hárok1!$CD$77:$CD$81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Hárok1!$CG$77:$CG$81</c:f>
              <c:numCache>
                <c:formatCode>General</c:formatCode>
                <c:ptCount val="5"/>
                <c:pt idx="0">
                  <c:v>68</c:v>
                </c:pt>
                <c:pt idx="1">
                  <c:v>27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DC-478F-B255-A6A7D6D4D8DC}"/>
            </c:ext>
          </c:extLst>
        </c:ser>
        <c:ser>
          <c:idx val="0"/>
          <c:order val="1"/>
          <c:tx>
            <c:v>Rok 2022</c:v>
          </c:tx>
          <c:spPr>
            <a:ln>
              <a:solidFill>
                <a:srgbClr val="F41036"/>
              </a:solidFill>
            </a:ln>
          </c:spPr>
          <c:marker>
            <c:symbol val="none"/>
          </c:marker>
          <c:val>
            <c:numRef>
              <c:f>Hárok1!$CP$77:$CP$81</c:f>
              <c:numCache>
                <c:formatCode>General</c:formatCode>
                <c:ptCount val="5"/>
                <c:pt idx="0">
                  <c:v>43</c:v>
                </c:pt>
                <c:pt idx="1">
                  <c:v>39</c:v>
                </c:pt>
                <c:pt idx="2">
                  <c:v>10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DC-478F-B255-A6A7D6D4D8DC}"/>
            </c:ext>
          </c:extLst>
        </c:ser>
        <c:ser>
          <c:idx val="3"/>
          <c:order val="2"/>
          <c:tx>
            <c:v>Rok 2023</c:v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Hárok1!$CT$77:$CT$81</c:f>
              <c:numCache>
                <c:formatCode>General</c:formatCode>
                <c:ptCount val="5"/>
                <c:pt idx="0">
                  <c:v>47</c:v>
                </c:pt>
                <c:pt idx="1">
                  <c:v>37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DC-478F-B255-A6A7D6D4D8DC}"/>
            </c:ext>
          </c:extLst>
        </c:ser>
        <c:ser>
          <c:idx val="1"/>
          <c:order val="3"/>
          <c:tx>
            <c:v>Rok 2024</c:v>
          </c:tx>
          <c:spPr>
            <a:ln w="28575">
              <a:solidFill>
                <a:srgbClr val="0070C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8186666666666673E-2"/>
                  <c:y val="4.1550014581510641E-3"/>
                </c:manualLayout>
              </c:layout>
              <c:spPr>
                <a:solidFill>
                  <a:schemeClr val="lt1"/>
                </a:solidFill>
                <a:ln w="12700" cap="flat" cmpd="sng" algn="ctr">
                  <a:solidFill>
                    <a:srgbClr val="0070C0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DC-478F-B255-A6A7D6D4D8DC}"/>
                </c:ext>
              </c:extLst>
            </c:dLbl>
            <c:dLbl>
              <c:idx val="1"/>
              <c:layout>
                <c:manualLayout>
                  <c:x val="-9.2186666666666722E-2"/>
                  <c:y val="-4.7462817147865007E-4"/>
                </c:manualLayout>
              </c:layout>
              <c:spPr>
                <a:solidFill>
                  <a:schemeClr val="lt1"/>
                </a:solidFill>
                <a:ln w="12700" cap="flat" cmpd="sng" algn="ctr">
                  <a:solidFill>
                    <a:srgbClr val="0070C0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DC-478F-B255-A6A7D6D4D8DC}"/>
                </c:ext>
              </c:extLst>
            </c:dLbl>
            <c:dLbl>
              <c:idx val="2"/>
              <c:layout>
                <c:manualLayout>
                  <c:x val="-1.7520000000000001E-2"/>
                  <c:y val="-4.214129483814523E-2"/>
                </c:manualLayout>
              </c:layout>
              <c:spPr>
                <a:solidFill>
                  <a:schemeClr val="lt1"/>
                </a:solidFill>
                <a:ln w="12700" cap="flat" cmpd="sng" algn="ctr">
                  <a:solidFill>
                    <a:srgbClr val="0070C0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DC-478F-B255-A6A7D6D4D8DC}"/>
                </c:ext>
              </c:extLst>
            </c:dLbl>
            <c:dLbl>
              <c:idx val="3"/>
              <c:spPr>
                <a:solidFill>
                  <a:schemeClr val="lt1"/>
                </a:solidFill>
                <a:ln w="12700" cap="flat" cmpd="sng" algn="ctr">
                  <a:solidFill>
                    <a:srgbClr val="0070C0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AADC-478F-B255-A6A7D6D4D8DC}"/>
                </c:ext>
              </c:extLst>
            </c:dLbl>
            <c:dLbl>
              <c:idx val="4"/>
              <c:spPr>
                <a:solidFill>
                  <a:schemeClr val="lt1"/>
                </a:solidFill>
                <a:ln w="12700" cap="flat" cmpd="sng" algn="ctr">
                  <a:solidFill>
                    <a:srgbClr val="0070C0"/>
                  </a:solidFill>
                  <a:prstDash val="solid"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AADC-478F-B255-A6A7D6D4D8DC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rgbClr val="0070C0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Hárok1!$DC$75:$DC$79</c:f>
              <c:numCache>
                <c:formatCode>General</c:formatCode>
                <c:ptCount val="5"/>
                <c:pt idx="0">
                  <c:v>50</c:v>
                </c:pt>
                <c:pt idx="1">
                  <c:v>32</c:v>
                </c:pt>
                <c:pt idx="2">
                  <c:v>11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ADC-478F-B255-A6A7D6D4D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42464"/>
        <c:axId val="1"/>
      </c:lineChart>
      <c:catAx>
        <c:axId val="175884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100" b="1" i="0" baseline="0"/>
                  <a:t>% z celkového počtu odpovedí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>
            <a:solidFill>
              <a:schemeClr val="tx2"/>
            </a:solidFill>
          </a:ln>
        </c:spPr>
        <c:crossAx val="1758842464"/>
        <c:crosses val="autoZero"/>
        <c:crossBetween val="between"/>
      </c:valAx>
      <c:spPr>
        <a:gradFill flip="none" rotWithShape="1">
          <a:gsLst>
            <a:gs pos="0">
              <a:srgbClr val="FEF4EC">
                <a:shade val="30000"/>
                <a:satMod val="115000"/>
              </a:srgbClr>
            </a:gs>
            <a:gs pos="0">
              <a:srgbClr val="FEF4EC">
                <a:shade val="67500"/>
                <a:satMod val="115000"/>
              </a:srgbClr>
            </a:gs>
            <a:gs pos="100000">
              <a:srgbClr val="FEF4EC">
                <a:shade val="100000"/>
                <a:satMod val="115000"/>
              </a:srgbClr>
            </a:gs>
          </a:gsLst>
          <a:path path="circle">
            <a:fillToRect l="100000" t="100000"/>
          </a:path>
          <a:tileRect r="-100000" b="-100000"/>
        </a:gradFill>
        <a:ln w="22225">
          <a:solidFill>
            <a:srgbClr val="00B050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6644430446194225"/>
          <c:y val="0.31981445027704869"/>
          <c:w val="0.18225343832021002"/>
          <c:h val="0.33486876640419949"/>
        </c:manualLayout>
      </c:layout>
      <c:overlay val="0"/>
      <c:spPr>
        <a:solidFill>
          <a:schemeClr val="bg1"/>
        </a:solidFill>
        <a:ln>
          <a:solidFill>
            <a:srgbClr val="00B050"/>
          </a:solidFill>
        </a:ln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2225">
      <a:solidFill>
        <a:schemeClr val="accent6">
          <a:lumMod val="7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100" b="1" i="0" u="none" strike="noStrike" baseline="0"/>
              <a:t>(5)</a:t>
            </a:r>
            <a:r>
              <a:rPr lang="sk-SK" sz="1800" b="1" i="0" u="none" strike="noStrike" baseline="0"/>
              <a:t> </a:t>
            </a:r>
            <a:r>
              <a:rPr lang="sk-SK" sz="1100" b="1" i="0" u="none" strike="noStrike" baseline="0"/>
              <a:t>Ste spokojný s úrovňou a kvalitou informovanosti a dostupnosťou informácií (internet, pokyny, osobný kontakt so zamestnancami ŠÚKL </a:t>
            </a:r>
            <a:endParaRPr lang="sk-SK" sz="1100"/>
          </a:p>
        </c:rich>
      </c:tx>
      <c:layout>
        <c:manualLayout>
          <c:xMode val="edge"/>
          <c:yMode val="edge"/>
          <c:x val="0.115402467404125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14011157419951"/>
          <c:y val="0.2307685560192704"/>
          <c:w val="0.79391426071741034"/>
          <c:h val="0.57715660542432201"/>
        </c:manualLayout>
      </c:layout>
      <c:lineChart>
        <c:grouping val="standard"/>
        <c:varyColors val="0"/>
        <c:ser>
          <c:idx val="4"/>
          <c:order val="0"/>
          <c:tx>
            <c:v>Rok 2021</c:v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Hárok1!$CD$102:$CD$106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Hárok1!$CH$102:$CH$106</c:f>
              <c:numCache>
                <c:formatCode>General</c:formatCode>
                <c:ptCount val="5"/>
                <c:pt idx="0">
                  <c:v>67</c:v>
                </c:pt>
                <c:pt idx="1">
                  <c:v>22</c:v>
                </c:pt>
                <c:pt idx="2">
                  <c:v>8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54-4BCB-AC8C-F7E0E7B4C967}"/>
            </c:ext>
          </c:extLst>
        </c:ser>
        <c:ser>
          <c:idx val="0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Hárok1!$CQ$102:$CQ$106</c:f>
              <c:numCache>
                <c:formatCode>General</c:formatCode>
                <c:ptCount val="5"/>
                <c:pt idx="0">
                  <c:v>43</c:v>
                </c:pt>
                <c:pt idx="1">
                  <c:v>34</c:v>
                </c:pt>
                <c:pt idx="2">
                  <c:v>10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54-4BCB-AC8C-F7E0E7B4C967}"/>
            </c:ext>
          </c:extLst>
        </c:ser>
        <c:ser>
          <c:idx val="2"/>
          <c:order val="2"/>
          <c:tx>
            <c:v>Rok 2023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Hárok1!$CT$102:$CT$106</c:f>
              <c:numCache>
                <c:formatCode>General</c:formatCode>
                <c:ptCount val="5"/>
                <c:pt idx="0">
                  <c:v>43</c:v>
                </c:pt>
                <c:pt idx="1">
                  <c:v>32</c:v>
                </c:pt>
                <c:pt idx="2">
                  <c:v>16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54-4BCB-AC8C-F7E0E7B4C967}"/>
            </c:ext>
          </c:extLst>
        </c:ser>
        <c:ser>
          <c:idx val="1"/>
          <c:order val="3"/>
          <c:tx>
            <c:v>Rok 2024</c:v>
          </c:tx>
          <c:spPr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6680161943319859E-2"/>
                  <c:y val="-1.1461318051575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54-4BCB-AC8C-F7E0E7B4C967}"/>
                </c:ext>
              </c:extLst>
            </c:dLbl>
            <c:dLbl>
              <c:idx val="1"/>
              <c:layout>
                <c:manualLayout>
                  <c:x val="1.3495276653171391E-2"/>
                  <c:y val="-3.0563514804202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54-4BCB-AC8C-F7E0E7B4C967}"/>
                </c:ext>
              </c:extLst>
            </c:dLbl>
            <c:dLbl>
              <c:idx val="2"/>
              <c:layout>
                <c:manualLayout>
                  <c:x val="-8.0971659919028341E-3"/>
                  <c:y val="-6.1127029608405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54-4BCB-AC8C-F7E0E7B4C967}"/>
                </c:ext>
              </c:extLst>
            </c:dLbl>
            <c:dLbl>
              <c:idx val="3"/>
              <c:layout>
                <c:manualLayout>
                  <c:x val="2.699055330634179E-3"/>
                  <c:y val="-6.4947468958930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54-4BCB-AC8C-F7E0E7B4C967}"/>
                </c:ext>
              </c:extLst>
            </c:dLbl>
            <c:dLbl>
              <c:idx val="4"/>
              <c:layout>
                <c:manualLayout>
                  <c:x val="-4.5883940620782826E-2"/>
                  <c:y val="-3.8204393505253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54-4BCB-AC8C-F7E0E7B4C967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Hárok1!$CY$87:$CY$91</c:f>
              <c:numCache>
                <c:formatCode>General</c:formatCode>
                <c:ptCount val="5"/>
                <c:pt idx="0">
                  <c:v>45</c:v>
                </c:pt>
                <c:pt idx="1">
                  <c:v>29</c:v>
                </c:pt>
                <c:pt idx="2">
                  <c:v>13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BD54-4BCB-AC8C-F7E0E7B4C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47456"/>
        <c:axId val="1"/>
      </c:lineChart>
      <c:catAx>
        <c:axId val="175884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 celkového počtu odpovedí</a:t>
                </a:r>
                <a:endParaRPr lang="sk-SK" sz="1050"/>
              </a:p>
            </c:rich>
          </c:tx>
          <c:layout>
            <c:manualLayout>
              <c:xMode val="edge"/>
              <c:yMode val="edge"/>
              <c:x val="1.6666772928687557E-2"/>
              <c:y val="0.1809150326797385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758847456"/>
        <c:crosses val="autoZero"/>
        <c:crossBetween val="between"/>
      </c:valAx>
      <c:spPr>
        <a:gradFill flip="none" rotWithShape="1">
          <a:gsLst>
            <a:gs pos="0">
              <a:srgbClr val="F0ECF4">
                <a:shade val="30000"/>
                <a:satMod val="115000"/>
              </a:srgbClr>
            </a:gs>
            <a:gs pos="20000">
              <a:srgbClr val="F0ECF4">
                <a:shade val="100000"/>
                <a:satMod val="115000"/>
              </a:srgbClr>
            </a:gs>
          </a:gsLst>
          <a:path path="circle">
            <a:fillToRect l="100000" t="100000"/>
          </a:path>
          <a:tileRect r="-100000" b="-100000"/>
        </a:gradFill>
        <a:ln w="22225">
          <a:solidFill>
            <a:srgbClr val="7030A0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 baseline="0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 baseline="0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 baseline="0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70852540193609403"/>
          <c:y val="0.31018696293100345"/>
          <c:w val="0.18446704283422055"/>
          <c:h val="0.27407471326358179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b="1" baseline="0"/>
          </a:pPr>
          <a:endParaRPr lang="sk-SK"/>
        </a:p>
      </c:txPr>
    </c:legend>
    <c:plotVisOnly val="1"/>
    <c:dispBlanksAs val="gap"/>
    <c:showDLblsOverMax val="0"/>
  </c:chart>
  <c:spPr>
    <a:solidFill>
      <a:srgbClr val="E0D9E7"/>
    </a:solidFill>
    <a:ln w="22225">
      <a:solidFill>
        <a:srgbClr val="7030A0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200" b="1" i="0" u="none" strike="noStrike" baseline="0"/>
              <a:t>(6) Ste spokojný s úrovňou konzultačnej činnosti, ktorú Vám poskytli odborní zamestnanci ŠÚKL </a:t>
            </a:r>
            <a:endParaRPr lang="sk-SK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57797157825391"/>
          <c:y val="0.16410413362640625"/>
          <c:w val="0.86481584269179468"/>
          <c:h val="0.6327121609798777"/>
        </c:manualLayout>
      </c:layout>
      <c:lineChart>
        <c:grouping val="standard"/>
        <c:varyColors val="0"/>
        <c:ser>
          <c:idx val="4"/>
          <c:order val="0"/>
          <c:tx>
            <c:v>Rok 2021</c:v>
          </c:tx>
          <c:spPr>
            <a:ln w="28575">
              <a:solidFill>
                <a:srgbClr val="00B050"/>
              </a:solidFill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AD7C-40AE-94B0-0A8FA1B39ADC}"/>
              </c:ext>
            </c:extLst>
          </c:dPt>
          <c:cat>
            <c:strRef>
              <c:f>Hárok1!$CE$130:$CE$134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Hárok1!$CH$130:$CH$135</c:f>
              <c:numCache>
                <c:formatCode>General</c:formatCode>
                <c:ptCount val="6"/>
                <c:pt idx="0">
                  <c:v>85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7C-40AE-94B0-0A8FA1B39ADC}"/>
            </c:ext>
          </c:extLst>
        </c:ser>
        <c:ser>
          <c:idx val="0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Hárok1!$CQ$130:$CQ$134</c:f>
              <c:numCache>
                <c:formatCode>General</c:formatCode>
                <c:ptCount val="5"/>
                <c:pt idx="0">
                  <c:v>67</c:v>
                </c:pt>
                <c:pt idx="1">
                  <c:v>24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7C-40AE-94B0-0A8FA1B39ADC}"/>
            </c:ext>
          </c:extLst>
        </c:ser>
        <c:ser>
          <c:idx val="2"/>
          <c:order val="2"/>
          <c:tx>
            <c:v>Rok 2023</c:v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Hárok1!$CT$130:$CT$134</c:f>
              <c:numCache>
                <c:formatCode>General</c:formatCode>
                <c:ptCount val="5"/>
                <c:pt idx="0">
                  <c:v>64</c:v>
                </c:pt>
                <c:pt idx="1">
                  <c:v>24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7C-40AE-94B0-0A8FA1B39ADC}"/>
            </c:ext>
          </c:extLst>
        </c:ser>
        <c:ser>
          <c:idx val="1"/>
          <c:order val="3"/>
          <c:tx>
            <c:v>Rok 2024</c:v>
          </c:tx>
          <c:spPr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1088977423638779E-2"/>
                  <c:y val="1.4134275618374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7C-40AE-94B0-0A8FA1B39ADC}"/>
                </c:ext>
              </c:extLst>
            </c:dLbl>
            <c:dLbl>
              <c:idx val="4"/>
              <c:layout>
                <c:manualLayout>
                  <c:x val="-4.5152722443559098E-2"/>
                  <c:y val="-6.1248527679623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7C-40AE-94B0-0A8FA1B39ADC}"/>
                </c:ext>
              </c:extLst>
            </c:dLbl>
            <c:spPr>
              <a:solidFill>
                <a:schemeClr val="lt1"/>
              </a:solidFill>
              <a:ln w="1905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Hárok1!$CY$112:$CY$116</c:f>
              <c:numCache>
                <c:formatCode>General</c:formatCode>
                <c:ptCount val="5"/>
                <c:pt idx="0">
                  <c:v>63</c:v>
                </c:pt>
                <c:pt idx="1">
                  <c:v>23</c:v>
                </c:pt>
                <c:pt idx="2">
                  <c:v>5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D7C-40AE-94B0-0A8FA1B39A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29152"/>
        <c:axId val="1"/>
      </c:lineChart>
      <c:dateAx>
        <c:axId val="1758829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/>
        </c:spPr>
        <c:crossAx val="1"/>
        <c:crosses val="autoZero"/>
        <c:auto val="0"/>
        <c:lblOffset val="100"/>
        <c:baseTimeUnit val="days"/>
      </c:date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50"/>
                </a:pPr>
                <a:r>
                  <a:rPr lang="sk-SK" sz="1050" b="1" i="0" baseline="0"/>
                  <a:t>% z celkového počtu odpovedí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758829152"/>
        <c:crosses val="autoZero"/>
        <c:crossBetween val="between"/>
      </c:valAx>
      <c:spPr>
        <a:gradFill flip="none" rotWithShape="1">
          <a:gsLst>
            <a:gs pos="0">
              <a:schemeClr val="bg1">
                <a:lumMod val="95000"/>
                <a:shade val="30000"/>
                <a:satMod val="115000"/>
              </a:schemeClr>
            </a:gs>
            <a:gs pos="2000">
              <a:schemeClr val="bg1">
                <a:lumMod val="95000"/>
                <a:shade val="67500"/>
                <a:satMod val="115000"/>
              </a:schemeClr>
            </a:gs>
            <a:gs pos="67000">
              <a:schemeClr val="bg1">
                <a:lumMod val="95000"/>
                <a:shade val="100000"/>
                <a:satMod val="115000"/>
              </a:schemeClr>
            </a:gs>
          </a:gsLst>
          <a:lin ang="2700000" scaled="1"/>
          <a:tileRect/>
        </a:gradFill>
        <a:ln w="12700">
          <a:solidFill>
            <a:sysClr val="windowText" lastClr="000000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75300854325480238"/>
          <c:y val="0.22353598026395111"/>
          <c:w val="0.18152732900419322"/>
          <c:h val="0.25402725344263472"/>
        </c:manualLayout>
      </c:layout>
      <c:overlay val="0"/>
      <c:spPr>
        <a:solidFill>
          <a:sysClr val="window" lastClr="FFFFFF"/>
        </a:solidFill>
        <a:ln>
          <a:solidFill>
            <a:srgbClr val="00B050"/>
          </a:solidFill>
        </a:ln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 w="22225"/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sk-SK" sz="1200" b="1" i="0" u="none" strike="noStrike" baseline="0"/>
              <a:t> (7) Ste spokojný s dodržiavaním dohodnutých termínov </a:t>
            </a:r>
            <a:endParaRPr lang="sk-SK" sz="10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004543106810445"/>
          <c:y val="0.19915167614937562"/>
          <c:w val="0.73196764432830175"/>
          <c:h val="0.64333953047535752"/>
        </c:manualLayout>
      </c:layout>
      <c:lineChart>
        <c:grouping val="standard"/>
        <c:varyColors val="0"/>
        <c:ser>
          <c:idx val="4"/>
          <c:order val="0"/>
          <c:tx>
            <c:v>Rok 2021</c:v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Pt>
            <c:idx val="1"/>
            <c:bubble3D val="0"/>
            <c:spPr>
              <a:ln w="28575"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FF5-4602-AF9B-73222D2F6924}"/>
              </c:ext>
            </c:extLst>
          </c:dPt>
          <c:cat>
            <c:strRef>
              <c:f>Hárok1!$CE$160:$CE$164</c:f>
              <c:strCache>
                <c:ptCount val="5"/>
                <c:pt idx="0">
                  <c:v>1-Veľmi spokojný</c:v>
                </c:pt>
                <c:pt idx="1">
                  <c:v>2-Skôr spokojný</c:v>
                </c:pt>
                <c:pt idx="2">
                  <c:v>3-Priemerne spokojný</c:v>
                </c:pt>
                <c:pt idx="3">
                  <c:v>4-Skôr nespokojný</c:v>
                </c:pt>
                <c:pt idx="4">
                  <c:v>5-Veľmi nespokojný</c:v>
                </c:pt>
              </c:strCache>
            </c:strRef>
          </c:cat>
          <c:val>
            <c:numRef>
              <c:f>Hárok1!$CH$160:$CH$164</c:f>
              <c:numCache>
                <c:formatCode>General</c:formatCode>
                <c:ptCount val="5"/>
                <c:pt idx="0">
                  <c:v>75</c:v>
                </c:pt>
                <c:pt idx="1">
                  <c:v>21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FF5-4602-AF9B-73222D2F6924}"/>
            </c:ext>
          </c:extLst>
        </c:ser>
        <c:ser>
          <c:idx val="2"/>
          <c:order val="1"/>
          <c:tx>
            <c:v>Rok 2022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Hárok1!$CQ$160:$CQ$164</c:f>
              <c:numCache>
                <c:formatCode>General</c:formatCode>
                <c:ptCount val="5"/>
                <c:pt idx="0">
                  <c:v>59</c:v>
                </c:pt>
                <c:pt idx="1">
                  <c:v>24</c:v>
                </c:pt>
                <c:pt idx="2">
                  <c:v>10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FF5-4602-AF9B-73222D2F6924}"/>
            </c:ext>
          </c:extLst>
        </c:ser>
        <c:ser>
          <c:idx val="0"/>
          <c:order val="2"/>
          <c:tx>
            <c:v>Rok 2023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Hárok1!$CT$159:$CT$163</c:f>
              <c:numCache>
                <c:formatCode>General</c:formatCode>
                <c:ptCount val="5"/>
                <c:pt idx="0">
                  <c:v>55</c:v>
                </c:pt>
                <c:pt idx="1">
                  <c:v>29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FF5-4602-AF9B-73222D2F6924}"/>
            </c:ext>
          </c:extLst>
        </c:ser>
        <c:ser>
          <c:idx val="1"/>
          <c:order val="3"/>
          <c:tx>
            <c:v>Rok 2024</c:v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4257028112449793E-2"/>
                  <c:y val="-8.6071024999036862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F5-4602-AF9B-73222D2F6924}"/>
                </c:ext>
              </c:extLst>
            </c:dLbl>
            <c:dLbl>
              <c:idx val="2"/>
              <c:layout>
                <c:manualLayout>
                  <c:x val="-1.0709504685408299E-2"/>
                  <c:y val="-4.22535367467143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F5-4602-AF9B-73222D2F6924}"/>
                </c:ext>
              </c:extLst>
            </c:dLbl>
            <c:dLbl>
              <c:idx val="3"/>
              <c:layout>
                <c:manualLayout>
                  <c:x val="-1.8741633199464525E-2"/>
                  <c:y val="-5.1643211579317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F5-4602-AF9B-73222D2F6924}"/>
                </c:ext>
              </c:extLst>
            </c:dLbl>
            <c:dLbl>
              <c:idx val="4"/>
              <c:layout>
                <c:manualLayout>
                  <c:x val="-3.2128514056225001E-2"/>
                  <c:y val="-5.63380489956191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FF5-4602-AF9B-73222D2F6924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Hárok1!$CY$136:$CY$140</c:f>
              <c:numCache>
                <c:formatCode>General</c:formatCode>
                <c:ptCount val="5"/>
                <c:pt idx="0">
                  <c:v>50</c:v>
                </c:pt>
                <c:pt idx="1">
                  <c:v>25</c:v>
                </c:pt>
                <c:pt idx="2">
                  <c:v>9</c:v>
                </c:pt>
                <c:pt idx="3">
                  <c:v>6</c:v>
                </c:pt>
                <c:pt idx="4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FF5-4602-AF9B-73222D2F6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847040"/>
        <c:axId val="1"/>
      </c:lineChart>
      <c:catAx>
        <c:axId val="175884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sk-SK" sz="1050" b="1" i="0" baseline="0"/>
                  <a:t>% z</a:t>
                </a:r>
                <a:r>
                  <a:rPr lang="sk-SK" sz="1600" b="1" i="0" baseline="0"/>
                  <a:t> </a:t>
                </a:r>
                <a:r>
                  <a:rPr lang="sk-SK" sz="1050" b="1" i="0" baseline="0"/>
                  <a:t>celkového počtu odpovedí</a:t>
                </a:r>
                <a:endParaRPr lang="sk-SK" sz="1050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 w="22225">
            <a:solidFill>
              <a:schemeClr val="tx2">
                <a:lumMod val="75000"/>
              </a:schemeClr>
            </a:solidFill>
          </a:ln>
        </c:spPr>
        <c:crossAx val="1758847040"/>
        <c:crosses val="autoZero"/>
        <c:crossBetween val="between"/>
      </c:valAx>
      <c:spPr>
        <a:gradFill flip="none" rotWithShape="1">
          <a:gsLst>
            <a:gs pos="0">
              <a:srgbClr val="FFEFFC">
                <a:shade val="30000"/>
                <a:satMod val="115000"/>
              </a:srgbClr>
            </a:gs>
            <a:gs pos="50000">
              <a:srgbClr val="FFEFFC">
                <a:shade val="67500"/>
                <a:satMod val="115000"/>
              </a:srgbClr>
            </a:gs>
            <a:gs pos="100000">
              <a:srgbClr val="FFEFFC">
                <a:shade val="100000"/>
                <a:satMod val="115000"/>
              </a:srgbClr>
            </a:gs>
          </a:gsLst>
          <a:path path="circle">
            <a:fillToRect l="100000" t="100000"/>
          </a:path>
          <a:tileRect r="-100000" b="-100000"/>
        </a:gradFill>
        <a:ln w="22225">
          <a:solidFill>
            <a:srgbClr val="512155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solidFill>
                  <a:srgbClr val="00B050"/>
                </a:solidFill>
              </a:defRPr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sk-SK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sk-SK"/>
          </a:p>
        </c:txPr>
      </c:legendEntry>
      <c:layout>
        <c:manualLayout>
          <c:xMode val="edge"/>
          <c:yMode val="edge"/>
          <c:x val="0.61003341449788651"/>
          <c:y val="0.2948671028797456"/>
          <c:w val="0.1829853798395682"/>
          <c:h val="0.25507855532142987"/>
        </c:manualLayout>
      </c:layout>
      <c:overlay val="0"/>
      <c:spPr>
        <a:solidFill>
          <a:sysClr val="window" lastClr="FFFFFF"/>
        </a:solidFill>
        <a:ln w="12700" cmpd="dbl">
          <a:solidFill>
            <a:schemeClr val="tx1"/>
          </a:solidFill>
          <a:prstDash val="solid"/>
        </a:ln>
      </c:spPr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solidFill>
      <a:srgbClr val="EEBCE8"/>
    </a:solidFill>
    <a:ln w="22225"/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</cdr:x>
      <cdr:y>0.07788</cdr:y>
    </cdr:from>
    <cdr:to>
      <cdr:x>0.10179</cdr:x>
      <cdr:y>0.95327</cdr:y>
    </cdr:to>
    <cdr:sp macro="" textlink="">
      <cdr:nvSpPr>
        <cdr:cNvPr id="2" name="BlokTextu 1"/>
        <cdr:cNvSpPr txBox="1"/>
      </cdr:nvSpPr>
      <cdr:spPr>
        <a:xfrm xmlns:a="http://schemas.openxmlformats.org/drawingml/2006/main" rot="16200000">
          <a:off x="-1113768" y="1479541"/>
          <a:ext cx="2826612" cy="370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/>
            <a:t>celkový počet oslovených      počet odpovedí</a:t>
          </a:r>
        </a:p>
      </cdr:txBody>
    </cdr:sp>
  </cdr:relSizeAnchor>
</c:userShape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C0D5-F26B-45E1-B4EF-8B4F8800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  Vojteková</dc:creator>
  <dc:description/>
  <cp:lastModifiedBy>Oľga  Vojteková</cp:lastModifiedBy>
  <cp:revision>4</cp:revision>
  <dcterms:created xsi:type="dcterms:W3CDTF">2025-02-19T12:18:00Z</dcterms:created>
  <dcterms:modified xsi:type="dcterms:W3CDTF">2025-03-14T12:10:00Z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2024-02-26T11:25:06Z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c8a98646-fbf9-4abb-9e27-c9d7d9584285</vt:lpwstr>
  </property>
  <property fmtid="{D5CDD505-2E9C-101B-9397-08002B2CF9AE}" pid="7" name="MSIP_Label_defa4170-0d19-0005-0004-bc88714345d2_ActionId">
    <vt:lpwstr>83f472fd-9a95-425b-b482-0eaa69152b13</vt:lpwstr>
  </property>
  <property fmtid="{D5CDD505-2E9C-101B-9397-08002B2CF9AE}" pid="8" name="MSIP_Label_defa4170-0d19-0005-0004-bc88714345d2_ContentBits">
    <vt:lpwstr>0</vt:lpwstr>
  </property>
</Properties>
</file>