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0435" w14:textId="77777777" w:rsidR="00E76177" w:rsidRPr="00794904" w:rsidRDefault="00D35BEB" w:rsidP="009E43E1">
      <w:pPr>
        <w:jc w:val="center"/>
        <w:rPr>
          <w:b/>
          <w:sz w:val="28"/>
          <w:szCs w:val="28"/>
        </w:rPr>
      </w:pPr>
      <w:r w:rsidRPr="00794904">
        <w:rPr>
          <w:b/>
          <w:sz w:val="28"/>
          <w:szCs w:val="28"/>
        </w:rPr>
        <w:t>Držitelia</w:t>
      </w:r>
      <w:r w:rsidR="00E76177" w:rsidRPr="00794904">
        <w:rPr>
          <w:b/>
          <w:sz w:val="28"/>
          <w:szCs w:val="28"/>
        </w:rPr>
        <w:t xml:space="preserve"> rozhodnut</w:t>
      </w:r>
      <w:r w:rsidR="0028747E" w:rsidRPr="00794904">
        <w:rPr>
          <w:b/>
          <w:sz w:val="28"/>
          <w:szCs w:val="28"/>
        </w:rPr>
        <w:t>í</w:t>
      </w:r>
      <w:r w:rsidR="00E76177" w:rsidRPr="00794904">
        <w:rPr>
          <w:b/>
          <w:sz w:val="28"/>
          <w:szCs w:val="28"/>
        </w:rPr>
        <w:t xml:space="preserve"> o registrácii liekov </w:t>
      </w:r>
      <w:r w:rsidRPr="00794904">
        <w:rPr>
          <w:b/>
          <w:sz w:val="28"/>
          <w:szCs w:val="28"/>
        </w:rPr>
        <w:t>majú zhodnotiť riziko</w:t>
      </w:r>
      <w:r w:rsidR="00E76177" w:rsidRPr="00794904">
        <w:rPr>
          <w:b/>
          <w:sz w:val="28"/>
          <w:szCs w:val="28"/>
        </w:rPr>
        <w:t xml:space="preserve"> prítomnosti </w:t>
      </w:r>
      <w:proofErr w:type="spellStart"/>
      <w:r w:rsidR="00E76177" w:rsidRPr="00794904">
        <w:rPr>
          <w:b/>
          <w:sz w:val="28"/>
          <w:szCs w:val="28"/>
        </w:rPr>
        <w:t>nitrózoamínov</w:t>
      </w:r>
      <w:proofErr w:type="spellEnd"/>
    </w:p>
    <w:p w14:paraId="2FD96901" w14:textId="77777777" w:rsidR="00AC5A0E" w:rsidRDefault="00AC5A0E" w:rsidP="005E0AA5">
      <w:pPr>
        <w:spacing w:after="0"/>
        <w:jc w:val="both"/>
      </w:pPr>
    </w:p>
    <w:p w14:paraId="0907ED5A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jc w:val="righ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> September 2022</w:t>
      </w:r>
    </w:p>
    <w:p w14:paraId="10294175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jc w:val="right"/>
        <w:rPr>
          <w:rFonts w:ascii="Open Sans" w:hAnsi="Open Sans"/>
          <w:color w:val="3A3A3B"/>
          <w:sz w:val="21"/>
          <w:szCs w:val="21"/>
        </w:rPr>
      </w:pPr>
      <w:hyperlink r:id="rId5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[zmeny od poslednej aktualizácie]</w:t>
        </w:r>
      </w:hyperlink>
    </w:p>
    <w:p w14:paraId="19C0DBFB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>V súlade so </w:t>
      </w:r>
      <w:hyperlink r:id="rId6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stanoviskom Výboru pre lie</w:t>
        </w:r>
        <w:bookmarkStart w:id="0" w:name="_GoBack"/>
        <w:bookmarkEnd w:id="0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ky na humánne použitie (CHMP)</w:t>
        </w:r>
      </w:hyperlink>
      <w:r>
        <w:rPr>
          <w:rFonts w:ascii="Open Sans" w:hAnsi="Open Sans"/>
          <w:color w:val="3A3A3B"/>
          <w:sz w:val="21"/>
          <w:szCs w:val="21"/>
        </w:rPr>
        <w:t> podľa čl. 5 ods. 3 nariadenia Európskeho parlamentu a Rady (ES) č. 726/2004 sú </w:t>
      </w:r>
      <w:r>
        <w:rPr>
          <w:rStyle w:val="Siln"/>
          <w:rFonts w:ascii="Open Sans" w:hAnsi="Open Sans"/>
          <w:color w:val="3A3A3B"/>
          <w:sz w:val="21"/>
          <w:szCs w:val="21"/>
        </w:rPr>
        <w:t xml:space="preserve">držitelia rozhodnutí o registrácii humánnych liekov (ďalej len „držitelia“) obsahujúcich chemicky syntetizované liečivá alebo biologické liečivá vyzvaní, aby preskúmali výrobu svojich liekov s ohľadom na možnú prítomnosť </w:t>
      </w:r>
      <w:proofErr w:type="spellStart"/>
      <w:r>
        <w:rPr>
          <w:rStyle w:val="Siln"/>
          <w:rFonts w:ascii="Open Sans" w:hAnsi="Open Sans"/>
          <w:color w:val="3A3A3B"/>
          <w:sz w:val="21"/>
          <w:szCs w:val="21"/>
        </w:rPr>
        <w:t>nitrózoamínov</w:t>
      </w:r>
      <w:proofErr w:type="spellEnd"/>
      <w:r>
        <w:rPr>
          <w:rStyle w:val="Siln"/>
          <w:rFonts w:ascii="Open Sans" w:hAnsi="Open Sans"/>
          <w:color w:val="3A3A3B"/>
          <w:sz w:val="21"/>
          <w:szCs w:val="21"/>
        </w:rPr>
        <w:t>. </w:t>
      </w:r>
    </w:p>
    <w:p w14:paraId="16C3E1AF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 xml:space="preserve">Držitelia majú spolupracovať s výrobcami liečiv (ďalej len "API") a hotových liekov, aby preskúmali výrobné postupy API a hotových liekov s ohľadom na opatrenia na zabránenie tvorby </w:t>
      </w:r>
      <w:proofErr w:type="spellStart"/>
      <w:r>
        <w:rPr>
          <w:rFonts w:ascii="Open Sans" w:hAnsi="Open Sans"/>
          <w:color w:val="3A3A3B"/>
          <w:sz w:val="21"/>
          <w:szCs w:val="21"/>
        </w:rPr>
        <w:t>nitrózoamínov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, ako aj kontaminácii alebo krížovej kontaminácii, berúc do úvahy znalosti výrobných procesov, ako aj potenciálne zdroje </w:t>
      </w:r>
      <w:proofErr w:type="spellStart"/>
      <w:r>
        <w:rPr>
          <w:rFonts w:ascii="Open Sans" w:hAnsi="Open Sans"/>
          <w:color w:val="3A3A3B"/>
          <w:sz w:val="21"/>
          <w:szCs w:val="21"/>
        </w:rPr>
        <w:t>nitrózoamínových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nečistôt.</w:t>
      </w:r>
    </w:p>
    <w:p w14:paraId="73B5C492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Style w:val="Zvraznenie"/>
          <w:rFonts w:ascii="Open Sans" w:hAnsi="Open Sans"/>
          <w:color w:val="3A3A3B"/>
          <w:sz w:val="21"/>
          <w:szCs w:val="21"/>
        </w:rPr>
        <w:t xml:space="preserve">Pre držiteľov liekov obsahujúcich </w:t>
      </w:r>
      <w:proofErr w:type="spellStart"/>
      <w:r>
        <w:rPr>
          <w:rStyle w:val="Zvraznenie"/>
          <w:rFonts w:ascii="Open Sans" w:hAnsi="Open Sans"/>
          <w:color w:val="3A3A3B"/>
          <w:sz w:val="21"/>
          <w:szCs w:val="21"/>
        </w:rPr>
        <w:t>sartany</w:t>
      </w:r>
      <w:proofErr w:type="spellEnd"/>
      <w:r>
        <w:rPr>
          <w:rStyle w:val="Zvraznenie"/>
          <w:rFonts w:ascii="Open Sans" w:hAnsi="Open Sans"/>
          <w:color w:val="3A3A3B"/>
          <w:sz w:val="21"/>
          <w:szCs w:val="21"/>
        </w:rPr>
        <w:t xml:space="preserve"> s </w:t>
      </w:r>
      <w:proofErr w:type="spellStart"/>
      <w:r>
        <w:rPr>
          <w:rStyle w:val="Zvraznenie"/>
          <w:rFonts w:ascii="Open Sans" w:hAnsi="Open Sans"/>
          <w:color w:val="3A3A3B"/>
          <w:sz w:val="21"/>
          <w:szCs w:val="21"/>
        </w:rPr>
        <w:t>tetrazolovým</w:t>
      </w:r>
      <w:proofErr w:type="spellEnd"/>
      <w:r>
        <w:rPr>
          <w:rStyle w:val="Zvraznenie"/>
          <w:rFonts w:ascii="Open Sans" w:hAnsi="Open Sans"/>
          <w:color w:val="3A3A3B"/>
          <w:sz w:val="21"/>
          <w:szCs w:val="21"/>
        </w:rPr>
        <w:t xml:space="preserve"> kruhom platia opatrenia, ktoré boli výsledkom postupu preskúmania (</w:t>
      </w:r>
      <w:proofErr w:type="spellStart"/>
      <w:r>
        <w:rPr>
          <w:rStyle w:val="Zvraznenie"/>
          <w:rFonts w:ascii="Open Sans" w:hAnsi="Open Sans"/>
          <w:color w:val="3A3A3B"/>
          <w:sz w:val="21"/>
          <w:szCs w:val="21"/>
        </w:rPr>
        <w:t>referálu</w:t>
      </w:r>
      <w:proofErr w:type="spellEnd"/>
      <w:r>
        <w:rPr>
          <w:rStyle w:val="Zvraznenie"/>
          <w:rFonts w:ascii="Open Sans" w:hAnsi="Open Sans"/>
          <w:color w:val="3A3A3B"/>
          <w:sz w:val="21"/>
          <w:szCs w:val="21"/>
        </w:rPr>
        <w:t>) podľa </w:t>
      </w:r>
      <w:hyperlink r:id="rId7" w:history="1">
        <w:r>
          <w:rPr>
            <w:rStyle w:val="Hypertextovprepojenie"/>
            <w:rFonts w:ascii="Open Sans" w:hAnsi="Open Sans"/>
            <w:b/>
            <w:bCs/>
            <w:i/>
            <w:iCs/>
            <w:color w:val="0A80F1"/>
            <w:sz w:val="21"/>
            <w:szCs w:val="21"/>
            <w:u w:val="none"/>
          </w:rPr>
          <w:t>článku 31 smernice 2001/83/ES</w:t>
        </w:r>
      </w:hyperlink>
      <w:r>
        <w:rPr>
          <w:rStyle w:val="Zvraznenie"/>
          <w:rFonts w:ascii="Open Sans" w:hAnsi="Open Sans"/>
          <w:color w:val="3A3A3B"/>
          <w:sz w:val="21"/>
          <w:szCs w:val="21"/>
        </w:rPr>
        <w:t xml:space="preserve">. Viac informácií je k dispozícii na stránkach EMA (tu pripomíname, že podmienky, ktoré boli výsledkom tejto </w:t>
      </w:r>
      <w:proofErr w:type="spellStart"/>
      <w:r>
        <w:rPr>
          <w:rStyle w:val="Zvraznenie"/>
          <w:rFonts w:ascii="Open Sans" w:hAnsi="Open Sans"/>
          <w:color w:val="3A3A3B"/>
          <w:sz w:val="21"/>
          <w:szCs w:val="21"/>
        </w:rPr>
        <w:t>referálovej</w:t>
      </w:r>
      <w:proofErr w:type="spellEnd"/>
      <w:r>
        <w:rPr>
          <w:rStyle w:val="Zvraznenie"/>
          <w:rFonts w:ascii="Open Sans" w:hAnsi="Open Sans"/>
          <w:color w:val="3A3A3B"/>
          <w:sz w:val="21"/>
          <w:szCs w:val="21"/>
        </w:rPr>
        <w:t xml:space="preserve"> procedúry, musia byť splnené v lehotách stanovených v príslušnom </w:t>
      </w:r>
      <w:hyperlink r:id="rId8" w:history="1">
        <w:r>
          <w:rPr>
            <w:rStyle w:val="Hypertextovprepojenie"/>
            <w:rFonts w:ascii="Open Sans" w:hAnsi="Open Sans"/>
            <w:b/>
            <w:bCs/>
            <w:i/>
            <w:iCs/>
            <w:color w:val="0A80F1"/>
            <w:sz w:val="21"/>
            <w:szCs w:val="21"/>
            <w:u w:val="none"/>
          </w:rPr>
          <w:t>rozhodnutí</w:t>
        </w:r>
      </w:hyperlink>
      <w:r>
        <w:rPr>
          <w:rStyle w:val="Zvraznenie"/>
          <w:rFonts w:ascii="Open Sans" w:hAnsi="Open Sans"/>
          <w:color w:val="3A3A3B"/>
          <w:sz w:val="21"/>
          <w:szCs w:val="21"/>
        </w:rPr>
        <w:t> Európskej komisie). Rovnako sa začalo samostatné preskúmanie liekov s obsahom liečiva </w:t>
      </w:r>
      <w:proofErr w:type="spellStart"/>
      <w:r>
        <w:rPr>
          <w:rStyle w:val="Zvraznenie"/>
          <w:rFonts w:ascii="Open Sans" w:hAnsi="Open Sans"/>
          <w:color w:val="3A3A3B"/>
          <w:sz w:val="21"/>
          <w:szCs w:val="21"/>
        </w:rPr>
        <w:fldChar w:fldCharType="begin"/>
      </w:r>
      <w:r>
        <w:rPr>
          <w:rStyle w:val="Zvraznenie"/>
          <w:rFonts w:ascii="Open Sans" w:hAnsi="Open Sans"/>
          <w:color w:val="3A3A3B"/>
          <w:sz w:val="21"/>
          <w:szCs w:val="21"/>
        </w:rPr>
        <w:instrText xml:space="preserve"> HYPERLINK "https://www.ema.europa.eu/en/medicines/human/referrals/ranitidine-containing-medicinal-products" </w:instrText>
      </w:r>
      <w:r>
        <w:rPr>
          <w:rStyle w:val="Zvraznenie"/>
          <w:rFonts w:ascii="Open Sans" w:hAnsi="Open Sans"/>
          <w:color w:val="3A3A3B"/>
          <w:sz w:val="21"/>
          <w:szCs w:val="21"/>
        </w:rPr>
        <w:fldChar w:fldCharType="separate"/>
      </w:r>
      <w:r>
        <w:rPr>
          <w:rStyle w:val="Hypertextovprepojenie"/>
          <w:rFonts w:ascii="Open Sans" w:hAnsi="Open Sans"/>
          <w:b/>
          <w:bCs/>
          <w:i/>
          <w:iCs/>
          <w:color w:val="0A80F1"/>
          <w:sz w:val="21"/>
          <w:szCs w:val="21"/>
          <w:u w:val="none"/>
        </w:rPr>
        <w:t>ranitidín</w:t>
      </w:r>
      <w:proofErr w:type="spellEnd"/>
      <w:r>
        <w:rPr>
          <w:rStyle w:val="Zvraznenie"/>
          <w:rFonts w:ascii="Open Sans" w:hAnsi="Open Sans"/>
          <w:color w:val="3A3A3B"/>
          <w:sz w:val="21"/>
          <w:szCs w:val="21"/>
        </w:rPr>
        <w:fldChar w:fldCharType="end"/>
      </w:r>
      <w:r>
        <w:rPr>
          <w:rStyle w:val="Zvraznenie"/>
          <w:rFonts w:ascii="Open Sans" w:hAnsi="Open Sans"/>
          <w:color w:val="3A3A3B"/>
          <w:sz w:val="21"/>
          <w:szCs w:val="21"/>
        </w:rPr>
        <w:t>. CHMP odporučilo pozastavenie registrácií týchto liekov a stanovilo podmienky, po ktorých splnení dôjde k zrušeniu pozastavenia registrácie. Momentálne sa čaká na vydanie rozhodnutia Európskej komisie.</w:t>
      </w:r>
    </w:p>
    <w:p w14:paraId="1F43189E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  <w:u w:val="single"/>
        </w:rPr>
        <w:t xml:space="preserve">Pre lieky obsahujúce iné chemicky syntetizované liečivá ako </w:t>
      </w:r>
      <w:proofErr w:type="spellStart"/>
      <w:r>
        <w:rPr>
          <w:rFonts w:ascii="Open Sans" w:hAnsi="Open Sans"/>
          <w:color w:val="3A3A3B"/>
          <w:sz w:val="21"/>
          <w:szCs w:val="21"/>
          <w:u w:val="single"/>
        </w:rPr>
        <w:t>sartany</w:t>
      </w:r>
      <w:proofErr w:type="spellEnd"/>
      <w:r>
        <w:rPr>
          <w:rFonts w:ascii="Open Sans" w:hAnsi="Open Sans"/>
          <w:color w:val="3A3A3B"/>
          <w:sz w:val="21"/>
          <w:szCs w:val="21"/>
          <w:u w:val="single"/>
        </w:rPr>
        <w:t xml:space="preserve"> s </w:t>
      </w:r>
      <w:proofErr w:type="spellStart"/>
      <w:r>
        <w:rPr>
          <w:rFonts w:ascii="Open Sans" w:hAnsi="Open Sans"/>
          <w:color w:val="3A3A3B"/>
          <w:sz w:val="21"/>
          <w:szCs w:val="21"/>
          <w:u w:val="single"/>
        </w:rPr>
        <w:t>tetrazolovým</w:t>
      </w:r>
      <w:proofErr w:type="spellEnd"/>
      <w:r>
        <w:rPr>
          <w:rFonts w:ascii="Open Sans" w:hAnsi="Open Sans"/>
          <w:color w:val="3A3A3B"/>
          <w:sz w:val="21"/>
          <w:szCs w:val="21"/>
          <w:u w:val="single"/>
        </w:rPr>
        <w:t xml:space="preserve"> kruhom a </w:t>
      </w:r>
      <w:proofErr w:type="spellStart"/>
      <w:r>
        <w:rPr>
          <w:rFonts w:ascii="Open Sans" w:hAnsi="Open Sans"/>
          <w:color w:val="3A3A3B"/>
          <w:sz w:val="21"/>
          <w:szCs w:val="21"/>
          <w:u w:val="single"/>
        </w:rPr>
        <w:t>ranitidínom</w:t>
      </w:r>
      <w:proofErr w:type="spellEnd"/>
      <w:r>
        <w:rPr>
          <w:rFonts w:ascii="Open Sans" w:hAnsi="Open Sans"/>
          <w:color w:val="3A3A3B"/>
          <w:sz w:val="21"/>
          <w:szCs w:val="21"/>
          <w:u w:val="single"/>
        </w:rPr>
        <w:t xml:space="preserve"> a pre biologické lieky sa majú vykonať tieto kroky:</w:t>
      </w:r>
    </w:p>
    <w:p w14:paraId="6C141760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Style w:val="Siln"/>
          <w:rFonts w:ascii="Open Sans" w:hAnsi="Open Sans"/>
          <w:color w:val="3A3A3B"/>
          <w:sz w:val="21"/>
          <w:szCs w:val="21"/>
        </w:rPr>
        <w:t>Krok 1. Vyhodnotenie rizika</w:t>
      </w:r>
    </w:p>
    <w:p w14:paraId="59D19DA2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 xml:space="preserve">Držitelia majú vykonať hodnotenie rizika svojich liekov obsahujúcich chemicky syntetizované API a biologické liečivá. Držitelia spolu s výrobcami API a hotových liekov sú povinní vykonávať hodnotenie rizík pomocou zásad riadenia rizík kvality, ako je uvedené v pokynoch ICH Q9. V rámci hodnotenia </w:t>
      </w:r>
      <w:proofErr w:type="spellStart"/>
      <w:r>
        <w:rPr>
          <w:rFonts w:ascii="Open Sans" w:hAnsi="Open Sans"/>
          <w:color w:val="3A3A3B"/>
          <w:sz w:val="21"/>
          <w:szCs w:val="21"/>
        </w:rPr>
        <w:t>toxikológie</w:t>
      </w:r>
      <w:proofErr w:type="spellEnd"/>
      <w:r>
        <w:rPr>
          <w:rFonts w:ascii="Open Sans" w:hAnsi="Open Sans"/>
          <w:color w:val="3A3A3B"/>
          <w:sz w:val="21"/>
          <w:szCs w:val="21"/>
        </w:rPr>
        <w:t>, stratégie kontroly a zmien výrobných procesov majú byť pre liečivá použité princípy opísané v pokynoch ICH M7.</w:t>
      </w:r>
    </w:p>
    <w:p w14:paraId="59992F16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>Držitelia majú stanoviť, v akom poradí budú hodnotiť riziko svojich liekov. Faktory, ktoré možno vziať do úvahy, sú uvedené vo zverejnenom dokumente </w:t>
      </w:r>
      <w:hyperlink r:id="rId9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„Otázky a odpovede“</w:t>
        </w:r>
      </w:hyperlink>
      <w:r>
        <w:rPr>
          <w:rFonts w:ascii="Open Sans" w:hAnsi="Open Sans"/>
          <w:color w:val="3A3A3B"/>
          <w:sz w:val="21"/>
          <w:szCs w:val="21"/>
        </w:rPr>
        <w:t>. Pri liekoch označených ako vysoko prioritné má byť hodnotenie rizika vykonané okamžite.</w:t>
      </w:r>
    </w:p>
    <w:p w14:paraId="64B033A9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>Hodnotenie rizika dotknutých liekov má byť ukončené najneskôr do 6 mesiacov od uverejnenia tohto oznámenia na stránkach EMA, t. j. </w:t>
      </w:r>
      <w:r>
        <w:rPr>
          <w:rStyle w:val="Siln"/>
          <w:rFonts w:ascii="Open Sans" w:hAnsi="Open Sans"/>
          <w:color w:val="3A3A3B"/>
          <w:sz w:val="21"/>
          <w:szCs w:val="21"/>
        </w:rPr>
        <w:t>do 31. 03. 2021 pre syntetické lieky a 01.07.2021 pre biologické lieky</w:t>
      </w:r>
      <w:r>
        <w:rPr>
          <w:rFonts w:ascii="Open Sans" w:hAnsi="Open Sans"/>
          <w:color w:val="3A3A3B"/>
          <w:sz w:val="21"/>
          <w:szCs w:val="21"/>
        </w:rPr>
        <w:t xml:space="preserve">. Držitelia majú o ukončení hodnotenia rizika informovať príslušné liekové agentúry, a to použitím </w:t>
      </w:r>
      <w:proofErr w:type="spellStart"/>
      <w:r>
        <w:rPr>
          <w:rFonts w:ascii="Open Sans" w:hAnsi="Open Sans"/>
          <w:color w:val="3A3A3B"/>
          <w:sz w:val="21"/>
          <w:szCs w:val="21"/>
        </w:rPr>
        <w:t>templátov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uverejnených na stránke </w:t>
      </w:r>
      <w:proofErr w:type="spellStart"/>
      <w:r>
        <w:rPr>
          <w:rFonts w:ascii="Open Sans" w:hAnsi="Open Sans"/>
          <w:color w:val="3A3A3B"/>
          <w:sz w:val="21"/>
          <w:szCs w:val="21"/>
        </w:rPr>
        <w:t>CMDh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(„</w:t>
      </w:r>
      <w:hyperlink r:id="rId10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Step 1: response - no risk identified</w:t>
        </w:r>
      </w:hyperlink>
      <w:r>
        <w:rPr>
          <w:rFonts w:ascii="Open Sans" w:hAnsi="Open Sans"/>
          <w:color w:val="3A3A3B"/>
          <w:sz w:val="21"/>
          <w:szCs w:val="21"/>
        </w:rPr>
        <w:t>“ alebo „</w:t>
      </w:r>
      <w:hyperlink r:id="rId11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 xml:space="preserve">Step 1: </w:t>
        </w:r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lastRenderedPageBreak/>
          <w:t>response - risk identified (doc)“).</w:t>
        </w:r>
      </w:hyperlink>
      <w:r>
        <w:rPr>
          <w:rFonts w:ascii="Open Sans" w:hAnsi="Open Sans"/>
          <w:color w:val="3A3A3B"/>
          <w:sz w:val="21"/>
          <w:szCs w:val="21"/>
        </w:rPr>
        <w:t> </w:t>
      </w:r>
      <w:r>
        <w:rPr>
          <w:rFonts w:ascii="Open Sans" w:hAnsi="Open Sans"/>
          <w:color w:val="3A3A3B"/>
          <w:sz w:val="21"/>
          <w:szCs w:val="21"/>
          <w:u w:val="single"/>
        </w:rPr>
        <w:t xml:space="preserve">Pre čisto národne a DCP/MRP registrované lieky v Slovenskej republike treba vyplnené </w:t>
      </w:r>
      <w:proofErr w:type="spellStart"/>
      <w:r>
        <w:rPr>
          <w:rFonts w:ascii="Open Sans" w:hAnsi="Open Sans"/>
          <w:color w:val="3A3A3B"/>
          <w:sz w:val="21"/>
          <w:szCs w:val="21"/>
          <w:u w:val="single"/>
        </w:rPr>
        <w:t>templáty</w:t>
      </w:r>
      <w:proofErr w:type="spellEnd"/>
      <w:r>
        <w:rPr>
          <w:rFonts w:ascii="Open Sans" w:hAnsi="Open Sans"/>
          <w:color w:val="3A3A3B"/>
          <w:sz w:val="21"/>
          <w:szCs w:val="21"/>
          <w:u w:val="single"/>
        </w:rPr>
        <w:t xml:space="preserve"> posielať na emailovú adresu nitrosamines@sukl.sk</w:t>
      </w:r>
      <w:r>
        <w:rPr>
          <w:rFonts w:ascii="Open Sans" w:hAnsi="Open Sans"/>
          <w:color w:val="3A3A3B"/>
          <w:sz w:val="21"/>
          <w:szCs w:val="21"/>
        </w:rPr>
        <w:t>.</w:t>
      </w:r>
    </w:p>
    <w:p w14:paraId="56BABDF9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 xml:space="preserve">Ak je výsledkom hodnotenia zistené riziko prítomnosti </w:t>
      </w:r>
      <w:proofErr w:type="spellStart"/>
      <w:r>
        <w:rPr>
          <w:rFonts w:ascii="Open Sans" w:hAnsi="Open Sans"/>
          <w:color w:val="3A3A3B"/>
          <w:sz w:val="21"/>
          <w:szCs w:val="21"/>
        </w:rPr>
        <w:t>nitrózoamínov</w:t>
      </w:r>
      <w:proofErr w:type="spellEnd"/>
      <w:r>
        <w:rPr>
          <w:rFonts w:ascii="Open Sans" w:hAnsi="Open Sans"/>
          <w:color w:val="3A3A3B"/>
          <w:sz w:val="21"/>
          <w:szCs w:val="21"/>
        </w:rPr>
        <w:t>, nasleduje krok 2.</w:t>
      </w:r>
    </w:p>
    <w:p w14:paraId="5516E2A8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Style w:val="Siln"/>
          <w:rFonts w:ascii="Open Sans" w:hAnsi="Open Sans"/>
          <w:color w:val="3A3A3B"/>
          <w:sz w:val="21"/>
          <w:szCs w:val="21"/>
        </w:rPr>
        <w:t>Krok 2. Potvrdzujúce testovanie</w:t>
      </w:r>
    </w:p>
    <w:p w14:paraId="6A0221C4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 xml:space="preserve">V prípade, že je výsledkom hodnotenia rizika zistené riziko prítomnosti </w:t>
      </w:r>
      <w:proofErr w:type="spellStart"/>
      <w:r>
        <w:rPr>
          <w:rFonts w:ascii="Open Sans" w:hAnsi="Open Sans"/>
          <w:color w:val="3A3A3B"/>
          <w:sz w:val="21"/>
          <w:szCs w:val="21"/>
        </w:rPr>
        <w:t>nitrózoamínov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, má byť vykonané potvrdzujúce testovanie za použitia náležite validovaných citlivých analytických metód v súlade s prioritami, ktoré vyplývajú z hodnotenia rizík vykonaného v kroku 1. Lieky označené ako vysoko prioritné majú byť testované čo najskôr. Potvrdzujúce testovanie všetkých liekov, u ktorých bolo zistené riziko výskytu </w:t>
      </w:r>
      <w:proofErr w:type="spellStart"/>
      <w:r>
        <w:rPr>
          <w:rFonts w:ascii="Open Sans" w:hAnsi="Open Sans"/>
          <w:color w:val="3A3A3B"/>
          <w:sz w:val="21"/>
          <w:szCs w:val="21"/>
        </w:rPr>
        <w:t>nitrózoamínov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má byť ukončené čo najskôr.</w:t>
      </w:r>
    </w:p>
    <w:p w14:paraId="6ED65B21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>Výsledok potvrdzujúceho testovania treba poslať ihneď po zistení pre čisto národne registrované lieky ŠÚKL-u (na emailovú adresu </w:t>
      </w:r>
      <w:hyperlink r:id="rId12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nitrosamines@sukl.sk</w:t>
        </w:r>
      </w:hyperlink>
      <w:r>
        <w:rPr>
          <w:rFonts w:ascii="Open Sans" w:hAnsi="Open Sans"/>
          <w:color w:val="3A3A3B"/>
          <w:sz w:val="21"/>
          <w:szCs w:val="21"/>
        </w:rPr>
        <w:t xml:space="preserve"> ), v prípade MRP/DCP registrovaných liekov do RMS (v kópii všetky CMS) alebo v prípade centralizovane registrovaných liekov do EMA, a to použitím </w:t>
      </w:r>
      <w:proofErr w:type="spellStart"/>
      <w:r>
        <w:rPr>
          <w:rFonts w:ascii="Open Sans" w:hAnsi="Open Sans"/>
          <w:color w:val="3A3A3B"/>
          <w:sz w:val="21"/>
          <w:szCs w:val="21"/>
        </w:rPr>
        <w:t>templátov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uverejnených na stránke </w:t>
      </w:r>
      <w:proofErr w:type="spellStart"/>
      <w:r>
        <w:rPr>
          <w:rFonts w:ascii="Open Sans" w:hAnsi="Open Sans"/>
          <w:color w:val="3A3A3B"/>
          <w:sz w:val="21"/>
          <w:szCs w:val="21"/>
        </w:rPr>
        <w:t>CMDh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(„</w:t>
      </w:r>
      <w:hyperlink r:id="rId13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 xml:space="preserve">Step 2: </w:t>
        </w:r>
        <w:proofErr w:type="spellStart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response</w:t>
        </w:r>
        <w:proofErr w:type="spellEnd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 xml:space="preserve"> - no </w:t>
        </w:r>
        <w:proofErr w:type="spellStart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nitrosamine</w:t>
        </w:r>
        <w:proofErr w:type="spellEnd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detected</w:t>
        </w:r>
        <w:proofErr w:type="spellEnd"/>
      </w:hyperlink>
      <w:r>
        <w:rPr>
          <w:rFonts w:ascii="Open Sans" w:hAnsi="Open Sans"/>
          <w:color w:val="3A3A3B"/>
          <w:sz w:val="21"/>
          <w:szCs w:val="21"/>
        </w:rPr>
        <w:t>“ alebo „</w:t>
      </w:r>
      <w:hyperlink r:id="rId14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 xml:space="preserve">Step 2: </w:t>
        </w:r>
        <w:proofErr w:type="spellStart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response</w:t>
        </w:r>
        <w:proofErr w:type="spellEnd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 xml:space="preserve"> - </w:t>
        </w:r>
        <w:proofErr w:type="spellStart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nitrosamine</w:t>
        </w:r>
        <w:proofErr w:type="spellEnd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detected</w:t>
        </w:r>
        <w:proofErr w:type="spellEnd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 xml:space="preserve"> (</w:t>
        </w:r>
        <w:proofErr w:type="spellStart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doc</w:t>
        </w:r>
        <w:proofErr w:type="spellEnd"/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)</w:t>
        </w:r>
      </w:hyperlink>
      <w:r>
        <w:rPr>
          <w:rFonts w:ascii="Open Sans" w:hAnsi="Open Sans"/>
          <w:color w:val="3A3A3B"/>
          <w:sz w:val="21"/>
          <w:szCs w:val="21"/>
        </w:rPr>
        <w:t>“.Emailové adresy liekových agentúr sú uvedené v dokumente „</w:t>
      </w:r>
      <w:proofErr w:type="spellStart"/>
      <w:r>
        <w:rPr>
          <w:rFonts w:ascii="Open Sans" w:hAnsi="Open Sans"/>
          <w:color w:val="3A3A3B"/>
          <w:sz w:val="21"/>
          <w:szCs w:val="21"/>
        </w:rPr>
        <w:t>CMDh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A3A3B"/>
          <w:sz w:val="21"/>
          <w:szCs w:val="21"/>
        </w:rPr>
        <w:t>practical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A3A3B"/>
          <w:sz w:val="21"/>
          <w:szCs w:val="21"/>
        </w:rPr>
        <w:t>guidance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A3A3B"/>
          <w:sz w:val="21"/>
          <w:szCs w:val="21"/>
        </w:rPr>
        <w:t>for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Marketing </w:t>
      </w:r>
      <w:proofErr w:type="spellStart"/>
      <w:r>
        <w:rPr>
          <w:rFonts w:ascii="Open Sans" w:hAnsi="Open Sans"/>
          <w:color w:val="3A3A3B"/>
          <w:sz w:val="21"/>
          <w:szCs w:val="21"/>
        </w:rPr>
        <w:t>Authorisation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A3A3B"/>
          <w:sz w:val="21"/>
          <w:szCs w:val="21"/>
        </w:rPr>
        <w:t>Holders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of </w:t>
      </w:r>
      <w:proofErr w:type="spellStart"/>
      <w:r>
        <w:rPr>
          <w:rFonts w:ascii="Open Sans" w:hAnsi="Open Sans"/>
          <w:color w:val="3A3A3B"/>
          <w:sz w:val="21"/>
          <w:szCs w:val="21"/>
        </w:rPr>
        <w:t>nationally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A3A3B"/>
          <w:sz w:val="21"/>
          <w:szCs w:val="21"/>
        </w:rPr>
        <w:t>authorised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A3A3B"/>
          <w:sz w:val="21"/>
          <w:szCs w:val="21"/>
        </w:rPr>
        <w:t>products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(</w:t>
      </w:r>
      <w:proofErr w:type="spellStart"/>
      <w:r>
        <w:rPr>
          <w:rFonts w:ascii="Open Sans" w:hAnsi="Open Sans"/>
          <w:color w:val="3A3A3B"/>
          <w:sz w:val="21"/>
          <w:szCs w:val="21"/>
        </w:rPr>
        <w:t>incl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. MRP/DCP) in </w:t>
      </w:r>
      <w:proofErr w:type="spellStart"/>
      <w:r>
        <w:rPr>
          <w:rFonts w:ascii="Open Sans" w:hAnsi="Open Sans"/>
          <w:color w:val="3A3A3B"/>
          <w:sz w:val="21"/>
          <w:szCs w:val="21"/>
        </w:rPr>
        <w:t>relation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to </w:t>
      </w:r>
      <w:proofErr w:type="spellStart"/>
      <w:r>
        <w:rPr>
          <w:rFonts w:ascii="Open Sans" w:hAnsi="Open Sans"/>
          <w:color w:val="3A3A3B"/>
          <w:sz w:val="21"/>
          <w:szCs w:val="21"/>
        </w:rPr>
        <w:t>the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Art. 5(3) </w:t>
      </w:r>
      <w:proofErr w:type="spellStart"/>
      <w:r>
        <w:rPr>
          <w:rFonts w:ascii="Open Sans" w:hAnsi="Open Sans"/>
          <w:color w:val="3A3A3B"/>
          <w:sz w:val="21"/>
          <w:szCs w:val="21"/>
        </w:rPr>
        <w:t>Referral</w:t>
      </w:r>
      <w:proofErr w:type="spellEnd"/>
      <w:r>
        <w:rPr>
          <w:rFonts w:ascii="Open Sans" w:hAnsi="Open Sans"/>
          <w:color w:val="3A3A3B"/>
          <w:sz w:val="21"/>
          <w:szCs w:val="21"/>
        </w:rPr>
        <w:t xml:space="preserve"> on </w:t>
      </w:r>
      <w:proofErr w:type="spellStart"/>
      <w:r>
        <w:rPr>
          <w:rFonts w:ascii="Open Sans" w:hAnsi="Open Sans"/>
          <w:color w:val="3A3A3B"/>
          <w:sz w:val="21"/>
          <w:szCs w:val="21"/>
        </w:rPr>
        <w:t>Nitrosamines</w:t>
      </w:r>
      <w:proofErr w:type="spellEnd"/>
      <w:r>
        <w:rPr>
          <w:rFonts w:ascii="Open Sans" w:hAnsi="Open Sans"/>
          <w:color w:val="3A3A3B"/>
          <w:sz w:val="21"/>
          <w:szCs w:val="21"/>
        </w:rPr>
        <w:t>“</w:t>
      </w:r>
    </w:p>
    <w:p w14:paraId="3072F5A7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Style w:val="Siln"/>
          <w:rFonts w:ascii="Open Sans" w:hAnsi="Open Sans"/>
          <w:color w:val="3A3A3B"/>
          <w:sz w:val="21"/>
          <w:szCs w:val="21"/>
        </w:rPr>
        <w:t>Krok 3. Zmeny v registrácii lieku</w:t>
      </w:r>
    </w:p>
    <w:p w14:paraId="4546DA77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>Potrebné žiadosti o zmeny v dokumentácii kvality sa majú podať do 01.10.2023, a to štandardným spôsobom. </w:t>
      </w:r>
      <w:proofErr w:type="spellStart"/>
      <w:r>
        <w:rPr>
          <w:rFonts w:ascii="Open Sans" w:hAnsi="Open Sans"/>
          <w:color w:val="3A3A3B"/>
          <w:sz w:val="21"/>
          <w:szCs w:val="21"/>
        </w:rPr>
        <w:fldChar w:fldCharType="begin"/>
      </w:r>
      <w:r>
        <w:rPr>
          <w:rFonts w:ascii="Open Sans" w:hAnsi="Open Sans"/>
          <w:color w:val="3A3A3B"/>
          <w:sz w:val="21"/>
          <w:szCs w:val="21"/>
        </w:rPr>
        <w:instrText xml:space="preserve"> HYPERLINK "https://www.hma.eu/fileadmin/dateien/Human_Medicines/CMD_h_/procedural_guidance/Variations/CMDh_297_2013_Rev28_2019_06_clean_Chapter_7.pdf" </w:instrText>
      </w:r>
      <w:r>
        <w:rPr>
          <w:rFonts w:ascii="Open Sans" w:hAnsi="Open Sans"/>
          <w:color w:val="3A3A3B"/>
          <w:sz w:val="21"/>
          <w:szCs w:val="21"/>
        </w:rPr>
        <w:fldChar w:fldCharType="separate"/>
      </w:r>
      <w:r>
        <w:rPr>
          <w:rStyle w:val="Hypertextovprepojenie"/>
          <w:rFonts w:ascii="Open Sans" w:hAnsi="Open Sans"/>
          <w:b/>
          <w:bCs/>
          <w:color w:val="0A80F1"/>
          <w:sz w:val="21"/>
          <w:szCs w:val="21"/>
          <w:u w:val="none"/>
        </w:rPr>
        <w:t>Worksharing</w:t>
      </w:r>
      <w:proofErr w:type="spellEnd"/>
      <w:r>
        <w:rPr>
          <w:rFonts w:ascii="Open Sans" w:hAnsi="Open Sans"/>
          <w:color w:val="3A3A3B"/>
          <w:sz w:val="21"/>
          <w:szCs w:val="21"/>
        </w:rPr>
        <w:fldChar w:fldCharType="end"/>
      </w:r>
      <w:r>
        <w:rPr>
          <w:rFonts w:ascii="Open Sans" w:hAnsi="Open Sans"/>
          <w:color w:val="3A3A3B"/>
          <w:sz w:val="21"/>
          <w:szCs w:val="21"/>
        </w:rPr>
        <w:t> sa dôrazne odporúča vo všetkých prípadoch, keď sa rovnaká zmena týka niekoľkých národne alebo MRP/DCP registrovaných liekov.</w:t>
      </w:r>
    </w:p>
    <w:p w14:paraId="4A37D60E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>Ak zistenia naznačujú bezprostredné riziko pre verejné zdravie, vo všetkých krokoch treba lehoty skrátiť a bezodkladne informovať príslušné liekové agentúry.</w:t>
      </w:r>
    </w:p>
    <w:p w14:paraId="5B1BB438" w14:textId="77777777" w:rsidR="00BF72D9" w:rsidRDefault="00BF72D9" w:rsidP="00BF72D9">
      <w:pPr>
        <w:pStyle w:val="Normlnywebov"/>
        <w:shd w:val="clear" w:color="auto" w:fill="FFFFFF"/>
        <w:spacing w:before="0" w:beforeAutospacing="0" w:after="150" w:afterAutospacing="0" w:line="345" w:lineRule="atLeast"/>
        <w:rPr>
          <w:rFonts w:ascii="Open Sans" w:hAnsi="Open Sans"/>
          <w:color w:val="3A3A3B"/>
          <w:sz w:val="21"/>
          <w:szCs w:val="21"/>
        </w:rPr>
      </w:pPr>
      <w:r>
        <w:rPr>
          <w:rFonts w:ascii="Open Sans" w:hAnsi="Open Sans"/>
          <w:color w:val="3A3A3B"/>
          <w:sz w:val="21"/>
          <w:szCs w:val="21"/>
        </w:rPr>
        <w:t>Bližšie informácie, ktoré sa pravidelne aktualizujú, sú uvedené v dokumentoch uverejnených na stránkach </w:t>
      </w:r>
      <w:proofErr w:type="spellStart"/>
      <w:r>
        <w:rPr>
          <w:rFonts w:ascii="Open Sans" w:hAnsi="Open Sans"/>
          <w:color w:val="3A3A3B"/>
          <w:sz w:val="21"/>
          <w:szCs w:val="21"/>
        </w:rPr>
        <w:fldChar w:fldCharType="begin"/>
      </w:r>
      <w:r>
        <w:rPr>
          <w:rFonts w:ascii="Open Sans" w:hAnsi="Open Sans"/>
          <w:color w:val="3A3A3B"/>
          <w:sz w:val="21"/>
          <w:szCs w:val="21"/>
        </w:rPr>
        <w:instrText xml:space="preserve"> HYPERLINK "https://www.hma.eu/226.html" </w:instrText>
      </w:r>
      <w:r>
        <w:rPr>
          <w:rFonts w:ascii="Open Sans" w:hAnsi="Open Sans"/>
          <w:color w:val="3A3A3B"/>
          <w:sz w:val="21"/>
          <w:szCs w:val="21"/>
        </w:rPr>
        <w:fldChar w:fldCharType="separate"/>
      </w:r>
      <w:r>
        <w:rPr>
          <w:rStyle w:val="Hypertextovprepojenie"/>
          <w:rFonts w:ascii="Open Sans" w:hAnsi="Open Sans"/>
          <w:b/>
          <w:bCs/>
          <w:color w:val="0A80F1"/>
          <w:sz w:val="21"/>
          <w:szCs w:val="21"/>
          <w:u w:val="none"/>
        </w:rPr>
        <w:t>CMDh</w:t>
      </w:r>
      <w:proofErr w:type="spellEnd"/>
      <w:r>
        <w:rPr>
          <w:rFonts w:ascii="Open Sans" w:hAnsi="Open Sans"/>
          <w:color w:val="3A3A3B"/>
          <w:sz w:val="21"/>
          <w:szCs w:val="21"/>
        </w:rPr>
        <w:fldChar w:fldCharType="end"/>
      </w:r>
      <w:r>
        <w:rPr>
          <w:rFonts w:ascii="Open Sans" w:hAnsi="Open Sans"/>
          <w:color w:val="3A3A3B"/>
          <w:sz w:val="21"/>
          <w:szCs w:val="21"/>
        </w:rPr>
        <w:t> a </w:t>
      </w:r>
      <w:hyperlink r:id="rId15" w:history="1">
        <w:r>
          <w:rPr>
            <w:rStyle w:val="Hypertextovprepojenie"/>
            <w:rFonts w:ascii="Open Sans" w:hAnsi="Open Sans"/>
            <w:b/>
            <w:bCs/>
            <w:color w:val="0A80F1"/>
            <w:sz w:val="21"/>
            <w:szCs w:val="21"/>
            <w:u w:val="none"/>
          </w:rPr>
          <w:t>EMA</w:t>
        </w:r>
      </w:hyperlink>
      <w:r>
        <w:rPr>
          <w:rFonts w:ascii="Open Sans" w:hAnsi="Open Sans"/>
          <w:color w:val="3A3A3B"/>
          <w:sz w:val="21"/>
          <w:szCs w:val="21"/>
        </w:rPr>
        <w:t>.</w:t>
      </w:r>
    </w:p>
    <w:p w14:paraId="1ACFAF04" w14:textId="4EA4B36B" w:rsidR="009E43E1" w:rsidRPr="007B401A" w:rsidRDefault="009E43E1" w:rsidP="00BF72D9">
      <w:pPr>
        <w:spacing w:after="0"/>
        <w:jc w:val="right"/>
      </w:pPr>
    </w:p>
    <w:sectPr w:rsidR="009E43E1" w:rsidRPr="007B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2F"/>
    <w:rsid w:val="000573D0"/>
    <w:rsid w:val="000632ED"/>
    <w:rsid w:val="000A2A2F"/>
    <w:rsid w:val="000C48A6"/>
    <w:rsid w:val="000D64E3"/>
    <w:rsid w:val="00101538"/>
    <w:rsid w:val="00151389"/>
    <w:rsid w:val="001B0373"/>
    <w:rsid w:val="001B6AC3"/>
    <w:rsid w:val="001C0BCC"/>
    <w:rsid w:val="00226E59"/>
    <w:rsid w:val="00260341"/>
    <w:rsid w:val="00267066"/>
    <w:rsid w:val="0028747E"/>
    <w:rsid w:val="00293011"/>
    <w:rsid w:val="002A3F5D"/>
    <w:rsid w:val="002C18FE"/>
    <w:rsid w:val="002C3A96"/>
    <w:rsid w:val="002D0FE5"/>
    <w:rsid w:val="0031368E"/>
    <w:rsid w:val="00313FA2"/>
    <w:rsid w:val="00327C75"/>
    <w:rsid w:val="00353321"/>
    <w:rsid w:val="00356B56"/>
    <w:rsid w:val="00375B07"/>
    <w:rsid w:val="003B1CE0"/>
    <w:rsid w:val="003F5500"/>
    <w:rsid w:val="00437B23"/>
    <w:rsid w:val="00477A99"/>
    <w:rsid w:val="00496FFC"/>
    <w:rsid w:val="004A2C00"/>
    <w:rsid w:val="004E72A6"/>
    <w:rsid w:val="00501952"/>
    <w:rsid w:val="005266F6"/>
    <w:rsid w:val="00535D41"/>
    <w:rsid w:val="00540D20"/>
    <w:rsid w:val="005671AB"/>
    <w:rsid w:val="00582439"/>
    <w:rsid w:val="0058735C"/>
    <w:rsid w:val="005A58D6"/>
    <w:rsid w:val="005B6AED"/>
    <w:rsid w:val="005C6F85"/>
    <w:rsid w:val="005E0AA5"/>
    <w:rsid w:val="0062254C"/>
    <w:rsid w:val="00640B9E"/>
    <w:rsid w:val="00682BAF"/>
    <w:rsid w:val="006A3BCF"/>
    <w:rsid w:val="006B1F06"/>
    <w:rsid w:val="006B325C"/>
    <w:rsid w:val="006D1DA0"/>
    <w:rsid w:val="006D764D"/>
    <w:rsid w:val="0070001E"/>
    <w:rsid w:val="00731DD6"/>
    <w:rsid w:val="00794883"/>
    <w:rsid w:val="00794904"/>
    <w:rsid w:val="007A6FA8"/>
    <w:rsid w:val="007B401A"/>
    <w:rsid w:val="007C3E75"/>
    <w:rsid w:val="008743CD"/>
    <w:rsid w:val="008A1932"/>
    <w:rsid w:val="008B2835"/>
    <w:rsid w:val="008B2E76"/>
    <w:rsid w:val="008C2A3E"/>
    <w:rsid w:val="00922F80"/>
    <w:rsid w:val="00954E23"/>
    <w:rsid w:val="00955195"/>
    <w:rsid w:val="009C73C6"/>
    <w:rsid w:val="009E43E1"/>
    <w:rsid w:val="009F0567"/>
    <w:rsid w:val="009F2F3E"/>
    <w:rsid w:val="00A00807"/>
    <w:rsid w:val="00A02C92"/>
    <w:rsid w:val="00A611EC"/>
    <w:rsid w:val="00AB7A9A"/>
    <w:rsid w:val="00AC2D70"/>
    <w:rsid w:val="00AC4ADA"/>
    <w:rsid w:val="00AC5A0E"/>
    <w:rsid w:val="00AE0CA3"/>
    <w:rsid w:val="00B114C9"/>
    <w:rsid w:val="00B4701E"/>
    <w:rsid w:val="00B60499"/>
    <w:rsid w:val="00B84DDF"/>
    <w:rsid w:val="00B93B6A"/>
    <w:rsid w:val="00BA0980"/>
    <w:rsid w:val="00BA51E9"/>
    <w:rsid w:val="00BB6DA3"/>
    <w:rsid w:val="00BF72D9"/>
    <w:rsid w:val="00C45181"/>
    <w:rsid w:val="00CE4F1E"/>
    <w:rsid w:val="00D248F7"/>
    <w:rsid w:val="00D26424"/>
    <w:rsid w:val="00D35BEB"/>
    <w:rsid w:val="00DE4A8F"/>
    <w:rsid w:val="00E05DCE"/>
    <w:rsid w:val="00E53802"/>
    <w:rsid w:val="00E57E7E"/>
    <w:rsid w:val="00E76177"/>
    <w:rsid w:val="00E95DD4"/>
    <w:rsid w:val="00EA47F4"/>
    <w:rsid w:val="00ED1220"/>
    <w:rsid w:val="00ED7828"/>
    <w:rsid w:val="00EE079B"/>
    <w:rsid w:val="00EF6530"/>
    <w:rsid w:val="00F341E7"/>
    <w:rsid w:val="00F4772F"/>
    <w:rsid w:val="00F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A52F"/>
  <w15:chartTrackingRefBased/>
  <w15:docId w15:val="{46C9339F-751F-465A-912D-6BB6E6F4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6AE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B6AE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C4A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4A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4A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4A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4AD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AD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93011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BF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F72D9"/>
    <w:rPr>
      <w:b/>
      <w:bCs/>
    </w:rPr>
  </w:style>
  <w:style w:type="character" w:styleId="Zvraznenie">
    <w:name w:val="Emphasis"/>
    <w:basedOn w:val="Predvolenpsmoodseku"/>
    <w:uiPriority w:val="20"/>
    <w:qFormat/>
    <w:rsid w:val="00BF7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documents/community-register/2019/20190402144194/anx_144194_sk.pdf" TargetMode="External"/><Relationship Id="rId13" Type="http://schemas.openxmlformats.org/officeDocument/2006/relationships/hyperlink" Target="https://www.hma.eu/human-medicines/cmdh/advice-from-cmdh/nitrosamine-impurit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PDF/?uri=CELEX:32001L0083&amp;from=en" TargetMode="External"/><Relationship Id="rId12" Type="http://schemas.openxmlformats.org/officeDocument/2006/relationships/hyperlink" Target="mailto:nitrosamines@sukl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ma.europa.eu/en/documents/referral/nitrosamine-impurities-outcome-article-53_en.pdf" TargetMode="External"/><Relationship Id="rId11" Type="http://schemas.openxmlformats.org/officeDocument/2006/relationships/hyperlink" Target="https://www.hma.eu/human-medicines/cmdh/advice-from-cmdh/nitrosamine-impurities.html" TargetMode="External"/><Relationship Id="rId5" Type="http://schemas.openxmlformats.org/officeDocument/2006/relationships/hyperlink" Target="https://www.sukl.sk/buxus/docs/zmeny_od_poslednej_aktualiza%CC%81cie.docx" TargetMode="External"/><Relationship Id="rId15" Type="http://schemas.openxmlformats.org/officeDocument/2006/relationships/hyperlink" Target="https://www.ema.europa.eu/en/human-regulatory/post-authorisation/referral-procedures/nitrosamine-impurities-overview" TargetMode="External"/><Relationship Id="rId10" Type="http://schemas.openxmlformats.org/officeDocument/2006/relationships/hyperlink" Target="https://www.hma.eu/human-medicines/cmdh/advice-from-cmdh/nitrosamine-impurit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ma.eu/620.html" TargetMode="External"/><Relationship Id="rId14" Type="http://schemas.openxmlformats.org/officeDocument/2006/relationships/hyperlink" Target="https://www.hma.eu/human-medicines/cmdh/advice-from-cmdh/nitrosamine-impurities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9D5F-CDC5-4DC4-ADE4-F751056D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Mária</dc:creator>
  <cp:keywords/>
  <dc:description/>
  <cp:lastModifiedBy>Szabo, Marek</cp:lastModifiedBy>
  <cp:revision>13</cp:revision>
  <dcterms:created xsi:type="dcterms:W3CDTF">2019-10-24T13:06:00Z</dcterms:created>
  <dcterms:modified xsi:type="dcterms:W3CDTF">2023-10-11T06:22:00Z</dcterms:modified>
</cp:coreProperties>
</file>