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07" w:rsidRPr="00262A20" w:rsidRDefault="005E2407" w:rsidP="00262A20">
      <w:pPr>
        <w:tabs>
          <w:tab w:val="left" w:pos="8505"/>
        </w:tabs>
        <w:ind w:right="566"/>
        <w:rPr>
          <w:sz w:val="18"/>
          <w:szCs w:val="18"/>
          <w:lang w:val="sk-SK"/>
        </w:rPr>
      </w:pPr>
      <w:r w:rsidRPr="00262A20">
        <w:rPr>
          <w:sz w:val="18"/>
          <w:szCs w:val="18"/>
          <w:lang w:val="sk-SK"/>
        </w:rPr>
        <w:t>Schválený text k rozhodnutiu o</w:t>
      </w:r>
      <w:r>
        <w:rPr>
          <w:sz w:val="18"/>
          <w:szCs w:val="18"/>
          <w:lang w:val="sk-SK"/>
        </w:rPr>
        <w:t> </w:t>
      </w:r>
      <w:r w:rsidRPr="00262A20">
        <w:rPr>
          <w:sz w:val="18"/>
          <w:szCs w:val="18"/>
          <w:lang w:val="sk-SK"/>
        </w:rPr>
        <w:t>zmene, ev. č.:</w:t>
      </w:r>
      <w:r>
        <w:rPr>
          <w:sz w:val="18"/>
          <w:szCs w:val="18"/>
          <w:lang w:val="sk-SK"/>
        </w:rPr>
        <w:t xml:space="preserve"> 2012/04626</w:t>
      </w:r>
    </w:p>
    <w:p w:rsidR="005E2407" w:rsidRPr="002F5B0E" w:rsidRDefault="005E2407">
      <w:pPr>
        <w:rPr>
          <w:sz w:val="22"/>
          <w:szCs w:val="22"/>
        </w:rPr>
      </w:pPr>
    </w:p>
    <w:p w:rsidR="005E2407" w:rsidRPr="00262A20" w:rsidRDefault="005E2407" w:rsidP="00262A20">
      <w:pPr>
        <w:pStyle w:val="Heading1"/>
        <w:jc w:val="center"/>
        <w:rPr>
          <w:sz w:val="22"/>
          <w:szCs w:val="22"/>
          <w:lang w:val="sk-SK"/>
        </w:rPr>
      </w:pPr>
      <w:r w:rsidRPr="00262A20">
        <w:rPr>
          <w:sz w:val="22"/>
          <w:szCs w:val="22"/>
          <w:lang w:val="sk-SK"/>
        </w:rPr>
        <w:t>SÚHRN CHARAKTERISTICKÝCH VLASTNOSTÍ LIEKU</w:t>
      </w:r>
    </w:p>
    <w:p w:rsidR="005E2407" w:rsidRDefault="005E2407" w:rsidP="00E203F1">
      <w:pPr>
        <w:rPr>
          <w:lang w:val="sk-SK"/>
        </w:rPr>
      </w:pPr>
    </w:p>
    <w:p w:rsidR="005E2407" w:rsidRPr="004A3198" w:rsidRDefault="005E2407" w:rsidP="00E203F1">
      <w:pPr>
        <w:rPr>
          <w:lang w:val="sk-SK"/>
        </w:rPr>
      </w:pPr>
    </w:p>
    <w:p w:rsidR="005E2407" w:rsidRPr="004A3198" w:rsidRDefault="005E2407" w:rsidP="00E203F1">
      <w:pPr>
        <w:pStyle w:val="Heading2"/>
        <w:spacing w:after="60"/>
        <w:rPr>
          <w:sz w:val="22"/>
          <w:szCs w:val="22"/>
          <w:lang w:val="sk-SK"/>
        </w:rPr>
      </w:pPr>
      <w:r w:rsidRPr="004A3198">
        <w:rPr>
          <w:sz w:val="22"/>
          <w:szCs w:val="22"/>
          <w:lang w:val="sk-SK"/>
        </w:rPr>
        <w:t>1.</w:t>
      </w:r>
      <w:r>
        <w:rPr>
          <w:sz w:val="22"/>
          <w:szCs w:val="22"/>
          <w:lang w:val="sk-SK"/>
        </w:rPr>
        <w:tab/>
      </w:r>
      <w:r w:rsidRPr="004A3198">
        <w:rPr>
          <w:sz w:val="22"/>
          <w:szCs w:val="22"/>
          <w:lang w:val="sk-SK"/>
        </w:rPr>
        <w:t>NÁZOV LIEKU</w:t>
      </w:r>
    </w:p>
    <w:p w:rsidR="005E2407" w:rsidRPr="004A3198" w:rsidRDefault="005E2407" w:rsidP="00E203F1">
      <w:pPr>
        <w:rPr>
          <w:sz w:val="22"/>
          <w:szCs w:val="22"/>
          <w:lang w:val="sk-SK" w:eastAsia="de-DE"/>
        </w:rPr>
      </w:pPr>
    </w:p>
    <w:p w:rsidR="005E2407" w:rsidRPr="004A3198" w:rsidRDefault="005E2407" w:rsidP="00E203F1">
      <w:pPr>
        <w:rPr>
          <w:sz w:val="22"/>
          <w:szCs w:val="22"/>
          <w:lang w:val="sk-SK"/>
        </w:rPr>
      </w:pPr>
      <w:r w:rsidRPr="004A3198">
        <w:rPr>
          <w:sz w:val="22"/>
          <w:szCs w:val="22"/>
          <w:lang w:val="sk-SK"/>
        </w:rPr>
        <w:t>KALIUM CHLORATUM LÉČIVA 7,5 %</w:t>
      </w:r>
    </w:p>
    <w:p w:rsidR="005E2407" w:rsidRPr="004A3198" w:rsidRDefault="005E2407" w:rsidP="00E203F1">
      <w:pPr>
        <w:rPr>
          <w:sz w:val="22"/>
          <w:szCs w:val="22"/>
          <w:lang w:val="sk-SK"/>
        </w:rPr>
      </w:pPr>
    </w:p>
    <w:p w:rsidR="005E2407" w:rsidRPr="004A3198" w:rsidRDefault="005E2407" w:rsidP="00E203F1">
      <w:pPr>
        <w:rPr>
          <w:sz w:val="22"/>
          <w:szCs w:val="22"/>
          <w:lang w:val="sk-SK"/>
        </w:rPr>
      </w:pPr>
    </w:p>
    <w:p w:rsidR="005E2407" w:rsidRPr="004A3198" w:rsidRDefault="005E2407" w:rsidP="00E203F1">
      <w:pPr>
        <w:pStyle w:val="Heading2"/>
        <w:spacing w:after="60"/>
        <w:rPr>
          <w:sz w:val="22"/>
          <w:szCs w:val="22"/>
          <w:lang w:val="sk-SK"/>
        </w:rPr>
      </w:pPr>
      <w:r w:rsidRPr="004A3198">
        <w:rPr>
          <w:sz w:val="22"/>
          <w:szCs w:val="22"/>
          <w:lang w:val="sk-SK"/>
        </w:rPr>
        <w:t>2.</w:t>
      </w:r>
      <w:r>
        <w:rPr>
          <w:sz w:val="22"/>
          <w:szCs w:val="22"/>
          <w:lang w:val="sk-SK"/>
        </w:rPr>
        <w:tab/>
      </w:r>
      <w:r w:rsidRPr="004A3198">
        <w:rPr>
          <w:sz w:val="22"/>
          <w:szCs w:val="22"/>
          <w:lang w:val="sk-SK"/>
        </w:rPr>
        <w:t>KVALITATÍVNE A KVANTITATÍVNE ZLOŽENIE</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Kalii chloridum 750 mg (10 mmol K</w:t>
      </w:r>
      <w:r w:rsidRPr="004A3198">
        <w:rPr>
          <w:sz w:val="22"/>
          <w:szCs w:val="22"/>
          <w:vertAlign w:val="superscript"/>
          <w:lang w:val="sk-SK"/>
        </w:rPr>
        <w:t>+</w:t>
      </w:r>
      <w:r w:rsidRPr="004A3198">
        <w:rPr>
          <w:sz w:val="22"/>
          <w:szCs w:val="22"/>
          <w:lang w:val="sk-SK"/>
        </w:rPr>
        <w:t xml:space="preserve"> a 10 mmol Cl</w:t>
      </w:r>
      <w:r w:rsidRPr="004A3198">
        <w:rPr>
          <w:sz w:val="22"/>
          <w:szCs w:val="22"/>
          <w:vertAlign w:val="superscript"/>
          <w:lang w:val="sk-SK"/>
        </w:rPr>
        <w:t>-</w:t>
      </w:r>
      <w:r w:rsidRPr="004A3198">
        <w:rPr>
          <w:sz w:val="22"/>
          <w:szCs w:val="22"/>
          <w:lang w:val="sk-SK"/>
        </w:rPr>
        <w:t>) v 10 ml injekčného roztoku.</w:t>
      </w:r>
    </w:p>
    <w:p w:rsidR="005E2407" w:rsidRPr="004A3198" w:rsidRDefault="005E2407" w:rsidP="00E203F1">
      <w:pPr>
        <w:rPr>
          <w:sz w:val="22"/>
          <w:szCs w:val="22"/>
          <w:lang w:val="sk-SK"/>
        </w:rPr>
      </w:pPr>
      <w:r w:rsidRPr="004A3198">
        <w:rPr>
          <w:sz w:val="22"/>
          <w:szCs w:val="22"/>
          <w:lang w:val="sk-SK"/>
        </w:rPr>
        <w:t>Úplný zoznam pomocných látok: pozri časť 6.1</w:t>
      </w:r>
    </w:p>
    <w:p w:rsidR="005E2407" w:rsidRPr="004A3198" w:rsidRDefault="005E2407" w:rsidP="00E203F1">
      <w:pPr>
        <w:rPr>
          <w:sz w:val="22"/>
          <w:szCs w:val="22"/>
          <w:lang w:val="sk-SK"/>
        </w:rPr>
      </w:pPr>
    </w:p>
    <w:p w:rsidR="005E2407" w:rsidRPr="004A3198" w:rsidRDefault="005E2407" w:rsidP="00E203F1">
      <w:pPr>
        <w:rPr>
          <w:sz w:val="22"/>
          <w:szCs w:val="22"/>
          <w:lang w:val="sk-SK"/>
        </w:rPr>
      </w:pPr>
    </w:p>
    <w:p w:rsidR="005E2407" w:rsidRPr="004A3198" w:rsidRDefault="005E2407" w:rsidP="00E203F1">
      <w:pPr>
        <w:pStyle w:val="Heading2"/>
        <w:spacing w:after="60"/>
        <w:rPr>
          <w:sz w:val="22"/>
          <w:szCs w:val="22"/>
          <w:lang w:val="sk-SK"/>
        </w:rPr>
      </w:pPr>
      <w:r w:rsidRPr="004A3198">
        <w:rPr>
          <w:sz w:val="22"/>
          <w:szCs w:val="22"/>
          <w:lang w:val="sk-SK"/>
        </w:rPr>
        <w:t>3.</w:t>
      </w:r>
      <w:r>
        <w:rPr>
          <w:sz w:val="22"/>
          <w:szCs w:val="22"/>
          <w:lang w:val="sk-SK"/>
        </w:rPr>
        <w:tab/>
      </w:r>
      <w:r w:rsidRPr="004A3198">
        <w:rPr>
          <w:sz w:val="22"/>
          <w:szCs w:val="22"/>
          <w:lang w:val="sk-SK"/>
        </w:rPr>
        <w:t>LIEKOVÁ FORMA</w:t>
      </w:r>
    </w:p>
    <w:p w:rsidR="005E2407" w:rsidRPr="004A3198" w:rsidRDefault="005E2407" w:rsidP="00E203F1">
      <w:pPr>
        <w:rPr>
          <w:sz w:val="22"/>
          <w:szCs w:val="22"/>
          <w:lang w:val="sk-SK" w:eastAsia="de-DE"/>
        </w:rPr>
      </w:pPr>
    </w:p>
    <w:p w:rsidR="005E2407" w:rsidRPr="004A3198" w:rsidRDefault="005E2407" w:rsidP="00E203F1">
      <w:pPr>
        <w:rPr>
          <w:sz w:val="22"/>
          <w:szCs w:val="22"/>
          <w:lang w:val="sk-SK"/>
        </w:rPr>
      </w:pPr>
      <w:r w:rsidRPr="004A3198">
        <w:rPr>
          <w:sz w:val="22"/>
          <w:szCs w:val="22"/>
          <w:lang w:val="sk-SK"/>
        </w:rPr>
        <w:t>Injekčný roztok.</w:t>
      </w:r>
    </w:p>
    <w:p w:rsidR="005E2407" w:rsidRPr="004A3198" w:rsidRDefault="005E2407" w:rsidP="00E203F1">
      <w:pPr>
        <w:rPr>
          <w:sz w:val="22"/>
          <w:szCs w:val="22"/>
          <w:lang w:val="sk-SK"/>
        </w:rPr>
      </w:pPr>
      <w:r>
        <w:rPr>
          <w:sz w:val="22"/>
          <w:szCs w:val="22"/>
          <w:lang w:val="sk-SK"/>
        </w:rPr>
        <w:t>Č</w:t>
      </w:r>
      <w:r w:rsidRPr="004A3198">
        <w:rPr>
          <w:sz w:val="22"/>
          <w:szCs w:val="22"/>
          <w:lang w:val="sk-SK"/>
        </w:rPr>
        <w:t xml:space="preserve">íry bezfarebný injekčný roztok, bez </w:t>
      </w:r>
      <w:r w:rsidRPr="00262A20">
        <w:rPr>
          <w:sz w:val="22"/>
          <w:szCs w:val="22"/>
          <w:lang w:val="sk-SK"/>
        </w:rPr>
        <w:t>viditeľných častíc.</w:t>
      </w:r>
    </w:p>
    <w:p w:rsidR="005E2407" w:rsidRPr="004A3198" w:rsidRDefault="005E2407" w:rsidP="00E203F1">
      <w:pPr>
        <w:rPr>
          <w:sz w:val="22"/>
          <w:szCs w:val="22"/>
          <w:lang w:val="sk-SK"/>
        </w:rPr>
      </w:pPr>
    </w:p>
    <w:p w:rsidR="005E2407" w:rsidRPr="004A3198" w:rsidRDefault="005E2407" w:rsidP="00E203F1">
      <w:pPr>
        <w:rPr>
          <w:sz w:val="22"/>
          <w:szCs w:val="22"/>
          <w:lang w:val="sk-SK"/>
        </w:rPr>
      </w:pPr>
    </w:p>
    <w:p w:rsidR="005E2407" w:rsidRPr="004A3198" w:rsidRDefault="005E2407" w:rsidP="00027BE5">
      <w:pPr>
        <w:pStyle w:val="Heading2"/>
        <w:rPr>
          <w:sz w:val="22"/>
          <w:szCs w:val="22"/>
          <w:lang w:val="sk-SK"/>
        </w:rPr>
      </w:pPr>
      <w:r w:rsidRPr="004A3198">
        <w:rPr>
          <w:sz w:val="22"/>
          <w:szCs w:val="22"/>
          <w:lang w:val="sk-SK"/>
        </w:rPr>
        <w:t>4.</w:t>
      </w:r>
      <w:r>
        <w:rPr>
          <w:sz w:val="22"/>
          <w:szCs w:val="22"/>
          <w:lang w:val="sk-SK"/>
        </w:rPr>
        <w:tab/>
      </w:r>
      <w:r w:rsidRPr="004A3198">
        <w:rPr>
          <w:sz w:val="22"/>
          <w:szCs w:val="22"/>
          <w:lang w:val="sk-SK"/>
        </w:rPr>
        <w:t>KLINICKÉ ÚDAJE</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4.1</w:t>
      </w:r>
      <w:r>
        <w:rPr>
          <w:b/>
          <w:sz w:val="22"/>
          <w:szCs w:val="22"/>
          <w:lang w:val="sk-SK"/>
        </w:rPr>
        <w:tab/>
      </w:r>
      <w:r w:rsidRPr="004A3198">
        <w:rPr>
          <w:b/>
          <w:sz w:val="22"/>
          <w:szCs w:val="22"/>
          <w:lang w:val="sk-SK"/>
        </w:rPr>
        <w:t>Terapeutické indikácie</w:t>
      </w:r>
    </w:p>
    <w:p w:rsidR="005E2407" w:rsidRPr="004A3198" w:rsidRDefault="005E2407" w:rsidP="00E203F1">
      <w:pPr>
        <w:rPr>
          <w:sz w:val="22"/>
          <w:szCs w:val="22"/>
          <w:lang w:val="sk-SK"/>
        </w:rPr>
      </w:pPr>
    </w:p>
    <w:p w:rsidR="005E2407" w:rsidRDefault="005E2407" w:rsidP="00E203F1">
      <w:pPr>
        <w:rPr>
          <w:sz w:val="22"/>
          <w:szCs w:val="22"/>
          <w:lang w:val="sk-SK"/>
        </w:rPr>
      </w:pPr>
      <w:r w:rsidRPr="004A3198">
        <w:rPr>
          <w:sz w:val="22"/>
          <w:szCs w:val="22"/>
          <w:lang w:val="sk-SK"/>
        </w:rPr>
        <w:t xml:space="preserve">Prevencia a liečba hypokaliémie, najmä ak je spojená s hypochloremickou alkalózou; straty draslíka spôsobené vracaním, na podklade nefrotického syndrómu, pri podávaní diuretík s kaliuretickým účinkom, najmä pri kombinácii s digitálisovými glykozidmi, pri dlhodobej liečbe vysokými dávkami kortikosteroidov, pri ileu, hyperaldosteronizme a po ťažkých operáciách. </w:t>
      </w:r>
    </w:p>
    <w:p w:rsidR="005E2407" w:rsidRPr="004A3198" w:rsidRDefault="005E2407" w:rsidP="00E203F1">
      <w:pPr>
        <w:rPr>
          <w:sz w:val="22"/>
          <w:szCs w:val="22"/>
          <w:lang w:val="sk-SK"/>
        </w:rPr>
      </w:pPr>
      <w:smartTag w:uri="urn:schemas-microsoft-com:office:smarttags" w:element="PersonName">
        <w:r w:rsidRPr="004A3198">
          <w:rPr>
            <w:sz w:val="22"/>
            <w:szCs w:val="22"/>
            <w:lang w:val="sk-SK"/>
          </w:rPr>
          <w:t>Liek</w:t>
        </w:r>
      </w:smartTag>
      <w:r w:rsidRPr="004A3198">
        <w:rPr>
          <w:sz w:val="22"/>
          <w:szCs w:val="22"/>
          <w:lang w:val="sk-SK"/>
        </w:rPr>
        <w:t xml:space="preserve"> sa môže použiť u dospelých aj detí.</w:t>
      </w:r>
    </w:p>
    <w:p w:rsidR="005E2407" w:rsidRPr="004A3198" w:rsidRDefault="005E2407" w:rsidP="00E203F1">
      <w:pPr>
        <w:rPr>
          <w:sz w:val="22"/>
          <w:szCs w:val="22"/>
          <w:lang w:val="sk-SK"/>
        </w:rPr>
      </w:pPr>
    </w:p>
    <w:p w:rsidR="005E2407" w:rsidRDefault="005E2407" w:rsidP="00E203F1">
      <w:pPr>
        <w:rPr>
          <w:b/>
          <w:sz w:val="22"/>
          <w:szCs w:val="22"/>
          <w:lang w:val="sk-SK"/>
        </w:rPr>
      </w:pPr>
      <w:r w:rsidRPr="004A3198">
        <w:rPr>
          <w:b/>
          <w:sz w:val="22"/>
          <w:szCs w:val="22"/>
          <w:lang w:val="sk-SK"/>
        </w:rPr>
        <w:t>4.2</w:t>
      </w:r>
      <w:r>
        <w:rPr>
          <w:b/>
          <w:sz w:val="22"/>
          <w:szCs w:val="22"/>
          <w:lang w:val="sk-SK"/>
        </w:rPr>
        <w:tab/>
      </w:r>
      <w:r w:rsidRPr="004A3198">
        <w:rPr>
          <w:b/>
          <w:sz w:val="22"/>
          <w:szCs w:val="22"/>
          <w:lang w:val="sk-SK"/>
        </w:rPr>
        <w:t>Dávkovanie a spôsob podávania</w:t>
      </w:r>
    </w:p>
    <w:p w:rsidR="005E2407" w:rsidRPr="004A3198" w:rsidRDefault="005E2407" w:rsidP="00E203F1">
      <w:pPr>
        <w:rPr>
          <w:b/>
          <w:sz w:val="22"/>
          <w:szCs w:val="22"/>
          <w:lang w:val="sk-SK"/>
        </w:rPr>
      </w:pPr>
    </w:p>
    <w:p w:rsidR="005E2407" w:rsidRPr="00DD5CD2" w:rsidRDefault="005E2407" w:rsidP="00E203F1">
      <w:pPr>
        <w:rPr>
          <w:sz w:val="22"/>
          <w:szCs w:val="22"/>
          <w:u w:val="single"/>
          <w:lang w:val="sk-SK"/>
        </w:rPr>
      </w:pPr>
      <w:r w:rsidRPr="00DD5CD2">
        <w:rPr>
          <w:sz w:val="22"/>
          <w:szCs w:val="22"/>
          <w:u w:val="single"/>
          <w:lang w:val="sk-SK"/>
        </w:rPr>
        <w:t>Dávkovanie</w:t>
      </w:r>
    </w:p>
    <w:p w:rsidR="005E2407" w:rsidRPr="004A3198" w:rsidRDefault="005E2407" w:rsidP="00E203F1">
      <w:pPr>
        <w:rPr>
          <w:sz w:val="22"/>
          <w:szCs w:val="22"/>
          <w:lang w:val="sk-SK"/>
        </w:rPr>
      </w:pPr>
      <w:r w:rsidRPr="004A3198">
        <w:rPr>
          <w:sz w:val="22"/>
          <w:szCs w:val="22"/>
          <w:lang w:val="sk-SK"/>
        </w:rPr>
        <w:t>Dávkovanie je individuálne podľa hladiny kália v sére. Parenterálna aplikácia kália vyžaduje veľkú opatrnosť. Kalium chloratum Léčiva sa podáva vždy v roztoku glukózy alebo vo fyziologickom roztoku, nikdy samostatne.</w:t>
      </w:r>
    </w:p>
    <w:p w:rsidR="005E2407" w:rsidRDefault="005E2407" w:rsidP="00E203F1">
      <w:pPr>
        <w:rPr>
          <w:sz w:val="22"/>
          <w:szCs w:val="22"/>
          <w:lang w:val="sk-SK"/>
        </w:rPr>
      </w:pPr>
      <w:r w:rsidRPr="004A3198">
        <w:rPr>
          <w:sz w:val="22"/>
          <w:szCs w:val="22"/>
          <w:lang w:val="sk-SK"/>
        </w:rPr>
        <w:t>Dávku lieku Kalium chloratum Léčiva vypočítame podľa hladiny sérového draslíka a telesnej hmotnosti pacienta a podávame pomalou infúziou pri kontrole EKG rýchlosťou nepresahujúcou 20 mmol za hodinu. Koncentrácia kália v infúzii nemá presiahnuť 40 mmol/l.</w:t>
      </w:r>
    </w:p>
    <w:p w:rsidR="005E2407" w:rsidRDefault="005E2407" w:rsidP="00E203F1">
      <w:pPr>
        <w:rPr>
          <w:sz w:val="22"/>
          <w:szCs w:val="22"/>
          <w:lang w:val="sk-SK"/>
        </w:rPr>
      </w:pPr>
    </w:p>
    <w:p w:rsidR="005E2407" w:rsidRDefault="005E2407" w:rsidP="00E203F1">
      <w:pPr>
        <w:rPr>
          <w:sz w:val="22"/>
          <w:szCs w:val="22"/>
          <w:u w:val="single"/>
          <w:lang w:val="sk-SK"/>
        </w:rPr>
      </w:pPr>
      <w:r w:rsidRPr="00DD5CD2">
        <w:rPr>
          <w:sz w:val="22"/>
          <w:szCs w:val="22"/>
          <w:u w:val="single"/>
          <w:lang w:val="sk-SK"/>
        </w:rPr>
        <w:t>Spôsob podávania</w:t>
      </w:r>
    </w:p>
    <w:p w:rsidR="005E2407" w:rsidRPr="007C472C" w:rsidRDefault="005E2407" w:rsidP="00E203F1">
      <w:pPr>
        <w:rPr>
          <w:sz w:val="22"/>
          <w:szCs w:val="22"/>
          <w:lang w:val="sk-SK"/>
        </w:rPr>
      </w:pPr>
      <w:r w:rsidRPr="007C472C">
        <w:rPr>
          <w:sz w:val="22"/>
          <w:szCs w:val="22"/>
          <w:lang w:val="sk-SK"/>
        </w:rPr>
        <w:t>Na intravenóznu infúziu</w:t>
      </w:r>
      <w:r>
        <w:rPr>
          <w:sz w:val="22"/>
          <w:szCs w:val="22"/>
          <w:lang w:val="sk-SK"/>
        </w:rPr>
        <w:t>.</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4.3</w:t>
      </w:r>
      <w:r>
        <w:rPr>
          <w:b/>
          <w:sz w:val="22"/>
          <w:szCs w:val="22"/>
          <w:lang w:val="sk-SK"/>
        </w:rPr>
        <w:tab/>
      </w:r>
      <w:r w:rsidRPr="004A3198">
        <w:rPr>
          <w:b/>
          <w:sz w:val="22"/>
          <w:szCs w:val="22"/>
          <w:lang w:val="sk-SK"/>
        </w:rPr>
        <w:t>Kontraindikácie</w:t>
      </w:r>
    </w:p>
    <w:p w:rsidR="005E2407" w:rsidRPr="004A3198" w:rsidRDefault="005E2407" w:rsidP="00E203F1">
      <w:pPr>
        <w:rPr>
          <w:sz w:val="22"/>
          <w:szCs w:val="22"/>
          <w:lang w:val="sk-SK"/>
        </w:rPr>
      </w:pPr>
    </w:p>
    <w:p w:rsidR="005E2407" w:rsidRPr="004A3198" w:rsidRDefault="005E2407" w:rsidP="00E203F1">
      <w:pPr>
        <w:rPr>
          <w:sz w:val="22"/>
          <w:szCs w:val="22"/>
          <w:lang w:val="sk-SK"/>
        </w:rPr>
      </w:pPr>
      <w:r w:rsidRPr="004A3198">
        <w:rPr>
          <w:sz w:val="22"/>
          <w:szCs w:val="22"/>
          <w:lang w:val="sk-SK"/>
        </w:rPr>
        <w:t>Hyperkaliémia a všetky stavy, ktoré k nej môžu viesť, predovšetkým veľký pokles renálnych funkcií, ochorenia sprevádzané nadmernou deštrukciou tkanív (traumy, popáleniny), akútna dehydratácia, metabolická acidóza, insuficiencia nadobličiek a súčasná liečba kálium šetriacimi diuretikami.</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4.4</w:t>
      </w:r>
      <w:r>
        <w:rPr>
          <w:b/>
          <w:sz w:val="22"/>
          <w:szCs w:val="22"/>
          <w:lang w:val="sk-SK"/>
        </w:rPr>
        <w:tab/>
      </w:r>
      <w:r w:rsidRPr="004A3198">
        <w:rPr>
          <w:b/>
          <w:sz w:val="22"/>
          <w:szCs w:val="22"/>
          <w:lang w:val="sk-SK"/>
        </w:rPr>
        <w:t>Osobitné upozornenia a opatrenia pri používaní</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V priebehu dlhšieho a opakovaného podávania kália parenterálne je potrebné monitorovať renálne funkcie a pH séra. Najmä starší pacienti sú viac ohrození hyperkaliémiou, pretože schopnosť obličiek vylučovať draslík sa v starobe znižuje.</w:t>
      </w:r>
    </w:p>
    <w:p w:rsidR="005E2407" w:rsidRPr="0021530D" w:rsidRDefault="005E2407" w:rsidP="00E203F1">
      <w:pPr>
        <w:rPr>
          <w:sz w:val="22"/>
          <w:szCs w:val="22"/>
          <w:lang w:val="sk-SK"/>
        </w:rPr>
      </w:pPr>
      <w:r w:rsidRPr="0021530D">
        <w:rPr>
          <w:sz w:val="22"/>
          <w:szCs w:val="22"/>
          <w:lang w:val="sk-SK"/>
        </w:rPr>
        <w:t xml:space="preserve">Pomer možného riziká a prospechu treba tiež zvážiť pri nedostatočne kontrolovanom diabetes mellitus, pri </w:t>
      </w:r>
      <w:r w:rsidRPr="0021530D">
        <w:rPr>
          <w:sz w:val="22"/>
          <w:szCs w:val="22"/>
          <w:lang w:val="cs-CZ"/>
        </w:rPr>
        <w:t xml:space="preserve">sieňokomorovej blokáde </w:t>
      </w:r>
      <w:r w:rsidRPr="0021530D">
        <w:rPr>
          <w:sz w:val="22"/>
          <w:szCs w:val="22"/>
          <w:lang w:val="sk-SK"/>
        </w:rPr>
        <w:t>II. – III. stupňa, pri myotonia congenita a familiárnej periodickej paralýze.</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4.5</w:t>
      </w:r>
      <w:r>
        <w:rPr>
          <w:b/>
          <w:sz w:val="22"/>
          <w:szCs w:val="22"/>
          <w:lang w:val="sk-SK"/>
        </w:rPr>
        <w:tab/>
      </w:r>
      <w:smartTag w:uri="urn:schemas-microsoft-com:office:smarttags" w:element="PersonName">
        <w:r w:rsidRPr="004A3198">
          <w:rPr>
            <w:b/>
            <w:sz w:val="22"/>
            <w:szCs w:val="22"/>
            <w:lang w:val="sk-SK"/>
          </w:rPr>
          <w:t>Liek</w:t>
        </w:r>
      </w:smartTag>
      <w:r w:rsidRPr="004A3198">
        <w:rPr>
          <w:b/>
          <w:sz w:val="22"/>
          <w:szCs w:val="22"/>
          <w:lang w:val="sk-SK"/>
        </w:rPr>
        <w:t>ové a iné interakcie</w:t>
      </w:r>
    </w:p>
    <w:p w:rsidR="005E2407" w:rsidRPr="004A3198" w:rsidRDefault="005E2407" w:rsidP="00E203F1">
      <w:pPr>
        <w:rPr>
          <w:b/>
          <w:sz w:val="22"/>
          <w:szCs w:val="22"/>
          <w:lang w:val="sk-SK"/>
        </w:rPr>
      </w:pPr>
    </w:p>
    <w:p w:rsidR="005E2407" w:rsidRPr="0021530D" w:rsidRDefault="005E2407" w:rsidP="00E203F1">
      <w:pPr>
        <w:rPr>
          <w:sz w:val="22"/>
          <w:szCs w:val="22"/>
          <w:lang w:val="sk-SK"/>
        </w:rPr>
      </w:pPr>
      <w:r w:rsidRPr="0021530D">
        <w:rPr>
          <w:sz w:val="22"/>
          <w:szCs w:val="22"/>
          <w:lang w:val="sk-SK"/>
        </w:rPr>
        <w:t xml:space="preserve">Kalium chloratum Léčiva je nutné podávať veľmi opatrne pri súčasnej terapii liekmi zvyšujúcimi hladinu kália, ako sú nesteroidné antiflogistiká (indometacín), beta-blokátory, heparín, digoxín, ACE-inhibítory, </w:t>
      </w:r>
      <w:r w:rsidRPr="0021530D">
        <w:rPr>
          <w:sz w:val="22"/>
          <w:szCs w:val="22"/>
          <w:lang w:val="cs-CZ"/>
        </w:rPr>
        <w:t>antagonisty angiotenzínu II, inhibítory renínu,</w:t>
      </w:r>
      <w:r w:rsidRPr="0021530D">
        <w:rPr>
          <w:sz w:val="22"/>
          <w:szCs w:val="22"/>
          <w:lang w:val="sk-SK"/>
        </w:rPr>
        <w:t xml:space="preserve"> blokátory účinku aldosterónu, kálium šetriace diuretiká.</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4.6</w:t>
      </w:r>
      <w:r>
        <w:rPr>
          <w:b/>
          <w:sz w:val="22"/>
          <w:szCs w:val="22"/>
          <w:lang w:val="sk-SK"/>
        </w:rPr>
        <w:tab/>
      </w:r>
      <w:r w:rsidRPr="004A3198">
        <w:rPr>
          <w:b/>
          <w:sz w:val="22"/>
          <w:szCs w:val="22"/>
          <w:lang w:val="sk-SK"/>
        </w:rPr>
        <w:t>Fertilita, gravidita a laktácia</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Kálium chlorátum je prirodzená súčasť ľudských tkanív a tekutín. Pretože vysoké alebo nízke hladiny kália môžu negatívne ovplyvniť srdcové funkcie matky alebo plodu, treba pri substitučnej terapii káliom starostlivo monitorovať jeho sérové hladiny.</w:t>
      </w:r>
    </w:p>
    <w:p w:rsidR="005E2407" w:rsidRPr="004A3198" w:rsidRDefault="005E2407" w:rsidP="00E203F1">
      <w:pPr>
        <w:rPr>
          <w:sz w:val="22"/>
          <w:szCs w:val="22"/>
          <w:lang w:val="sk-SK"/>
        </w:rPr>
      </w:pPr>
      <w:r w:rsidRPr="004A3198">
        <w:rPr>
          <w:sz w:val="22"/>
          <w:szCs w:val="22"/>
          <w:lang w:val="sk-SK"/>
        </w:rPr>
        <w:t>Ak sú sérové hladiny u matky udržiavané vo fyziologických hraniciach, substitučná terapia káliom nepredstavuje žiadne riziko pre dojčené dieťa.</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4.7</w:t>
      </w:r>
      <w:r>
        <w:rPr>
          <w:b/>
          <w:sz w:val="22"/>
          <w:szCs w:val="22"/>
          <w:lang w:val="sk-SK"/>
        </w:rPr>
        <w:tab/>
      </w:r>
      <w:r w:rsidRPr="004A3198">
        <w:rPr>
          <w:b/>
          <w:sz w:val="22"/>
          <w:szCs w:val="22"/>
          <w:lang w:val="sk-SK"/>
        </w:rPr>
        <w:t>Ovplyvnenie schopnosti viesť vozidlá a obsluhovať stroje</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Pr>
          <w:sz w:val="22"/>
          <w:szCs w:val="22"/>
          <w:lang w:val="sk-SK"/>
        </w:rPr>
        <w:t>Netýka sa</w:t>
      </w:r>
      <w:r w:rsidRPr="004A3198">
        <w:rPr>
          <w:sz w:val="22"/>
          <w:szCs w:val="22"/>
          <w:lang w:val="sk-SK"/>
        </w:rPr>
        <w:t>.</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4.8</w:t>
      </w:r>
      <w:r>
        <w:rPr>
          <w:b/>
          <w:sz w:val="22"/>
          <w:szCs w:val="22"/>
          <w:lang w:val="sk-SK"/>
        </w:rPr>
        <w:tab/>
      </w:r>
      <w:r w:rsidRPr="004A3198">
        <w:rPr>
          <w:b/>
          <w:sz w:val="22"/>
          <w:szCs w:val="22"/>
          <w:lang w:val="sk-SK"/>
        </w:rPr>
        <w:t>Nežiaduce účinky</w:t>
      </w:r>
    </w:p>
    <w:p w:rsidR="005E2407" w:rsidRPr="004A3198" w:rsidRDefault="005E2407" w:rsidP="00E203F1">
      <w:pPr>
        <w:rPr>
          <w:b/>
          <w:sz w:val="22"/>
          <w:szCs w:val="22"/>
          <w:lang w:val="sk-SK"/>
        </w:rPr>
      </w:pPr>
    </w:p>
    <w:p w:rsidR="005E2407" w:rsidRDefault="005E2407" w:rsidP="00262A20">
      <w:pPr>
        <w:spacing w:after="0"/>
        <w:rPr>
          <w:sz w:val="22"/>
          <w:szCs w:val="22"/>
          <w:lang w:val="sk-SK"/>
        </w:rPr>
      </w:pPr>
      <w:r w:rsidRPr="004A3198">
        <w:rPr>
          <w:sz w:val="22"/>
          <w:szCs w:val="22"/>
          <w:lang w:val="sk-SK"/>
        </w:rPr>
        <w:t>Ak sa dodrží odporučené dávkovanie, k nežiaducim účinkom nedochádza. Nadmerný prívod kália môže viesť k hyperkaliémii, ktorej príznaky sú uvedené v časti 4.9.</w:t>
      </w:r>
    </w:p>
    <w:p w:rsidR="005E2407" w:rsidRDefault="005E2407" w:rsidP="00262A20">
      <w:pPr>
        <w:spacing w:after="0"/>
        <w:rPr>
          <w:sz w:val="22"/>
          <w:szCs w:val="22"/>
          <w:lang w:val="sk-SK"/>
        </w:rPr>
      </w:pPr>
    </w:p>
    <w:p w:rsidR="005E2407" w:rsidRPr="0021530D" w:rsidRDefault="005E2407" w:rsidP="0021530D">
      <w:pPr>
        <w:suppressLineNumbers/>
        <w:autoSpaceDE w:val="0"/>
        <w:autoSpaceDN w:val="0"/>
        <w:adjustRightInd w:val="0"/>
        <w:rPr>
          <w:sz w:val="22"/>
          <w:szCs w:val="22"/>
          <w:u w:val="single"/>
        </w:rPr>
      </w:pPr>
      <w:r w:rsidRPr="0021530D">
        <w:rPr>
          <w:noProof/>
          <w:sz w:val="22"/>
          <w:szCs w:val="22"/>
          <w:u w:val="single"/>
        </w:rPr>
        <w:t>Hlásenie podozrení na nežiaduce reakcie</w:t>
      </w:r>
    </w:p>
    <w:p w:rsidR="005E2407" w:rsidRPr="0021530D" w:rsidRDefault="005E2407" w:rsidP="0021530D">
      <w:pPr>
        <w:suppressLineNumbers/>
        <w:autoSpaceDE w:val="0"/>
        <w:autoSpaceDN w:val="0"/>
        <w:adjustRightInd w:val="0"/>
        <w:rPr>
          <w:noProof/>
          <w:sz w:val="22"/>
          <w:szCs w:val="22"/>
        </w:rPr>
      </w:pPr>
      <w:r w:rsidRPr="0021530D">
        <w:rPr>
          <w:noProof/>
          <w:sz w:val="22"/>
          <w:szCs w:val="22"/>
        </w:rPr>
        <w:t>Hlásenie podozrení na nežiaduce reakcie po registrácii lieku je dôležité.</w:t>
      </w:r>
      <w:r w:rsidRPr="0021530D">
        <w:rPr>
          <w:sz w:val="22"/>
          <w:szCs w:val="22"/>
        </w:rPr>
        <w:t xml:space="preserve"> </w:t>
      </w:r>
      <w:r w:rsidRPr="0021530D">
        <w:rPr>
          <w:noProof/>
          <w:sz w:val="22"/>
          <w:szCs w:val="22"/>
        </w:rPr>
        <w:t>Umožňuje priebežné monitorovanie pomeru prínosu a rizika lieku.</w:t>
      </w:r>
      <w:r w:rsidRPr="0021530D">
        <w:rPr>
          <w:sz w:val="22"/>
          <w:szCs w:val="22"/>
        </w:rPr>
        <w:t xml:space="preserve"> Od </w:t>
      </w:r>
      <w:r w:rsidRPr="0021530D">
        <w:rPr>
          <w:noProof/>
          <w:sz w:val="22"/>
          <w:szCs w:val="22"/>
        </w:rPr>
        <w:t xml:space="preserve">zdravotníckych pracovníkov sa vyžaduje, aby hlásili akékoľvek podozrenia na nežiaduce reakcie prostredníctvom </w:t>
      </w:r>
      <w:r w:rsidRPr="0021530D">
        <w:rPr>
          <w:noProof/>
          <w:sz w:val="22"/>
          <w:szCs w:val="22"/>
          <w:highlight w:val="lightGray"/>
        </w:rPr>
        <w:t>národného systému hlásenia uvedeného v </w:t>
      </w:r>
      <w:hyperlink r:id="rId7" w:history="1">
        <w:r w:rsidRPr="0021530D">
          <w:rPr>
            <w:rStyle w:val="Hyperlink"/>
            <w:noProof/>
            <w:sz w:val="22"/>
            <w:szCs w:val="22"/>
            <w:highlight w:val="lightGray"/>
          </w:rPr>
          <w:t>Prílohe V</w:t>
        </w:r>
      </w:hyperlink>
      <w:r w:rsidRPr="0021530D">
        <w:rPr>
          <w:color w:val="008000"/>
          <w:sz w:val="22"/>
          <w:szCs w:val="22"/>
          <w:highlight w:val="lightGray"/>
        </w:rPr>
        <w:t>*</w:t>
      </w:r>
      <w:r w:rsidRPr="0021530D">
        <w:rPr>
          <w:noProof/>
          <w:sz w:val="22"/>
          <w:szCs w:val="22"/>
        </w:rPr>
        <w:t>.</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4.9</w:t>
      </w:r>
      <w:r>
        <w:rPr>
          <w:b/>
          <w:sz w:val="22"/>
          <w:szCs w:val="22"/>
          <w:lang w:val="sk-SK"/>
        </w:rPr>
        <w:tab/>
      </w:r>
      <w:r w:rsidRPr="004A3198">
        <w:rPr>
          <w:b/>
          <w:sz w:val="22"/>
          <w:szCs w:val="22"/>
          <w:lang w:val="sk-SK"/>
        </w:rPr>
        <w:t>Predávkovanie</w:t>
      </w:r>
    </w:p>
    <w:p w:rsidR="005E2407" w:rsidRPr="004A3198" w:rsidRDefault="005E2407" w:rsidP="00E203F1">
      <w:pPr>
        <w:rPr>
          <w:b/>
          <w:sz w:val="22"/>
          <w:szCs w:val="22"/>
          <w:lang w:val="sk-SK"/>
        </w:rPr>
      </w:pPr>
      <w:bookmarkStart w:id="0" w:name="_GoBack"/>
      <w:bookmarkEnd w:id="0"/>
    </w:p>
    <w:p w:rsidR="005E2407" w:rsidRDefault="005E2407" w:rsidP="00E203F1">
      <w:pPr>
        <w:rPr>
          <w:sz w:val="22"/>
          <w:szCs w:val="22"/>
          <w:u w:val="single"/>
          <w:lang w:val="sk-SK"/>
        </w:rPr>
      </w:pPr>
      <w:r w:rsidRPr="004A3198">
        <w:rPr>
          <w:sz w:val="22"/>
          <w:szCs w:val="22"/>
          <w:u w:val="single"/>
          <w:lang w:val="sk-SK"/>
        </w:rPr>
        <w:t>Príznaky hyperkaliémie</w:t>
      </w:r>
    </w:p>
    <w:p w:rsidR="005E2407" w:rsidRPr="004A3198" w:rsidRDefault="005E2407" w:rsidP="00E203F1">
      <w:pPr>
        <w:rPr>
          <w:sz w:val="22"/>
          <w:szCs w:val="22"/>
          <w:lang w:val="sk-SK"/>
        </w:rPr>
      </w:pPr>
      <w:r>
        <w:rPr>
          <w:sz w:val="22"/>
          <w:szCs w:val="22"/>
          <w:lang w:val="sk-SK"/>
        </w:rPr>
        <w:t>B</w:t>
      </w:r>
      <w:r w:rsidRPr="004A3198">
        <w:rPr>
          <w:sz w:val="22"/>
          <w:szCs w:val="22"/>
          <w:lang w:val="sk-SK"/>
        </w:rPr>
        <w:t>radykardické arytmie, ktoré môžu viesť až k zastaveniu srdca, svalová slabosť až paralýza, unaviteľnosť, parestézie končatín.</w:t>
      </w:r>
    </w:p>
    <w:p w:rsidR="005E2407" w:rsidRDefault="005E2407" w:rsidP="00E203F1">
      <w:pPr>
        <w:rPr>
          <w:sz w:val="22"/>
          <w:szCs w:val="22"/>
          <w:u w:val="single"/>
          <w:lang w:val="sk-SK"/>
        </w:rPr>
      </w:pPr>
    </w:p>
    <w:p w:rsidR="005E2407" w:rsidRPr="004A3198" w:rsidRDefault="005E2407" w:rsidP="00E203F1">
      <w:pPr>
        <w:rPr>
          <w:sz w:val="22"/>
          <w:szCs w:val="22"/>
          <w:u w:val="single"/>
          <w:lang w:val="sk-SK"/>
        </w:rPr>
      </w:pPr>
      <w:r>
        <w:rPr>
          <w:sz w:val="22"/>
          <w:szCs w:val="22"/>
          <w:u w:val="single"/>
          <w:lang w:val="sk-SK"/>
        </w:rPr>
        <w:t>Liečba hyperkaliémie</w:t>
      </w:r>
    </w:p>
    <w:p w:rsidR="005E2407" w:rsidRPr="004A3198" w:rsidRDefault="005E2407" w:rsidP="00E203F1">
      <w:pPr>
        <w:rPr>
          <w:sz w:val="22"/>
          <w:szCs w:val="22"/>
          <w:lang w:val="sk-SK"/>
        </w:rPr>
      </w:pPr>
      <w:r w:rsidRPr="004A3198">
        <w:rPr>
          <w:sz w:val="22"/>
          <w:szCs w:val="22"/>
          <w:lang w:val="sk-SK"/>
        </w:rPr>
        <w:t>Okamžite zastaviť prívod kália a nadbytočné množstvo kália odstrániť z organizmu podaním saluretík s kaliuretickým účinkom po dostatočnom zavodnení, podaním iónomeničov, v ťažkých prípadoch hemodialýzou. Na zníženie koncentrácie kália v extracelulárnej tekutine podávame infúzie 10% glukózy s</w:t>
      </w:r>
      <w:r>
        <w:rPr>
          <w:sz w:val="22"/>
          <w:szCs w:val="22"/>
          <w:lang w:val="sk-SK"/>
        </w:rPr>
        <w:t> </w:t>
      </w:r>
      <w:r w:rsidRPr="004A3198">
        <w:rPr>
          <w:sz w:val="22"/>
          <w:szCs w:val="22"/>
          <w:lang w:val="sk-SK"/>
        </w:rPr>
        <w:t>10</w:t>
      </w:r>
      <w:r>
        <w:rPr>
          <w:sz w:val="22"/>
          <w:szCs w:val="22"/>
          <w:lang w:val="sk-SK"/>
        </w:rPr>
        <w:t xml:space="preserve"> až</w:t>
      </w:r>
      <w:r w:rsidRPr="004A3198">
        <w:rPr>
          <w:sz w:val="22"/>
          <w:szCs w:val="22"/>
          <w:lang w:val="sk-SK"/>
        </w:rPr>
        <w:t xml:space="preserve"> 20 j. inzulínu na </w:t>
      </w:r>
      <w:smartTag w:uri="urn:schemas-microsoft-com:office:smarttags" w:element="metricconverter">
        <w:smartTagPr>
          <w:attr w:name="ProductID" w:val="1 liter"/>
        </w:smartTagPr>
        <w:r w:rsidRPr="004A3198">
          <w:rPr>
            <w:sz w:val="22"/>
            <w:szCs w:val="22"/>
            <w:lang w:val="sk-SK"/>
          </w:rPr>
          <w:t>1 liter</w:t>
        </w:r>
      </w:smartTag>
      <w:r w:rsidRPr="004A3198">
        <w:rPr>
          <w:sz w:val="22"/>
          <w:szCs w:val="22"/>
          <w:lang w:val="sk-SK"/>
        </w:rPr>
        <w:t xml:space="preserve"> rýchlosťou 300 – 500 ml/hodinu</w:t>
      </w:r>
      <w:r>
        <w:rPr>
          <w:sz w:val="22"/>
          <w:szCs w:val="22"/>
          <w:lang w:val="sk-SK"/>
        </w:rPr>
        <w:t>; eventuálna acidóza sa </w:t>
      </w:r>
      <w:r w:rsidRPr="004A3198">
        <w:rPr>
          <w:sz w:val="22"/>
          <w:szCs w:val="22"/>
          <w:lang w:val="sk-SK"/>
        </w:rPr>
        <w:t xml:space="preserve">koriguje 50 </w:t>
      </w:r>
      <w:r w:rsidRPr="00262A20">
        <w:rPr>
          <w:sz w:val="22"/>
          <w:szCs w:val="22"/>
          <w:lang w:val="sk-SK"/>
        </w:rPr>
        <w:t>mEq</w:t>
      </w:r>
      <w:r w:rsidRPr="004A3198">
        <w:rPr>
          <w:sz w:val="22"/>
          <w:szCs w:val="22"/>
          <w:lang w:val="sk-SK"/>
        </w:rPr>
        <w:t xml:space="preserve"> hydrogénuhličitanu sodného počas piatich minút (možné opakovať o</w:t>
      </w:r>
      <w:r>
        <w:rPr>
          <w:sz w:val="22"/>
          <w:szCs w:val="22"/>
          <w:lang w:val="sk-SK"/>
        </w:rPr>
        <w:t> </w:t>
      </w:r>
      <w:r w:rsidRPr="004A3198">
        <w:rPr>
          <w:sz w:val="22"/>
          <w:szCs w:val="22"/>
          <w:lang w:val="sk-SK"/>
        </w:rPr>
        <w:t>10</w:t>
      </w:r>
      <w:r>
        <w:rPr>
          <w:sz w:val="22"/>
          <w:szCs w:val="22"/>
          <w:lang w:val="sk-SK"/>
        </w:rPr>
        <w:t xml:space="preserve"> až</w:t>
      </w:r>
      <w:r w:rsidRPr="004A3198">
        <w:rPr>
          <w:sz w:val="22"/>
          <w:szCs w:val="22"/>
          <w:lang w:val="sk-SK"/>
        </w:rPr>
        <w:t xml:space="preserve"> 15 minút) a hyponatriémia podaním sodných solí. Pri príznakoch toxického poškodenia srdca sa podáva infúzia 0,5 </w:t>
      </w:r>
      <w:r>
        <w:rPr>
          <w:sz w:val="22"/>
          <w:szCs w:val="22"/>
          <w:lang w:val="sk-SK"/>
        </w:rPr>
        <w:t>až</w:t>
      </w:r>
      <w:r w:rsidRPr="004A3198">
        <w:rPr>
          <w:sz w:val="22"/>
          <w:szCs w:val="22"/>
          <w:lang w:val="sk-SK"/>
        </w:rPr>
        <w:t xml:space="preserve"> </w:t>
      </w:r>
      <w:smartTag w:uri="urn:schemas-microsoft-com:office:smarttags" w:element="metricconverter">
        <w:smartTagPr>
          <w:attr w:name="ProductID" w:val="1 g"/>
        </w:smartTagPr>
        <w:r w:rsidRPr="004A3198">
          <w:rPr>
            <w:sz w:val="22"/>
            <w:szCs w:val="22"/>
            <w:lang w:val="sk-SK"/>
          </w:rPr>
          <w:t>1 g</w:t>
        </w:r>
      </w:smartTag>
      <w:r w:rsidRPr="004A3198">
        <w:rPr>
          <w:sz w:val="22"/>
          <w:szCs w:val="22"/>
          <w:lang w:val="sk-SK"/>
        </w:rPr>
        <w:t xml:space="preserve"> calci</w:t>
      </w:r>
      <w:r>
        <w:rPr>
          <w:sz w:val="22"/>
          <w:szCs w:val="22"/>
          <w:lang w:val="sk-SK"/>
        </w:rPr>
        <w:t>um</w:t>
      </w:r>
      <w:r w:rsidRPr="004A3198">
        <w:rPr>
          <w:sz w:val="22"/>
          <w:szCs w:val="22"/>
          <w:lang w:val="sk-SK"/>
        </w:rPr>
        <w:t xml:space="preserve"> gluconic</w:t>
      </w:r>
      <w:r>
        <w:rPr>
          <w:sz w:val="22"/>
          <w:szCs w:val="22"/>
          <w:lang w:val="sk-SK"/>
        </w:rPr>
        <w:t>um</w:t>
      </w:r>
      <w:r w:rsidRPr="004A3198">
        <w:rPr>
          <w:sz w:val="22"/>
          <w:szCs w:val="22"/>
          <w:lang w:val="sk-SK"/>
        </w:rPr>
        <w:t xml:space="preserve"> počas 2 minút, pri súčasnom monitorovaní EKG.</w:t>
      </w:r>
    </w:p>
    <w:p w:rsidR="005E2407" w:rsidRPr="004A3198" w:rsidRDefault="005E2407" w:rsidP="00E203F1">
      <w:pPr>
        <w:rPr>
          <w:sz w:val="22"/>
          <w:szCs w:val="22"/>
          <w:lang w:val="sk-SK"/>
        </w:rPr>
      </w:pPr>
      <w:r w:rsidRPr="004A3198">
        <w:rPr>
          <w:sz w:val="22"/>
          <w:szCs w:val="22"/>
          <w:lang w:val="sk-SK"/>
        </w:rPr>
        <w:t xml:space="preserve">Pri vážnej hyperkalémii, najmä u pacientov s renálnou insuficienciou, je nutná hemodialýza alebo peritoneálna dialýza. </w:t>
      </w:r>
    </w:p>
    <w:p w:rsidR="005E2407" w:rsidRPr="004A3198" w:rsidRDefault="005E2407" w:rsidP="00E203F1">
      <w:pPr>
        <w:rPr>
          <w:sz w:val="22"/>
          <w:szCs w:val="22"/>
          <w:lang w:val="sk-SK"/>
        </w:rPr>
      </w:pPr>
      <w:r w:rsidRPr="004A3198">
        <w:rPr>
          <w:sz w:val="22"/>
          <w:szCs w:val="22"/>
          <w:lang w:val="sk-SK"/>
        </w:rPr>
        <w:t>U digitalizovaných pacientov môže príliš rýchly pokles koncentrácie kália viesť až k intoxikácii digitálisom.</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p>
    <w:p w:rsidR="005E2407" w:rsidRPr="004A3198" w:rsidRDefault="005E2407" w:rsidP="00715BDA">
      <w:pPr>
        <w:pStyle w:val="Heading2"/>
        <w:rPr>
          <w:sz w:val="22"/>
          <w:szCs w:val="22"/>
          <w:lang w:val="sk-SK"/>
        </w:rPr>
      </w:pPr>
      <w:r w:rsidRPr="004A3198">
        <w:rPr>
          <w:sz w:val="22"/>
          <w:szCs w:val="22"/>
          <w:lang w:val="sk-SK"/>
        </w:rPr>
        <w:t>5.</w:t>
      </w:r>
      <w:r>
        <w:rPr>
          <w:sz w:val="22"/>
          <w:szCs w:val="22"/>
          <w:lang w:val="sk-SK"/>
        </w:rPr>
        <w:tab/>
      </w:r>
      <w:r w:rsidRPr="004A3198">
        <w:rPr>
          <w:sz w:val="22"/>
          <w:szCs w:val="22"/>
          <w:lang w:val="sk-SK"/>
        </w:rPr>
        <w:t>FARMAKOLOGICKÉ VLASTNOSTI</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b/>
          <w:sz w:val="22"/>
          <w:szCs w:val="22"/>
          <w:lang w:val="sk-SK"/>
        </w:rPr>
        <w:t>5.1</w:t>
      </w:r>
      <w:r>
        <w:rPr>
          <w:b/>
          <w:sz w:val="22"/>
          <w:szCs w:val="22"/>
          <w:lang w:val="sk-SK"/>
        </w:rPr>
        <w:tab/>
      </w:r>
      <w:r w:rsidRPr="004A3198">
        <w:rPr>
          <w:b/>
          <w:sz w:val="22"/>
          <w:szCs w:val="22"/>
          <w:lang w:val="sk-SK"/>
        </w:rPr>
        <w:t>Farmakodynamické vlastnosti</w:t>
      </w:r>
      <w:r w:rsidRPr="004A3198">
        <w:rPr>
          <w:sz w:val="22"/>
          <w:szCs w:val="22"/>
          <w:lang w:val="sk-SK"/>
        </w:rPr>
        <w:t xml:space="preserve"> </w:t>
      </w:r>
    </w:p>
    <w:p w:rsidR="005E2407" w:rsidRPr="004A3198" w:rsidRDefault="005E2407" w:rsidP="00E203F1">
      <w:pPr>
        <w:rPr>
          <w:sz w:val="22"/>
          <w:szCs w:val="22"/>
          <w:lang w:val="sk-SK"/>
        </w:rPr>
      </w:pPr>
    </w:p>
    <w:p w:rsidR="005E2407" w:rsidRPr="004A3198" w:rsidRDefault="005E2407" w:rsidP="00E203F1">
      <w:pPr>
        <w:rPr>
          <w:sz w:val="22"/>
          <w:szCs w:val="22"/>
          <w:lang w:val="sk-SK"/>
        </w:rPr>
      </w:pPr>
      <w:r w:rsidRPr="004A3198">
        <w:rPr>
          <w:sz w:val="22"/>
          <w:szCs w:val="22"/>
          <w:lang w:val="sk-SK"/>
        </w:rPr>
        <w:t xml:space="preserve">Farmakoterapeutická skupina: </w:t>
      </w:r>
      <w:r w:rsidRPr="00262A20">
        <w:rPr>
          <w:sz w:val="22"/>
          <w:szCs w:val="22"/>
          <w:lang w:val="sk-SK"/>
        </w:rPr>
        <w:t xml:space="preserve"> tráviaci trakt a</w:t>
      </w:r>
      <w:r w:rsidRPr="004F4FE2">
        <w:rPr>
          <w:sz w:val="22"/>
          <w:szCs w:val="22"/>
          <w:lang w:val="sk-SK"/>
        </w:rPr>
        <w:t> </w:t>
      </w:r>
      <w:r w:rsidRPr="00262A20">
        <w:rPr>
          <w:sz w:val="22"/>
          <w:szCs w:val="22"/>
          <w:lang w:val="sk-SK"/>
        </w:rPr>
        <w:t>metabolizmus, minerály.</w:t>
      </w:r>
    </w:p>
    <w:p w:rsidR="005E2407" w:rsidRPr="004A3198" w:rsidRDefault="005E2407" w:rsidP="00E203F1">
      <w:pPr>
        <w:rPr>
          <w:sz w:val="22"/>
          <w:szCs w:val="22"/>
          <w:lang w:val="sk-SK"/>
        </w:rPr>
      </w:pPr>
      <w:r w:rsidRPr="004A3198">
        <w:rPr>
          <w:sz w:val="22"/>
          <w:szCs w:val="22"/>
          <w:lang w:val="sk-SK"/>
        </w:rPr>
        <w:t>ATC kód: A12BA01</w:t>
      </w:r>
    </w:p>
    <w:p w:rsidR="005E2407" w:rsidRPr="004A3198" w:rsidRDefault="005E2407" w:rsidP="00E203F1">
      <w:pPr>
        <w:rPr>
          <w:sz w:val="22"/>
          <w:szCs w:val="22"/>
          <w:lang w:val="sk-SK"/>
        </w:rPr>
      </w:pPr>
    </w:p>
    <w:p w:rsidR="005E2407" w:rsidRPr="004A3198" w:rsidRDefault="005E2407" w:rsidP="00E203F1">
      <w:pPr>
        <w:rPr>
          <w:sz w:val="22"/>
          <w:szCs w:val="22"/>
          <w:lang w:val="sk-SK"/>
        </w:rPr>
      </w:pPr>
      <w:r w:rsidRPr="004A3198">
        <w:rPr>
          <w:sz w:val="22"/>
          <w:szCs w:val="22"/>
          <w:lang w:val="sk-SK"/>
        </w:rPr>
        <w:t>Kálium je základný katión intracelulárnej tekutiny, má rozhodujúcu úlohu pri mnohých fyziologických pochodoch, napr. pri prenose nervového impulzu, pri svalovej kontrakcii, pri udržiavaní normálnej funkcie obličiek, pomáha pri regulácii osmotického tlaku a acidobázickej rovnováhy. Kalium chloratum Léčiva sa využíva najmä na náhradu nedostatku kália, či už vznikol metabolicky, podaním saluretík alebo inak.</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5.2</w:t>
      </w:r>
      <w:r>
        <w:rPr>
          <w:b/>
          <w:sz w:val="22"/>
          <w:szCs w:val="22"/>
          <w:lang w:val="sk-SK"/>
        </w:rPr>
        <w:tab/>
      </w:r>
      <w:r w:rsidRPr="004A3198">
        <w:rPr>
          <w:b/>
          <w:sz w:val="22"/>
          <w:szCs w:val="22"/>
          <w:lang w:val="sk-SK"/>
        </w:rPr>
        <w:t>Farmakokinetické vlastnosti</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Asi 90</w:t>
      </w:r>
      <w:r>
        <w:rPr>
          <w:sz w:val="22"/>
          <w:szCs w:val="22"/>
          <w:lang w:val="sk-SK"/>
        </w:rPr>
        <w:t xml:space="preserve"> </w:t>
      </w:r>
      <w:r w:rsidRPr="004A3198">
        <w:rPr>
          <w:sz w:val="22"/>
          <w:szCs w:val="22"/>
          <w:lang w:val="sk-SK"/>
        </w:rPr>
        <w:t>% podaného kália sa vylučuje močom sekréciou do distálnych tubulov obličiek. Tubulárna sekrécia kália je ovplyvňovaná radom faktorov, ako je jeho koncent</w:t>
      </w:r>
      <w:r>
        <w:rPr>
          <w:sz w:val="22"/>
          <w:szCs w:val="22"/>
          <w:lang w:val="sk-SK"/>
        </w:rPr>
        <w:t>rácia, acidobázická rovnováha a adrenálne hormóny.</w:t>
      </w:r>
    </w:p>
    <w:p w:rsidR="005E2407" w:rsidRPr="004A3198" w:rsidRDefault="005E2407" w:rsidP="00E203F1">
      <w:pPr>
        <w:rPr>
          <w:sz w:val="22"/>
          <w:szCs w:val="22"/>
          <w:lang w:val="sk-SK"/>
        </w:rPr>
      </w:pPr>
      <w:r w:rsidRPr="004A3198">
        <w:rPr>
          <w:sz w:val="22"/>
          <w:szCs w:val="22"/>
          <w:lang w:val="sk-SK"/>
        </w:rPr>
        <w:t>Zostávajúca časť kália sa vylučuje stolicou a veľmi malé množstvo slinami, potom, žlčou a pankreatickými šťavami.</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5.3</w:t>
      </w:r>
      <w:r>
        <w:rPr>
          <w:b/>
          <w:sz w:val="22"/>
          <w:szCs w:val="22"/>
          <w:lang w:val="sk-SK"/>
        </w:rPr>
        <w:tab/>
      </w:r>
      <w:r w:rsidRPr="004A3198">
        <w:rPr>
          <w:b/>
          <w:sz w:val="22"/>
          <w:szCs w:val="22"/>
          <w:lang w:val="sk-SK"/>
        </w:rPr>
        <w:t>Predklinické údaje o bezpečnosti</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Draslík je bežná súčasť stravy.</w:t>
      </w:r>
    </w:p>
    <w:p w:rsidR="005E2407" w:rsidRPr="004A3198" w:rsidRDefault="005E2407" w:rsidP="00E203F1">
      <w:pPr>
        <w:rPr>
          <w:sz w:val="22"/>
          <w:szCs w:val="22"/>
          <w:lang w:val="sk-SK"/>
        </w:rPr>
      </w:pPr>
      <w:r w:rsidRPr="004A3198">
        <w:rPr>
          <w:sz w:val="22"/>
          <w:szCs w:val="22"/>
          <w:lang w:val="sk-SK"/>
        </w:rPr>
        <w:t>Akútna toxicita (LD</w:t>
      </w:r>
      <w:r w:rsidRPr="004A3198">
        <w:rPr>
          <w:sz w:val="22"/>
          <w:szCs w:val="22"/>
          <w:vertAlign w:val="subscript"/>
          <w:lang w:val="sk-SK"/>
        </w:rPr>
        <w:t>50</w:t>
      </w:r>
      <w:r w:rsidRPr="004A3198">
        <w:rPr>
          <w:sz w:val="22"/>
          <w:szCs w:val="22"/>
          <w:lang w:val="sk-SK"/>
        </w:rPr>
        <w:t>) per os u potkana je 3,3 g/kg.</w:t>
      </w:r>
    </w:p>
    <w:p w:rsidR="005E2407" w:rsidRPr="004A3198" w:rsidRDefault="005E2407" w:rsidP="00E203F1">
      <w:pPr>
        <w:rPr>
          <w:sz w:val="22"/>
          <w:szCs w:val="22"/>
          <w:lang w:val="sk-SK"/>
        </w:rPr>
      </w:pPr>
    </w:p>
    <w:p w:rsidR="005E2407" w:rsidRPr="004A3198" w:rsidRDefault="005E2407" w:rsidP="00E203F1">
      <w:pPr>
        <w:rPr>
          <w:sz w:val="22"/>
          <w:szCs w:val="22"/>
          <w:lang w:val="sk-SK"/>
        </w:rPr>
      </w:pPr>
    </w:p>
    <w:p w:rsidR="005E2407" w:rsidRPr="004A3198" w:rsidRDefault="005E2407" w:rsidP="00715BDA">
      <w:pPr>
        <w:pStyle w:val="Heading2"/>
        <w:rPr>
          <w:sz w:val="22"/>
          <w:szCs w:val="22"/>
          <w:lang w:val="sk-SK"/>
        </w:rPr>
      </w:pPr>
      <w:r w:rsidRPr="004A3198">
        <w:rPr>
          <w:sz w:val="22"/>
          <w:szCs w:val="22"/>
          <w:lang w:val="sk-SK"/>
        </w:rPr>
        <w:t>6</w:t>
      </w:r>
      <w:r>
        <w:rPr>
          <w:sz w:val="22"/>
          <w:szCs w:val="22"/>
          <w:lang w:val="sk-SK"/>
        </w:rPr>
        <w:tab/>
        <w:t>F</w:t>
      </w:r>
      <w:r w:rsidRPr="004A3198">
        <w:rPr>
          <w:sz w:val="22"/>
          <w:szCs w:val="22"/>
          <w:lang w:val="sk-SK"/>
        </w:rPr>
        <w:t>ARMACEUTICKÉ INFORMÁCIE</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6.1</w:t>
      </w:r>
      <w:r>
        <w:rPr>
          <w:b/>
          <w:sz w:val="22"/>
          <w:szCs w:val="22"/>
          <w:lang w:val="sk-SK"/>
        </w:rPr>
        <w:tab/>
      </w:r>
      <w:r w:rsidRPr="004A3198">
        <w:rPr>
          <w:b/>
          <w:sz w:val="22"/>
          <w:szCs w:val="22"/>
          <w:lang w:val="sk-SK"/>
        </w:rPr>
        <w:t>Zoznam pomocných látok</w:t>
      </w:r>
    </w:p>
    <w:p w:rsidR="005E2407" w:rsidRPr="004A3198" w:rsidRDefault="005E2407" w:rsidP="00E203F1">
      <w:pPr>
        <w:rPr>
          <w:b/>
          <w:sz w:val="22"/>
          <w:szCs w:val="22"/>
          <w:lang w:val="sk-SK"/>
        </w:rPr>
      </w:pPr>
    </w:p>
    <w:p w:rsidR="005E2407" w:rsidRPr="004A3198" w:rsidRDefault="005E2407" w:rsidP="000562F6">
      <w:pPr>
        <w:rPr>
          <w:sz w:val="22"/>
          <w:szCs w:val="22"/>
          <w:lang w:val="sk-SK"/>
        </w:rPr>
      </w:pPr>
      <w:r w:rsidRPr="004A3198">
        <w:rPr>
          <w:sz w:val="22"/>
          <w:szCs w:val="22"/>
          <w:lang w:val="sk-SK"/>
        </w:rPr>
        <w:t>Voda na injekciu.</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6.2</w:t>
      </w:r>
      <w:r>
        <w:rPr>
          <w:b/>
          <w:sz w:val="22"/>
          <w:szCs w:val="22"/>
          <w:lang w:val="sk-SK"/>
        </w:rPr>
        <w:tab/>
      </w:r>
      <w:r w:rsidRPr="004A3198">
        <w:rPr>
          <w:b/>
          <w:sz w:val="22"/>
          <w:szCs w:val="22"/>
          <w:lang w:val="sk-SK"/>
        </w:rPr>
        <w:t>Inkompatibility</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Kalium chloratum Léčiva sa nesmie pridávať do manitolu, ku krvi a krvným liekom, ani k roztokom s obsahom aminokyselín a lipidov.</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6.3</w:t>
      </w:r>
      <w:r>
        <w:rPr>
          <w:b/>
          <w:sz w:val="22"/>
          <w:szCs w:val="22"/>
          <w:lang w:val="sk-SK"/>
        </w:rPr>
        <w:tab/>
      </w:r>
      <w:r w:rsidRPr="004A3198">
        <w:rPr>
          <w:b/>
          <w:sz w:val="22"/>
          <w:szCs w:val="22"/>
          <w:lang w:val="sk-SK"/>
        </w:rPr>
        <w:t>Čas použiteľnosti</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3 roky</w:t>
      </w:r>
    </w:p>
    <w:p w:rsidR="005E2407" w:rsidRPr="004A3198" w:rsidRDefault="005E2407" w:rsidP="00E203F1">
      <w:pPr>
        <w:rPr>
          <w:sz w:val="22"/>
          <w:szCs w:val="22"/>
          <w:lang w:val="sk-SK"/>
        </w:rPr>
      </w:pPr>
    </w:p>
    <w:p w:rsidR="005E2407" w:rsidRPr="004A3198" w:rsidRDefault="005E2407" w:rsidP="00E203F1">
      <w:pPr>
        <w:rPr>
          <w:b/>
          <w:sz w:val="22"/>
          <w:szCs w:val="22"/>
          <w:lang w:val="sk-SK"/>
        </w:rPr>
      </w:pPr>
      <w:r w:rsidRPr="004A3198">
        <w:rPr>
          <w:b/>
          <w:sz w:val="22"/>
          <w:szCs w:val="22"/>
          <w:lang w:val="sk-SK"/>
        </w:rPr>
        <w:t>6.4</w:t>
      </w:r>
      <w:r>
        <w:rPr>
          <w:b/>
          <w:sz w:val="22"/>
          <w:szCs w:val="22"/>
          <w:lang w:val="sk-SK"/>
        </w:rPr>
        <w:tab/>
      </w:r>
      <w:r w:rsidRPr="004A3198">
        <w:rPr>
          <w:b/>
          <w:sz w:val="22"/>
          <w:szCs w:val="22"/>
          <w:lang w:val="sk-SK"/>
        </w:rPr>
        <w:t>Špeciálne upozornenia na uchovávanie</w:t>
      </w:r>
    </w:p>
    <w:p w:rsidR="005E2407" w:rsidRPr="004A3198" w:rsidRDefault="005E2407" w:rsidP="00E203F1">
      <w:pPr>
        <w:rPr>
          <w:b/>
          <w:sz w:val="22"/>
          <w:szCs w:val="22"/>
          <w:lang w:val="sk-SK"/>
        </w:rPr>
      </w:pPr>
    </w:p>
    <w:p w:rsidR="005E2407" w:rsidRPr="004A3198" w:rsidRDefault="005E2407" w:rsidP="00E203F1">
      <w:pPr>
        <w:rPr>
          <w:sz w:val="22"/>
          <w:szCs w:val="22"/>
          <w:lang w:val="sk-SK"/>
        </w:rPr>
      </w:pPr>
      <w:r w:rsidRPr="004A3198">
        <w:rPr>
          <w:sz w:val="22"/>
          <w:szCs w:val="22"/>
          <w:lang w:val="sk-SK"/>
        </w:rPr>
        <w:t xml:space="preserve">Uchovávajte pri teplote do </w:t>
      </w:r>
      <w:smartTag w:uri="urn:schemas-microsoft-com:office:smarttags" w:element="metricconverter">
        <w:smartTagPr>
          <w:attr w:name="ProductID" w:val="25 °C"/>
        </w:smartTagPr>
        <w:r w:rsidRPr="004A3198">
          <w:rPr>
            <w:sz w:val="22"/>
            <w:szCs w:val="22"/>
            <w:lang w:val="sk-SK"/>
          </w:rPr>
          <w:t>25 °C</w:t>
        </w:r>
      </w:smartTag>
      <w:r w:rsidRPr="004A3198">
        <w:rPr>
          <w:sz w:val="22"/>
          <w:szCs w:val="22"/>
          <w:lang w:val="sk-SK"/>
        </w:rPr>
        <w:t>. Uchovávajte v škatuľke na ochranu pred svetlom.</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6.5</w:t>
      </w:r>
      <w:r>
        <w:rPr>
          <w:b/>
          <w:sz w:val="22"/>
          <w:szCs w:val="22"/>
          <w:lang w:val="sk-SK"/>
        </w:rPr>
        <w:tab/>
      </w:r>
      <w:r w:rsidRPr="004A3198">
        <w:rPr>
          <w:b/>
          <w:sz w:val="22"/>
          <w:szCs w:val="22"/>
          <w:lang w:val="sk-SK"/>
        </w:rPr>
        <w:t>Druh obalu a obsah balenia</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sz w:val="22"/>
          <w:szCs w:val="22"/>
          <w:lang w:val="sk-SK"/>
        </w:rPr>
        <w:t>Sklenená ampulka, papierová škatuľka, vložka s prepážkami, písomná informácia pre používateľ</w:t>
      </w:r>
      <w:r>
        <w:rPr>
          <w:sz w:val="22"/>
          <w:szCs w:val="22"/>
          <w:lang w:val="sk-SK"/>
        </w:rPr>
        <w:t>a</w:t>
      </w:r>
      <w:r w:rsidRPr="004A3198">
        <w:rPr>
          <w:sz w:val="22"/>
          <w:szCs w:val="22"/>
          <w:lang w:val="sk-SK"/>
        </w:rPr>
        <w:t>.</w:t>
      </w:r>
    </w:p>
    <w:p w:rsidR="005E2407" w:rsidRPr="004A3198" w:rsidRDefault="005E2407" w:rsidP="00E203F1">
      <w:pPr>
        <w:rPr>
          <w:sz w:val="22"/>
          <w:szCs w:val="22"/>
          <w:lang w:val="sk-SK"/>
        </w:rPr>
      </w:pPr>
      <w:r w:rsidRPr="004A3198">
        <w:rPr>
          <w:sz w:val="22"/>
          <w:szCs w:val="22"/>
          <w:lang w:val="sk-SK"/>
        </w:rPr>
        <w:t>Balenie: 5 ampuliek po 10 ml</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r w:rsidRPr="004A3198">
        <w:rPr>
          <w:b/>
          <w:sz w:val="22"/>
          <w:szCs w:val="22"/>
          <w:lang w:val="sk-SK"/>
        </w:rPr>
        <w:t>6.6</w:t>
      </w:r>
      <w:r>
        <w:rPr>
          <w:b/>
          <w:sz w:val="22"/>
          <w:szCs w:val="22"/>
          <w:lang w:val="sk-SK"/>
        </w:rPr>
        <w:tab/>
      </w:r>
      <w:r w:rsidRPr="004A3198">
        <w:rPr>
          <w:b/>
          <w:bCs/>
          <w:sz w:val="22"/>
          <w:szCs w:val="22"/>
          <w:lang w:val="sk-SK"/>
        </w:rPr>
        <w:t>Špeciálne opatrenia na likvidáciu</w:t>
      </w:r>
      <w:r w:rsidRPr="004A3198">
        <w:rPr>
          <w:b/>
          <w:sz w:val="22"/>
          <w:szCs w:val="22"/>
          <w:lang w:val="sk-SK"/>
        </w:rPr>
        <w:t xml:space="preserve"> </w:t>
      </w:r>
      <w:r w:rsidRPr="004A3198">
        <w:rPr>
          <w:b/>
          <w:bCs/>
          <w:sz w:val="22"/>
          <w:szCs w:val="22"/>
          <w:lang w:val="sk-SK"/>
        </w:rPr>
        <w:t>a iné zaobchádzanie s liekom</w:t>
      </w:r>
    </w:p>
    <w:p w:rsidR="005E2407" w:rsidRPr="004A3198" w:rsidRDefault="005E2407" w:rsidP="00E203F1">
      <w:pPr>
        <w:rPr>
          <w:sz w:val="22"/>
          <w:szCs w:val="22"/>
          <w:lang w:val="sk-SK"/>
        </w:rPr>
      </w:pPr>
    </w:p>
    <w:p w:rsidR="005E2407" w:rsidRPr="00262A20" w:rsidRDefault="005E2407">
      <w:pPr>
        <w:rPr>
          <w:sz w:val="22"/>
          <w:szCs w:val="22"/>
          <w:lang w:val="sk-SK"/>
        </w:rPr>
      </w:pPr>
      <w:r w:rsidRPr="00262A20">
        <w:rPr>
          <w:sz w:val="22"/>
          <w:szCs w:val="22"/>
          <w:lang w:val="sk-SK"/>
        </w:rPr>
        <w:t>Nepoužitý liek alebo odpad vzniknutý z lieku treba vrátiť do lekárne.</w:t>
      </w:r>
    </w:p>
    <w:p w:rsidR="005E2407" w:rsidRPr="004A3198" w:rsidRDefault="005E2407" w:rsidP="00E203F1">
      <w:pPr>
        <w:rPr>
          <w:sz w:val="22"/>
          <w:szCs w:val="22"/>
          <w:lang w:val="sk-SK"/>
        </w:rPr>
      </w:pPr>
    </w:p>
    <w:p w:rsidR="005E2407" w:rsidRPr="004A3198" w:rsidRDefault="005E2407" w:rsidP="00E203F1">
      <w:pPr>
        <w:rPr>
          <w:sz w:val="22"/>
          <w:szCs w:val="22"/>
          <w:lang w:val="sk-SK"/>
        </w:rPr>
      </w:pPr>
    </w:p>
    <w:p w:rsidR="005E2407" w:rsidRPr="004A3198" w:rsidRDefault="005E2407" w:rsidP="00715BDA">
      <w:pPr>
        <w:pStyle w:val="Heading2"/>
        <w:rPr>
          <w:sz w:val="22"/>
          <w:szCs w:val="22"/>
          <w:lang w:val="sk-SK"/>
        </w:rPr>
      </w:pPr>
      <w:r w:rsidRPr="004A3198">
        <w:rPr>
          <w:sz w:val="22"/>
          <w:szCs w:val="22"/>
          <w:lang w:val="sk-SK"/>
        </w:rPr>
        <w:t>7.</w:t>
      </w:r>
      <w:r>
        <w:rPr>
          <w:sz w:val="22"/>
          <w:szCs w:val="22"/>
          <w:lang w:val="sk-SK"/>
        </w:rPr>
        <w:tab/>
      </w:r>
      <w:r w:rsidRPr="004A3198">
        <w:rPr>
          <w:sz w:val="22"/>
          <w:szCs w:val="22"/>
          <w:lang w:val="sk-SK"/>
        </w:rPr>
        <w:t>DRŽITEĽ ROZHODNUTIA O REGISTRÁCII</w:t>
      </w:r>
    </w:p>
    <w:p w:rsidR="005E2407" w:rsidRPr="004A3198" w:rsidRDefault="005E2407" w:rsidP="00E203F1">
      <w:pPr>
        <w:rPr>
          <w:sz w:val="22"/>
          <w:szCs w:val="22"/>
          <w:lang w:val="sk-SK"/>
        </w:rPr>
      </w:pPr>
    </w:p>
    <w:p w:rsidR="005E2407" w:rsidRDefault="005E2407" w:rsidP="00E203F1">
      <w:pPr>
        <w:rPr>
          <w:sz w:val="22"/>
          <w:szCs w:val="22"/>
          <w:lang w:val="sk-SK"/>
        </w:rPr>
      </w:pPr>
      <w:smartTag w:uri="urn:schemas-microsoft-com:office:smarttags" w:element="PersonName">
        <w:r w:rsidRPr="004A3198">
          <w:rPr>
            <w:sz w:val="22"/>
            <w:szCs w:val="22"/>
            <w:lang w:val="sk-SK"/>
          </w:rPr>
          <w:t>Zentiva</w:t>
        </w:r>
      </w:smartTag>
      <w:r w:rsidRPr="004A3198">
        <w:rPr>
          <w:sz w:val="22"/>
          <w:szCs w:val="22"/>
          <w:lang w:val="sk-SK"/>
        </w:rPr>
        <w:t xml:space="preserve">, k.s. </w:t>
      </w:r>
    </w:p>
    <w:p w:rsidR="005E2407" w:rsidRDefault="005E2407" w:rsidP="00E203F1">
      <w:pPr>
        <w:rPr>
          <w:sz w:val="22"/>
          <w:szCs w:val="22"/>
          <w:lang w:val="sk-SK"/>
        </w:rPr>
      </w:pPr>
      <w:r>
        <w:rPr>
          <w:sz w:val="22"/>
          <w:szCs w:val="22"/>
          <w:lang w:val="sk-SK"/>
        </w:rPr>
        <w:t>U kabelovny 130</w:t>
      </w:r>
    </w:p>
    <w:p w:rsidR="005E2407" w:rsidRDefault="005E2407" w:rsidP="00E203F1">
      <w:pPr>
        <w:rPr>
          <w:sz w:val="22"/>
          <w:szCs w:val="22"/>
          <w:lang w:val="sk-SK"/>
        </w:rPr>
      </w:pPr>
      <w:r>
        <w:rPr>
          <w:sz w:val="22"/>
          <w:szCs w:val="22"/>
          <w:lang w:val="sk-SK"/>
        </w:rPr>
        <w:t xml:space="preserve">102 37 </w:t>
      </w:r>
      <w:r w:rsidRPr="004A3198">
        <w:rPr>
          <w:sz w:val="22"/>
          <w:szCs w:val="22"/>
          <w:lang w:val="sk-SK"/>
        </w:rPr>
        <w:t xml:space="preserve">Praha </w:t>
      </w:r>
    </w:p>
    <w:p w:rsidR="005E2407" w:rsidRPr="004A3198" w:rsidRDefault="005E2407" w:rsidP="00E203F1">
      <w:pPr>
        <w:rPr>
          <w:sz w:val="22"/>
          <w:szCs w:val="22"/>
          <w:lang w:val="sk-SK"/>
        </w:rPr>
      </w:pPr>
      <w:r w:rsidRPr="004A3198">
        <w:rPr>
          <w:sz w:val="22"/>
          <w:szCs w:val="22"/>
          <w:lang w:val="sk-SK"/>
        </w:rPr>
        <w:t>Česká republika</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p>
    <w:p w:rsidR="005E2407" w:rsidRPr="004A3198" w:rsidRDefault="005E2407" w:rsidP="00715BDA">
      <w:pPr>
        <w:pStyle w:val="Heading2"/>
        <w:rPr>
          <w:sz w:val="22"/>
          <w:szCs w:val="22"/>
          <w:lang w:val="sk-SK"/>
        </w:rPr>
      </w:pPr>
      <w:r w:rsidRPr="004A3198">
        <w:rPr>
          <w:sz w:val="22"/>
          <w:szCs w:val="22"/>
          <w:lang w:val="sk-SK"/>
        </w:rPr>
        <w:t>8.</w:t>
      </w:r>
      <w:r>
        <w:rPr>
          <w:sz w:val="22"/>
          <w:szCs w:val="22"/>
          <w:lang w:val="sk-SK"/>
        </w:rPr>
        <w:tab/>
      </w:r>
      <w:r w:rsidRPr="004A3198">
        <w:rPr>
          <w:sz w:val="22"/>
          <w:szCs w:val="22"/>
          <w:lang w:val="sk-SK"/>
        </w:rPr>
        <w:t>REGISTRAČNÉ ČÍSLO</w:t>
      </w:r>
    </w:p>
    <w:p w:rsidR="005E2407" w:rsidRPr="004A3198" w:rsidRDefault="005E2407" w:rsidP="00411186">
      <w:pPr>
        <w:rPr>
          <w:sz w:val="22"/>
          <w:szCs w:val="22"/>
          <w:lang w:val="sk-SK" w:eastAsia="de-DE"/>
        </w:rPr>
      </w:pPr>
    </w:p>
    <w:p w:rsidR="005E2407" w:rsidRPr="004A3198" w:rsidRDefault="005E2407" w:rsidP="00E203F1">
      <w:pPr>
        <w:pStyle w:val="Header"/>
        <w:tabs>
          <w:tab w:val="clear" w:pos="4536"/>
          <w:tab w:val="clear" w:pos="9072"/>
        </w:tabs>
        <w:rPr>
          <w:bCs/>
          <w:sz w:val="22"/>
          <w:szCs w:val="22"/>
          <w:lang w:val="sk-SK"/>
        </w:rPr>
      </w:pPr>
      <w:r>
        <w:rPr>
          <w:bCs/>
          <w:sz w:val="22"/>
          <w:szCs w:val="22"/>
          <w:lang w:val="sk-SK"/>
        </w:rPr>
        <w:t xml:space="preserve"> </w:t>
      </w:r>
      <w:r w:rsidRPr="004A3198">
        <w:rPr>
          <w:bCs/>
          <w:sz w:val="22"/>
          <w:szCs w:val="22"/>
          <w:lang w:val="sk-SK"/>
        </w:rPr>
        <w:t>39/0258/72-CS</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p>
    <w:p w:rsidR="005E2407" w:rsidRPr="004A3198" w:rsidRDefault="005E2407" w:rsidP="00715BDA">
      <w:pPr>
        <w:pStyle w:val="Heading2"/>
        <w:rPr>
          <w:sz w:val="22"/>
          <w:szCs w:val="22"/>
          <w:lang w:val="sk-SK"/>
        </w:rPr>
      </w:pPr>
      <w:r w:rsidRPr="004A3198">
        <w:rPr>
          <w:sz w:val="22"/>
          <w:szCs w:val="22"/>
          <w:lang w:val="sk-SK"/>
        </w:rPr>
        <w:t>9.</w:t>
      </w:r>
      <w:r>
        <w:rPr>
          <w:sz w:val="22"/>
          <w:szCs w:val="22"/>
          <w:lang w:val="sk-SK"/>
        </w:rPr>
        <w:tab/>
      </w:r>
      <w:r w:rsidRPr="004A3198">
        <w:rPr>
          <w:sz w:val="22"/>
          <w:szCs w:val="22"/>
          <w:lang w:val="sk-SK"/>
        </w:rPr>
        <w:t xml:space="preserve">DÁTUM PRVEJ REGISTRÁCIE/ PREDĹŽENIA REGISTRÁCIE </w:t>
      </w:r>
    </w:p>
    <w:p w:rsidR="005E2407" w:rsidRPr="004A3198" w:rsidRDefault="005E2407" w:rsidP="00E203F1">
      <w:pPr>
        <w:rPr>
          <w:sz w:val="22"/>
          <w:szCs w:val="22"/>
          <w:lang w:val="sk-SK"/>
        </w:rPr>
      </w:pPr>
    </w:p>
    <w:p w:rsidR="005E2407" w:rsidRDefault="005E2407" w:rsidP="00E203F1">
      <w:pPr>
        <w:rPr>
          <w:sz w:val="22"/>
          <w:szCs w:val="22"/>
          <w:lang w:val="sk-SK"/>
        </w:rPr>
      </w:pPr>
      <w:r>
        <w:rPr>
          <w:sz w:val="22"/>
          <w:szCs w:val="22"/>
          <w:lang w:val="sk-SK"/>
        </w:rPr>
        <w:t xml:space="preserve">Dátum prvej registrácie: </w:t>
      </w:r>
      <w:r w:rsidRPr="00262A20">
        <w:rPr>
          <w:sz w:val="22"/>
          <w:szCs w:val="22"/>
          <w:lang w:val="sk-SK"/>
        </w:rPr>
        <w:t>5.01.1973</w:t>
      </w:r>
    </w:p>
    <w:p w:rsidR="005E2407" w:rsidRPr="004A3198" w:rsidRDefault="005E2407" w:rsidP="00E203F1">
      <w:pPr>
        <w:rPr>
          <w:sz w:val="22"/>
          <w:szCs w:val="22"/>
          <w:lang w:val="sk-SK"/>
        </w:rPr>
      </w:pPr>
      <w:r>
        <w:rPr>
          <w:sz w:val="22"/>
          <w:szCs w:val="22"/>
          <w:lang w:val="sk-SK"/>
        </w:rPr>
        <w:t>Dátum posledného predĺženia registrácie: 12.02.2007</w:t>
      </w:r>
    </w:p>
    <w:p w:rsidR="005E2407" w:rsidRPr="004A3198" w:rsidRDefault="005E2407" w:rsidP="00E203F1">
      <w:pPr>
        <w:rPr>
          <w:b/>
          <w:sz w:val="22"/>
          <w:szCs w:val="22"/>
          <w:lang w:val="sk-SK"/>
        </w:rPr>
      </w:pPr>
    </w:p>
    <w:p w:rsidR="005E2407" w:rsidRPr="004A3198" w:rsidRDefault="005E2407" w:rsidP="00E203F1">
      <w:pPr>
        <w:rPr>
          <w:b/>
          <w:sz w:val="22"/>
          <w:szCs w:val="22"/>
          <w:lang w:val="sk-SK"/>
        </w:rPr>
      </w:pPr>
    </w:p>
    <w:p w:rsidR="005E2407" w:rsidRDefault="005E2407" w:rsidP="00F3712B">
      <w:pPr>
        <w:pStyle w:val="Heading2"/>
        <w:numPr>
          <w:ilvl w:val="0"/>
          <w:numId w:val="3"/>
        </w:numPr>
        <w:rPr>
          <w:sz w:val="22"/>
          <w:szCs w:val="22"/>
          <w:lang w:val="sk-SK"/>
        </w:rPr>
      </w:pPr>
      <w:r>
        <w:rPr>
          <w:sz w:val="22"/>
          <w:szCs w:val="22"/>
          <w:lang w:val="sk-SK"/>
        </w:rPr>
        <w:t>D</w:t>
      </w:r>
      <w:r w:rsidRPr="004A3198">
        <w:rPr>
          <w:sz w:val="22"/>
          <w:szCs w:val="22"/>
          <w:lang w:val="sk-SK"/>
        </w:rPr>
        <w:t>ÁTUM REVÍZIE TEXTU</w:t>
      </w:r>
    </w:p>
    <w:p w:rsidR="005E2407" w:rsidRPr="00F3712B" w:rsidRDefault="005E2407" w:rsidP="00F3712B">
      <w:pPr>
        <w:rPr>
          <w:lang w:val="sk-SK" w:eastAsia="de-DE"/>
        </w:rPr>
      </w:pPr>
    </w:p>
    <w:p w:rsidR="005E2407" w:rsidRPr="00F3712B" w:rsidRDefault="005E2407" w:rsidP="00C14BF6">
      <w:pPr>
        <w:tabs>
          <w:tab w:val="left" w:pos="8505"/>
        </w:tabs>
        <w:ind w:right="566"/>
        <w:rPr>
          <w:sz w:val="22"/>
          <w:szCs w:val="22"/>
          <w:lang w:val="sk-SK"/>
        </w:rPr>
      </w:pPr>
      <w:r w:rsidRPr="00262A20">
        <w:rPr>
          <w:b/>
          <w:sz w:val="22"/>
          <w:szCs w:val="22"/>
          <w:lang w:val="sk-SK"/>
        </w:rPr>
        <w:t xml:space="preserve"> </w:t>
      </w:r>
      <w:r w:rsidRPr="00F3712B">
        <w:rPr>
          <w:sz w:val="22"/>
          <w:szCs w:val="22"/>
          <w:lang w:val="sk-SK"/>
        </w:rPr>
        <w:t>August 2013</w:t>
      </w:r>
    </w:p>
    <w:sectPr w:rsidR="005E2407" w:rsidRPr="00F3712B" w:rsidSect="001403CA">
      <w:footerReference w:type="even" r:id="rId8"/>
      <w:footerReference w:type="default" r:id="rId9"/>
      <w:pgSz w:w="11907" w:h="16840"/>
      <w:pgMar w:top="1418" w:right="1418" w:bottom="1418" w:left="1418"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07" w:rsidRDefault="005E2407">
      <w:r>
        <w:separator/>
      </w:r>
    </w:p>
  </w:endnote>
  <w:endnote w:type="continuationSeparator" w:id="0">
    <w:p w:rsidR="005E2407" w:rsidRDefault="005E2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07" w:rsidRDefault="005E2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407" w:rsidRDefault="005E2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07" w:rsidRDefault="005E2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407" w:rsidRDefault="005E2407" w:rsidP="00E60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07" w:rsidRDefault="005E2407">
      <w:r>
        <w:separator/>
      </w:r>
    </w:p>
  </w:footnote>
  <w:footnote w:type="continuationSeparator" w:id="0">
    <w:p w:rsidR="005E2407" w:rsidRDefault="005E2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6E4235"/>
    <w:multiLevelType w:val="hybridMultilevel"/>
    <w:tmpl w:val="724EB00C"/>
    <w:lvl w:ilvl="0" w:tplc="F03AA94C">
      <w:start w:val="10"/>
      <w:numFmt w:val="decimal"/>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7B7C13EC"/>
    <w:multiLevelType w:val="hybridMultilevel"/>
    <w:tmpl w:val="BB0C563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E5F"/>
    <w:rsid w:val="00026985"/>
    <w:rsid w:val="00027BE5"/>
    <w:rsid w:val="000329CD"/>
    <w:rsid w:val="00037836"/>
    <w:rsid w:val="000562F6"/>
    <w:rsid w:val="00081385"/>
    <w:rsid w:val="00082A9F"/>
    <w:rsid w:val="00086C6B"/>
    <w:rsid w:val="000C2BE7"/>
    <w:rsid w:val="000D1EC0"/>
    <w:rsid w:val="001328B5"/>
    <w:rsid w:val="001403CA"/>
    <w:rsid w:val="00170A80"/>
    <w:rsid w:val="001755E4"/>
    <w:rsid w:val="001C4BE8"/>
    <w:rsid w:val="001F27F9"/>
    <w:rsid w:val="002054C4"/>
    <w:rsid w:val="002140C0"/>
    <w:rsid w:val="0021530D"/>
    <w:rsid w:val="00245FE3"/>
    <w:rsid w:val="00246FD3"/>
    <w:rsid w:val="00261AFD"/>
    <w:rsid w:val="00262A20"/>
    <w:rsid w:val="002D2E5F"/>
    <w:rsid w:val="002D4548"/>
    <w:rsid w:val="002E5666"/>
    <w:rsid w:val="002F5B0E"/>
    <w:rsid w:val="00312A01"/>
    <w:rsid w:val="00320884"/>
    <w:rsid w:val="003405AA"/>
    <w:rsid w:val="0035659A"/>
    <w:rsid w:val="003657AA"/>
    <w:rsid w:val="003760B4"/>
    <w:rsid w:val="003B119D"/>
    <w:rsid w:val="003C064F"/>
    <w:rsid w:val="00411186"/>
    <w:rsid w:val="004222BB"/>
    <w:rsid w:val="0044029B"/>
    <w:rsid w:val="00441698"/>
    <w:rsid w:val="004622A2"/>
    <w:rsid w:val="004971D8"/>
    <w:rsid w:val="004A3198"/>
    <w:rsid w:val="004A4FDB"/>
    <w:rsid w:val="004B142B"/>
    <w:rsid w:val="004D2593"/>
    <w:rsid w:val="004F00BE"/>
    <w:rsid w:val="004F4FE2"/>
    <w:rsid w:val="0052725A"/>
    <w:rsid w:val="00545C66"/>
    <w:rsid w:val="00554A61"/>
    <w:rsid w:val="005B102B"/>
    <w:rsid w:val="005B4120"/>
    <w:rsid w:val="005C50FA"/>
    <w:rsid w:val="005D048D"/>
    <w:rsid w:val="005E22D1"/>
    <w:rsid w:val="005E2407"/>
    <w:rsid w:val="00627C42"/>
    <w:rsid w:val="006637AC"/>
    <w:rsid w:val="00665FE9"/>
    <w:rsid w:val="00687BD3"/>
    <w:rsid w:val="006A7988"/>
    <w:rsid w:val="006B61BA"/>
    <w:rsid w:val="006C02E9"/>
    <w:rsid w:val="006E5823"/>
    <w:rsid w:val="006F23B8"/>
    <w:rsid w:val="006F4D6C"/>
    <w:rsid w:val="00703C7C"/>
    <w:rsid w:val="00706802"/>
    <w:rsid w:val="00715BDA"/>
    <w:rsid w:val="00720411"/>
    <w:rsid w:val="00753D94"/>
    <w:rsid w:val="0076271D"/>
    <w:rsid w:val="00791D7C"/>
    <w:rsid w:val="007C3D5B"/>
    <w:rsid w:val="007C472C"/>
    <w:rsid w:val="007C6700"/>
    <w:rsid w:val="007E25C1"/>
    <w:rsid w:val="00817826"/>
    <w:rsid w:val="00826081"/>
    <w:rsid w:val="0083234E"/>
    <w:rsid w:val="0083325D"/>
    <w:rsid w:val="00871051"/>
    <w:rsid w:val="00875390"/>
    <w:rsid w:val="00880237"/>
    <w:rsid w:val="008A31A5"/>
    <w:rsid w:val="008A532C"/>
    <w:rsid w:val="008C7CC5"/>
    <w:rsid w:val="00946D1B"/>
    <w:rsid w:val="009A7817"/>
    <w:rsid w:val="009D1F19"/>
    <w:rsid w:val="009E0D1E"/>
    <w:rsid w:val="009E1998"/>
    <w:rsid w:val="009E4F10"/>
    <w:rsid w:val="00A07E1F"/>
    <w:rsid w:val="00A13526"/>
    <w:rsid w:val="00A754C1"/>
    <w:rsid w:val="00AA5D80"/>
    <w:rsid w:val="00AF05EA"/>
    <w:rsid w:val="00B03032"/>
    <w:rsid w:val="00B27B34"/>
    <w:rsid w:val="00B3785F"/>
    <w:rsid w:val="00B5022F"/>
    <w:rsid w:val="00B53D7E"/>
    <w:rsid w:val="00BB5A52"/>
    <w:rsid w:val="00BC7F6A"/>
    <w:rsid w:val="00BF58D0"/>
    <w:rsid w:val="00C14BF6"/>
    <w:rsid w:val="00C21744"/>
    <w:rsid w:val="00C53B66"/>
    <w:rsid w:val="00C97F91"/>
    <w:rsid w:val="00CD2347"/>
    <w:rsid w:val="00D563EC"/>
    <w:rsid w:val="00D70ED9"/>
    <w:rsid w:val="00D8427D"/>
    <w:rsid w:val="00DB7486"/>
    <w:rsid w:val="00DD5CD2"/>
    <w:rsid w:val="00DE2AA6"/>
    <w:rsid w:val="00DE67BC"/>
    <w:rsid w:val="00DF191A"/>
    <w:rsid w:val="00E136D8"/>
    <w:rsid w:val="00E203F1"/>
    <w:rsid w:val="00E2110E"/>
    <w:rsid w:val="00E52DA6"/>
    <w:rsid w:val="00E5431C"/>
    <w:rsid w:val="00E601BB"/>
    <w:rsid w:val="00EA6C3A"/>
    <w:rsid w:val="00EB1479"/>
    <w:rsid w:val="00EB3E4E"/>
    <w:rsid w:val="00ED7F34"/>
    <w:rsid w:val="00EF0ACD"/>
    <w:rsid w:val="00EF6344"/>
    <w:rsid w:val="00F15460"/>
    <w:rsid w:val="00F2204D"/>
    <w:rsid w:val="00F3712B"/>
    <w:rsid w:val="00F75994"/>
    <w:rsid w:val="00FD7172"/>
    <w:rsid w:val="00FE293D"/>
    <w:rsid w:val="00FF412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61"/>
    <w:pPr>
      <w:spacing w:after="60"/>
      <w:jc w:val="both"/>
    </w:pPr>
    <w:rPr>
      <w:sz w:val="24"/>
      <w:szCs w:val="24"/>
      <w:lang w:val="fr-FR" w:eastAsia="fr-FR"/>
    </w:rPr>
  </w:style>
  <w:style w:type="paragraph" w:styleId="Heading1">
    <w:name w:val="heading 1"/>
    <w:basedOn w:val="Normal"/>
    <w:next w:val="Normal"/>
    <w:link w:val="Heading1Char"/>
    <w:uiPriority w:val="99"/>
    <w:qFormat/>
    <w:rsid w:val="00554A61"/>
    <w:pPr>
      <w:keepNext/>
      <w:spacing w:after="0"/>
      <w:outlineLvl w:val="0"/>
    </w:pPr>
    <w:rPr>
      <w:b/>
      <w:bCs/>
      <w:caps/>
      <w:kern w:val="32"/>
      <w:sz w:val="32"/>
      <w:szCs w:val="32"/>
      <w:lang w:val="de-DE" w:eastAsia="de-DE"/>
    </w:rPr>
  </w:style>
  <w:style w:type="paragraph" w:styleId="Heading2">
    <w:name w:val="heading 2"/>
    <w:basedOn w:val="Normal"/>
    <w:next w:val="Normal"/>
    <w:link w:val="Heading2Char"/>
    <w:uiPriority w:val="99"/>
    <w:qFormat/>
    <w:rsid w:val="00554A61"/>
    <w:pPr>
      <w:keepNext/>
      <w:spacing w:after="0"/>
      <w:outlineLvl w:val="1"/>
    </w:pPr>
    <w:rPr>
      <w:b/>
      <w:bCs/>
      <w:caps/>
      <w:lang w:val="en-GB" w:eastAsia="de-DE"/>
    </w:rPr>
  </w:style>
  <w:style w:type="paragraph" w:styleId="Heading3">
    <w:name w:val="heading 3"/>
    <w:basedOn w:val="Normal"/>
    <w:next w:val="Normal"/>
    <w:link w:val="Heading3Char"/>
    <w:uiPriority w:val="99"/>
    <w:qFormat/>
    <w:rsid w:val="001403CA"/>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1403CA"/>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320884"/>
    <w:pPr>
      <w:spacing w:before="240"/>
      <w:outlineLvl w:val="4"/>
    </w:pPr>
    <w:rPr>
      <w:rFonts w:ascii="Calibri" w:hAnsi="Calibri"/>
      <w:b/>
      <w:bCs/>
      <w:i/>
      <w:iCs/>
      <w:sz w:val="26"/>
      <w:szCs w:val="26"/>
      <w:lang w:val="sk-SK" w:eastAsia="sk-SK"/>
    </w:rPr>
  </w:style>
  <w:style w:type="paragraph" w:styleId="Heading6">
    <w:name w:val="heading 6"/>
    <w:basedOn w:val="Normal"/>
    <w:next w:val="Normal"/>
    <w:link w:val="Heading6Char"/>
    <w:uiPriority w:val="99"/>
    <w:qFormat/>
    <w:rsid w:val="00320884"/>
    <w:pPr>
      <w:spacing w:before="240"/>
      <w:outlineLvl w:val="5"/>
    </w:pPr>
    <w:rPr>
      <w:rFonts w:ascii="Calibri" w:hAnsi="Calibri"/>
      <w:b/>
      <w:bCs/>
      <w:sz w:val="22"/>
      <w:szCs w:val="22"/>
      <w:lang w:val="sk-SK"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A61"/>
    <w:rPr>
      <w:rFonts w:cs="Times New Roman"/>
      <w:b/>
      <w:caps/>
      <w:kern w:val="32"/>
      <w:sz w:val="32"/>
      <w:lang w:val="de-DE" w:eastAsia="de-DE"/>
    </w:rPr>
  </w:style>
  <w:style w:type="character" w:customStyle="1" w:styleId="Heading2Char">
    <w:name w:val="Heading 2 Char"/>
    <w:basedOn w:val="DefaultParagraphFont"/>
    <w:link w:val="Heading2"/>
    <w:uiPriority w:val="99"/>
    <w:locked/>
    <w:rsid w:val="00554A61"/>
    <w:rPr>
      <w:rFonts w:cs="Times New Roman"/>
      <w:b/>
      <w:caps/>
      <w:sz w:val="24"/>
      <w:lang w:val="en-GB" w:eastAsia="de-DE"/>
    </w:rPr>
  </w:style>
  <w:style w:type="character" w:customStyle="1" w:styleId="Heading3Char">
    <w:name w:val="Heading 3 Char"/>
    <w:basedOn w:val="DefaultParagraphFont"/>
    <w:link w:val="Heading3"/>
    <w:uiPriority w:val="99"/>
    <w:semiHidden/>
    <w:locked/>
    <w:rsid w:val="0083325D"/>
    <w:rPr>
      <w:rFonts w:ascii="Cambria" w:hAnsi="Cambria" w:cs="Times New Roman"/>
      <w:b/>
      <w:sz w:val="26"/>
      <w:lang w:val="fr-FR" w:eastAsia="fr-FR"/>
    </w:rPr>
  </w:style>
  <w:style w:type="character" w:customStyle="1" w:styleId="Heading4Char">
    <w:name w:val="Heading 4 Char"/>
    <w:basedOn w:val="DefaultParagraphFont"/>
    <w:link w:val="Heading4"/>
    <w:uiPriority w:val="99"/>
    <w:semiHidden/>
    <w:locked/>
    <w:rsid w:val="0083325D"/>
    <w:rPr>
      <w:rFonts w:ascii="Calibri" w:hAnsi="Calibri" w:cs="Times New Roman"/>
      <w:b/>
      <w:sz w:val="28"/>
      <w:lang w:val="fr-FR" w:eastAsia="fr-FR"/>
    </w:rPr>
  </w:style>
  <w:style w:type="character" w:customStyle="1" w:styleId="Heading5Char">
    <w:name w:val="Heading 5 Char"/>
    <w:basedOn w:val="DefaultParagraphFont"/>
    <w:link w:val="Heading5"/>
    <w:uiPriority w:val="99"/>
    <w:semiHidden/>
    <w:locked/>
    <w:rsid w:val="00320884"/>
    <w:rPr>
      <w:rFonts w:ascii="Calibri" w:hAnsi="Calibri" w:cs="Times New Roman"/>
      <w:b/>
      <w:i/>
      <w:sz w:val="26"/>
      <w:lang w:val="sk-SK"/>
    </w:rPr>
  </w:style>
  <w:style w:type="character" w:customStyle="1" w:styleId="Heading6Char">
    <w:name w:val="Heading 6 Char"/>
    <w:basedOn w:val="DefaultParagraphFont"/>
    <w:link w:val="Heading6"/>
    <w:uiPriority w:val="99"/>
    <w:semiHidden/>
    <w:locked/>
    <w:rsid w:val="00320884"/>
    <w:rPr>
      <w:rFonts w:ascii="Calibri" w:hAnsi="Calibri" w:cs="Times New Roman"/>
      <w:b/>
      <w:sz w:val="22"/>
      <w:lang w:val="sk-SK"/>
    </w:rPr>
  </w:style>
  <w:style w:type="paragraph" w:styleId="BodyText">
    <w:name w:val="Body Text"/>
    <w:basedOn w:val="Normal"/>
    <w:link w:val="BodyTextChar"/>
    <w:uiPriority w:val="99"/>
    <w:rsid w:val="001403CA"/>
  </w:style>
  <w:style w:type="character" w:customStyle="1" w:styleId="BodyTextChar">
    <w:name w:val="Body Text Char"/>
    <w:basedOn w:val="DefaultParagraphFont"/>
    <w:link w:val="BodyText"/>
    <w:uiPriority w:val="99"/>
    <w:semiHidden/>
    <w:locked/>
    <w:rsid w:val="0083325D"/>
    <w:rPr>
      <w:rFonts w:cs="Times New Roman"/>
      <w:sz w:val="24"/>
      <w:lang w:val="fr-FR" w:eastAsia="fr-FR"/>
    </w:rPr>
  </w:style>
  <w:style w:type="paragraph" w:styleId="BodyText2">
    <w:name w:val="Body Text 2"/>
    <w:basedOn w:val="Normal"/>
    <w:link w:val="BodyText2Char"/>
    <w:uiPriority w:val="99"/>
    <w:rsid w:val="001403CA"/>
    <w:pPr>
      <w:tabs>
        <w:tab w:val="left" w:pos="8505"/>
      </w:tabs>
      <w:ind w:right="566"/>
    </w:pPr>
  </w:style>
  <w:style w:type="character" w:customStyle="1" w:styleId="BodyText2Char">
    <w:name w:val="Body Text 2 Char"/>
    <w:basedOn w:val="DefaultParagraphFont"/>
    <w:link w:val="BodyText2"/>
    <w:uiPriority w:val="99"/>
    <w:semiHidden/>
    <w:locked/>
    <w:rsid w:val="0083325D"/>
    <w:rPr>
      <w:rFonts w:cs="Times New Roman"/>
      <w:sz w:val="24"/>
      <w:lang w:val="fr-FR" w:eastAsia="fr-FR"/>
    </w:rPr>
  </w:style>
  <w:style w:type="paragraph" w:styleId="Header">
    <w:name w:val="header"/>
    <w:basedOn w:val="Normal"/>
    <w:link w:val="HeaderChar"/>
    <w:uiPriority w:val="99"/>
    <w:rsid w:val="001403CA"/>
    <w:pPr>
      <w:tabs>
        <w:tab w:val="center" w:pos="4536"/>
        <w:tab w:val="right" w:pos="9072"/>
      </w:tabs>
    </w:pPr>
  </w:style>
  <w:style w:type="character" w:customStyle="1" w:styleId="HeaderChar">
    <w:name w:val="Header Char"/>
    <w:basedOn w:val="DefaultParagraphFont"/>
    <w:link w:val="Header"/>
    <w:uiPriority w:val="99"/>
    <w:semiHidden/>
    <w:locked/>
    <w:rsid w:val="0083325D"/>
    <w:rPr>
      <w:rFonts w:cs="Times New Roman"/>
      <w:sz w:val="24"/>
      <w:lang w:val="fr-FR" w:eastAsia="fr-FR"/>
    </w:rPr>
  </w:style>
  <w:style w:type="paragraph" w:styleId="Footer">
    <w:name w:val="footer"/>
    <w:basedOn w:val="Normal"/>
    <w:link w:val="FooterChar"/>
    <w:uiPriority w:val="99"/>
    <w:rsid w:val="001403CA"/>
    <w:pPr>
      <w:tabs>
        <w:tab w:val="center" w:pos="4536"/>
        <w:tab w:val="right" w:pos="9072"/>
      </w:tabs>
    </w:pPr>
  </w:style>
  <w:style w:type="character" w:customStyle="1" w:styleId="FooterChar">
    <w:name w:val="Footer Char"/>
    <w:basedOn w:val="DefaultParagraphFont"/>
    <w:link w:val="Footer"/>
    <w:uiPriority w:val="99"/>
    <w:semiHidden/>
    <w:locked/>
    <w:rsid w:val="0083325D"/>
    <w:rPr>
      <w:rFonts w:cs="Times New Roman"/>
      <w:sz w:val="24"/>
      <w:lang w:val="fr-FR" w:eastAsia="fr-FR"/>
    </w:rPr>
  </w:style>
  <w:style w:type="character" w:styleId="PageNumber">
    <w:name w:val="page number"/>
    <w:basedOn w:val="DefaultParagraphFont"/>
    <w:uiPriority w:val="99"/>
    <w:rsid w:val="001403CA"/>
    <w:rPr>
      <w:rFonts w:cs="Times New Roman"/>
    </w:rPr>
  </w:style>
  <w:style w:type="paragraph" w:customStyle="1" w:styleId="H8-text3">
    <w:name w:val="H8 - text 3"/>
    <w:basedOn w:val="Normal"/>
    <w:uiPriority w:val="99"/>
    <w:rsid w:val="001403CA"/>
    <w:pPr>
      <w:widowControl w:val="0"/>
      <w:spacing w:line="480" w:lineRule="auto"/>
      <w:jc w:val="center"/>
    </w:pPr>
    <w:rPr>
      <w:color w:val="000000"/>
      <w:lang w:val="cs-CZ"/>
    </w:rPr>
  </w:style>
  <w:style w:type="paragraph" w:customStyle="1" w:styleId="H3-text1">
    <w:name w:val="H3 - text 1"/>
    <w:basedOn w:val="Normal"/>
    <w:uiPriority w:val="99"/>
    <w:rsid w:val="001403CA"/>
    <w:rPr>
      <w:color w:val="000000"/>
      <w:lang w:val="cs-CZ"/>
    </w:rPr>
  </w:style>
  <w:style w:type="paragraph" w:customStyle="1" w:styleId="H7-znaka">
    <w:name w:val="H7 - značka"/>
    <w:basedOn w:val="H3-text1"/>
    <w:uiPriority w:val="99"/>
    <w:rsid w:val="001403CA"/>
    <w:pPr>
      <w:jc w:val="left"/>
    </w:pPr>
    <w:rPr>
      <w:b/>
    </w:rPr>
  </w:style>
  <w:style w:type="paragraph" w:customStyle="1" w:styleId="H-text4">
    <w:name w:val="H* - text 4"/>
    <w:basedOn w:val="BodyText"/>
    <w:uiPriority w:val="99"/>
    <w:rsid w:val="001403CA"/>
    <w:pPr>
      <w:pageBreakBefore/>
    </w:pPr>
    <w:rPr>
      <w:color w:val="000000"/>
      <w:u w:val="single"/>
      <w:lang w:val="cs-CZ"/>
    </w:rPr>
  </w:style>
  <w:style w:type="paragraph" w:styleId="BalloonText">
    <w:name w:val="Balloon Text"/>
    <w:basedOn w:val="Normal"/>
    <w:link w:val="BalloonTextChar"/>
    <w:uiPriority w:val="99"/>
    <w:semiHidden/>
    <w:rsid w:val="006637AC"/>
    <w:rPr>
      <w:sz w:val="2"/>
    </w:rPr>
  </w:style>
  <w:style w:type="character" w:customStyle="1" w:styleId="BalloonTextChar">
    <w:name w:val="Balloon Text Char"/>
    <w:basedOn w:val="DefaultParagraphFont"/>
    <w:link w:val="BalloonText"/>
    <w:uiPriority w:val="99"/>
    <w:semiHidden/>
    <w:locked/>
    <w:rsid w:val="0083325D"/>
    <w:rPr>
      <w:rFonts w:cs="Times New Roman"/>
      <w:sz w:val="2"/>
      <w:lang w:val="fr-FR" w:eastAsia="fr-FR"/>
    </w:rPr>
  </w:style>
  <w:style w:type="paragraph" w:styleId="Title">
    <w:name w:val="Title"/>
    <w:basedOn w:val="Normal"/>
    <w:link w:val="TitleChar"/>
    <w:uiPriority w:val="99"/>
    <w:qFormat/>
    <w:rsid w:val="00320884"/>
    <w:pPr>
      <w:shd w:val="clear" w:color="auto" w:fill="FFFFFF"/>
      <w:tabs>
        <w:tab w:val="left" w:pos="2835"/>
      </w:tabs>
      <w:jc w:val="center"/>
    </w:pPr>
    <w:rPr>
      <w:rFonts w:ascii="Arial" w:hAnsi="Arial"/>
      <w:b/>
      <w:szCs w:val="20"/>
      <w:lang w:val="sk-SK" w:eastAsia="sk-SK"/>
    </w:rPr>
  </w:style>
  <w:style w:type="character" w:customStyle="1" w:styleId="TitleChar">
    <w:name w:val="Title Char"/>
    <w:basedOn w:val="DefaultParagraphFont"/>
    <w:link w:val="Title"/>
    <w:uiPriority w:val="99"/>
    <w:locked/>
    <w:rsid w:val="00320884"/>
    <w:rPr>
      <w:rFonts w:ascii="Arial" w:hAnsi="Arial" w:cs="Times New Roman"/>
      <w:b/>
      <w:sz w:val="24"/>
      <w:shd w:val="clear" w:color="auto" w:fill="FFFFFF"/>
      <w:lang w:eastAsia="sk-SK"/>
    </w:rPr>
  </w:style>
  <w:style w:type="paragraph" w:styleId="ListParagraph">
    <w:name w:val="List Paragraph"/>
    <w:basedOn w:val="Normal"/>
    <w:uiPriority w:val="99"/>
    <w:qFormat/>
    <w:rsid w:val="00554A61"/>
    <w:pPr>
      <w:spacing w:after="0"/>
      <w:ind w:left="720"/>
      <w:contextualSpacing/>
      <w:jc w:val="left"/>
    </w:pPr>
    <w:rPr>
      <w:sz w:val="20"/>
      <w:szCs w:val="20"/>
      <w:lang w:val="cs-CZ" w:eastAsia="cs-CZ"/>
    </w:rPr>
  </w:style>
  <w:style w:type="paragraph" w:customStyle="1" w:styleId="2LAB">
    <w:name w:val="2 LAB"/>
    <w:basedOn w:val="Heading2"/>
    <w:link w:val="2LABChar"/>
    <w:uiPriority w:val="99"/>
    <w:rsid w:val="00554A61"/>
    <w:pPr>
      <w:pBdr>
        <w:top w:val="single" w:sz="4" w:space="1" w:color="auto"/>
        <w:left w:val="single" w:sz="4" w:space="4" w:color="auto"/>
        <w:bottom w:val="single" w:sz="4" w:space="1" w:color="auto"/>
        <w:right w:val="single" w:sz="4" w:space="4" w:color="auto"/>
      </w:pBdr>
    </w:pPr>
    <w:rPr>
      <w:bCs w:val="0"/>
      <w:noProof/>
      <w:szCs w:val="20"/>
    </w:rPr>
  </w:style>
  <w:style w:type="character" w:customStyle="1" w:styleId="2LABChar">
    <w:name w:val="2 LAB Char"/>
    <w:link w:val="2LAB"/>
    <w:uiPriority w:val="99"/>
    <w:locked/>
    <w:rsid w:val="00554A61"/>
    <w:rPr>
      <w:b/>
      <w:caps/>
      <w:noProof/>
      <w:sz w:val="24"/>
      <w:lang w:val="en-GB" w:eastAsia="de-DE"/>
    </w:rPr>
  </w:style>
  <w:style w:type="paragraph" w:customStyle="1" w:styleId="NorLAB">
    <w:name w:val="Nor LAB"/>
    <w:basedOn w:val="Normal"/>
    <w:link w:val="NorLABChar"/>
    <w:uiPriority w:val="99"/>
    <w:rsid w:val="00554A61"/>
    <w:pPr>
      <w:pBdr>
        <w:top w:val="single" w:sz="4" w:space="1" w:color="auto"/>
        <w:left w:val="single" w:sz="4" w:space="4" w:color="auto"/>
        <w:bottom w:val="single" w:sz="4" w:space="1" w:color="auto"/>
        <w:right w:val="single" w:sz="4" w:space="4" w:color="auto"/>
      </w:pBdr>
    </w:pPr>
    <w:rPr>
      <w:b/>
      <w:caps/>
      <w:noProof/>
      <w:szCs w:val="20"/>
    </w:rPr>
  </w:style>
  <w:style w:type="character" w:customStyle="1" w:styleId="NorLABChar">
    <w:name w:val="Nor LAB Char"/>
    <w:link w:val="NorLAB"/>
    <w:uiPriority w:val="99"/>
    <w:locked/>
    <w:rsid w:val="00554A61"/>
    <w:rPr>
      <w:b/>
      <w:caps/>
      <w:noProof/>
      <w:sz w:val="24"/>
      <w:lang w:val="fr-FR" w:eastAsia="fr-FR"/>
    </w:rPr>
  </w:style>
  <w:style w:type="paragraph" w:customStyle="1" w:styleId="2PIL">
    <w:name w:val="2 PIL"/>
    <w:basedOn w:val="Heading2"/>
    <w:link w:val="2PILChar"/>
    <w:uiPriority w:val="99"/>
    <w:rsid w:val="00554A61"/>
    <w:pPr>
      <w:keepNext w:val="0"/>
      <w:shd w:val="clear" w:color="auto" w:fill="000000"/>
      <w:tabs>
        <w:tab w:val="left" w:pos="360"/>
      </w:tabs>
      <w:jc w:val="left"/>
    </w:pPr>
    <w:rPr>
      <w:bCs w:val="0"/>
      <w:szCs w:val="20"/>
    </w:rPr>
  </w:style>
  <w:style w:type="character" w:customStyle="1" w:styleId="2PILChar">
    <w:name w:val="2 PIL Char"/>
    <w:link w:val="2PIL"/>
    <w:uiPriority w:val="99"/>
    <w:locked/>
    <w:rsid w:val="00554A61"/>
    <w:rPr>
      <w:b/>
      <w:caps/>
      <w:sz w:val="24"/>
      <w:shd w:val="clear" w:color="auto" w:fill="000000"/>
      <w:lang w:val="en-GB" w:eastAsia="de-DE"/>
    </w:rPr>
  </w:style>
  <w:style w:type="paragraph" w:customStyle="1" w:styleId="Tun">
    <w:name w:val="Tučné"/>
    <w:basedOn w:val="Normal"/>
    <w:link w:val="TunChar"/>
    <w:uiPriority w:val="99"/>
    <w:rsid w:val="00554A61"/>
    <w:rPr>
      <w:b/>
      <w:szCs w:val="20"/>
      <w:lang w:val="en-GB" w:eastAsia="de-DE"/>
    </w:rPr>
  </w:style>
  <w:style w:type="character" w:customStyle="1" w:styleId="TunChar">
    <w:name w:val="Tučné Char"/>
    <w:link w:val="Tun"/>
    <w:uiPriority w:val="99"/>
    <w:locked/>
    <w:rsid w:val="00554A61"/>
    <w:rPr>
      <w:b/>
      <w:sz w:val="24"/>
      <w:lang w:val="en-GB" w:eastAsia="de-DE"/>
    </w:rPr>
  </w:style>
  <w:style w:type="character" w:styleId="Hyperlink">
    <w:name w:val="Hyperlink"/>
    <w:basedOn w:val="DefaultParagraphFont"/>
    <w:uiPriority w:val="99"/>
    <w:rsid w:val="002153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79451167">
      <w:marLeft w:val="0"/>
      <w:marRight w:val="0"/>
      <w:marTop w:val="0"/>
      <w:marBottom w:val="0"/>
      <w:divBdr>
        <w:top w:val="none" w:sz="0" w:space="0" w:color="auto"/>
        <w:left w:val="none" w:sz="0" w:space="0" w:color="auto"/>
        <w:bottom w:val="none" w:sz="0" w:space="0" w:color="auto"/>
        <w:right w:val="none" w:sz="0" w:space="0" w:color="auto"/>
      </w:divBdr>
      <w:divsChild>
        <w:div w:id="1079451183">
          <w:marLeft w:val="0"/>
          <w:marRight w:val="0"/>
          <w:marTop w:val="0"/>
          <w:marBottom w:val="0"/>
          <w:divBdr>
            <w:top w:val="none" w:sz="0" w:space="0" w:color="auto"/>
            <w:left w:val="none" w:sz="0" w:space="0" w:color="auto"/>
            <w:bottom w:val="none" w:sz="0" w:space="0" w:color="auto"/>
            <w:right w:val="none" w:sz="0" w:space="0" w:color="auto"/>
          </w:divBdr>
          <w:divsChild>
            <w:div w:id="1079451168">
              <w:marLeft w:val="0"/>
              <w:marRight w:val="0"/>
              <w:marTop w:val="0"/>
              <w:marBottom w:val="0"/>
              <w:divBdr>
                <w:top w:val="none" w:sz="0" w:space="0" w:color="auto"/>
                <w:left w:val="none" w:sz="0" w:space="0" w:color="auto"/>
                <w:bottom w:val="none" w:sz="0" w:space="0" w:color="auto"/>
                <w:right w:val="none" w:sz="0" w:space="0" w:color="auto"/>
              </w:divBdr>
              <w:divsChild>
                <w:div w:id="1079451189">
                  <w:marLeft w:val="0"/>
                  <w:marRight w:val="0"/>
                  <w:marTop w:val="0"/>
                  <w:marBottom w:val="0"/>
                  <w:divBdr>
                    <w:top w:val="none" w:sz="0" w:space="0" w:color="auto"/>
                    <w:left w:val="none" w:sz="0" w:space="0" w:color="auto"/>
                    <w:bottom w:val="none" w:sz="0" w:space="0" w:color="auto"/>
                    <w:right w:val="none" w:sz="0" w:space="0" w:color="auto"/>
                  </w:divBdr>
                  <w:divsChild>
                    <w:div w:id="1079451182">
                      <w:marLeft w:val="0"/>
                      <w:marRight w:val="0"/>
                      <w:marTop w:val="0"/>
                      <w:marBottom w:val="0"/>
                      <w:divBdr>
                        <w:top w:val="none" w:sz="0" w:space="0" w:color="auto"/>
                        <w:left w:val="none" w:sz="0" w:space="0" w:color="auto"/>
                        <w:bottom w:val="none" w:sz="0" w:space="0" w:color="auto"/>
                        <w:right w:val="none" w:sz="0" w:space="0" w:color="auto"/>
                      </w:divBdr>
                      <w:divsChild>
                        <w:div w:id="1079451210">
                          <w:marLeft w:val="0"/>
                          <w:marRight w:val="0"/>
                          <w:marTop w:val="0"/>
                          <w:marBottom w:val="0"/>
                          <w:divBdr>
                            <w:top w:val="none" w:sz="0" w:space="0" w:color="auto"/>
                            <w:left w:val="none" w:sz="0" w:space="0" w:color="auto"/>
                            <w:bottom w:val="none" w:sz="0" w:space="0" w:color="auto"/>
                            <w:right w:val="none" w:sz="0" w:space="0" w:color="auto"/>
                          </w:divBdr>
                          <w:divsChild>
                            <w:div w:id="1079451178">
                              <w:marLeft w:val="0"/>
                              <w:marRight w:val="0"/>
                              <w:marTop w:val="0"/>
                              <w:marBottom w:val="0"/>
                              <w:divBdr>
                                <w:top w:val="none" w:sz="0" w:space="0" w:color="auto"/>
                                <w:left w:val="none" w:sz="0" w:space="0" w:color="auto"/>
                                <w:bottom w:val="none" w:sz="0" w:space="0" w:color="auto"/>
                                <w:right w:val="none" w:sz="0" w:space="0" w:color="auto"/>
                              </w:divBdr>
                              <w:divsChild>
                                <w:div w:id="1079451191">
                                  <w:marLeft w:val="0"/>
                                  <w:marRight w:val="0"/>
                                  <w:marTop w:val="0"/>
                                  <w:marBottom w:val="0"/>
                                  <w:divBdr>
                                    <w:top w:val="single" w:sz="6" w:space="0" w:color="F5F5F5"/>
                                    <w:left w:val="single" w:sz="6" w:space="0" w:color="F5F5F5"/>
                                    <w:bottom w:val="single" w:sz="6" w:space="0" w:color="F5F5F5"/>
                                    <w:right w:val="single" w:sz="6" w:space="0" w:color="F5F5F5"/>
                                  </w:divBdr>
                                  <w:divsChild>
                                    <w:div w:id="1079451202">
                                      <w:marLeft w:val="0"/>
                                      <w:marRight w:val="0"/>
                                      <w:marTop w:val="0"/>
                                      <w:marBottom w:val="0"/>
                                      <w:divBdr>
                                        <w:top w:val="none" w:sz="0" w:space="0" w:color="auto"/>
                                        <w:left w:val="none" w:sz="0" w:space="0" w:color="auto"/>
                                        <w:bottom w:val="none" w:sz="0" w:space="0" w:color="auto"/>
                                        <w:right w:val="none" w:sz="0" w:space="0" w:color="auto"/>
                                      </w:divBdr>
                                      <w:divsChild>
                                        <w:div w:id="1079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451200">
      <w:marLeft w:val="0"/>
      <w:marRight w:val="0"/>
      <w:marTop w:val="0"/>
      <w:marBottom w:val="0"/>
      <w:divBdr>
        <w:top w:val="none" w:sz="0" w:space="0" w:color="auto"/>
        <w:left w:val="none" w:sz="0" w:space="0" w:color="auto"/>
        <w:bottom w:val="none" w:sz="0" w:space="0" w:color="auto"/>
        <w:right w:val="none" w:sz="0" w:space="0" w:color="auto"/>
      </w:divBdr>
      <w:divsChild>
        <w:div w:id="1079451187">
          <w:marLeft w:val="0"/>
          <w:marRight w:val="0"/>
          <w:marTop w:val="0"/>
          <w:marBottom w:val="0"/>
          <w:divBdr>
            <w:top w:val="none" w:sz="0" w:space="0" w:color="auto"/>
            <w:left w:val="none" w:sz="0" w:space="0" w:color="auto"/>
            <w:bottom w:val="none" w:sz="0" w:space="0" w:color="auto"/>
            <w:right w:val="none" w:sz="0" w:space="0" w:color="auto"/>
          </w:divBdr>
          <w:divsChild>
            <w:div w:id="1079451193">
              <w:marLeft w:val="0"/>
              <w:marRight w:val="0"/>
              <w:marTop w:val="0"/>
              <w:marBottom w:val="0"/>
              <w:divBdr>
                <w:top w:val="none" w:sz="0" w:space="0" w:color="auto"/>
                <w:left w:val="none" w:sz="0" w:space="0" w:color="auto"/>
                <w:bottom w:val="none" w:sz="0" w:space="0" w:color="auto"/>
                <w:right w:val="none" w:sz="0" w:space="0" w:color="auto"/>
              </w:divBdr>
              <w:divsChild>
                <w:div w:id="1079451179">
                  <w:marLeft w:val="0"/>
                  <w:marRight w:val="0"/>
                  <w:marTop w:val="0"/>
                  <w:marBottom w:val="0"/>
                  <w:divBdr>
                    <w:top w:val="none" w:sz="0" w:space="0" w:color="auto"/>
                    <w:left w:val="none" w:sz="0" w:space="0" w:color="auto"/>
                    <w:bottom w:val="none" w:sz="0" w:space="0" w:color="auto"/>
                    <w:right w:val="none" w:sz="0" w:space="0" w:color="auto"/>
                  </w:divBdr>
                  <w:divsChild>
                    <w:div w:id="1079451199">
                      <w:marLeft w:val="0"/>
                      <w:marRight w:val="0"/>
                      <w:marTop w:val="0"/>
                      <w:marBottom w:val="0"/>
                      <w:divBdr>
                        <w:top w:val="none" w:sz="0" w:space="0" w:color="auto"/>
                        <w:left w:val="none" w:sz="0" w:space="0" w:color="auto"/>
                        <w:bottom w:val="none" w:sz="0" w:space="0" w:color="auto"/>
                        <w:right w:val="none" w:sz="0" w:space="0" w:color="auto"/>
                      </w:divBdr>
                      <w:divsChild>
                        <w:div w:id="1079451176">
                          <w:marLeft w:val="0"/>
                          <w:marRight w:val="0"/>
                          <w:marTop w:val="0"/>
                          <w:marBottom w:val="0"/>
                          <w:divBdr>
                            <w:top w:val="none" w:sz="0" w:space="0" w:color="auto"/>
                            <w:left w:val="none" w:sz="0" w:space="0" w:color="auto"/>
                            <w:bottom w:val="none" w:sz="0" w:space="0" w:color="auto"/>
                            <w:right w:val="none" w:sz="0" w:space="0" w:color="auto"/>
                          </w:divBdr>
                          <w:divsChild>
                            <w:div w:id="1079451194">
                              <w:marLeft w:val="0"/>
                              <w:marRight w:val="0"/>
                              <w:marTop w:val="0"/>
                              <w:marBottom w:val="0"/>
                              <w:divBdr>
                                <w:top w:val="none" w:sz="0" w:space="0" w:color="auto"/>
                                <w:left w:val="none" w:sz="0" w:space="0" w:color="auto"/>
                                <w:bottom w:val="none" w:sz="0" w:space="0" w:color="auto"/>
                                <w:right w:val="none" w:sz="0" w:space="0" w:color="auto"/>
                              </w:divBdr>
                              <w:divsChild>
                                <w:div w:id="1079451173">
                                  <w:marLeft w:val="0"/>
                                  <w:marRight w:val="0"/>
                                  <w:marTop w:val="0"/>
                                  <w:marBottom w:val="0"/>
                                  <w:divBdr>
                                    <w:top w:val="single" w:sz="6" w:space="0" w:color="F5F5F5"/>
                                    <w:left w:val="single" w:sz="6" w:space="0" w:color="F5F5F5"/>
                                    <w:bottom w:val="single" w:sz="6" w:space="0" w:color="F5F5F5"/>
                                    <w:right w:val="single" w:sz="6" w:space="0" w:color="F5F5F5"/>
                                  </w:divBdr>
                                  <w:divsChild>
                                    <w:div w:id="1079451201">
                                      <w:marLeft w:val="0"/>
                                      <w:marRight w:val="0"/>
                                      <w:marTop w:val="0"/>
                                      <w:marBottom w:val="0"/>
                                      <w:divBdr>
                                        <w:top w:val="none" w:sz="0" w:space="0" w:color="auto"/>
                                        <w:left w:val="none" w:sz="0" w:space="0" w:color="auto"/>
                                        <w:bottom w:val="none" w:sz="0" w:space="0" w:color="auto"/>
                                        <w:right w:val="none" w:sz="0" w:space="0" w:color="auto"/>
                                      </w:divBdr>
                                      <w:divsChild>
                                        <w:div w:id="1079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451207">
      <w:marLeft w:val="0"/>
      <w:marRight w:val="0"/>
      <w:marTop w:val="0"/>
      <w:marBottom w:val="0"/>
      <w:divBdr>
        <w:top w:val="none" w:sz="0" w:space="0" w:color="auto"/>
        <w:left w:val="none" w:sz="0" w:space="0" w:color="auto"/>
        <w:bottom w:val="none" w:sz="0" w:space="0" w:color="auto"/>
        <w:right w:val="none" w:sz="0" w:space="0" w:color="auto"/>
      </w:divBdr>
      <w:divsChild>
        <w:div w:id="1079451214">
          <w:marLeft w:val="0"/>
          <w:marRight w:val="0"/>
          <w:marTop w:val="0"/>
          <w:marBottom w:val="0"/>
          <w:divBdr>
            <w:top w:val="none" w:sz="0" w:space="0" w:color="auto"/>
            <w:left w:val="none" w:sz="0" w:space="0" w:color="auto"/>
            <w:bottom w:val="none" w:sz="0" w:space="0" w:color="auto"/>
            <w:right w:val="none" w:sz="0" w:space="0" w:color="auto"/>
          </w:divBdr>
          <w:divsChild>
            <w:div w:id="1079451215">
              <w:marLeft w:val="0"/>
              <w:marRight w:val="0"/>
              <w:marTop w:val="0"/>
              <w:marBottom w:val="0"/>
              <w:divBdr>
                <w:top w:val="none" w:sz="0" w:space="0" w:color="auto"/>
                <w:left w:val="none" w:sz="0" w:space="0" w:color="auto"/>
                <w:bottom w:val="none" w:sz="0" w:space="0" w:color="auto"/>
                <w:right w:val="none" w:sz="0" w:space="0" w:color="auto"/>
              </w:divBdr>
              <w:divsChild>
                <w:div w:id="1079451208">
                  <w:marLeft w:val="0"/>
                  <w:marRight w:val="0"/>
                  <w:marTop w:val="0"/>
                  <w:marBottom w:val="0"/>
                  <w:divBdr>
                    <w:top w:val="none" w:sz="0" w:space="0" w:color="auto"/>
                    <w:left w:val="none" w:sz="0" w:space="0" w:color="auto"/>
                    <w:bottom w:val="none" w:sz="0" w:space="0" w:color="auto"/>
                    <w:right w:val="none" w:sz="0" w:space="0" w:color="auto"/>
                  </w:divBdr>
                  <w:divsChild>
                    <w:div w:id="1079451190">
                      <w:marLeft w:val="0"/>
                      <w:marRight w:val="0"/>
                      <w:marTop w:val="0"/>
                      <w:marBottom w:val="0"/>
                      <w:divBdr>
                        <w:top w:val="none" w:sz="0" w:space="0" w:color="auto"/>
                        <w:left w:val="none" w:sz="0" w:space="0" w:color="auto"/>
                        <w:bottom w:val="none" w:sz="0" w:space="0" w:color="auto"/>
                        <w:right w:val="none" w:sz="0" w:space="0" w:color="auto"/>
                      </w:divBdr>
                      <w:divsChild>
                        <w:div w:id="1079451169">
                          <w:marLeft w:val="0"/>
                          <w:marRight w:val="0"/>
                          <w:marTop w:val="0"/>
                          <w:marBottom w:val="0"/>
                          <w:divBdr>
                            <w:top w:val="none" w:sz="0" w:space="0" w:color="auto"/>
                            <w:left w:val="none" w:sz="0" w:space="0" w:color="auto"/>
                            <w:bottom w:val="none" w:sz="0" w:space="0" w:color="auto"/>
                            <w:right w:val="none" w:sz="0" w:space="0" w:color="auto"/>
                          </w:divBdr>
                          <w:divsChild>
                            <w:div w:id="1079451185">
                              <w:marLeft w:val="0"/>
                              <w:marRight w:val="0"/>
                              <w:marTop w:val="0"/>
                              <w:marBottom w:val="0"/>
                              <w:divBdr>
                                <w:top w:val="none" w:sz="0" w:space="0" w:color="auto"/>
                                <w:left w:val="none" w:sz="0" w:space="0" w:color="auto"/>
                                <w:bottom w:val="none" w:sz="0" w:space="0" w:color="auto"/>
                                <w:right w:val="none" w:sz="0" w:space="0" w:color="auto"/>
                              </w:divBdr>
                              <w:divsChild>
                                <w:div w:id="1079451180">
                                  <w:marLeft w:val="0"/>
                                  <w:marRight w:val="0"/>
                                  <w:marTop w:val="0"/>
                                  <w:marBottom w:val="0"/>
                                  <w:divBdr>
                                    <w:top w:val="single" w:sz="6" w:space="0" w:color="F5F5F5"/>
                                    <w:left w:val="single" w:sz="6" w:space="0" w:color="F5F5F5"/>
                                    <w:bottom w:val="single" w:sz="6" w:space="0" w:color="F5F5F5"/>
                                    <w:right w:val="single" w:sz="6" w:space="0" w:color="F5F5F5"/>
                                  </w:divBdr>
                                  <w:divsChild>
                                    <w:div w:id="1079451205">
                                      <w:marLeft w:val="0"/>
                                      <w:marRight w:val="0"/>
                                      <w:marTop w:val="0"/>
                                      <w:marBottom w:val="0"/>
                                      <w:divBdr>
                                        <w:top w:val="none" w:sz="0" w:space="0" w:color="auto"/>
                                        <w:left w:val="none" w:sz="0" w:space="0" w:color="auto"/>
                                        <w:bottom w:val="none" w:sz="0" w:space="0" w:color="auto"/>
                                        <w:right w:val="none" w:sz="0" w:space="0" w:color="auto"/>
                                      </w:divBdr>
                                      <w:divsChild>
                                        <w:div w:id="10794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451209">
      <w:marLeft w:val="0"/>
      <w:marRight w:val="0"/>
      <w:marTop w:val="0"/>
      <w:marBottom w:val="0"/>
      <w:divBdr>
        <w:top w:val="none" w:sz="0" w:space="0" w:color="auto"/>
        <w:left w:val="none" w:sz="0" w:space="0" w:color="auto"/>
        <w:bottom w:val="none" w:sz="0" w:space="0" w:color="auto"/>
        <w:right w:val="none" w:sz="0" w:space="0" w:color="auto"/>
      </w:divBdr>
      <w:divsChild>
        <w:div w:id="1079451198">
          <w:marLeft w:val="0"/>
          <w:marRight w:val="0"/>
          <w:marTop w:val="0"/>
          <w:marBottom w:val="0"/>
          <w:divBdr>
            <w:top w:val="none" w:sz="0" w:space="0" w:color="auto"/>
            <w:left w:val="none" w:sz="0" w:space="0" w:color="auto"/>
            <w:bottom w:val="none" w:sz="0" w:space="0" w:color="auto"/>
            <w:right w:val="none" w:sz="0" w:space="0" w:color="auto"/>
          </w:divBdr>
          <w:divsChild>
            <w:div w:id="1079451166">
              <w:marLeft w:val="0"/>
              <w:marRight w:val="0"/>
              <w:marTop w:val="0"/>
              <w:marBottom w:val="0"/>
              <w:divBdr>
                <w:top w:val="none" w:sz="0" w:space="0" w:color="auto"/>
                <w:left w:val="none" w:sz="0" w:space="0" w:color="auto"/>
                <w:bottom w:val="none" w:sz="0" w:space="0" w:color="auto"/>
                <w:right w:val="none" w:sz="0" w:space="0" w:color="auto"/>
              </w:divBdr>
              <w:divsChild>
                <w:div w:id="1079451181">
                  <w:marLeft w:val="0"/>
                  <w:marRight w:val="0"/>
                  <w:marTop w:val="0"/>
                  <w:marBottom w:val="0"/>
                  <w:divBdr>
                    <w:top w:val="none" w:sz="0" w:space="0" w:color="auto"/>
                    <w:left w:val="none" w:sz="0" w:space="0" w:color="auto"/>
                    <w:bottom w:val="none" w:sz="0" w:space="0" w:color="auto"/>
                    <w:right w:val="none" w:sz="0" w:space="0" w:color="auto"/>
                  </w:divBdr>
                  <w:divsChild>
                    <w:div w:id="1079451170">
                      <w:marLeft w:val="0"/>
                      <w:marRight w:val="0"/>
                      <w:marTop w:val="0"/>
                      <w:marBottom w:val="0"/>
                      <w:divBdr>
                        <w:top w:val="none" w:sz="0" w:space="0" w:color="auto"/>
                        <w:left w:val="none" w:sz="0" w:space="0" w:color="auto"/>
                        <w:bottom w:val="none" w:sz="0" w:space="0" w:color="auto"/>
                        <w:right w:val="none" w:sz="0" w:space="0" w:color="auto"/>
                      </w:divBdr>
                      <w:divsChild>
                        <w:div w:id="1079451172">
                          <w:marLeft w:val="0"/>
                          <w:marRight w:val="0"/>
                          <w:marTop w:val="0"/>
                          <w:marBottom w:val="0"/>
                          <w:divBdr>
                            <w:top w:val="none" w:sz="0" w:space="0" w:color="auto"/>
                            <w:left w:val="none" w:sz="0" w:space="0" w:color="auto"/>
                            <w:bottom w:val="none" w:sz="0" w:space="0" w:color="auto"/>
                            <w:right w:val="none" w:sz="0" w:space="0" w:color="auto"/>
                          </w:divBdr>
                          <w:divsChild>
                            <w:div w:id="1079451171">
                              <w:marLeft w:val="0"/>
                              <w:marRight w:val="0"/>
                              <w:marTop w:val="0"/>
                              <w:marBottom w:val="0"/>
                              <w:divBdr>
                                <w:top w:val="none" w:sz="0" w:space="0" w:color="auto"/>
                                <w:left w:val="none" w:sz="0" w:space="0" w:color="auto"/>
                                <w:bottom w:val="none" w:sz="0" w:space="0" w:color="auto"/>
                                <w:right w:val="none" w:sz="0" w:space="0" w:color="auto"/>
                              </w:divBdr>
                              <w:divsChild>
                                <w:div w:id="1079451206">
                                  <w:marLeft w:val="0"/>
                                  <w:marRight w:val="0"/>
                                  <w:marTop w:val="0"/>
                                  <w:marBottom w:val="0"/>
                                  <w:divBdr>
                                    <w:top w:val="single" w:sz="6" w:space="0" w:color="F5F5F5"/>
                                    <w:left w:val="single" w:sz="6" w:space="0" w:color="F5F5F5"/>
                                    <w:bottom w:val="single" w:sz="6" w:space="0" w:color="F5F5F5"/>
                                    <w:right w:val="single" w:sz="6" w:space="0" w:color="F5F5F5"/>
                                  </w:divBdr>
                                  <w:divsChild>
                                    <w:div w:id="1079451174">
                                      <w:marLeft w:val="0"/>
                                      <w:marRight w:val="0"/>
                                      <w:marTop w:val="0"/>
                                      <w:marBottom w:val="0"/>
                                      <w:divBdr>
                                        <w:top w:val="none" w:sz="0" w:space="0" w:color="auto"/>
                                        <w:left w:val="none" w:sz="0" w:space="0" w:color="auto"/>
                                        <w:bottom w:val="none" w:sz="0" w:space="0" w:color="auto"/>
                                        <w:right w:val="none" w:sz="0" w:space="0" w:color="auto"/>
                                      </w:divBdr>
                                      <w:divsChild>
                                        <w:div w:id="10794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451213">
      <w:marLeft w:val="0"/>
      <w:marRight w:val="0"/>
      <w:marTop w:val="0"/>
      <w:marBottom w:val="0"/>
      <w:divBdr>
        <w:top w:val="none" w:sz="0" w:space="0" w:color="auto"/>
        <w:left w:val="none" w:sz="0" w:space="0" w:color="auto"/>
        <w:bottom w:val="none" w:sz="0" w:space="0" w:color="auto"/>
        <w:right w:val="none" w:sz="0" w:space="0" w:color="auto"/>
      </w:divBdr>
      <w:divsChild>
        <w:div w:id="1079451211">
          <w:marLeft w:val="0"/>
          <w:marRight w:val="0"/>
          <w:marTop w:val="0"/>
          <w:marBottom w:val="0"/>
          <w:divBdr>
            <w:top w:val="none" w:sz="0" w:space="0" w:color="auto"/>
            <w:left w:val="none" w:sz="0" w:space="0" w:color="auto"/>
            <w:bottom w:val="none" w:sz="0" w:space="0" w:color="auto"/>
            <w:right w:val="none" w:sz="0" w:space="0" w:color="auto"/>
          </w:divBdr>
          <w:divsChild>
            <w:div w:id="1079451188">
              <w:marLeft w:val="0"/>
              <w:marRight w:val="0"/>
              <w:marTop w:val="0"/>
              <w:marBottom w:val="0"/>
              <w:divBdr>
                <w:top w:val="none" w:sz="0" w:space="0" w:color="auto"/>
                <w:left w:val="none" w:sz="0" w:space="0" w:color="auto"/>
                <w:bottom w:val="none" w:sz="0" w:space="0" w:color="auto"/>
                <w:right w:val="none" w:sz="0" w:space="0" w:color="auto"/>
              </w:divBdr>
              <w:divsChild>
                <w:div w:id="1079451195">
                  <w:marLeft w:val="0"/>
                  <w:marRight w:val="0"/>
                  <w:marTop w:val="0"/>
                  <w:marBottom w:val="0"/>
                  <w:divBdr>
                    <w:top w:val="none" w:sz="0" w:space="0" w:color="auto"/>
                    <w:left w:val="none" w:sz="0" w:space="0" w:color="auto"/>
                    <w:bottom w:val="none" w:sz="0" w:space="0" w:color="auto"/>
                    <w:right w:val="none" w:sz="0" w:space="0" w:color="auto"/>
                  </w:divBdr>
                  <w:divsChild>
                    <w:div w:id="1079451175">
                      <w:marLeft w:val="0"/>
                      <w:marRight w:val="0"/>
                      <w:marTop w:val="0"/>
                      <w:marBottom w:val="0"/>
                      <w:divBdr>
                        <w:top w:val="none" w:sz="0" w:space="0" w:color="auto"/>
                        <w:left w:val="none" w:sz="0" w:space="0" w:color="auto"/>
                        <w:bottom w:val="none" w:sz="0" w:space="0" w:color="auto"/>
                        <w:right w:val="none" w:sz="0" w:space="0" w:color="auto"/>
                      </w:divBdr>
                      <w:divsChild>
                        <w:div w:id="1079451212">
                          <w:marLeft w:val="0"/>
                          <w:marRight w:val="0"/>
                          <w:marTop w:val="0"/>
                          <w:marBottom w:val="0"/>
                          <w:divBdr>
                            <w:top w:val="none" w:sz="0" w:space="0" w:color="auto"/>
                            <w:left w:val="none" w:sz="0" w:space="0" w:color="auto"/>
                            <w:bottom w:val="none" w:sz="0" w:space="0" w:color="auto"/>
                            <w:right w:val="none" w:sz="0" w:space="0" w:color="auto"/>
                          </w:divBdr>
                          <w:divsChild>
                            <w:div w:id="1079451196">
                              <w:marLeft w:val="0"/>
                              <w:marRight w:val="0"/>
                              <w:marTop w:val="0"/>
                              <w:marBottom w:val="0"/>
                              <w:divBdr>
                                <w:top w:val="none" w:sz="0" w:space="0" w:color="auto"/>
                                <w:left w:val="none" w:sz="0" w:space="0" w:color="auto"/>
                                <w:bottom w:val="none" w:sz="0" w:space="0" w:color="auto"/>
                                <w:right w:val="none" w:sz="0" w:space="0" w:color="auto"/>
                              </w:divBdr>
                              <w:divsChild>
                                <w:div w:id="1079451184">
                                  <w:marLeft w:val="0"/>
                                  <w:marRight w:val="0"/>
                                  <w:marTop w:val="0"/>
                                  <w:marBottom w:val="0"/>
                                  <w:divBdr>
                                    <w:top w:val="single" w:sz="6" w:space="0" w:color="F5F5F5"/>
                                    <w:left w:val="single" w:sz="6" w:space="0" w:color="F5F5F5"/>
                                    <w:bottom w:val="single" w:sz="6" w:space="0" w:color="F5F5F5"/>
                                    <w:right w:val="single" w:sz="6" w:space="0" w:color="F5F5F5"/>
                                  </w:divBdr>
                                  <w:divsChild>
                                    <w:div w:id="1079451186">
                                      <w:marLeft w:val="0"/>
                                      <w:marRight w:val="0"/>
                                      <w:marTop w:val="0"/>
                                      <w:marBottom w:val="0"/>
                                      <w:divBdr>
                                        <w:top w:val="none" w:sz="0" w:space="0" w:color="auto"/>
                                        <w:left w:val="none" w:sz="0" w:space="0" w:color="auto"/>
                                        <w:bottom w:val="none" w:sz="0" w:space="0" w:color="auto"/>
                                        <w:right w:val="none" w:sz="0" w:space="0" w:color="auto"/>
                                      </w:divBdr>
                                      <w:divsChild>
                                        <w:div w:id="10794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1019</Words>
  <Characters>5811</Characters>
  <Application>Microsoft Office Outlook</Application>
  <DocSecurity>0</DocSecurity>
  <Lines>0</Lines>
  <Paragraphs>0</Paragraphs>
  <ScaleCrop>false</ScaleCrop>
  <Company>Osobné použitie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Príbalová informácia pre pacienta - Rp</dc:title>
  <dc:subject/>
  <dc:creator>Dr. Štefan Pártoš</dc:creator>
  <cp:keywords/>
  <dc:description/>
  <cp:lastModifiedBy>volekova</cp:lastModifiedBy>
  <cp:revision>9</cp:revision>
  <cp:lastPrinted>2013-08-01T11:13:00Z</cp:lastPrinted>
  <dcterms:created xsi:type="dcterms:W3CDTF">2013-07-23T08:45:00Z</dcterms:created>
  <dcterms:modified xsi:type="dcterms:W3CDTF">2013-08-01T11:13:00Z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1646816849</vt:i4>
  </property>
  <property fmtid="{D5CDD505-2E9C-101B-9397-08002B2CF9AE}" pid="4" name="_EmailSubject">
    <vt:lpwstr>Kalium chloratum Léčiva 7,5 % -ev.č.:2012/04626 - návrh textov po korekcii</vt:lpwstr>
  </property>
  <property fmtid="{D5CDD505-2E9C-101B-9397-08002B2CF9AE}" pid="5" name="_AuthorEmail">
    <vt:lpwstr>Tatiana.Hlavienkova@sanofi.com</vt:lpwstr>
  </property>
  <property fmtid="{D5CDD505-2E9C-101B-9397-08002B2CF9AE}" pid="6" name="_AuthorEmailDisplayName">
    <vt:lpwstr>Hlavienkova, Tatiana PH/SK</vt:lpwstr>
  </property>
  <property fmtid="{D5CDD505-2E9C-101B-9397-08002B2CF9AE}" pid="7" name="_PreviousAdHocReviewCycleID">
    <vt:i4>-648629821</vt:i4>
  </property>
  <property fmtid="{D5CDD505-2E9C-101B-9397-08002B2CF9AE}" pid="8" name="_ReviewingToolsShownOnce">
    <vt:lpwstr/>
  </property>
</Properties>
</file>