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D5D79" w14:textId="77777777" w:rsidR="00E9338E" w:rsidRPr="00C92D72" w:rsidRDefault="00E9338E" w:rsidP="00E9338E">
      <w:pPr>
        <w:widowControl w:val="0"/>
        <w:tabs>
          <w:tab w:val="left" w:pos="567"/>
        </w:tabs>
        <w:autoSpaceDE w:val="0"/>
        <w:autoSpaceDN w:val="0"/>
        <w:adjustRightInd w:val="0"/>
        <w:spacing w:after="0" w:line="240" w:lineRule="auto"/>
        <w:jc w:val="center"/>
        <w:rPr>
          <w:rFonts w:ascii="Times New Roman" w:hAnsi="Times New Roman"/>
          <w:b/>
        </w:rPr>
      </w:pPr>
      <w:bookmarkStart w:id="0" w:name="_GoBack"/>
      <w:bookmarkEnd w:id="0"/>
      <w:r w:rsidRPr="00C92D72">
        <w:rPr>
          <w:rFonts w:ascii="Times New Roman" w:hAnsi="Times New Roman"/>
          <w:b/>
        </w:rPr>
        <w:t>Písomná informácia pre používateľa</w:t>
      </w:r>
    </w:p>
    <w:p w14:paraId="7097B37C" w14:textId="77777777" w:rsidR="00E9338E" w:rsidRPr="00C92D72" w:rsidRDefault="00E9338E" w:rsidP="00E9338E">
      <w:pPr>
        <w:widowControl w:val="0"/>
        <w:tabs>
          <w:tab w:val="left" w:pos="567"/>
        </w:tabs>
        <w:autoSpaceDE w:val="0"/>
        <w:autoSpaceDN w:val="0"/>
        <w:adjustRightInd w:val="0"/>
        <w:spacing w:after="0" w:line="240" w:lineRule="auto"/>
        <w:jc w:val="center"/>
        <w:rPr>
          <w:rFonts w:ascii="Times New Roman" w:hAnsi="Times New Roman"/>
        </w:rPr>
      </w:pPr>
    </w:p>
    <w:p w14:paraId="06CD95A9" w14:textId="77777777" w:rsidR="00E9338E" w:rsidRPr="00C92D72" w:rsidRDefault="00E9338E" w:rsidP="00E9338E">
      <w:pPr>
        <w:widowControl w:val="0"/>
        <w:tabs>
          <w:tab w:val="left" w:pos="567"/>
        </w:tabs>
        <w:autoSpaceDE w:val="0"/>
        <w:autoSpaceDN w:val="0"/>
        <w:adjustRightInd w:val="0"/>
        <w:spacing w:after="0" w:line="240" w:lineRule="auto"/>
        <w:jc w:val="center"/>
        <w:rPr>
          <w:rFonts w:ascii="Times New Roman" w:hAnsi="Times New Roman"/>
          <w:b/>
        </w:rPr>
      </w:pPr>
      <w:r w:rsidRPr="00C92D72">
        <w:rPr>
          <w:rFonts w:ascii="Times New Roman" w:hAnsi="Times New Roman"/>
          <w:b/>
        </w:rPr>
        <w:t>Hemafer 100 mg žuvacie tablety</w:t>
      </w:r>
    </w:p>
    <w:p w14:paraId="17F32061" w14:textId="77777777" w:rsidR="00E9338E" w:rsidRPr="00C92D72" w:rsidRDefault="00E9338E" w:rsidP="00E9338E">
      <w:pPr>
        <w:widowControl w:val="0"/>
        <w:tabs>
          <w:tab w:val="left" w:pos="567"/>
        </w:tabs>
        <w:autoSpaceDE w:val="0"/>
        <w:autoSpaceDN w:val="0"/>
        <w:adjustRightInd w:val="0"/>
        <w:spacing w:after="0" w:line="240" w:lineRule="auto"/>
        <w:jc w:val="center"/>
        <w:rPr>
          <w:rFonts w:ascii="Times New Roman" w:hAnsi="Times New Roman"/>
          <w:b/>
          <w:bCs/>
        </w:rPr>
      </w:pPr>
    </w:p>
    <w:p w14:paraId="652DF49D" w14:textId="47FACEAB" w:rsidR="00E9338E" w:rsidRPr="00C92D72" w:rsidRDefault="006E0EC9" w:rsidP="00E9338E">
      <w:pPr>
        <w:widowControl w:val="0"/>
        <w:tabs>
          <w:tab w:val="left" w:pos="567"/>
        </w:tabs>
        <w:autoSpaceDE w:val="0"/>
        <w:autoSpaceDN w:val="0"/>
        <w:adjustRightInd w:val="0"/>
        <w:spacing w:after="0" w:line="240" w:lineRule="auto"/>
        <w:jc w:val="center"/>
        <w:rPr>
          <w:rFonts w:ascii="Times New Roman" w:hAnsi="Times New Roman"/>
        </w:rPr>
      </w:pPr>
      <w:r>
        <w:rPr>
          <w:rFonts w:ascii="Times New Roman" w:hAnsi="Times New Roman"/>
        </w:rPr>
        <w:t>k</w:t>
      </w:r>
      <w:r w:rsidR="00E9338E" w:rsidRPr="00C92D72">
        <w:rPr>
          <w:rFonts w:ascii="Times New Roman" w:hAnsi="Times New Roman"/>
        </w:rPr>
        <w:t>omplex hydroxidu železitého a polymaltózy</w:t>
      </w:r>
    </w:p>
    <w:p w14:paraId="2F0E20E6" w14:textId="77777777" w:rsidR="00E9338E" w:rsidRPr="00C92D72" w:rsidRDefault="00E9338E" w:rsidP="00E9338E">
      <w:pPr>
        <w:widowControl w:val="0"/>
        <w:tabs>
          <w:tab w:val="left" w:pos="567"/>
        </w:tabs>
        <w:autoSpaceDE w:val="0"/>
        <w:autoSpaceDN w:val="0"/>
        <w:adjustRightInd w:val="0"/>
        <w:spacing w:after="0" w:line="240" w:lineRule="auto"/>
        <w:jc w:val="center"/>
        <w:rPr>
          <w:rFonts w:ascii="Times New Roman" w:hAnsi="Times New Roman"/>
        </w:rPr>
      </w:pPr>
    </w:p>
    <w:p w14:paraId="4C10E6AE"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b/>
        </w:rPr>
        <w:t>Pozorne si prečítajte celú písomnú informáciu predtým, ako začnete užívať tento liek, pretože obsahuje pre vás dôležité informácie.</w:t>
      </w:r>
    </w:p>
    <w:p w14:paraId="3F6E73DB" w14:textId="77777777" w:rsidR="00E9338E" w:rsidRPr="00C92D72" w:rsidRDefault="00E9338E" w:rsidP="00E9338E">
      <w:pPr>
        <w:widowControl w:val="0"/>
        <w:numPr>
          <w:ilvl w:val="0"/>
          <w:numId w:val="2"/>
        </w:numPr>
        <w:tabs>
          <w:tab w:val="left" w:pos="567"/>
        </w:tabs>
        <w:autoSpaceDE w:val="0"/>
        <w:autoSpaceDN w:val="0"/>
        <w:adjustRightInd w:val="0"/>
        <w:spacing w:after="0" w:line="240" w:lineRule="auto"/>
        <w:ind w:left="567" w:hanging="567"/>
        <w:rPr>
          <w:rFonts w:ascii="Times New Roman" w:hAnsi="Times New Roman"/>
        </w:rPr>
      </w:pPr>
      <w:r w:rsidRPr="00C92D72">
        <w:rPr>
          <w:rFonts w:ascii="Times New Roman" w:hAnsi="Times New Roman"/>
        </w:rPr>
        <w:t>Túto písomnú informáciu si uschovajte. Možno bude potrebné, aby ste si ju znovu prečítali.</w:t>
      </w:r>
    </w:p>
    <w:p w14:paraId="0B5F7FD0" w14:textId="77777777" w:rsidR="00E9338E" w:rsidRPr="00C92D72" w:rsidRDefault="00E9338E" w:rsidP="00E9338E">
      <w:pPr>
        <w:widowControl w:val="0"/>
        <w:numPr>
          <w:ilvl w:val="0"/>
          <w:numId w:val="2"/>
        </w:numPr>
        <w:tabs>
          <w:tab w:val="left" w:pos="567"/>
        </w:tabs>
        <w:autoSpaceDE w:val="0"/>
        <w:autoSpaceDN w:val="0"/>
        <w:adjustRightInd w:val="0"/>
        <w:spacing w:after="0" w:line="240" w:lineRule="auto"/>
        <w:ind w:left="567" w:hanging="567"/>
        <w:rPr>
          <w:rFonts w:ascii="Times New Roman" w:hAnsi="Times New Roman"/>
        </w:rPr>
      </w:pPr>
      <w:r w:rsidRPr="00C92D72">
        <w:rPr>
          <w:rFonts w:ascii="Times New Roman" w:hAnsi="Times New Roman"/>
        </w:rPr>
        <w:t>Ak máte akékoľvek ďalšie otázky, obráťte sa na svojho lekára alebo lekárnika.</w:t>
      </w:r>
    </w:p>
    <w:p w14:paraId="69B70D93" w14:textId="77777777" w:rsidR="00E9338E" w:rsidRPr="00C92D72" w:rsidRDefault="00E9338E" w:rsidP="00E9338E">
      <w:pPr>
        <w:widowControl w:val="0"/>
        <w:numPr>
          <w:ilvl w:val="0"/>
          <w:numId w:val="2"/>
        </w:numPr>
        <w:tabs>
          <w:tab w:val="left" w:pos="567"/>
        </w:tabs>
        <w:autoSpaceDE w:val="0"/>
        <w:autoSpaceDN w:val="0"/>
        <w:adjustRightInd w:val="0"/>
        <w:spacing w:after="0" w:line="240" w:lineRule="auto"/>
        <w:ind w:left="567" w:hanging="567"/>
        <w:rPr>
          <w:rFonts w:ascii="Times New Roman" w:hAnsi="Times New Roman"/>
        </w:rPr>
      </w:pPr>
      <w:r w:rsidRPr="00C92D72">
        <w:rPr>
          <w:rFonts w:ascii="Times New Roman" w:hAnsi="Times New Roman"/>
        </w:rPr>
        <w:t>Tento liek bol predpísaný iba vám.</w:t>
      </w:r>
      <w:r w:rsidRPr="00C92D72">
        <w:rPr>
          <w:rFonts w:ascii="Times New Roman" w:hAnsi="Times New Roman"/>
          <w:spacing w:val="-4"/>
        </w:rPr>
        <w:t xml:space="preserve"> </w:t>
      </w:r>
      <w:r w:rsidRPr="00C92D72">
        <w:rPr>
          <w:rFonts w:ascii="Times New Roman" w:hAnsi="Times New Roman"/>
        </w:rPr>
        <w:t>Nedávajte ho nikomu inému.</w:t>
      </w:r>
      <w:r w:rsidRPr="00C92D72">
        <w:rPr>
          <w:rFonts w:ascii="Times New Roman" w:hAnsi="Times New Roman"/>
          <w:spacing w:val="-6"/>
        </w:rPr>
        <w:t xml:space="preserve"> </w:t>
      </w:r>
      <w:r w:rsidRPr="00C92D72">
        <w:rPr>
          <w:rFonts w:ascii="Times New Roman" w:hAnsi="Times New Roman"/>
        </w:rPr>
        <w:t>Môže mu uškodiť, dokonca aj vtedy, ak má rovnaké prejavy ochorenia ako vy.</w:t>
      </w:r>
    </w:p>
    <w:p w14:paraId="2E90B764" w14:textId="77777777" w:rsidR="00E9338E" w:rsidRPr="00C92D72" w:rsidRDefault="00E9338E" w:rsidP="00E9338E">
      <w:pPr>
        <w:widowControl w:val="0"/>
        <w:numPr>
          <w:ilvl w:val="0"/>
          <w:numId w:val="2"/>
        </w:numPr>
        <w:tabs>
          <w:tab w:val="left" w:pos="567"/>
        </w:tabs>
        <w:autoSpaceDE w:val="0"/>
        <w:autoSpaceDN w:val="0"/>
        <w:adjustRightInd w:val="0"/>
        <w:spacing w:after="0" w:line="240" w:lineRule="auto"/>
        <w:ind w:left="567" w:hanging="567"/>
        <w:rPr>
          <w:rFonts w:ascii="Times New Roman" w:hAnsi="Times New Roman"/>
        </w:rPr>
      </w:pPr>
      <w:r w:rsidRPr="00C92D72">
        <w:rPr>
          <w:rFonts w:ascii="Times New Roman" w:hAnsi="Times New Roman"/>
        </w:rPr>
        <w:t>Ak sa u vás vyskytne akýkoľvek vedľajší účinok, obráťte sa na svojho lekára alebo lekárnika. To sa týka aj akýchkoľvek vedľajších účinkov, ktoré nie sú uvedené v tejto písomnej informácii. Pozri časť 4.</w:t>
      </w:r>
    </w:p>
    <w:p w14:paraId="00D83BE4"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027E5507"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b/>
        </w:rPr>
      </w:pPr>
      <w:r w:rsidRPr="00C92D72">
        <w:rPr>
          <w:rFonts w:ascii="Times New Roman" w:hAnsi="Times New Roman"/>
          <w:b/>
        </w:rPr>
        <w:t>V tejto písomnej informácii sa dozviete</w:t>
      </w:r>
    </w:p>
    <w:p w14:paraId="43908DB0" w14:textId="77777777" w:rsidR="00E9338E" w:rsidRPr="00C92D72" w:rsidRDefault="00E9338E" w:rsidP="00E9338E">
      <w:pPr>
        <w:widowControl w:val="0"/>
        <w:tabs>
          <w:tab w:val="left" w:pos="567"/>
          <w:tab w:val="left" w:pos="680"/>
        </w:tabs>
        <w:autoSpaceDE w:val="0"/>
        <w:autoSpaceDN w:val="0"/>
        <w:adjustRightInd w:val="0"/>
        <w:spacing w:after="0" w:line="240" w:lineRule="auto"/>
        <w:rPr>
          <w:rFonts w:ascii="Times New Roman" w:hAnsi="Times New Roman"/>
        </w:rPr>
      </w:pPr>
      <w:r w:rsidRPr="00C92D72">
        <w:rPr>
          <w:rFonts w:ascii="Times New Roman" w:hAnsi="Times New Roman"/>
        </w:rPr>
        <w:t>1.</w:t>
      </w:r>
      <w:r w:rsidRPr="00C92D72">
        <w:rPr>
          <w:rFonts w:ascii="Times New Roman" w:hAnsi="Times New Roman"/>
        </w:rPr>
        <w:tab/>
        <w:t>Čo je Hemafer a na čo sa používa</w:t>
      </w:r>
    </w:p>
    <w:p w14:paraId="1B987B5B" w14:textId="77777777" w:rsidR="00E9338E" w:rsidRPr="00C92D72" w:rsidRDefault="00E9338E" w:rsidP="00E9338E">
      <w:pPr>
        <w:widowControl w:val="0"/>
        <w:tabs>
          <w:tab w:val="left" w:pos="567"/>
          <w:tab w:val="left" w:pos="680"/>
        </w:tabs>
        <w:autoSpaceDE w:val="0"/>
        <w:autoSpaceDN w:val="0"/>
        <w:adjustRightInd w:val="0"/>
        <w:spacing w:after="0" w:line="240" w:lineRule="auto"/>
        <w:rPr>
          <w:rFonts w:ascii="Times New Roman" w:hAnsi="Times New Roman"/>
          <w:spacing w:val="-5"/>
        </w:rPr>
      </w:pPr>
      <w:r w:rsidRPr="00C92D72">
        <w:rPr>
          <w:rFonts w:ascii="Times New Roman" w:hAnsi="Times New Roman"/>
        </w:rPr>
        <w:t>2.</w:t>
      </w:r>
      <w:r w:rsidRPr="00C92D72">
        <w:rPr>
          <w:rFonts w:ascii="Times New Roman" w:hAnsi="Times New Roman"/>
        </w:rPr>
        <w:tab/>
        <w:t>Čo potrebujete vedieť predtým, ako užijete Hemafer</w:t>
      </w:r>
    </w:p>
    <w:p w14:paraId="43C11831" w14:textId="77777777" w:rsidR="00E9338E" w:rsidRPr="00C92D72" w:rsidRDefault="00E9338E" w:rsidP="00E9338E">
      <w:pPr>
        <w:widowControl w:val="0"/>
        <w:tabs>
          <w:tab w:val="left" w:pos="567"/>
          <w:tab w:val="left" w:pos="680"/>
        </w:tabs>
        <w:autoSpaceDE w:val="0"/>
        <w:autoSpaceDN w:val="0"/>
        <w:adjustRightInd w:val="0"/>
        <w:spacing w:after="0" w:line="240" w:lineRule="auto"/>
        <w:rPr>
          <w:rFonts w:ascii="Times New Roman" w:hAnsi="Times New Roman"/>
        </w:rPr>
      </w:pPr>
      <w:r w:rsidRPr="00C92D72">
        <w:rPr>
          <w:rFonts w:ascii="Times New Roman" w:hAnsi="Times New Roman"/>
        </w:rPr>
        <w:t>3.</w:t>
      </w:r>
      <w:r w:rsidRPr="00C92D72">
        <w:rPr>
          <w:rFonts w:ascii="Times New Roman" w:hAnsi="Times New Roman"/>
        </w:rPr>
        <w:tab/>
        <w:t>Ako užívať Hemafer</w:t>
      </w:r>
      <w:r w:rsidRPr="00C92D72">
        <w:rPr>
          <w:rFonts w:ascii="Times New Roman" w:hAnsi="Times New Roman"/>
          <w:spacing w:val="-4"/>
        </w:rPr>
        <w:t xml:space="preserve"> </w:t>
      </w:r>
    </w:p>
    <w:p w14:paraId="61C9EA3D" w14:textId="77777777" w:rsidR="00E9338E" w:rsidRPr="00C92D72" w:rsidRDefault="00E9338E" w:rsidP="00E9338E">
      <w:pPr>
        <w:widowControl w:val="0"/>
        <w:tabs>
          <w:tab w:val="left" w:pos="567"/>
          <w:tab w:val="left" w:pos="680"/>
        </w:tabs>
        <w:autoSpaceDE w:val="0"/>
        <w:autoSpaceDN w:val="0"/>
        <w:adjustRightInd w:val="0"/>
        <w:spacing w:after="0" w:line="240" w:lineRule="auto"/>
        <w:rPr>
          <w:rFonts w:ascii="Times New Roman" w:hAnsi="Times New Roman"/>
        </w:rPr>
      </w:pPr>
      <w:r w:rsidRPr="00C92D72">
        <w:rPr>
          <w:rFonts w:ascii="Times New Roman" w:hAnsi="Times New Roman"/>
        </w:rPr>
        <w:t>4.</w:t>
      </w:r>
      <w:r w:rsidRPr="00C92D72">
        <w:rPr>
          <w:rFonts w:ascii="Times New Roman" w:hAnsi="Times New Roman"/>
        </w:rPr>
        <w:tab/>
        <w:t>Možné vedľajšie účinky</w:t>
      </w:r>
    </w:p>
    <w:p w14:paraId="1A2C0938" w14:textId="77777777" w:rsidR="00E9338E" w:rsidRPr="00C92D72" w:rsidRDefault="00E9338E" w:rsidP="00E9338E">
      <w:pPr>
        <w:widowControl w:val="0"/>
        <w:tabs>
          <w:tab w:val="left" w:pos="567"/>
          <w:tab w:val="left" w:pos="680"/>
        </w:tabs>
        <w:autoSpaceDE w:val="0"/>
        <w:autoSpaceDN w:val="0"/>
        <w:adjustRightInd w:val="0"/>
        <w:spacing w:after="0" w:line="240" w:lineRule="auto"/>
        <w:rPr>
          <w:rFonts w:ascii="Times New Roman" w:hAnsi="Times New Roman"/>
          <w:spacing w:val="-4"/>
        </w:rPr>
      </w:pPr>
      <w:r w:rsidRPr="00C92D72">
        <w:rPr>
          <w:rFonts w:ascii="Times New Roman" w:hAnsi="Times New Roman"/>
        </w:rPr>
        <w:t>5.</w:t>
      </w:r>
      <w:r w:rsidRPr="00C92D72">
        <w:rPr>
          <w:rFonts w:ascii="Times New Roman" w:hAnsi="Times New Roman"/>
        </w:rPr>
        <w:tab/>
        <w:t xml:space="preserve">Ako uchovávať Hemafer </w:t>
      </w:r>
    </w:p>
    <w:p w14:paraId="266A61C4" w14:textId="77777777" w:rsidR="00E9338E" w:rsidRPr="00C92D72" w:rsidRDefault="00E9338E" w:rsidP="00E9338E">
      <w:pPr>
        <w:widowControl w:val="0"/>
        <w:tabs>
          <w:tab w:val="left" w:pos="567"/>
          <w:tab w:val="left" w:pos="680"/>
        </w:tabs>
        <w:autoSpaceDE w:val="0"/>
        <w:autoSpaceDN w:val="0"/>
        <w:adjustRightInd w:val="0"/>
        <w:spacing w:after="0" w:line="240" w:lineRule="auto"/>
        <w:rPr>
          <w:rFonts w:ascii="Times New Roman" w:hAnsi="Times New Roman"/>
        </w:rPr>
      </w:pPr>
      <w:r w:rsidRPr="00C92D72">
        <w:rPr>
          <w:rFonts w:ascii="Times New Roman" w:hAnsi="Times New Roman"/>
        </w:rPr>
        <w:t>6.</w:t>
      </w:r>
      <w:r w:rsidRPr="00C92D72">
        <w:rPr>
          <w:rFonts w:ascii="Times New Roman" w:hAnsi="Times New Roman"/>
        </w:rPr>
        <w:tab/>
        <w:t>Obsah balenia a ďalšie informácie</w:t>
      </w:r>
    </w:p>
    <w:p w14:paraId="5A356D6D" w14:textId="77777777" w:rsidR="00E9338E" w:rsidRPr="00C92D72" w:rsidRDefault="00E9338E" w:rsidP="00E9338E">
      <w:pPr>
        <w:widowControl w:val="0"/>
        <w:tabs>
          <w:tab w:val="left" w:pos="567"/>
          <w:tab w:val="left" w:pos="680"/>
        </w:tabs>
        <w:autoSpaceDE w:val="0"/>
        <w:autoSpaceDN w:val="0"/>
        <w:adjustRightInd w:val="0"/>
        <w:spacing w:after="0" w:line="240" w:lineRule="auto"/>
        <w:rPr>
          <w:rFonts w:ascii="Times New Roman" w:hAnsi="Times New Roman"/>
        </w:rPr>
      </w:pPr>
    </w:p>
    <w:p w14:paraId="4EB3C48A" w14:textId="77777777" w:rsidR="00E9338E" w:rsidRPr="00C92D72" w:rsidRDefault="00E9338E" w:rsidP="00E9338E">
      <w:pPr>
        <w:widowControl w:val="0"/>
        <w:tabs>
          <w:tab w:val="left" w:pos="567"/>
          <w:tab w:val="left" w:pos="680"/>
        </w:tabs>
        <w:autoSpaceDE w:val="0"/>
        <w:autoSpaceDN w:val="0"/>
        <w:adjustRightInd w:val="0"/>
        <w:spacing w:after="0" w:line="240" w:lineRule="auto"/>
        <w:rPr>
          <w:rFonts w:ascii="Times New Roman" w:hAnsi="Times New Roman"/>
        </w:rPr>
      </w:pPr>
    </w:p>
    <w:p w14:paraId="6187C915" w14:textId="77777777" w:rsidR="00E9338E" w:rsidRPr="00C92D72" w:rsidRDefault="00E9338E" w:rsidP="00E9338E">
      <w:pPr>
        <w:widowControl w:val="0"/>
        <w:tabs>
          <w:tab w:val="left" w:pos="567"/>
          <w:tab w:val="left" w:pos="680"/>
        </w:tabs>
        <w:autoSpaceDE w:val="0"/>
        <w:autoSpaceDN w:val="0"/>
        <w:adjustRightInd w:val="0"/>
        <w:spacing w:after="0" w:line="240" w:lineRule="auto"/>
        <w:rPr>
          <w:rFonts w:ascii="Times New Roman" w:hAnsi="Times New Roman"/>
          <w:b/>
          <w:bCs/>
        </w:rPr>
      </w:pPr>
      <w:r w:rsidRPr="00C92D72">
        <w:rPr>
          <w:rFonts w:ascii="Times New Roman" w:hAnsi="Times New Roman"/>
          <w:b/>
        </w:rPr>
        <w:t>1.</w:t>
      </w:r>
      <w:r w:rsidRPr="00C92D72">
        <w:rPr>
          <w:rFonts w:ascii="Times New Roman" w:hAnsi="Times New Roman"/>
          <w:b/>
        </w:rPr>
        <w:tab/>
        <w:t>Čo je Hemafer a na čo sa používa</w:t>
      </w:r>
    </w:p>
    <w:p w14:paraId="313A1A80" w14:textId="77777777" w:rsidR="00E9338E" w:rsidRPr="00C92D72" w:rsidRDefault="00E9338E" w:rsidP="00E9338E">
      <w:pPr>
        <w:widowControl w:val="0"/>
        <w:tabs>
          <w:tab w:val="left" w:pos="567"/>
          <w:tab w:val="left" w:pos="680"/>
        </w:tabs>
        <w:autoSpaceDE w:val="0"/>
        <w:autoSpaceDN w:val="0"/>
        <w:adjustRightInd w:val="0"/>
        <w:spacing w:after="0" w:line="240" w:lineRule="auto"/>
        <w:rPr>
          <w:rFonts w:ascii="Times New Roman" w:hAnsi="Times New Roman"/>
        </w:rPr>
      </w:pPr>
    </w:p>
    <w:p w14:paraId="1D175B3F" w14:textId="1AEC7988"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Hemafer obsahuje lieči</w:t>
      </w:r>
      <w:r w:rsidR="00776A23">
        <w:rPr>
          <w:rFonts w:ascii="Times New Roman" w:hAnsi="Times New Roman"/>
        </w:rPr>
        <w:t>vo</w:t>
      </w:r>
      <w:r w:rsidRPr="00C92D72">
        <w:rPr>
          <w:rFonts w:ascii="Times New Roman" w:hAnsi="Times New Roman"/>
        </w:rPr>
        <w:t xml:space="preserve"> železo, a to vo forme komplexu hydroxidu železitého a polymaltózy. </w:t>
      </w:r>
    </w:p>
    <w:p w14:paraId="241442F3"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Železo je esenciálny prvok potrebný na za</w:t>
      </w:r>
      <w:r w:rsidR="00F51C3A">
        <w:rPr>
          <w:rFonts w:ascii="Times New Roman" w:hAnsi="Times New Roman"/>
        </w:rPr>
        <w:t>bezpeče</w:t>
      </w:r>
      <w:r w:rsidRPr="00C92D72">
        <w:rPr>
          <w:rFonts w:ascii="Times New Roman" w:hAnsi="Times New Roman"/>
        </w:rPr>
        <w:t>nie schopnosti hemoglobínu (červené farbivo v</w:t>
      </w:r>
      <w:r w:rsidR="00F51C3A">
        <w:rPr>
          <w:rFonts w:ascii="Times New Roman" w:hAnsi="Times New Roman"/>
        </w:rPr>
        <w:t> </w:t>
      </w:r>
      <w:r w:rsidRPr="00C92D72">
        <w:rPr>
          <w:rFonts w:ascii="Times New Roman" w:hAnsi="Times New Roman"/>
        </w:rPr>
        <w:t>krvných bunkách) a myoglobínu (červené farbivo vo svalových tkanivách) prenášať kyslík. Pri</w:t>
      </w:r>
      <w:r w:rsidR="00F51C3A">
        <w:rPr>
          <w:rFonts w:ascii="Times New Roman" w:hAnsi="Times New Roman"/>
        </w:rPr>
        <w:t> </w:t>
      </w:r>
      <w:r w:rsidRPr="00C92D72">
        <w:rPr>
          <w:rFonts w:ascii="Times New Roman" w:hAnsi="Times New Roman"/>
        </w:rPr>
        <w:t>nedostatku železa je znížený obsah farbiva a v prípade, že nedostatok železa pretrváva, objaví sa anémia (málokrvnosť) z nedostatku železa (nízka hladina hemoglobínu a úbytok červených krviniek).</w:t>
      </w:r>
    </w:p>
    <w:p w14:paraId="38592D8F"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50359327"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 xml:space="preserve">Hemafer sa používa </w:t>
      </w:r>
      <w:r w:rsidR="00F51C3A">
        <w:rPr>
          <w:rFonts w:ascii="Times New Roman" w:hAnsi="Times New Roman"/>
        </w:rPr>
        <w:t>na</w:t>
      </w:r>
      <w:r w:rsidRPr="00C92D72">
        <w:rPr>
          <w:rFonts w:ascii="Times New Roman" w:hAnsi="Times New Roman"/>
        </w:rPr>
        <w:t xml:space="preserve"> liečb</w:t>
      </w:r>
      <w:r w:rsidR="00F51C3A">
        <w:rPr>
          <w:rFonts w:ascii="Times New Roman" w:hAnsi="Times New Roman"/>
        </w:rPr>
        <w:t>u</w:t>
      </w:r>
      <w:r w:rsidRPr="00C92D72">
        <w:rPr>
          <w:rFonts w:ascii="Times New Roman" w:hAnsi="Times New Roman"/>
        </w:rPr>
        <w:t xml:space="preserve"> nedostatku železa u dospelých a dospievajúcich </w:t>
      </w:r>
      <w:r w:rsidR="00F51C3A">
        <w:rPr>
          <w:rFonts w:ascii="Times New Roman" w:hAnsi="Times New Roman"/>
        </w:rPr>
        <w:t>vo veku viac</w:t>
      </w:r>
      <w:r w:rsidRPr="00C92D72">
        <w:rPr>
          <w:rFonts w:ascii="Times New Roman" w:hAnsi="Times New Roman"/>
        </w:rPr>
        <w:t xml:space="preserve"> ako 12 rokov.</w:t>
      </w:r>
    </w:p>
    <w:p w14:paraId="325B0E98"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iCs/>
        </w:rPr>
      </w:pPr>
    </w:p>
    <w:p w14:paraId="6A4BA55F"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iCs/>
        </w:rPr>
      </w:pPr>
    </w:p>
    <w:p w14:paraId="73142AA4" w14:textId="77777777" w:rsidR="00E9338E" w:rsidRPr="00C92D72" w:rsidRDefault="00E9338E" w:rsidP="00E9338E">
      <w:pPr>
        <w:widowControl w:val="0"/>
        <w:tabs>
          <w:tab w:val="left" w:pos="567"/>
          <w:tab w:val="left" w:pos="680"/>
        </w:tabs>
        <w:autoSpaceDE w:val="0"/>
        <w:autoSpaceDN w:val="0"/>
        <w:adjustRightInd w:val="0"/>
        <w:spacing w:after="0" w:line="240" w:lineRule="auto"/>
        <w:rPr>
          <w:rFonts w:ascii="Times New Roman" w:hAnsi="Times New Roman"/>
        </w:rPr>
      </w:pPr>
      <w:r w:rsidRPr="00C92D72">
        <w:rPr>
          <w:rFonts w:ascii="Times New Roman" w:hAnsi="Times New Roman"/>
          <w:b/>
        </w:rPr>
        <w:t>2.</w:t>
      </w:r>
      <w:r w:rsidRPr="00C92D72">
        <w:rPr>
          <w:rFonts w:ascii="Times New Roman" w:hAnsi="Times New Roman"/>
          <w:b/>
        </w:rPr>
        <w:tab/>
        <w:t>Čo potrebujete vedieť predtým, ako užijete Hemafer</w:t>
      </w:r>
      <w:r w:rsidRPr="00C92D72">
        <w:rPr>
          <w:rFonts w:ascii="Times New Roman" w:hAnsi="Times New Roman"/>
        </w:rPr>
        <w:t xml:space="preserve"> </w:t>
      </w:r>
    </w:p>
    <w:p w14:paraId="67B4BC74"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1BAE971E"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b/>
        </w:rPr>
        <w:t xml:space="preserve">Neužívajte Hemafer </w:t>
      </w:r>
    </w:p>
    <w:p w14:paraId="13E81FBC" w14:textId="77777777" w:rsidR="00E9338E" w:rsidRPr="00C92D72" w:rsidRDefault="00E9338E" w:rsidP="00E9338E">
      <w:pPr>
        <w:widowControl w:val="0"/>
        <w:numPr>
          <w:ilvl w:val="0"/>
          <w:numId w:val="1"/>
        </w:numPr>
        <w:tabs>
          <w:tab w:val="left" w:pos="567"/>
        </w:tabs>
        <w:autoSpaceDE w:val="0"/>
        <w:autoSpaceDN w:val="0"/>
        <w:adjustRightInd w:val="0"/>
        <w:spacing w:after="0" w:line="240" w:lineRule="auto"/>
        <w:ind w:left="567" w:hanging="567"/>
        <w:rPr>
          <w:rFonts w:ascii="Times New Roman" w:hAnsi="Times New Roman"/>
        </w:rPr>
      </w:pPr>
      <w:r w:rsidRPr="00C92D72">
        <w:rPr>
          <w:rFonts w:ascii="Times New Roman" w:hAnsi="Times New Roman"/>
        </w:rPr>
        <w:t>ak ste alergick</w:t>
      </w:r>
      <w:r w:rsidR="004278E9">
        <w:rPr>
          <w:rFonts w:ascii="Times New Roman" w:hAnsi="Times New Roman"/>
        </w:rPr>
        <w:t>ý</w:t>
      </w:r>
      <w:r w:rsidRPr="00C92D72">
        <w:rPr>
          <w:rFonts w:ascii="Times New Roman" w:hAnsi="Times New Roman"/>
        </w:rPr>
        <w:t xml:space="preserve"> na </w:t>
      </w:r>
      <w:r w:rsidR="00573EB7">
        <w:rPr>
          <w:rFonts w:ascii="Times New Roman" w:hAnsi="Times New Roman"/>
        </w:rPr>
        <w:t>liečivo</w:t>
      </w:r>
      <w:r w:rsidRPr="00C92D72">
        <w:rPr>
          <w:rFonts w:ascii="Times New Roman" w:hAnsi="Times New Roman"/>
        </w:rPr>
        <w:t xml:space="preserve"> alebo na ktorúkoľvek z ďalších zložiek tohto lieku (uvedených v časti 6),</w:t>
      </w:r>
    </w:p>
    <w:p w14:paraId="4B162DDD" w14:textId="77777777" w:rsidR="00E9338E" w:rsidRPr="00C92D72" w:rsidRDefault="00E9338E" w:rsidP="00E9338E">
      <w:pPr>
        <w:widowControl w:val="0"/>
        <w:numPr>
          <w:ilvl w:val="0"/>
          <w:numId w:val="1"/>
        </w:numPr>
        <w:tabs>
          <w:tab w:val="left" w:pos="567"/>
        </w:tabs>
        <w:autoSpaceDE w:val="0"/>
        <w:autoSpaceDN w:val="0"/>
        <w:adjustRightInd w:val="0"/>
        <w:spacing w:after="0" w:line="240" w:lineRule="auto"/>
        <w:ind w:left="567" w:hanging="567"/>
        <w:rPr>
          <w:rFonts w:ascii="Times New Roman" w:hAnsi="Times New Roman"/>
        </w:rPr>
      </w:pPr>
      <w:r w:rsidRPr="00C92D72">
        <w:rPr>
          <w:rFonts w:ascii="Times New Roman" w:hAnsi="Times New Roman"/>
        </w:rPr>
        <w:t>ak vo vašom tele je nadbytok železa (napr. pri hemochromatóze alebo hemosideróze),</w:t>
      </w:r>
    </w:p>
    <w:p w14:paraId="2CEA4476" w14:textId="77777777" w:rsidR="00E9338E" w:rsidRPr="00C92D72" w:rsidRDefault="00E9338E" w:rsidP="00E9338E">
      <w:pPr>
        <w:widowControl w:val="0"/>
        <w:numPr>
          <w:ilvl w:val="0"/>
          <w:numId w:val="1"/>
        </w:numPr>
        <w:tabs>
          <w:tab w:val="left" w:pos="567"/>
        </w:tabs>
        <w:autoSpaceDE w:val="0"/>
        <w:autoSpaceDN w:val="0"/>
        <w:adjustRightInd w:val="0"/>
        <w:spacing w:after="0" w:line="240" w:lineRule="auto"/>
        <w:ind w:left="567" w:hanging="567"/>
        <w:rPr>
          <w:rFonts w:ascii="Times New Roman" w:hAnsi="Times New Roman"/>
        </w:rPr>
      </w:pPr>
      <w:r w:rsidRPr="00C92D72">
        <w:rPr>
          <w:rFonts w:ascii="Times New Roman" w:hAnsi="Times New Roman"/>
        </w:rPr>
        <w:t>ak máte ťažkosti so vstrebávaním železa v tele (napr. talasémia),</w:t>
      </w:r>
    </w:p>
    <w:p w14:paraId="32514027" w14:textId="0D152E33" w:rsidR="00E9338E" w:rsidRPr="00C92D72" w:rsidRDefault="00E9338E" w:rsidP="00E9338E">
      <w:pPr>
        <w:widowControl w:val="0"/>
        <w:numPr>
          <w:ilvl w:val="0"/>
          <w:numId w:val="1"/>
        </w:numPr>
        <w:tabs>
          <w:tab w:val="left" w:pos="567"/>
        </w:tabs>
        <w:autoSpaceDE w:val="0"/>
        <w:autoSpaceDN w:val="0"/>
        <w:adjustRightInd w:val="0"/>
        <w:spacing w:after="0" w:line="240" w:lineRule="auto"/>
        <w:ind w:left="567" w:hanging="567"/>
        <w:rPr>
          <w:rFonts w:ascii="Times New Roman" w:hAnsi="Times New Roman"/>
        </w:rPr>
      </w:pPr>
      <w:r w:rsidRPr="00C92D72">
        <w:rPr>
          <w:rFonts w:ascii="Times New Roman" w:hAnsi="Times New Roman"/>
        </w:rPr>
        <w:t>ak máte anémiu (málokrvnosť)</w:t>
      </w:r>
      <w:r w:rsidR="00573EB7">
        <w:rPr>
          <w:rFonts w:ascii="Times New Roman" w:hAnsi="Times New Roman"/>
        </w:rPr>
        <w:t xml:space="preserve">, ktorá nie je </w:t>
      </w:r>
      <w:r w:rsidRPr="00C92D72">
        <w:rPr>
          <w:rFonts w:ascii="Times New Roman" w:hAnsi="Times New Roman"/>
        </w:rPr>
        <w:t>zapríčinen</w:t>
      </w:r>
      <w:r w:rsidR="00573EB7">
        <w:rPr>
          <w:rFonts w:ascii="Times New Roman" w:hAnsi="Times New Roman"/>
        </w:rPr>
        <w:t>á</w:t>
      </w:r>
      <w:r w:rsidRPr="00C92D72">
        <w:rPr>
          <w:rFonts w:ascii="Times New Roman" w:hAnsi="Times New Roman"/>
        </w:rPr>
        <w:t xml:space="preserve"> nedostatkom železa (napr. hemolytická anémia </w:t>
      </w:r>
      <w:r w:rsidRPr="00C92D72">
        <w:rPr>
          <w:rFonts w:ascii="Times New Roman" w:hAnsi="Times New Roman"/>
          <w:cs/>
        </w:rPr>
        <w:t xml:space="preserve">– </w:t>
      </w:r>
      <w:r w:rsidR="00C73C41">
        <w:rPr>
          <w:rFonts w:ascii="Times New Roman" w:hAnsi="Times New Roman"/>
          <w:cs/>
        </w:rPr>
        <w:t xml:space="preserve">vzniká </w:t>
      </w:r>
      <w:r w:rsidRPr="00C92D72">
        <w:rPr>
          <w:rFonts w:ascii="Times New Roman" w:hAnsi="Times New Roman"/>
        </w:rPr>
        <w:t>v dôsledku hemolýzy</w:t>
      </w:r>
      <w:r w:rsidR="00C73C41">
        <w:rPr>
          <w:rFonts w:ascii="Times New Roman" w:hAnsi="Times New Roman"/>
        </w:rPr>
        <w:t>,</w:t>
      </w:r>
      <w:r w:rsidRPr="00C92D72">
        <w:rPr>
          <w:rFonts w:ascii="Times New Roman" w:hAnsi="Times New Roman"/>
        </w:rPr>
        <w:t xml:space="preserve"> </w:t>
      </w:r>
      <w:r w:rsidR="006E0EC9">
        <w:rPr>
          <w:rFonts w:ascii="Times New Roman" w:hAnsi="Times New Roman"/>
        </w:rPr>
        <w:t>nadmerný</w:t>
      </w:r>
      <w:r w:rsidR="006E0EC9" w:rsidRPr="00C92D72">
        <w:rPr>
          <w:rFonts w:ascii="Times New Roman" w:hAnsi="Times New Roman"/>
        </w:rPr>
        <w:t xml:space="preserve"> </w:t>
      </w:r>
      <w:r w:rsidRPr="00C92D72">
        <w:rPr>
          <w:rFonts w:ascii="Times New Roman" w:hAnsi="Times New Roman"/>
        </w:rPr>
        <w:t>rozpad červených krviniek</w:t>
      </w:r>
      <w:r w:rsidR="00C73C41">
        <w:rPr>
          <w:rFonts w:ascii="Times New Roman" w:hAnsi="Times New Roman"/>
        </w:rPr>
        <w:t xml:space="preserve"> –</w:t>
      </w:r>
      <w:r w:rsidRPr="00C92D72">
        <w:rPr>
          <w:rFonts w:ascii="Times New Roman" w:hAnsi="Times New Roman"/>
        </w:rPr>
        <w:t xml:space="preserve"> alebo megaloblastick</w:t>
      </w:r>
      <w:r w:rsidR="00C73C41">
        <w:rPr>
          <w:rFonts w:ascii="Times New Roman" w:hAnsi="Times New Roman"/>
        </w:rPr>
        <w:t>á</w:t>
      </w:r>
      <w:r w:rsidRPr="00C92D72">
        <w:rPr>
          <w:rFonts w:ascii="Times New Roman" w:hAnsi="Times New Roman"/>
        </w:rPr>
        <w:t xml:space="preserve"> anémi</w:t>
      </w:r>
      <w:r w:rsidR="00C73C41">
        <w:rPr>
          <w:rFonts w:ascii="Times New Roman" w:hAnsi="Times New Roman"/>
        </w:rPr>
        <w:t>a</w:t>
      </w:r>
      <w:r w:rsidRPr="00C92D72">
        <w:rPr>
          <w:rFonts w:ascii="Times New Roman" w:hAnsi="Times New Roman"/>
        </w:rPr>
        <w:t xml:space="preserve"> </w:t>
      </w:r>
      <w:r w:rsidRPr="00C92D72">
        <w:rPr>
          <w:rFonts w:ascii="Times New Roman" w:hAnsi="Times New Roman"/>
          <w:cs/>
        </w:rPr>
        <w:t xml:space="preserve">– </w:t>
      </w:r>
      <w:r w:rsidRPr="00C92D72">
        <w:rPr>
          <w:rFonts w:ascii="Times New Roman" w:hAnsi="Times New Roman"/>
        </w:rPr>
        <w:t>poruch</w:t>
      </w:r>
      <w:r w:rsidR="00C73C41">
        <w:rPr>
          <w:rFonts w:ascii="Times New Roman" w:hAnsi="Times New Roman"/>
        </w:rPr>
        <w:t>a</w:t>
      </w:r>
      <w:r w:rsidRPr="00C92D72">
        <w:rPr>
          <w:rFonts w:ascii="Times New Roman" w:hAnsi="Times New Roman"/>
        </w:rPr>
        <w:t xml:space="preserve"> krvi s veľmi veľkými červenými krvinkami).</w:t>
      </w:r>
    </w:p>
    <w:p w14:paraId="7216F779" w14:textId="77777777" w:rsidR="00E9338E" w:rsidRPr="00C92D72" w:rsidRDefault="00E9338E" w:rsidP="00E9338E">
      <w:pPr>
        <w:pStyle w:val="Default"/>
        <w:tabs>
          <w:tab w:val="left" w:pos="567"/>
        </w:tabs>
        <w:rPr>
          <w:color w:val="auto"/>
          <w:sz w:val="22"/>
          <w:szCs w:val="22"/>
        </w:rPr>
      </w:pPr>
    </w:p>
    <w:p w14:paraId="7620DEF4" w14:textId="77777777" w:rsidR="00E9338E" w:rsidRPr="00C92D72" w:rsidRDefault="00E9338E" w:rsidP="00E9338E">
      <w:pPr>
        <w:widowControl w:val="0"/>
        <w:tabs>
          <w:tab w:val="left" w:pos="567"/>
          <w:tab w:val="left" w:pos="680"/>
        </w:tabs>
        <w:autoSpaceDE w:val="0"/>
        <w:autoSpaceDN w:val="0"/>
        <w:adjustRightInd w:val="0"/>
        <w:spacing w:after="0" w:line="240" w:lineRule="auto"/>
        <w:rPr>
          <w:rFonts w:ascii="Times New Roman" w:hAnsi="Times New Roman"/>
          <w:b/>
        </w:rPr>
      </w:pPr>
      <w:r w:rsidRPr="00C92D72">
        <w:rPr>
          <w:rFonts w:ascii="Times New Roman" w:hAnsi="Times New Roman"/>
          <w:b/>
        </w:rPr>
        <w:t>Upozornenia a opatrenia</w:t>
      </w:r>
    </w:p>
    <w:p w14:paraId="66163C89"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Predtým, ako začnete užívať Hemafer, obráťte sa na svojho lekára alebo lekárnika.</w:t>
      </w:r>
    </w:p>
    <w:p w14:paraId="7E1D4462"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Anémia (málokrvnosť) môže byť spôsobená infekciami a nádormi. Železo sa nemôže užívať, pokiaľ sa nevylieči primárna choroba. Porozprávajte sa so svojím lekárom, ak máte chronickú infekciu alebo nádor.</w:t>
      </w:r>
    </w:p>
    <w:p w14:paraId="43D56407"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Počas liečby Hemafer</w:t>
      </w:r>
      <w:r w:rsidR="005100C5">
        <w:rPr>
          <w:rFonts w:ascii="Times New Roman" w:hAnsi="Times New Roman"/>
        </w:rPr>
        <w:t>om</w:t>
      </w:r>
      <w:r w:rsidRPr="00C92D72">
        <w:rPr>
          <w:rFonts w:ascii="Times New Roman" w:hAnsi="Times New Roman"/>
        </w:rPr>
        <w:t xml:space="preserve"> sa môže stolica sfarbiť na tmavo, čo </w:t>
      </w:r>
      <w:r w:rsidR="005100C5">
        <w:rPr>
          <w:rFonts w:ascii="Times New Roman" w:hAnsi="Times New Roman"/>
        </w:rPr>
        <w:t xml:space="preserve">nie </w:t>
      </w:r>
      <w:r w:rsidRPr="00C92D72">
        <w:rPr>
          <w:rFonts w:ascii="Times New Roman" w:hAnsi="Times New Roman"/>
        </w:rPr>
        <w:t xml:space="preserve">je </w:t>
      </w:r>
      <w:r w:rsidR="005100C5">
        <w:rPr>
          <w:rFonts w:ascii="Times New Roman" w:hAnsi="Times New Roman"/>
        </w:rPr>
        <w:t>nebezpečné</w:t>
      </w:r>
      <w:r w:rsidRPr="00C92D72">
        <w:rPr>
          <w:rFonts w:ascii="Times New Roman" w:hAnsi="Times New Roman"/>
        </w:rPr>
        <w:t>.</w:t>
      </w:r>
    </w:p>
    <w:p w14:paraId="6C6B4744" w14:textId="77777777" w:rsidR="00E9338E" w:rsidRPr="00C92D72" w:rsidRDefault="00456EF7" w:rsidP="00E9338E">
      <w:pPr>
        <w:widowControl w:val="0"/>
        <w:tabs>
          <w:tab w:val="left" w:pos="567"/>
        </w:tabs>
        <w:autoSpaceDE w:val="0"/>
        <w:autoSpaceDN w:val="0"/>
        <w:adjustRightInd w:val="0"/>
        <w:spacing w:after="0" w:line="240" w:lineRule="auto"/>
        <w:rPr>
          <w:rFonts w:ascii="Times New Roman" w:hAnsi="Times New Roman"/>
        </w:rPr>
      </w:pPr>
      <w:r>
        <w:rPr>
          <w:rFonts w:ascii="Times New Roman" w:hAnsi="Times New Roman"/>
        </w:rPr>
        <w:t>Lie</w:t>
      </w:r>
      <w:r w:rsidR="00E9338E" w:rsidRPr="00C92D72">
        <w:rPr>
          <w:rFonts w:ascii="Times New Roman" w:hAnsi="Times New Roman"/>
        </w:rPr>
        <w:t>ky obsahujúce železo môžu spôsobiť otravu, najmä u detí. Ak užívate železo ako výživový doplnok, povedzte to svojmu lekárovi.</w:t>
      </w:r>
    </w:p>
    <w:p w14:paraId="6A99FD07"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308CE32A" w14:textId="77777777" w:rsidR="00E9338E" w:rsidRPr="00C92D72" w:rsidRDefault="00E9338E" w:rsidP="00E9338E">
      <w:pPr>
        <w:numPr>
          <w:ilvl w:val="12"/>
          <w:numId w:val="0"/>
        </w:numPr>
        <w:tabs>
          <w:tab w:val="left" w:pos="567"/>
        </w:tabs>
        <w:spacing w:after="0" w:line="240" w:lineRule="auto"/>
        <w:rPr>
          <w:rFonts w:ascii="Times New Roman" w:hAnsi="Times New Roman"/>
          <w:b/>
          <w:bCs/>
        </w:rPr>
      </w:pPr>
      <w:r w:rsidRPr="00C92D72">
        <w:rPr>
          <w:rFonts w:ascii="Times New Roman" w:hAnsi="Times New Roman"/>
          <w:b/>
        </w:rPr>
        <w:lastRenderedPageBreak/>
        <w:t>Deti</w:t>
      </w:r>
    </w:p>
    <w:p w14:paraId="27F39222" w14:textId="77777777" w:rsidR="00E9338E" w:rsidRPr="00C92D72" w:rsidRDefault="00E9338E" w:rsidP="00E9338E">
      <w:pPr>
        <w:numPr>
          <w:ilvl w:val="12"/>
          <w:numId w:val="0"/>
        </w:numPr>
        <w:tabs>
          <w:tab w:val="left" w:pos="567"/>
        </w:tabs>
        <w:spacing w:after="0" w:line="240" w:lineRule="auto"/>
        <w:rPr>
          <w:rFonts w:ascii="Times New Roman" w:hAnsi="Times New Roman"/>
          <w:bCs/>
        </w:rPr>
      </w:pPr>
      <w:r w:rsidRPr="00C92D72">
        <w:rPr>
          <w:rFonts w:ascii="Times New Roman" w:hAnsi="Times New Roman"/>
        </w:rPr>
        <w:t>Hemafer 100 mg žuvacie tablety nie sú určené deťom vo veku 12 rokov a mladším.</w:t>
      </w:r>
    </w:p>
    <w:p w14:paraId="4639EDF4"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376A8E0C"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b/>
        </w:rPr>
      </w:pPr>
      <w:r w:rsidRPr="00C92D72">
        <w:rPr>
          <w:rFonts w:ascii="Times New Roman" w:hAnsi="Times New Roman"/>
          <w:b/>
        </w:rPr>
        <w:t>Iné lieky a Hemafer</w:t>
      </w:r>
    </w:p>
    <w:p w14:paraId="0DD82520"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Ak teraz užívate alebo ste v poslednom čase užívali, či práve budete užívať ďalšie lieky, povedzte to svojmu lekárovi alebo lekárnikovi.</w:t>
      </w:r>
    </w:p>
    <w:p w14:paraId="3814EA08"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Nem</w:t>
      </w:r>
      <w:r w:rsidR="00456EF7">
        <w:rPr>
          <w:rFonts w:ascii="Times New Roman" w:hAnsi="Times New Roman"/>
        </w:rPr>
        <w:t xml:space="preserve">áte </w:t>
      </w:r>
      <w:r w:rsidRPr="00C92D72">
        <w:rPr>
          <w:rFonts w:ascii="Times New Roman" w:hAnsi="Times New Roman"/>
        </w:rPr>
        <w:t>užívať železo perorálne (ústami) a sú</w:t>
      </w:r>
      <w:r w:rsidR="00456EF7">
        <w:rPr>
          <w:rFonts w:ascii="Times New Roman" w:hAnsi="Times New Roman"/>
        </w:rPr>
        <w:t>bež</w:t>
      </w:r>
      <w:r w:rsidRPr="00C92D72">
        <w:rPr>
          <w:rFonts w:ascii="Times New Roman" w:hAnsi="Times New Roman"/>
        </w:rPr>
        <w:t xml:space="preserve">ne vnútrožilovo (ako </w:t>
      </w:r>
      <w:r w:rsidR="00456EF7">
        <w:rPr>
          <w:rFonts w:ascii="Times New Roman" w:hAnsi="Times New Roman"/>
        </w:rPr>
        <w:t xml:space="preserve">kvapková </w:t>
      </w:r>
      <w:r w:rsidRPr="00C92D72">
        <w:rPr>
          <w:rFonts w:ascii="Times New Roman" w:hAnsi="Times New Roman"/>
        </w:rPr>
        <w:t>infúzi</w:t>
      </w:r>
      <w:r w:rsidR="00456EF7">
        <w:rPr>
          <w:rFonts w:ascii="Times New Roman" w:hAnsi="Times New Roman"/>
        </w:rPr>
        <w:t>a</w:t>
      </w:r>
      <w:r w:rsidRPr="00C92D72">
        <w:rPr>
          <w:rFonts w:ascii="Times New Roman" w:hAnsi="Times New Roman"/>
        </w:rPr>
        <w:t xml:space="preserve"> do žily). </w:t>
      </w:r>
      <w:r w:rsidR="00283DD9">
        <w:rPr>
          <w:rFonts w:ascii="Times New Roman" w:hAnsi="Times New Roman"/>
        </w:rPr>
        <w:t>Vstrebávanie</w:t>
      </w:r>
      <w:r w:rsidRPr="00C92D72">
        <w:rPr>
          <w:rFonts w:ascii="Times New Roman" w:hAnsi="Times New Roman"/>
        </w:rPr>
        <w:t xml:space="preserve"> perorálne podaného železa sa významne zníži, ak sa železo podáva sú</w:t>
      </w:r>
      <w:r w:rsidR="00283DD9">
        <w:rPr>
          <w:rFonts w:ascii="Times New Roman" w:hAnsi="Times New Roman"/>
        </w:rPr>
        <w:t>bež</w:t>
      </w:r>
      <w:r w:rsidRPr="00C92D72">
        <w:rPr>
          <w:rFonts w:ascii="Times New Roman" w:hAnsi="Times New Roman"/>
        </w:rPr>
        <w:t>ne obidvomi spôsobmi.</w:t>
      </w:r>
    </w:p>
    <w:p w14:paraId="15631198"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V prípade sú</w:t>
      </w:r>
      <w:r w:rsidR="00283DD9">
        <w:rPr>
          <w:rFonts w:ascii="Times New Roman" w:hAnsi="Times New Roman"/>
        </w:rPr>
        <w:t>bež</w:t>
      </w:r>
      <w:r w:rsidRPr="00C92D72">
        <w:rPr>
          <w:rFonts w:ascii="Times New Roman" w:hAnsi="Times New Roman"/>
        </w:rPr>
        <w:t>ného užívania s inými liekmi nie je pravdepodobné, že sa vyskyt</w:t>
      </w:r>
      <w:r w:rsidR="00283DD9">
        <w:rPr>
          <w:rFonts w:ascii="Times New Roman" w:hAnsi="Times New Roman"/>
        </w:rPr>
        <w:t>nú</w:t>
      </w:r>
      <w:r w:rsidRPr="00C92D72">
        <w:rPr>
          <w:rFonts w:ascii="Times New Roman" w:hAnsi="Times New Roman"/>
        </w:rPr>
        <w:t xml:space="preserve"> iné zmeny účinkov. </w:t>
      </w:r>
    </w:p>
    <w:p w14:paraId="14A6C226"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5C72DBAF"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b/>
        </w:rPr>
        <w:t>Hemafer a jedlo a nápoje</w:t>
      </w:r>
    </w:p>
    <w:p w14:paraId="3D62A509"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Hemafer sa kvôli lepš</w:t>
      </w:r>
      <w:r w:rsidR="004C620D">
        <w:rPr>
          <w:rFonts w:ascii="Times New Roman" w:hAnsi="Times New Roman"/>
        </w:rPr>
        <w:t>iemu vstrebávaniu</w:t>
      </w:r>
      <w:r w:rsidRPr="00C92D72">
        <w:rPr>
          <w:rFonts w:ascii="Times New Roman" w:hAnsi="Times New Roman"/>
        </w:rPr>
        <w:t xml:space="preserve"> užíva </w:t>
      </w:r>
      <w:r w:rsidR="004C620D">
        <w:rPr>
          <w:rFonts w:ascii="Times New Roman" w:hAnsi="Times New Roman"/>
        </w:rPr>
        <w:t>najlepšie</w:t>
      </w:r>
      <w:r w:rsidRPr="00C92D72">
        <w:rPr>
          <w:rFonts w:ascii="Times New Roman" w:hAnsi="Times New Roman"/>
        </w:rPr>
        <w:t xml:space="preserve"> s jedlom. </w:t>
      </w:r>
    </w:p>
    <w:p w14:paraId="0C6229A8"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2CE4CE46"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b/>
        </w:rPr>
        <w:t>Tehotenstvo, dojčenie a plodnosť</w:t>
      </w:r>
    </w:p>
    <w:p w14:paraId="60CA2EC4" w14:textId="77777777" w:rsidR="00E9338E" w:rsidRPr="00C92D72" w:rsidRDefault="00E9338E" w:rsidP="00E9338E">
      <w:pPr>
        <w:pStyle w:val="Default"/>
        <w:tabs>
          <w:tab w:val="left" w:pos="567"/>
        </w:tabs>
        <w:rPr>
          <w:color w:val="auto"/>
          <w:sz w:val="22"/>
          <w:szCs w:val="22"/>
        </w:rPr>
      </w:pPr>
      <w:r w:rsidRPr="00C92D72">
        <w:rPr>
          <w:color w:val="auto"/>
          <w:sz w:val="22"/>
          <w:szCs w:val="22"/>
        </w:rPr>
        <w:t>Ak ste tehotná alebo dojčíte, ak si myslíte, že ste tehotná alebo ak plánujete otehotnieť, poraďte sa so</w:t>
      </w:r>
      <w:r w:rsidR="00304CAA">
        <w:rPr>
          <w:color w:val="auto"/>
          <w:sz w:val="22"/>
          <w:szCs w:val="22"/>
        </w:rPr>
        <w:t> </w:t>
      </w:r>
      <w:r w:rsidRPr="00C92D72">
        <w:rPr>
          <w:color w:val="auto"/>
          <w:sz w:val="22"/>
          <w:szCs w:val="22"/>
        </w:rPr>
        <w:t>svojím lekárom predtým, ako začnete užívať tento liek.</w:t>
      </w:r>
    </w:p>
    <w:p w14:paraId="4770FF27" w14:textId="77777777" w:rsidR="00E9338E" w:rsidRPr="00C92D72" w:rsidRDefault="00E9338E" w:rsidP="00E9338E">
      <w:pPr>
        <w:pStyle w:val="Default"/>
        <w:tabs>
          <w:tab w:val="left" w:pos="567"/>
        </w:tabs>
        <w:rPr>
          <w:color w:val="auto"/>
          <w:sz w:val="22"/>
          <w:szCs w:val="22"/>
        </w:rPr>
      </w:pPr>
    </w:p>
    <w:p w14:paraId="54F94EDD" w14:textId="77777777" w:rsidR="00E9338E" w:rsidRPr="00C92D72" w:rsidRDefault="00E9338E" w:rsidP="00E9338E">
      <w:pPr>
        <w:pStyle w:val="Default"/>
        <w:tabs>
          <w:tab w:val="left" w:pos="567"/>
        </w:tabs>
        <w:rPr>
          <w:color w:val="auto"/>
          <w:sz w:val="22"/>
          <w:szCs w:val="22"/>
        </w:rPr>
      </w:pPr>
      <w:r w:rsidRPr="00C92D72">
        <w:rPr>
          <w:color w:val="auto"/>
          <w:sz w:val="22"/>
          <w:szCs w:val="22"/>
        </w:rPr>
        <w:t>Je nepravdepodobné, že by užívanie Hemafer</w:t>
      </w:r>
      <w:r w:rsidR="003A66FE">
        <w:rPr>
          <w:color w:val="auto"/>
          <w:sz w:val="22"/>
          <w:szCs w:val="22"/>
        </w:rPr>
        <w:t>u</w:t>
      </w:r>
      <w:r w:rsidRPr="00C92D72">
        <w:rPr>
          <w:color w:val="auto"/>
          <w:sz w:val="22"/>
          <w:szCs w:val="22"/>
        </w:rPr>
        <w:t xml:space="preserve"> počas tehotenstva zapríčinilo u plodu alebo ženy nejaké </w:t>
      </w:r>
      <w:r w:rsidR="007B6109">
        <w:rPr>
          <w:color w:val="auto"/>
          <w:sz w:val="22"/>
          <w:szCs w:val="22"/>
        </w:rPr>
        <w:t>vedľajši</w:t>
      </w:r>
      <w:r w:rsidRPr="00C92D72">
        <w:rPr>
          <w:color w:val="auto"/>
          <w:sz w:val="22"/>
          <w:szCs w:val="22"/>
        </w:rPr>
        <w:t>e účinky.</w:t>
      </w:r>
    </w:p>
    <w:p w14:paraId="7B534A00" w14:textId="77777777" w:rsidR="00E9338E" w:rsidRPr="00C92D72" w:rsidRDefault="00E9338E" w:rsidP="00E9338E">
      <w:pPr>
        <w:pStyle w:val="Default"/>
        <w:tabs>
          <w:tab w:val="left" w:pos="567"/>
        </w:tabs>
        <w:rPr>
          <w:color w:val="auto"/>
          <w:sz w:val="22"/>
          <w:szCs w:val="22"/>
        </w:rPr>
      </w:pPr>
      <w:r w:rsidRPr="00C92D72">
        <w:rPr>
          <w:color w:val="auto"/>
          <w:sz w:val="22"/>
          <w:szCs w:val="22"/>
        </w:rPr>
        <w:t>Je nepravdepodobné, že by užívanie Hemafer</w:t>
      </w:r>
      <w:r w:rsidR="00136A03">
        <w:rPr>
          <w:color w:val="auto"/>
          <w:sz w:val="22"/>
          <w:szCs w:val="22"/>
        </w:rPr>
        <w:t>u</w:t>
      </w:r>
      <w:r w:rsidRPr="00C92D72">
        <w:rPr>
          <w:color w:val="auto"/>
          <w:sz w:val="22"/>
          <w:szCs w:val="22"/>
        </w:rPr>
        <w:t xml:space="preserve"> počas dojčenia zapríčinilo u dieťaťa nejaké </w:t>
      </w:r>
      <w:r w:rsidR="00136A03">
        <w:rPr>
          <w:color w:val="auto"/>
          <w:sz w:val="22"/>
          <w:szCs w:val="22"/>
        </w:rPr>
        <w:t>vedľajši</w:t>
      </w:r>
      <w:r w:rsidRPr="00C92D72">
        <w:rPr>
          <w:color w:val="auto"/>
          <w:sz w:val="22"/>
          <w:szCs w:val="22"/>
        </w:rPr>
        <w:t>e účinky.</w:t>
      </w:r>
    </w:p>
    <w:p w14:paraId="454ADA69" w14:textId="77777777" w:rsidR="00E9338E" w:rsidRPr="00C92D72" w:rsidRDefault="00E9338E" w:rsidP="00E9338E">
      <w:pPr>
        <w:pStyle w:val="Default"/>
        <w:tabs>
          <w:tab w:val="left" w:pos="567"/>
        </w:tabs>
        <w:rPr>
          <w:color w:val="auto"/>
          <w:sz w:val="22"/>
          <w:szCs w:val="22"/>
        </w:rPr>
      </w:pPr>
    </w:p>
    <w:p w14:paraId="63A9C416"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b/>
          <w:bCs/>
        </w:rPr>
      </w:pPr>
      <w:r w:rsidRPr="00C92D72">
        <w:rPr>
          <w:rFonts w:ascii="Times New Roman" w:hAnsi="Times New Roman"/>
          <w:b/>
        </w:rPr>
        <w:t>Vedenie vozidiel a obsluha strojov</w:t>
      </w:r>
    </w:p>
    <w:p w14:paraId="02D466F3"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Hemafer nemá žiadny vplyv na schopnosť viesť vozidlá a obsluhovať stroje.</w:t>
      </w:r>
    </w:p>
    <w:p w14:paraId="297E1B6C"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65EEB8FA"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b/>
        </w:rPr>
        <w:t xml:space="preserve">Hemafer obsahuje glukózu. </w:t>
      </w:r>
      <w:r w:rsidRPr="00C92D72">
        <w:rPr>
          <w:rFonts w:ascii="Times New Roman" w:hAnsi="Times New Roman"/>
        </w:rPr>
        <w:t xml:space="preserve">Ak vám </w:t>
      </w:r>
      <w:r w:rsidR="00282EBA">
        <w:rPr>
          <w:rFonts w:ascii="Times New Roman" w:hAnsi="Times New Roman"/>
        </w:rPr>
        <w:t xml:space="preserve">váš </w:t>
      </w:r>
      <w:r w:rsidRPr="00C92D72">
        <w:rPr>
          <w:rFonts w:ascii="Times New Roman" w:hAnsi="Times New Roman"/>
        </w:rPr>
        <w:t xml:space="preserve">lekár povedal, že neznášate niektoré cukry, </w:t>
      </w:r>
      <w:r w:rsidR="007F4173">
        <w:rPr>
          <w:rFonts w:ascii="Times New Roman" w:hAnsi="Times New Roman"/>
        </w:rPr>
        <w:t>kontaktuj</w:t>
      </w:r>
      <w:r w:rsidRPr="00C92D72">
        <w:rPr>
          <w:rFonts w:ascii="Times New Roman" w:hAnsi="Times New Roman"/>
        </w:rPr>
        <w:t xml:space="preserve">te svojho lekára </w:t>
      </w:r>
      <w:r w:rsidR="007F4173">
        <w:rPr>
          <w:rFonts w:ascii="Times New Roman" w:hAnsi="Times New Roman"/>
        </w:rPr>
        <w:t>pred užitím</w:t>
      </w:r>
      <w:r w:rsidRPr="00C92D72">
        <w:rPr>
          <w:rFonts w:ascii="Times New Roman" w:hAnsi="Times New Roman"/>
        </w:rPr>
        <w:t xml:space="preserve"> t</w:t>
      </w:r>
      <w:r w:rsidR="007F4173">
        <w:rPr>
          <w:rFonts w:ascii="Times New Roman" w:hAnsi="Times New Roman"/>
        </w:rPr>
        <w:t>oh</w:t>
      </w:r>
      <w:r w:rsidRPr="00C92D72">
        <w:rPr>
          <w:rFonts w:ascii="Times New Roman" w:hAnsi="Times New Roman"/>
        </w:rPr>
        <w:t>to liek</w:t>
      </w:r>
      <w:r w:rsidR="007F4173">
        <w:rPr>
          <w:rFonts w:ascii="Times New Roman" w:hAnsi="Times New Roman"/>
        </w:rPr>
        <w:t>u</w:t>
      </w:r>
      <w:r w:rsidRPr="00C92D72">
        <w:rPr>
          <w:rFonts w:ascii="Times New Roman" w:hAnsi="Times New Roman"/>
        </w:rPr>
        <w:t>.</w:t>
      </w:r>
    </w:p>
    <w:p w14:paraId="123B4F40"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085C0A78"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4E0A4442"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b/>
        </w:rPr>
        <w:t>3.</w:t>
      </w:r>
      <w:r w:rsidRPr="00C92D72">
        <w:rPr>
          <w:rFonts w:ascii="Times New Roman" w:hAnsi="Times New Roman"/>
          <w:b/>
        </w:rPr>
        <w:tab/>
        <w:t>Ako užívať Hemafer</w:t>
      </w:r>
    </w:p>
    <w:p w14:paraId="7AE96753"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672DC2B4"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Vždy užívajte tento liek presne tak, ako vám povedal váš lekár.</w:t>
      </w:r>
      <w:r w:rsidRPr="00C92D72">
        <w:rPr>
          <w:rFonts w:ascii="Times New Roman" w:hAnsi="Times New Roman"/>
          <w:spacing w:val="-4"/>
        </w:rPr>
        <w:t xml:space="preserve"> </w:t>
      </w:r>
      <w:r w:rsidRPr="00C92D72">
        <w:rPr>
          <w:rFonts w:ascii="Times New Roman" w:hAnsi="Times New Roman"/>
        </w:rPr>
        <w:t>Ak si nie ste niečím istí, overte si to u</w:t>
      </w:r>
      <w:r w:rsidR="00DF2B20">
        <w:rPr>
          <w:rFonts w:ascii="Times New Roman" w:hAnsi="Times New Roman"/>
        </w:rPr>
        <w:t> </w:t>
      </w:r>
      <w:r w:rsidRPr="00C92D72">
        <w:rPr>
          <w:rFonts w:ascii="Times New Roman" w:hAnsi="Times New Roman"/>
        </w:rPr>
        <w:t>svojho lekára.</w:t>
      </w:r>
    </w:p>
    <w:p w14:paraId="61934E6D"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6B34A009"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Podľa závažnosti vášho stavu lekár rozhodne o vašom individuálnom dávkovaní.</w:t>
      </w:r>
    </w:p>
    <w:p w14:paraId="5CEC5D72"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72C9D912"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b/>
        </w:rPr>
      </w:pPr>
      <w:r w:rsidRPr="00C92D72">
        <w:rPr>
          <w:rFonts w:ascii="Times New Roman" w:hAnsi="Times New Roman"/>
          <w:b/>
        </w:rPr>
        <w:t xml:space="preserve">Odporúčaná dávka: </w:t>
      </w:r>
    </w:p>
    <w:p w14:paraId="44996EA4"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b/>
        </w:rPr>
      </w:pPr>
    </w:p>
    <w:p w14:paraId="4D366105"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bCs/>
          <w:i/>
        </w:rPr>
      </w:pPr>
      <w:r w:rsidRPr="00C92D72">
        <w:rPr>
          <w:rFonts w:ascii="Times New Roman" w:hAnsi="Times New Roman"/>
          <w:i/>
        </w:rPr>
        <w:t>Deti</w:t>
      </w:r>
    </w:p>
    <w:p w14:paraId="3A34D5AF"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bCs/>
        </w:rPr>
      </w:pPr>
      <w:r w:rsidRPr="00C92D72">
        <w:rPr>
          <w:rFonts w:ascii="Times New Roman" w:hAnsi="Times New Roman"/>
        </w:rPr>
        <w:t>Hemafer 100 mg žuvacie tablety nie sú určené deťom vo veku 12 rokov a mladším.</w:t>
      </w:r>
    </w:p>
    <w:p w14:paraId="17F65E63"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u w:val="single"/>
        </w:rPr>
      </w:pPr>
    </w:p>
    <w:p w14:paraId="618FBE33"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b/>
          <w:i/>
        </w:rPr>
      </w:pPr>
      <w:r w:rsidRPr="00C92D72">
        <w:rPr>
          <w:rFonts w:ascii="Times New Roman" w:hAnsi="Times New Roman"/>
          <w:i/>
        </w:rPr>
        <w:t xml:space="preserve">Dospelí a dospievajúci </w:t>
      </w:r>
      <w:r w:rsidR="00DF2B20">
        <w:rPr>
          <w:rFonts w:ascii="Times New Roman" w:hAnsi="Times New Roman"/>
          <w:i/>
        </w:rPr>
        <w:t>vo veku viac ako</w:t>
      </w:r>
      <w:r w:rsidRPr="00C92D72">
        <w:rPr>
          <w:rFonts w:ascii="Times New Roman" w:hAnsi="Times New Roman"/>
          <w:i/>
        </w:rPr>
        <w:t xml:space="preserve"> 12 rokov:</w:t>
      </w:r>
    </w:p>
    <w:p w14:paraId="62809A3E"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u w:val="single"/>
        </w:rPr>
      </w:pPr>
      <w:r w:rsidRPr="00C92D72">
        <w:rPr>
          <w:rFonts w:ascii="Times New Roman" w:hAnsi="Times New Roman"/>
          <w:u w:val="single"/>
        </w:rPr>
        <w:t>Nedostatok železa:</w:t>
      </w:r>
    </w:p>
    <w:p w14:paraId="7AAA360E"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1 až 3 tablety denne v závislosti od závažnosti nedostatku železa.</w:t>
      </w:r>
    </w:p>
    <w:p w14:paraId="6EE8A8C0"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Počas liečby bude váš lekár krvnými testami kontrolovať vašu odpoveď na liečbu a v prípade potreby vašu dávku upraví.</w:t>
      </w:r>
    </w:p>
    <w:p w14:paraId="6E9EBCB7"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u w:val="single"/>
        </w:rPr>
      </w:pPr>
    </w:p>
    <w:p w14:paraId="5ABAB922"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u w:val="single"/>
        </w:rPr>
        <w:t>Trvanie liečby</w:t>
      </w:r>
    </w:p>
    <w:p w14:paraId="485D228B"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Trvanie liečby sa môže meniť v závislosti od zdravotného problému, pre ktorý užívate Hemafer.</w:t>
      </w:r>
      <w:r w:rsidRPr="00C92D72">
        <w:rPr>
          <w:rFonts w:ascii="Times New Roman" w:hAnsi="Times New Roman"/>
          <w:spacing w:val="-9"/>
        </w:rPr>
        <w:t xml:space="preserve"> </w:t>
      </w:r>
      <w:r w:rsidRPr="00C92D72">
        <w:rPr>
          <w:rFonts w:ascii="Times New Roman" w:hAnsi="Times New Roman"/>
        </w:rPr>
        <w:t>Preto s vami váš lekár prediskutuje, ako dlho bude potrebné, aby ste tento liek užívali.</w:t>
      </w:r>
    </w:p>
    <w:p w14:paraId="38031C7E"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u w:val="single"/>
        </w:rPr>
      </w:pPr>
    </w:p>
    <w:p w14:paraId="6A68DA20"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u w:val="single"/>
        </w:rPr>
        <w:t>Pod</w:t>
      </w:r>
      <w:r w:rsidR="00525974">
        <w:rPr>
          <w:rFonts w:ascii="Times New Roman" w:hAnsi="Times New Roman"/>
          <w:u w:val="single"/>
        </w:rPr>
        <w:t>áva</w:t>
      </w:r>
      <w:r w:rsidRPr="00C92D72">
        <w:rPr>
          <w:rFonts w:ascii="Times New Roman" w:hAnsi="Times New Roman"/>
          <w:u w:val="single"/>
        </w:rPr>
        <w:t>nie</w:t>
      </w:r>
    </w:p>
    <w:p w14:paraId="5384DAFC"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 xml:space="preserve">Tablety </w:t>
      </w:r>
      <w:r w:rsidR="00120C48">
        <w:rPr>
          <w:rFonts w:ascii="Times New Roman" w:hAnsi="Times New Roman"/>
        </w:rPr>
        <w:t>sa majú</w:t>
      </w:r>
      <w:r w:rsidRPr="00C92D72">
        <w:rPr>
          <w:rFonts w:ascii="Times New Roman" w:hAnsi="Times New Roman"/>
        </w:rPr>
        <w:t xml:space="preserve"> zapiť pohárom vody. Kvôli lepš</w:t>
      </w:r>
      <w:r w:rsidR="00A161DD">
        <w:rPr>
          <w:rFonts w:ascii="Times New Roman" w:hAnsi="Times New Roman"/>
        </w:rPr>
        <w:t>ie</w:t>
      </w:r>
      <w:r w:rsidR="00CC61DA">
        <w:rPr>
          <w:rFonts w:ascii="Times New Roman" w:hAnsi="Times New Roman"/>
        </w:rPr>
        <w:t>mu vstrebávaniu</w:t>
      </w:r>
      <w:r w:rsidRPr="00C92D72">
        <w:rPr>
          <w:rFonts w:ascii="Times New Roman" w:hAnsi="Times New Roman"/>
        </w:rPr>
        <w:t xml:space="preserve"> sa odporúča užívať tento liek počas jedla alebo bezprostredne po jedle. Hemafer 100 mg žuvacie tablety sa môžu požuť alebo prehltnúť celé.</w:t>
      </w:r>
    </w:p>
    <w:p w14:paraId="2AD1DBD3" w14:textId="77777777" w:rsidR="00067737" w:rsidRPr="00C92D72" w:rsidRDefault="00E9338E" w:rsidP="00E9338E">
      <w:pPr>
        <w:rPr>
          <w:rFonts w:ascii="Times New Roman" w:hAnsi="Times New Roman"/>
          <w:b/>
        </w:rPr>
      </w:pPr>
      <w:r w:rsidRPr="00C92D72">
        <w:rPr>
          <w:rFonts w:ascii="Times New Roman" w:hAnsi="Times New Roman"/>
          <w:b/>
        </w:rPr>
        <w:lastRenderedPageBreak/>
        <w:t>Ak užijete viac Hemafer</w:t>
      </w:r>
      <w:r w:rsidR="004D1FE4">
        <w:rPr>
          <w:rFonts w:ascii="Times New Roman" w:hAnsi="Times New Roman"/>
          <w:b/>
        </w:rPr>
        <w:t>u</w:t>
      </w:r>
      <w:r w:rsidRPr="00C92D72">
        <w:rPr>
          <w:rFonts w:ascii="Times New Roman" w:hAnsi="Times New Roman"/>
          <w:b/>
        </w:rPr>
        <w:t>, ako máte</w:t>
      </w:r>
    </w:p>
    <w:p w14:paraId="4FEB052B" w14:textId="77777777" w:rsidR="00E9338E" w:rsidRPr="00C92D72" w:rsidRDefault="00862F5A" w:rsidP="00E9338E">
      <w:pPr>
        <w:widowControl w:val="0"/>
        <w:tabs>
          <w:tab w:val="left" w:pos="567"/>
        </w:tabs>
        <w:autoSpaceDE w:val="0"/>
        <w:autoSpaceDN w:val="0"/>
        <w:adjustRightInd w:val="0"/>
        <w:spacing w:after="0" w:line="240" w:lineRule="auto"/>
        <w:rPr>
          <w:rFonts w:ascii="Times New Roman" w:hAnsi="Times New Roman"/>
        </w:rPr>
      </w:pPr>
      <w:r>
        <w:rPr>
          <w:rFonts w:ascii="Times New Roman" w:hAnsi="Times New Roman"/>
        </w:rPr>
        <w:t>Lie</w:t>
      </w:r>
      <w:r w:rsidR="00E9338E" w:rsidRPr="00C92D72">
        <w:rPr>
          <w:rFonts w:ascii="Times New Roman" w:hAnsi="Times New Roman"/>
        </w:rPr>
        <w:t xml:space="preserve">ky obsahujúce železo môžu spôsobiť otravu, najmä u detí. </w:t>
      </w:r>
    </w:p>
    <w:p w14:paraId="06322275"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 xml:space="preserve">Príznaky predávkovania zahŕňajú: vracanie, vracanie krvi, bolesť brucha, letargia (príznak, ktorý vyvoláva ospalosť alebo únavu), akútne zlyhanie pečene, koagulopatiu (stav, pri ktorom je narušená zrážavosť krvi), poškodenie obličiek, metabolická acidóza (klinická porucha charakterizovaná zvýšením kyslosti plazmy), šok, jazvy v žalúdku a zúženie vrátnika (zúženie otvoru, ktorý spája žalúdok s prvou časťou tenkého čreva). Akútne zlyhanie pečene a </w:t>
      </w:r>
      <w:r w:rsidR="00862F5A">
        <w:rPr>
          <w:rFonts w:ascii="Times New Roman" w:hAnsi="Times New Roman"/>
        </w:rPr>
        <w:t>srdcovociev</w:t>
      </w:r>
      <w:r w:rsidRPr="00C92D72">
        <w:rPr>
          <w:rFonts w:ascii="Times New Roman" w:hAnsi="Times New Roman"/>
        </w:rPr>
        <w:t xml:space="preserve">ny kolaps sú hlavné príčiny smrti v dôsledku predávkovania železom. </w:t>
      </w:r>
    </w:p>
    <w:p w14:paraId="4C60A231"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Ak ste užili priveľa tohto lieku alebo ak tento liek nedopatrením užilo dieťa, obráťte sa na vášho lekára alebo lekárnika.</w:t>
      </w:r>
    </w:p>
    <w:p w14:paraId="323B1AC7" w14:textId="77777777" w:rsidR="00E9338E" w:rsidRPr="00C92D72" w:rsidRDefault="00E9338E" w:rsidP="00E9338E">
      <w:pPr>
        <w:pStyle w:val="Default"/>
        <w:tabs>
          <w:tab w:val="left" w:pos="567"/>
        </w:tabs>
        <w:rPr>
          <w:b/>
          <w:bCs/>
          <w:color w:val="auto"/>
          <w:sz w:val="22"/>
          <w:szCs w:val="22"/>
        </w:rPr>
      </w:pPr>
    </w:p>
    <w:p w14:paraId="207F0A21"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b/>
          <w:bCs/>
          <w:spacing w:val="-4"/>
        </w:rPr>
      </w:pPr>
      <w:r w:rsidRPr="00C92D72">
        <w:rPr>
          <w:rFonts w:ascii="Times New Roman" w:hAnsi="Times New Roman"/>
          <w:b/>
        </w:rPr>
        <w:t>Ak zabudnete užiť Hemafer</w:t>
      </w:r>
    </w:p>
    <w:p w14:paraId="44B4528E"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Užite nasledujúcu dávku podľa plánu. Neužívajte dvojnásobnú dávku, aby ste nahradili vynechanú dávku.</w:t>
      </w:r>
    </w:p>
    <w:p w14:paraId="54CFDEC3"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45A1BC20" w14:textId="77777777" w:rsidR="00E9338E" w:rsidRPr="00C92D72" w:rsidRDefault="00E9338E" w:rsidP="00E9338E">
      <w:pPr>
        <w:pStyle w:val="Default"/>
        <w:tabs>
          <w:tab w:val="left" w:pos="567"/>
        </w:tabs>
        <w:rPr>
          <w:color w:val="auto"/>
          <w:sz w:val="22"/>
          <w:szCs w:val="22"/>
        </w:rPr>
      </w:pPr>
      <w:r w:rsidRPr="00C92D72">
        <w:rPr>
          <w:b/>
          <w:color w:val="auto"/>
          <w:sz w:val="22"/>
          <w:szCs w:val="22"/>
        </w:rPr>
        <w:t>Ak prestanete užívať Hemafer</w:t>
      </w:r>
    </w:p>
    <w:p w14:paraId="68BAF6EE"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Pre úspech liečby je dôležité, aby ste Hemafer užívali pravidelne v dávke predpísanej vaším lekárom. Nemeňte, neprerušujte ani nezastavujte svoju liečbu bez toho, aby ste sa poradili s lekárom.</w:t>
      </w:r>
    </w:p>
    <w:p w14:paraId="67A00A76"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01BE3054"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Ak máte akékoľvek ďalšie otázky týkajúce sa použitia tohto lieku, opýtajte sa svojho lekára alebo lekárnika.</w:t>
      </w:r>
    </w:p>
    <w:p w14:paraId="7850C9B9"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4E57BBCA"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16CC0F6C" w14:textId="77777777" w:rsidR="00E9338E" w:rsidRPr="00C92D72" w:rsidRDefault="00E9338E" w:rsidP="00E9338E">
      <w:pPr>
        <w:widowControl w:val="0"/>
        <w:tabs>
          <w:tab w:val="left" w:pos="567"/>
          <w:tab w:val="left" w:pos="680"/>
        </w:tabs>
        <w:autoSpaceDE w:val="0"/>
        <w:autoSpaceDN w:val="0"/>
        <w:adjustRightInd w:val="0"/>
        <w:spacing w:after="0" w:line="240" w:lineRule="auto"/>
        <w:rPr>
          <w:rFonts w:ascii="Times New Roman" w:hAnsi="Times New Roman"/>
        </w:rPr>
      </w:pPr>
      <w:r w:rsidRPr="00C92D72">
        <w:rPr>
          <w:rFonts w:ascii="Times New Roman" w:hAnsi="Times New Roman"/>
          <w:b/>
        </w:rPr>
        <w:t>4.</w:t>
      </w:r>
      <w:r w:rsidRPr="00C92D72">
        <w:rPr>
          <w:rFonts w:ascii="Times New Roman" w:hAnsi="Times New Roman"/>
          <w:b/>
        </w:rPr>
        <w:tab/>
        <w:t>Možné vedľajšie účinky</w:t>
      </w:r>
    </w:p>
    <w:p w14:paraId="2D787050"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00796AE2"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Tak ako všetky lieky, aj tento liek môže spôsobovať vedľajšie účinky, hoci sa neprejavia u každého.</w:t>
      </w:r>
    </w:p>
    <w:p w14:paraId="4D060DF5"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Počas užívania Hemafer</w:t>
      </w:r>
      <w:r w:rsidR="00DC0FD2">
        <w:rPr>
          <w:rFonts w:ascii="Times New Roman" w:hAnsi="Times New Roman"/>
        </w:rPr>
        <w:t>u</w:t>
      </w:r>
      <w:r w:rsidRPr="00C92D72">
        <w:rPr>
          <w:rFonts w:ascii="Times New Roman" w:hAnsi="Times New Roman"/>
        </w:rPr>
        <w:t xml:space="preserve"> môžete </w:t>
      </w:r>
      <w:r w:rsidR="00DC0FD2">
        <w:rPr>
          <w:rFonts w:ascii="Times New Roman" w:hAnsi="Times New Roman"/>
        </w:rPr>
        <w:t>ma</w:t>
      </w:r>
      <w:r w:rsidRPr="00C92D72">
        <w:rPr>
          <w:rFonts w:ascii="Times New Roman" w:hAnsi="Times New Roman"/>
        </w:rPr>
        <w:t>ť jeden alebo viaceré z nasled</w:t>
      </w:r>
      <w:r w:rsidR="00DC0FD2">
        <w:rPr>
          <w:rFonts w:ascii="Times New Roman" w:hAnsi="Times New Roman"/>
        </w:rPr>
        <w:t>ovných</w:t>
      </w:r>
      <w:r w:rsidRPr="00C92D72">
        <w:rPr>
          <w:rFonts w:ascii="Times New Roman" w:hAnsi="Times New Roman"/>
        </w:rPr>
        <w:t xml:space="preserve"> vedľajších účinkov s týmito frekvenciami:</w:t>
      </w:r>
    </w:p>
    <w:p w14:paraId="7C525022"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7CD935BD"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b/>
        </w:rPr>
        <w:t>Veľmi časté</w:t>
      </w:r>
      <w:r w:rsidRPr="00C92D72">
        <w:rPr>
          <w:rFonts w:ascii="Times New Roman" w:hAnsi="Times New Roman"/>
        </w:rPr>
        <w:t xml:space="preserve"> (môžu </w:t>
      </w:r>
      <w:r w:rsidR="00DC0FD2">
        <w:rPr>
          <w:rFonts w:ascii="Times New Roman" w:hAnsi="Times New Roman"/>
        </w:rPr>
        <w:t>postihova</w:t>
      </w:r>
      <w:r w:rsidRPr="00C92D72">
        <w:rPr>
          <w:rFonts w:ascii="Times New Roman" w:hAnsi="Times New Roman"/>
        </w:rPr>
        <w:t xml:space="preserve">ť viac ako 1 z 10 </w:t>
      </w:r>
      <w:r w:rsidR="00DC0FD2">
        <w:rPr>
          <w:rFonts w:ascii="Times New Roman" w:hAnsi="Times New Roman"/>
        </w:rPr>
        <w:t>osôb</w:t>
      </w:r>
      <w:r w:rsidRPr="00C92D72">
        <w:rPr>
          <w:rFonts w:ascii="Times New Roman" w:hAnsi="Times New Roman"/>
        </w:rPr>
        <w:t>):</w:t>
      </w:r>
    </w:p>
    <w:p w14:paraId="33EF8A93" w14:textId="77777777" w:rsidR="00E9338E" w:rsidRPr="00C92D72" w:rsidRDefault="00E9338E" w:rsidP="00E9338E">
      <w:pPr>
        <w:widowControl w:val="0"/>
        <w:numPr>
          <w:ilvl w:val="0"/>
          <w:numId w:val="1"/>
        </w:numPr>
        <w:tabs>
          <w:tab w:val="left" w:pos="567"/>
        </w:tabs>
        <w:autoSpaceDE w:val="0"/>
        <w:autoSpaceDN w:val="0"/>
        <w:adjustRightInd w:val="0"/>
        <w:spacing w:after="0" w:line="240" w:lineRule="auto"/>
        <w:ind w:left="567" w:hanging="567"/>
        <w:rPr>
          <w:rFonts w:ascii="Times New Roman" w:hAnsi="Times New Roman"/>
        </w:rPr>
      </w:pPr>
      <w:r w:rsidRPr="00C92D72">
        <w:rPr>
          <w:rFonts w:ascii="Times New Roman" w:hAnsi="Times New Roman"/>
        </w:rPr>
        <w:t>tmavé sfarbenie stolice</w:t>
      </w:r>
    </w:p>
    <w:p w14:paraId="07A3E712"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35E463D3"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b/>
        </w:rPr>
        <w:t>Časté</w:t>
      </w:r>
      <w:r w:rsidRPr="00C92D72">
        <w:rPr>
          <w:rFonts w:ascii="Times New Roman" w:hAnsi="Times New Roman"/>
        </w:rPr>
        <w:t xml:space="preserve"> (môžu </w:t>
      </w:r>
      <w:r w:rsidR="00DC0FD2">
        <w:rPr>
          <w:rFonts w:ascii="Times New Roman" w:hAnsi="Times New Roman"/>
        </w:rPr>
        <w:t>postihova</w:t>
      </w:r>
      <w:r w:rsidRPr="00C92D72">
        <w:rPr>
          <w:rFonts w:ascii="Times New Roman" w:hAnsi="Times New Roman"/>
        </w:rPr>
        <w:t xml:space="preserve">ť </w:t>
      </w:r>
      <w:r w:rsidR="00DC0FD2">
        <w:rPr>
          <w:rFonts w:ascii="Times New Roman" w:hAnsi="Times New Roman"/>
        </w:rPr>
        <w:t>menej ako</w:t>
      </w:r>
      <w:r w:rsidRPr="00C92D72">
        <w:rPr>
          <w:rFonts w:ascii="Times New Roman" w:hAnsi="Times New Roman"/>
        </w:rPr>
        <w:t xml:space="preserve"> 1 z 10 </w:t>
      </w:r>
      <w:r w:rsidR="00DC0FD2">
        <w:rPr>
          <w:rFonts w:ascii="Times New Roman" w:hAnsi="Times New Roman"/>
        </w:rPr>
        <w:t>osôb</w:t>
      </w:r>
      <w:r w:rsidRPr="00C92D72">
        <w:rPr>
          <w:rFonts w:ascii="Times New Roman" w:hAnsi="Times New Roman"/>
        </w:rPr>
        <w:t>):</w:t>
      </w:r>
    </w:p>
    <w:p w14:paraId="15D657AB" w14:textId="77777777" w:rsidR="00E9338E" w:rsidRPr="00C92D72" w:rsidRDefault="00E9338E" w:rsidP="00E9338E">
      <w:pPr>
        <w:widowControl w:val="0"/>
        <w:numPr>
          <w:ilvl w:val="0"/>
          <w:numId w:val="1"/>
        </w:numPr>
        <w:tabs>
          <w:tab w:val="left" w:pos="567"/>
        </w:tabs>
        <w:autoSpaceDE w:val="0"/>
        <w:autoSpaceDN w:val="0"/>
        <w:adjustRightInd w:val="0"/>
        <w:spacing w:after="0" w:line="240" w:lineRule="auto"/>
        <w:ind w:left="567" w:hanging="567"/>
        <w:rPr>
          <w:rFonts w:ascii="Times New Roman" w:hAnsi="Times New Roman"/>
        </w:rPr>
      </w:pPr>
      <w:r w:rsidRPr="00C92D72">
        <w:rPr>
          <w:rFonts w:ascii="Times New Roman" w:hAnsi="Times New Roman"/>
        </w:rPr>
        <w:t xml:space="preserve">hnačka, </w:t>
      </w:r>
    </w:p>
    <w:p w14:paraId="5AEDEF92" w14:textId="77777777" w:rsidR="00E9338E" w:rsidRPr="00C92D72" w:rsidRDefault="00E9338E" w:rsidP="00E9338E">
      <w:pPr>
        <w:widowControl w:val="0"/>
        <w:numPr>
          <w:ilvl w:val="0"/>
          <w:numId w:val="1"/>
        </w:numPr>
        <w:tabs>
          <w:tab w:val="left" w:pos="567"/>
        </w:tabs>
        <w:autoSpaceDE w:val="0"/>
        <w:autoSpaceDN w:val="0"/>
        <w:adjustRightInd w:val="0"/>
        <w:spacing w:after="0" w:line="240" w:lineRule="auto"/>
        <w:ind w:left="567" w:hanging="567"/>
        <w:rPr>
          <w:rFonts w:ascii="Times New Roman" w:hAnsi="Times New Roman"/>
        </w:rPr>
      </w:pPr>
      <w:r w:rsidRPr="00C92D72">
        <w:rPr>
          <w:rFonts w:ascii="Times New Roman" w:hAnsi="Times New Roman"/>
        </w:rPr>
        <w:t xml:space="preserve">nevoľnosť, </w:t>
      </w:r>
    </w:p>
    <w:p w14:paraId="750C9392" w14:textId="77777777" w:rsidR="00E9338E" w:rsidRPr="00C92D72" w:rsidRDefault="00E9338E" w:rsidP="00E9338E">
      <w:pPr>
        <w:widowControl w:val="0"/>
        <w:numPr>
          <w:ilvl w:val="0"/>
          <w:numId w:val="1"/>
        </w:numPr>
        <w:tabs>
          <w:tab w:val="left" w:pos="567"/>
        </w:tabs>
        <w:autoSpaceDE w:val="0"/>
        <w:autoSpaceDN w:val="0"/>
        <w:adjustRightInd w:val="0"/>
        <w:spacing w:after="0" w:line="240" w:lineRule="auto"/>
        <w:ind w:left="567" w:hanging="567"/>
        <w:rPr>
          <w:rFonts w:ascii="Times New Roman" w:hAnsi="Times New Roman"/>
        </w:rPr>
      </w:pPr>
      <w:r w:rsidRPr="00C92D72">
        <w:rPr>
          <w:rFonts w:ascii="Times New Roman" w:hAnsi="Times New Roman"/>
        </w:rPr>
        <w:t>poruchy trávenia</w:t>
      </w:r>
    </w:p>
    <w:p w14:paraId="7E863894"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7E357F5F"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b/>
        </w:rPr>
        <w:t>Menej</w:t>
      </w:r>
      <w:r w:rsidRPr="00C92D72">
        <w:rPr>
          <w:rFonts w:ascii="Times New Roman" w:hAnsi="Times New Roman"/>
        </w:rPr>
        <w:t xml:space="preserve"> </w:t>
      </w:r>
      <w:r w:rsidRPr="00C92D72">
        <w:rPr>
          <w:rFonts w:ascii="Times New Roman" w:hAnsi="Times New Roman"/>
          <w:b/>
        </w:rPr>
        <w:t xml:space="preserve">časté </w:t>
      </w:r>
      <w:r w:rsidRPr="00C92D72">
        <w:rPr>
          <w:rFonts w:ascii="Times New Roman" w:hAnsi="Times New Roman"/>
        </w:rPr>
        <w:t xml:space="preserve">(môžu </w:t>
      </w:r>
      <w:r w:rsidR="00DC0FD2">
        <w:rPr>
          <w:rFonts w:ascii="Times New Roman" w:hAnsi="Times New Roman"/>
        </w:rPr>
        <w:t>postihova</w:t>
      </w:r>
      <w:r w:rsidRPr="00C92D72">
        <w:rPr>
          <w:rFonts w:ascii="Times New Roman" w:hAnsi="Times New Roman"/>
        </w:rPr>
        <w:t xml:space="preserve">ť </w:t>
      </w:r>
      <w:r w:rsidR="00DC0FD2">
        <w:rPr>
          <w:rFonts w:ascii="Times New Roman" w:hAnsi="Times New Roman"/>
        </w:rPr>
        <w:t>menej ako</w:t>
      </w:r>
      <w:r w:rsidRPr="00C92D72">
        <w:rPr>
          <w:rFonts w:ascii="Times New Roman" w:hAnsi="Times New Roman"/>
        </w:rPr>
        <w:t xml:space="preserve"> 1 zo 100 </w:t>
      </w:r>
      <w:r w:rsidR="00DC0FD2">
        <w:rPr>
          <w:rFonts w:ascii="Times New Roman" w:hAnsi="Times New Roman"/>
        </w:rPr>
        <w:t>osôb</w:t>
      </w:r>
      <w:r w:rsidRPr="00C92D72">
        <w:rPr>
          <w:rFonts w:ascii="Times New Roman" w:hAnsi="Times New Roman"/>
        </w:rPr>
        <w:t>)</w:t>
      </w:r>
    </w:p>
    <w:p w14:paraId="65645838" w14:textId="77777777" w:rsidR="00E9338E" w:rsidRPr="00C92D72" w:rsidRDefault="00E9338E" w:rsidP="00E9338E">
      <w:pPr>
        <w:widowControl w:val="0"/>
        <w:numPr>
          <w:ilvl w:val="0"/>
          <w:numId w:val="1"/>
        </w:numPr>
        <w:tabs>
          <w:tab w:val="left" w:pos="567"/>
        </w:tabs>
        <w:autoSpaceDE w:val="0"/>
        <w:autoSpaceDN w:val="0"/>
        <w:adjustRightInd w:val="0"/>
        <w:spacing w:after="0" w:line="240" w:lineRule="auto"/>
        <w:ind w:left="567" w:hanging="567"/>
        <w:rPr>
          <w:rFonts w:ascii="Times New Roman" w:hAnsi="Times New Roman"/>
        </w:rPr>
      </w:pPr>
      <w:r w:rsidRPr="00C92D72">
        <w:rPr>
          <w:rFonts w:ascii="Times New Roman" w:hAnsi="Times New Roman"/>
        </w:rPr>
        <w:t xml:space="preserve">vracanie, </w:t>
      </w:r>
    </w:p>
    <w:p w14:paraId="55994E29" w14:textId="77777777" w:rsidR="00E9338E" w:rsidRPr="00C92D72" w:rsidRDefault="00E9338E" w:rsidP="00E9338E">
      <w:pPr>
        <w:widowControl w:val="0"/>
        <w:numPr>
          <w:ilvl w:val="0"/>
          <w:numId w:val="1"/>
        </w:numPr>
        <w:tabs>
          <w:tab w:val="left" w:pos="567"/>
        </w:tabs>
        <w:autoSpaceDE w:val="0"/>
        <w:autoSpaceDN w:val="0"/>
        <w:adjustRightInd w:val="0"/>
        <w:spacing w:after="0" w:line="240" w:lineRule="auto"/>
        <w:ind w:left="567" w:hanging="567"/>
        <w:rPr>
          <w:rFonts w:ascii="Times New Roman" w:hAnsi="Times New Roman"/>
        </w:rPr>
      </w:pPr>
      <w:r w:rsidRPr="00C92D72">
        <w:rPr>
          <w:rFonts w:ascii="Times New Roman" w:hAnsi="Times New Roman"/>
        </w:rPr>
        <w:t>zápcha,</w:t>
      </w:r>
    </w:p>
    <w:p w14:paraId="7558515C" w14:textId="77777777" w:rsidR="00E9338E" w:rsidRPr="00C92D72" w:rsidRDefault="00E9338E" w:rsidP="00E9338E">
      <w:pPr>
        <w:widowControl w:val="0"/>
        <w:numPr>
          <w:ilvl w:val="0"/>
          <w:numId w:val="1"/>
        </w:numPr>
        <w:tabs>
          <w:tab w:val="left" w:pos="567"/>
        </w:tabs>
        <w:autoSpaceDE w:val="0"/>
        <w:autoSpaceDN w:val="0"/>
        <w:adjustRightInd w:val="0"/>
        <w:spacing w:after="0" w:line="240" w:lineRule="auto"/>
        <w:ind w:left="567" w:hanging="567"/>
        <w:rPr>
          <w:rFonts w:ascii="Times New Roman" w:hAnsi="Times New Roman"/>
        </w:rPr>
      </w:pPr>
      <w:r w:rsidRPr="00C92D72">
        <w:rPr>
          <w:rFonts w:ascii="Times New Roman" w:hAnsi="Times New Roman"/>
        </w:rPr>
        <w:t xml:space="preserve">bolesť brucha, </w:t>
      </w:r>
    </w:p>
    <w:p w14:paraId="583627CA" w14:textId="77777777" w:rsidR="00E9338E" w:rsidRPr="00C92D72" w:rsidRDefault="00E9338E" w:rsidP="00E9338E">
      <w:pPr>
        <w:widowControl w:val="0"/>
        <w:numPr>
          <w:ilvl w:val="0"/>
          <w:numId w:val="1"/>
        </w:numPr>
        <w:tabs>
          <w:tab w:val="left" w:pos="567"/>
        </w:tabs>
        <w:autoSpaceDE w:val="0"/>
        <w:autoSpaceDN w:val="0"/>
        <w:adjustRightInd w:val="0"/>
        <w:spacing w:after="0" w:line="240" w:lineRule="auto"/>
        <w:ind w:left="567" w:hanging="567"/>
        <w:rPr>
          <w:rFonts w:ascii="Times New Roman" w:hAnsi="Times New Roman"/>
        </w:rPr>
      </w:pPr>
      <w:r w:rsidRPr="00C92D72">
        <w:rPr>
          <w:rFonts w:ascii="Times New Roman" w:hAnsi="Times New Roman"/>
        </w:rPr>
        <w:t>sfarbenie zubov,</w:t>
      </w:r>
    </w:p>
    <w:p w14:paraId="30A1437B" w14:textId="77777777" w:rsidR="00E9338E" w:rsidRPr="00C92D72" w:rsidRDefault="00E9338E" w:rsidP="00E9338E">
      <w:pPr>
        <w:widowControl w:val="0"/>
        <w:numPr>
          <w:ilvl w:val="0"/>
          <w:numId w:val="1"/>
        </w:numPr>
        <w:tabs>
          <w:tab w:val="left" w:pos="567"/>
        </w:tabs>
        <w:autoSpaceDE w:val="0"/>
        <w:autoSpaceDN w:val="0"/>
        <w:adjustRightInd w:val="0"/>
        <w:spacing w:after="0" w:line="240" w:lineRule="auto"/>
        <w:ind w:left="567" w:hanging="567"/>
        <w:rPr>
          <w:rFonts w:ascii="Times New Roman" w:hAnsi="Times New Roman"/>
        </w:rPr>
      </w:pPr>
      <w:r w:rsidRPr="00C92D72">
        <w:rPr>
          <w:rFonts w:ascii="Times New Roman" w:hAnsi="Times New Roman"/>
        </w:rPr>
        <w:t>vyrážka,</w:t>
      </w:r>
    </w:p>
    <w:p w14:paraId="35A68A05" w14:textId="77777777" w:rsidR="00E9338E" w:rsidRPr="00C92D72" w:rsidRDefault="00E9338E" w:rsidP="00E9338E">
      <w:pPr>
        <w:widowControl w:val="0"/>
        <w:numPr>
          <w:ilvl w:val="0"/>
          <w:numId w:val="1"/>
        </w:numPr>
        <w:tabs>
          <w:tab w:val="left" w:pos="567"/>
        </w:tabs>
        <w:autoSpaceDE w:val="0"/>
        <w:autoSpaceDN w:val="0"/>
        <w:adjustRightInd w:val="0"/>
        <w:spacing w:after="0" w:line="240" w:lineRule="auto"/>
        <w:ind w:left="567" w:hanging="567"/>
        <w:rPr>
          <w:rFonts w:ascii="Times New Roman" w:hAnsi="Times New Roman"/>
        </w:rPr>
      </w:pPr>
      <w:r w:rsidRPr="00C92D72">
        <w:rPr>
          <w:rFonts w:ascii="Times New Roman" w:hAnsi="Times New Roman"/>
        </w:rPr>
        <w:t>svrbenie,</w:t>
      </w:r>
    </w:p>
    <w:p w14:paraId="5109AE78" w14:textId="77777777" w:rsidR="00E9338E" w:rsidRPr="00C92D72" w:rsidRDefault="00E9338E" w:rsidP="00E9338E">
      <w:pPr>
        <w:widowControl w:val="0"/>
        <w:numPr>
          <w:ilvl w:val="0"/>
          <w:numId w:val="1"/>
        </w:numPr>
        <w:tabs>
          <w:tab w:val="left" w:pos="567"/>
        </w:tabs>
        <w:autoSpaceDE w:val="0"/>
        <w:autoSpaceDN w:val="0"/>
        <w:adjustRightInd w:val="0"/>
        <w:spacing w:after="0" w:line="240" w:lineRule="auto"/>
        <w:ind w:left="567" w:hanging="567"/>
        <w:rPr>
          <w:rFonts w:ascii="Times New Roman" w:hAnsi="Times New Roman"/>
        </w:rPr>
      </w:pPr>
      <w:r w:rsidRPr="00C92D72">
        <w:rPr>
          <w:rFonts w:ascii="Times New Roman" w:hAnsi="Times New Roman"/>
        </w:rPr>
        <w:t>bolesť hlavy</w:t>
      </w:r>
    </w:p>
    <w:p w14:paraId="7B770476"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1FF31F07" w14:textId="77777777" w:rsidR="00E9338E" w:rsidRPr="00C92D72" w:rsidRDefault="00E9338E" w:rsidP="00E9338E">
      <w:pPr>
        <w:tabs>
          <w:tab w:val="left" w:pos="567"/>
        </w:tabs>
        <w:spacing w:after="0" w:line="240" w:lineRule="auto"/>
        <w:rPr>
          <w:rFonts w:ascii="Times New Roman" w:hAnsi="Times New Roman"/>
          <w:b/>
          <w:w w:val="101"/>
        </w:rPr>
      </w:pPr>
      <w:r w:rsidRPr="00C92D72">
        <w:rPr>
          <w:rFonts w:ascii="Times New Roman" w:hAnsi="Times New Roman"/>
          <w:b/>
          <w:w w:val="101"/>
        </w:rPr>
        <w:t>Hlásenie vedľajších účinkov</w:t>
      </w:r>
    </w:p>
    <w:p w14:paraId="287F5F17" w14:textId="6EBD79CB" w:rsidR="00665EE1" w:rsidRPr="00A33105" w:rsidRDefault="00E9338E" w:rsidP="00D816C1">
      <w:pPr>
        <w:spacing w:after="0" w:line="240" w:lineRule="auto"/>
        <w:rPr>
          <w:rFonts w:ascii="Times New Roman" w:eastAsia="Calibri" w:hAnsi="Times New Roman"/>
          <w:lang w:eastAsia="zh-CN"/>
        </w:rPr>
      </w:pPr>
      <w:r w:rsidRPr="00C92D72">
        <w:rPr>
          <w:rFonts w:ascii="Times New Roman" w:hAnsi="Times New Roman"/>
          <w:w w:val="101"/>
        </w:rPr>
        <w:t>Ak sa u vás vyskytne akýkoľvek vedľajší účinok, obráťte sa na svojho lekára alebo lekárnika. To sa týka aj akýchkoľvek vedľajších účinkov, ktoré nie sú uvedené v tejto písomnej informácii</w:t>
      </w:r>
      <w:r w:rsidRPr="00DC0FD2">
        <w:rPr>
          <w:rFonts w:ascii="Times New Roman" w:hAnsi="Times New Roman" w:cs="Times New Roman"/>
          <w:w w:val="101"/>
        </w:rPr>
        <w:t xml:space="preserve">. </w:t>
      </w:r>
      <w:r w:rsidR="00DC0FD2" w:rsidRPr="00456EC8">
        <w:rPr>
          <w:rFonts w:ascii="Times New Roman" w:hAnsi="Times New Roman" w:cs="Times New Roman"/>
          <w:noProof/>
        </w:rPr>
        <w:t xml:space="preserve">Vedľajšie účinky môžete hlásiť aj priamo na </w:t>
      </w:r>
      <w:r w:rsidR="00D816C1" w:rsidRPr="009E48F7">
        <w:rPr>
          <w:rFonts w:ascii="Times New Roman" w:eastAsia="Times New Roman" w:hAnsi="Times New Roman" w:cs="Times New Roman"/>
          <w:noProof/>
          <w:highlight w:val="lightGray"/>
          <w:lang w:eastAsia="sk-SK"/>
        </w:rPr>
        <w:t>národné centrum hlásenia uvedené v </w:t>
      </w:r>
      <w:hyperlink r:id="rId7" w:history="1">
        <w:r w:rsidR="00D816C1" w:rsidRPr="009E48F7">
          <w:rPr>
            <w:rFonts w:ascii="Times New Roman" w:eastAsia="Times New Roman" w:hAnsi="Times New Roman" w:cs="Times New Roman"/>
            <w:noProof/>
            <w:highlight w:val="lightGray"/>
            <w:lang w:eastAsia="sk-SK"/>
          </w:rPr>
          <w:t>Prílohe V</w:t>
        </w:r>
      </w:hyperlink>
      <w:r w:rsidR="006E0EC9">
        <w:rPr>
          <w:rFonts w:ascii="Times New Roman" w:eastAsia="Times New Roman" w:hAnsi="Times New Roman" w:cs="Times New Roman"/>
          <w:noProof/>
          <w:lang w:eastAsia="sk-SK"/>
        </w:rPr>
        <w:t>.</w:t>
      </w:r>
      <w:r w:rsidR="00665EE1" w:rsidRPr="001E5D22">
        <w:rPr>
          <w:rFonts w:ascii="Times New Roman" w:eastAsia="Calibri" w:hAnsi="Times New Roman"/>
          <w:lang w:eastAsia="zh-CN"/>
        </w:rPr>
        <w:t xml:space="preserve"> </w:t>
      </w:r>
    </w:p>
    <w:p w14:paraId="396FCF92" w14:textId="77777777" w:rsidR="00E9338E" w:rsidRPr="00C92D72" w:rsidRDefault="00DC0FD2" w:rsidP="00E9338E">
      <w:pPr>
        <w:tabs>
          <w:tab w:val="left" w:pos="567"/>
        </w:tabs>
        <w:spacing w:after="0" w:line="240" w:lineRule="auto"/>
        <w:rPr>
          <w:rFonts w:ascii="Times New Roman" w:hAnsi="Times New Roman"/>
          <w:w w:val="101"/>
        </w:rPr>
      </w:pPr>
      <w:r w:rsidRPr="00456EC8">
        <w:rPr>
          <w:rFonts w:ascii="Times New Roman" w:hAnsi="Times New Roman" w:cs="Times New Roman"/>
          <w:noProof/>
        </w:rPr>
        <w:t>Hlásením vedľajších účinkov môžete prispieť k získaniu ďalších informácií o bezpečnosti tohto lieku</w:t>
      </w:r>
      <w:r w:rsidRPr="00456EC8">
        <w:rPr>
          <w:rFonts w:ascii="Times New Roman" w:hAnsi="Times New Roman" w:cs="Times New Roman"/>
        </w:rPr>
        <w:t>.</w:t>
      </w:r>
    </w:p>
    <w:p w14:paraId="117AE231" w14:textId="77777777" w:rsidR="00E9338E" w:rsidRDefault="00E9338E" w:rsidP="00E9338E">
      <w:pPr>
        <w:tabs>
          <w:tab w:val="left" w:pos="567"/>
        </w:tabs>
        <w:spacing w:after="0" w:line="240" w:lineRule="auto"/>
        <w:rPr>
          <w:rFonts w:ascii="Times New Roman" w:hAnsi="Times New Roman"/>
          <w:w w:val="101"/>
        </w:rPr>
      </w:pPr>
    </w:p>
    <w:p w14:paraId="32443696" w14:textId="77777777" w:rsidR="009622AB" w:rsidRPr="00C92D72" w:rsidRDefault="009622AB" w:rsidP="00E9338E">
      <w:pPr>
        <w:tabs>
          <w:tab w:val="left" w:pos="567"/>
        </w:tabs>
        <w:spacing w:after="0" w:line="240" w:lineRule="auto"/>
        <w:rPr>
          <w:rFonts w:ascii="Times New Roman" w:hAnsi="Times New Roman"/>
          <w:w w:val="101"/>
        </w:rPr>
      </w:pPr>
    </w:p>
    <w:p w14:paraId="7DEEE896" w14:textId="77777777" w:rsidR="00E9338E" w:rsidRPr="00C92D72" w:rsidRDefault="00E9338E" w:rsidP="00E9338E">
      <w:pPr>
        <w:widowControl w:val="0"/>
        <w:tabs>
          <w:tab w:val="left" w:pos="567"/>
          <w:tab w:val="left" w:pos="680"/>
        </w:tabs>
        <w:autoSpaceDE w:val="0"/>
        <w:autoSpaceDN w:val="0"/>
        <w:adjustRightInd w:val="0"/>
        <w:spacing w:after="0" w:line="240" w:lineRule="auto"/>
        <w:rPr>
          <w:rFonts w:ascii="Times New Roman" w:hAnsi="Times New Roman"/>
        </w:rPr>
      </w:pPr>
      <w:r w:rsidRPr="00C92D72">
        <w:rPr>
          <w:rFonts w:ascii="Times New Roman" w:hAnsi="Times New Roman"/>
          <w:b/>
        </w:rPr>
        <w:t>5.</w:t>
      </w:r>
      <w:r w:rsidRPr="00C92D72">
        <w:rPr>
          <w:rFonts w:ascii="Times New Roman" w:hAnsi="Times New Roman"/>
          <w:b/>
        </w:rPr>
        <w:tab/>
        <w:t>Ako uchovávať Hemafer</w:t>
      </w:r>
    </w:p>
    <w:p w14:paraId="515DC95D"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1602CCD4" w14:textId="77777777" w:rsidR="00E9338E" w:rsidRPr="00C92D72" w:rsidRDefault="00E9338E" w:rsidP="00456EC8">
      <w:pPr>
        <w:widowControl w:val="0"/>
        <w:tabs>
          <w:tab w:val="left" w:pos="567"/>
        </w:tabs>
        <w:autoSpaceDE w:val="0"/>
        <w:autoSpaceDN w:val="0"/>
        <w:adjustRightInd w:val="0"/>
        <w:spacing w:after="0" w:line="240" w:lineRule="auto"/>
      </w:pPr>
      <w:r w:rsidRPr="00C92D72">
        <w:rPr>
          <w:rFonts w:ascii="Times New Roman" w:hAnsi="Times New Roman"/>
        </w:rPr>
        <w:t>Tento liek uchovávajte mimo dohľadu a dosahu detí.</w:t>
      </w:r>
    </w:p>
    <w:p w14:paraId="0478A4E8"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Neužívajte tento liek po dátume exspirácie, ktorý je uvedený na blistri a papierovej škatuli po EXP. Dátum exspirácie sa vzťahuje na posledný deň v danom mesiaci.</w:t>
      </w:r>
    </w:p>
    <w:p w14:paraId="235AFB20"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7460BFDB"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 xml:space="preserve">Tento liek nevyžaduje žiadne </w:t>
      </w:r>
      <w:r w:rsidR="006960EE">
        <w:rPr>
          <w:rFonts w:ascii="Times New Roman" w:hAnsi="Times New Roman"/>
        </w:rPr>
        <w:t>zvlášt</w:t>
      </w:r>
      <w:r w:rsidRPr="00C92D72">
        <w:rPr>
          <w:rFonts w:ascii="Times New Roman" w:hAnsi="Times New Roman"/>
        </w:rPr>
        <w:t xml:space="preserve">ne podmienky </w:t>
      </w:r>
      <w:r w:rsidR="00DE21E5">
        <w:rPr>
          <w:rFonts w:ascii="Times New Roman" w:hAnsi="Times New Roman"/>
        </w:rPr>
        <w:t>na</w:t>
      </w:r>
      <w:r w:rsidRPr="00C92D72">
        <w:rPr>
          <w:rFonts w:ascii="Times New Roman" w:hAnsi="Times New Roman"/>
        </w:rPr>
        <w:t xml:space="preserve"> uchovávanie.</w:t>
      </w:r>
    </w:p>
    <w:p w14:paraId="3EAD2E78"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14DC7974"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Nelikvidujte lieky odpadovou vodou alebo domovým odpadom. Nepoužitý liek vráťte do lekárne. Tieto opatrenia pomôžu chrániť životné prostredie.</w:t>
      </w:r>
    </w:p>
    <w:p w14:paraId="692C1208"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5ABCB444"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145C7C1B" w14:textId="77777777" w:rsidR="00E9338E" w:rsidRPr="00C92D72" w:rsidRDefault="00E9338E" w:rsidP="00E9338E">
      <w:pPr>
        <w:widowControl w:val="0"/>
        <w:tabs>
          <w:tab w:val="left" w:pos="567"/>
          <w:tab w:val="left" w:pos="680"/>
        </w:tabs>
        <w:autoSpaceDE w:val="0"/>
        <w:autoSpaceDN w:val="0"/>
        <w:adjustRightInd w:val="0"/>
        <w:spacing w:after="0" w:line="240" w:lineRule="auto"/>
        <w:rPr>
          <w:rFonts w:ascii="Times New Roman" w:hAnsi="Times New Roman"/>
        </w:rPr>
      </w:pPr>
      <w:r w:rsidRPr="00C92D72">
        <w:rPr>
          <w:rFonts w:ascii="Times New Roman" w:hAnsi="Times New Roman"/>
          <w:b/>
        </w:rPr>
        <w:t>6.</w:t>
      </w:r>
      <w:r w:rsidRPr="00C92D72">
        <w:rPr>
          <w:rFonts w:ascii="Times New Roman" w:hAnsi="Times New Roman"/>
          <w:b/>
        </w:rPr>
        <w:tab/>
        <w:t>Obsah balenia a ďalšie informácie</w:t>
      </w:r>
    </w:p>
    <w:p w14:paraId="3B11E4C3"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3881D539"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b/>
        </w:rPr>
      </w:pPr>
      <w:r w:rsidRPr="00C92D72">
        <w:rPr>
          <w:rFonts w:ascii="Times New Roman" w:hAnsi="Times New Roman"/>
          <w:b/>
        </w:rPr>
        <w:t>Čo Hemafer obsahuje</w:t>
      </w:r>
    </w:p>
    <w:p w14:paraId="67DDB103"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b/>
        </w:rPr>
      </w:pPr>
    </w:p>
    <w:p w14:paraId="3EDCC0F8" w14:textId="0409C909" w:rsidR="00E9338E" w:rsidRPr="00C92D72" w:rsidRDefault="00E9338E" w:rsidP="00456EC8">
      <w:pPr>
        <w:widowControl w:val="0"/>
        <w:numPr>
          <w:ilvl w:val="0"/>
          <w:numId w:val="3"/>
        </w:numPr>
        <w:tabs>
          <w:tab w:val="left" w:pos="567"/>
        </w:tabs>
        <w:autoSpaceDE w:val="0"/>
        <w:autoSpaceDN w:val="0"/>
        <w:adjustRightInd w:val="0"/>
        <w:spacing w:after="0" w:line="240" w:lineRule="auto"/>
        <w:ind w:left="567" w:hanging="567"/>
        <w:rPr>
          <w:rFonts w:ascii="Times New Roman" w:hAnsi="Times New Roman"/>
        </w:rPr>
      </w:pPr>
      <w:r w:rsidRPr="00C92D72">
        <w:rPr>
          <w:rFonts w:ascii="Times New Roman" w:hAnsi="Times New Roman"/>
        </w:rPr>
        <w:t>Liečivo je komplex hydroxidu železitého a polymaltózy. Každá tableta obsahuje komplex hydroxidu železitého a</w:t>
      </w:r>
      <w:r w:rsidR="006E0EC9">
        <w:rPr>
          <w:rFonts w:ascii="Times New Roman" w:hAnsi="Times New Roman"/>
        </w:rPr>
        <w:t> </w:t>
      </w:r>
      <w:r w:rsidRPr="00C92D72">
        <w:rPr>
          <w:rFonts w:ascii="Times New Roman" w:hAnsi="Times New Roman"/>
        </w:rPr>
        <w:t>polymaltózy</w:t>
      </w:r>
      <w:r w:rsidR="006E0EC9">
        <w:rPr>
          <w:rFonts w:ascii="Times New Roman" w:hAnsi="Times New Roman"/>
        </w:rPr>
        <w:t>, čo</w:t>
      </w:r>
      <w:r w:rsidRPr="00C92D72">
        <w:rPr>
          <w:rFonts w:ascii="Times New Roman" w:hAnsi="Times New Roman"/>
        </w:rPr>
        <w:t xml:space="preserve"> zodpove</w:t>
      </w:r>
      <w:r w:rsidR="006E0EC9">
        <w:rPr>
          <w:rFonts w:ascii="Times New Roman" w:hAnsi="Times New Roman"/>
        </w:rPr>
        <w:t>dá</w:t>
      </w:r>
      <w:r w:rsidRPr="00C92D72">
        <w:rPr>
          <w:rFonts w:ascii="Times New Roman" w:hAnsi="Times New Roman"/>
        </w:rPr>
        <w:t xml:space="preserve"> 100 mg železa.</w:t>
      </w:r>
    </w:p>
    <w:p w14:paraId="35E3ADC1" w14:textId="77777777" w:rsidR="00E9338E" w:rsidRPr="00C92D72" w:rsidRDefault="00E9338E" w:rsidP="00456EC8">
      <w:pPr>
        <w:widowControl w:val="0"/>
        <w:numPr>
          <w:ilvl w:val="0"/>
          <w:numId w:val="3"/>
        </w:numPr>
        <w:tabs>
          <w:tab w:val="left" w:pos="567"/>
        </w:tabs>
        <w:autoSpaceDE w:val="0"/>
        <w:autoSpaceDN w:val="0"/>
        <w:adjustRightInd w:val="0"/>
        <w:spacing w:after="0" w:line="240" w:lineRule="auto"/>
        <w:ind w:left="567" w:hanging="567"/>
        <w:rPr>
          <w:rFonts w:ascii="Times New Roman" w:hAnsi="Times New Roman"/>
        </w:rPr>
      </w:pPr>
      <w:r w:rsidRPr="00C92D72">
        <w:rPr>
          <w:rFonts w:ascii="Times New Roman" w:hAnsi="Times New Roman"/>
        </w:rPr>
        <w:t>Ďalšie zložky sú cyklam</w:t>
      </w:r>
      <w:r w:rsidR="00D855A5">
        <w:rPr>
          <w:rFonts w:ascii="Times New Roman" w:hAnsi="Times New Roman"/>
        </w:rPr>
        <w:t>an</w:t>
      </w:r>
      <w:r w:rsidRPr="00C92D72">
        <w:rPr>
          <w:rFonts w:ascii="Times New Roman" w:hAnsi="Times New Roman"/>
        </w:rPr>
        <w:t xml:space="preserve"> sodný (E952), vanilín, makrogol (E1521), </w:t>
      </w:r>
      <w:r w:rsidR="004F0F48" w:rsidRPr="00456EC8">
        <w:rPr>
          <w:rFonts w:ascii="Times New Roman" w:hAnsi="Times New Roman"/>
        </w:rPr>
        <w:t>príchuť</w:t>
      </w:r>
      <w:r w:rsidRPr="00C92D72">
        <w:rPr>
          <w:rFonts w:ascii="Times New Roman" w:hAnsi="Times New Roman"/>
        </w:rPr>
        <w:t xml:space="preserve"> bielej čokolády, hydratované dextráty, mikrokryštalická celulóza (E460) a mastenec (E553b). </w:t>
      </w:r>
    </w:p>
    <w:p w14:paraId="7A8D9FC6"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263766E4"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b/>
        </w:rPr>
      </w:pPr>
      <w:r w:rsidRPr="00C92D72">
        <w:rPr>
          <w:rFonts w:ascii="Times New Roman" w:hAnsi="Times New Roman"/>
          <w:b/>
        </w:rPr>
        <w:t>Ako vyzerá Hemafer a obsah balenia</w:t>
      </w:r>
    </w:p>
    <w:p w14:paraId="36730B53"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b/>
        </w:rPr>
      </w:pPr>
    </w:p>
    <w:p w14:paraId="76864877"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Hemafer 100 mg žuvacie tablety sú béžov</w:t>
      </w:r>
      <w:r w:rsidR="00BF5E63">
        <w:rPr>
          <w:rFonts w:ascii="Times New Roman" w:hAnsi="Times New Roman"/>
        </w:rPr>
        <w:t>o</w:t>
      </w:r>
      <w:r w:rsidRPr="00C92D72">
        <w:rPr>
          <w:rFonts w:ascii="Times New Roman" w:hAnsi="Times New Roman"/>
        </w:rPr>
        <w:t>/hned</w:t>
      </w:r>
      <w:r w:rsidR="00BF5E63">
        <w:rPr>
          <w:rFonts w:ascii="Times New Roman" w:hAnsi="Times New Roman"/>
        </w:rPr>
        <w:t>o</w:t>
      </w:r>
      <w:r w:rsidRPr="00C92D72">
        <w:rPr>
          <w:rFonts w:ascii="Times New Roman" w:hAnsi="Times New Roman"/>
        </w:rPr>
        <w:t xml:space="preserve"> bodkované, okrúhle tablety.</w:t>
      </w:r>
    </w:p>
    <w:p w14:paraId="1896EADA"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Veľkosti balenia: Tablety sú dostupné v blistroch po 10, v papierových škatuliach po 30, 50 alebo 100 tabl</w:t>
      </w:r>
      <w:r w:rsidR="006E4FDF">
        <w:rPr>
          <w:rFonts w:ascii="Times New Roman" w:hAnsi="Times New Roman"/>
        </w:rPr>
        <w:t>iet</w:t>
      </w:r>
      <w:r w:rsidRPr="00C92D72">
        <w:rPr>
          <w:rFonts w:ascii="Times New Roman" w:hAnsi="Times New Roman"/>
        </w:rPr>
        <w:t>.</w:t>
      </w:r>
    </w:p>
    <w:p w14:paraId="70BC7D24"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0A19C704" w14:textId="77777777" w:rsidR="00014DCE" w:rsidRPr="00456EC8" w:rsidRDefault="00014DCE" w:rsidP="00E9338E">
      <w:pPr>
        <w:widowControl w:val="0"/>
        <w:tabs>
          <w:tab w:val="left" w:pos="567"/>
        </w:tabs>
        <w:autoSpaceDE w:val="0"/>
        <w:autoSpaceDN w:val="0"/>
        <w:adjustRightInd w:val="0"/>
        <w:spacing w:after="0" w:line="240" w:lineRule="auto"/>
        <w:jc w:val="both"/>
        <w:rPr>
          <w:rFonts w:ascii="Times New Roman" w:hAnsi="Times New Roman" w:cs="Times New Roman"/>
        </w:rPr>
      </w:pPr>
      <w:r w:rsidRPr="00456EC8">
        <w:rPr>
          <w:rFonts w:ascii="Times New Roman" w:hAnsi="Times New Roman" w:cs="Times New Roman"/>
        </w:rPr>
        <w:t>Na trh nemusia byť uvedené všetky veľkosti balenia.</w:t>
      </w:r>
    </w:p>
    <w:p w14:paraId="19F49E86" w14:textId="77777777" w:rsidR="00E9338E" w:rsidRPr="00C92D72" w:rsidRDefault="00E9338E" w:rsidP="00E9338E">
      <w:pPr>
        <w:widowControl w:val="0"/>
        <w:tabs>
          <w:tab w:val="left" w:pos="567"/>
        </w:tabs>
        <w:autoSpaceDE w:val="0"/>
        <w:autoSpaceDN w:val="0"/>
        <w:adjustRightInd w:val="0"/>
        <w:spacing w:after="0" w:line="240" w:lineRule="auto"/>
        <w:jc w:val="both"/>
        <w:rPr>
          <w:rFonts w:ascii="Times New Roman" w:hAnsi="Times New Roman"/>
        </w:rPr>
      </w:pPr>
    </w:p>
    <w:p w14:paraId="58724BC0"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b/>
        </w:rPr>
        <w:t>Držiteľ rozhodnutia o registrácii a výrobca</w:t>
      </w:r>
    </w:p>
    <w:p w14:paraId="33D0F31F"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p>
    <w:p w14:paraId="720BB517"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Uni-Pharma Kleon Tsetis Pharmaceutical Laboratories S.A.</w:t>
      </w:r>
    </w:p>
    <w:p w14:paraId="462F2279" w14:textId="5E492FC4"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14</w:t>
      </w:r>
      <w:r w:rsidR="00030A0C">
        <w:rPr>
          <w:rFonts w:ascii="Times New Roman" w:hAnsi="Times New Roman"/>
        </w:rPr>
        <w:t xml:space="preserve">th </w:t>
      </w:r>
      <w:r w:rsidR="0041517E">
        <w:rPr>
          <w:rFonts w:ascii="Times New Roman" w:hAnsi="Times New Roman"/>
        </w:rPr>
        <w:t>kl</w:t>
      </w:r>
      <w:r w:rsidRPr="00C92D72">
        <w:rPr>
          <w:rFonts w:ascii="Times New Roman" w:hAnsi="Times New Roman"/>
        </w:rPr>
        <w:t>m N</w:t>
      </w:r>
      <w:r w:rsidR="00030A0C">
        <w:rPr>
          <w:rFonts w:ascii="Times New Roman" w:hAnsi="Times New Roman"/>
        </w:rPr>
        <w:t>ational</w:t>
      </w:r>
      <w:r w:rsidRPr="00C92D72">
        <w:rPr>
          <w:rFonts w:ascii="Times New Roman" w:hAnsi="Times New Roman"/>
        </w:rPr>
        <w:t xml:space="preserve"> </w:t>
      </w:r>
      <w:r w:rsidR="00141628">
        <w:rPr>
          <w:rFonts w:ascii="Times New Roman" w:hAnsi="Times New Roman"/>
        </w:rPr>
        <w:t>Road</w:t>
      </w:r>
      <w:r w:rsidR="00141628" w:rsidRPr="00C92D72">
        <w:rPr>
          <w:rFonts w:ascii="Times New Roman" w:hAnsi="Times New Roman"/>
        </w:rPr>
        <w:t xml:space="preserve"> </w:t>
      </w:r>
      <w:r w:rsidR="00141628">
        <w:rPr>
          <w:rFonts w:ascii="Times New Roman" w:hAnsi="Times New Roman"/>
        </w:rPr>
        <w:t>Athinon-Lamias</w:t>
      </w:r>
      <w:r w:rsidR="00141628" w:rsidRPr="00C92D72">
        <w:rPr>
          <w:rFonts w:ascii="Times New Roman" w:hAnsi="Times New Roman"/>
        </w:rPr>
        <w:t xml:space="preserve"> </w:t>
      </w:r>
      <w:r w:rsidRPr="00C92D72">
        <w:rPr>
          <w:rFonts w:ascii="Times New Roman" w:hAnsi="Times New Roman"/>
        </w:rPr>
        <w:t>1,</w:t>
      </w:r>
      <w:r w:rsidR="00030A0C">
        <w:rPr>
          <w:rFonts w:ascii="Times New Roman" w:hAnsi="Times New Roman"/>
        </w:rPr>
        <w:t xml:space="preserve"> </w:t>
      </w:r>
    </w:p>
    <w:p w14:paraId="194A642F"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145 64 Kifisia</w:t>
      </w:r>
    </w:p>
    <w:p w14:paraId="55F22BF3"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rPr>
      </w:pPr>
      <w:r w:rsidRPr="00C92D72">
        <w:rPr>
          <w:rFonts w:ascii="Times New Roman" w:hAnsi="Times New Roman"/>
        </w:rPr>
        <w:t>Grécko</w:t>
      </w:r>
    </w:p>
    <w:p w14:paraId="468CF10E" w14:textId="77777777" w:rsidR="00E9338E" w:rsidRPr="00C92D72" w:rsidRDefault="00E9338E" w:rsidP="00E9338E">
      <w:pPr>
        <w:widowControl w:val="0"/>
        <w:tabs>
          <w:tab w:val="left" w:pos="567"/>
        </w:tabs>
        <w:autoSpaceDE w:val="0"/>
        <w:autoSpaceDN w:val="0"/>
        <w:adjustRightInd w:val="0"/>
        <w:spacing w:after="0" w:line="240" w:lineRule="auto"/>
        <w:rPr>
          <w:rFonts w:ascii="Times New Roman" w:hAnsi="Times New Roman"/>
          <w:b/>
          <w:bCs/>
        </w:rPr>
      </w:pPr>
    </w:p>
    <w:p w14:paraId="28086F84" w14:textId="77777777" w:rsidR="00E9338E" w:rsidRPr="009E48F7" w:rsidRDefault="00E9338E" w:rsidP="00E9338E">
      <w:pPr>
        <w:widowControl w:val="0"/>
        <w:tabs>
          <w:tab w:val="left" w:pos="567"/>
        </w:tabs>
        <w:autoSpaceDE w:val="0"/>
        <w:autoSpaceDN w:val="0"/>
        <w:adjustRightInd w:val="0"/>
        <w:spacing w:after="0" w:line="240" w:lineRule="auto"/>
        <w:rPr>
          <w:rFonts w:ascii="Times New Roman" w:hAnsi="Times New Roman"/>
        </w:rPr>
      </w:pPr>
      <w:r w:rsidRPr="00D907D7">
        <w:rPr>
          <w:rFonts w:ascii="Times New Roman" w:hAnsi="Times New Roman"/>
          <w:b/>
        </w:rPr>
        <w:t>Liek je schválený v členských štátoch Európskeho hospodárskeho priestoru (EHP) pod</w:t>
      </w:r>
      <w:r w:rsidR="001447B5" w:rsidRPr="009E48F7">
        <w:rPr>
          <w:rFonts w:ascii="Times New Roman" w:hAnsi="Times New Roman"/>
          <w:b/>
        </w:rPr>
        <w:t> </w:t>
      </w:r>
      <w:r w:rsidRPr="009E48F7">
        <w:rPr>
          <w:rFonts w:ascii="Times New Roman" w:hAnsi="Times New Roman"/>
          <w:b/>
        </w:rPr>
        <w:t>nasledovnými názvami:</w:t>
      </w:r>
    </w:p>
    <w:p w14:paraId="66AAF517" w14:textId="77777777" w:rsidR="00E9338E" w:rsidRPr="009E48F7" w:rsidRDefault="00E9338E" w:rsidP="00E9338E">
      <w:pPr>
        <w:widowControl w:val="0"/>
        <w:tabs>
          <w:tab w:val="left" w:pos="567"/>
        </w:tabs>
        <w:autoSpaceDE w:val="0"/>
        <w:autoSpaceDN w:val="0"/>
        <w:adjustRightInd w:val="0"/>
        <w:spacing w:after="0" w:line="240" w:lineRule="auto"/>
        <w:rPr>
          <w:rFonts w:ascii="Times New Roman" w:hAnsi="Times New Roman"/>
        </w:rPr>
      </w:pPr>
    </w:p>
    <w:p w14:paraId="478960E7" w14:textId="38BA5E1A" w:rsidR="00471C25" w:rsidRPr="00D907D7" w:rsidRDefault="00E9338E" w:rsidP="00471C25">
      <w:pPr>
        <w:pStyle w:val="Default"/>
        <w:rPr>
          <w:rFonts w:eastAsiaTheme="minorHAnsi"/>
          <w:sz w:val="22"/>
          <w:szCs w:val="22"/>
          <w:lang w:eastAsia="en-US"/>
        </w:rPr>
      </w:pPr>
      <w:r w:rsidRPr="00D907D7">
        <w:rPr>
          <w:sz w:val="22"/>
          <w:szCs w:val="22"/>
        </w:rPr>
        <w:t xml:space="preserve">Belgicko: Hemafer 100 mg </w:t>
      </w:r>
      <w:r w:rsidR="00471C25" w:rsidRPr="00D907D7">
        <w:rPr>
          <w:sz w:val="22"/>
          <w:szCs w:val="22"/>
        </w:rPr>
        <w:t>comprimés à croquer / kauwtablet</w:t>
      </w:r>
      <w:r w:rsidR="00141628" w:rsidRPr="00D907D7">
        <w:rPr>
          <w:sz w:val="22"/>
          <w:szCs w:val="22"/>
        </w:rPr>
        <w:t>t</w:t>
      </w:r>
      <w:r w:rsidR="00471C25" w:rsidRPr="00D907D7">
        <w:rPr>
          <w:sz w:val="22"/>
          <w:szCs w:val="22"/>
        </w:rPr>
        <w:t xml:space="preserve">en/ </w:t>
      </w:r>
      <w:r w:rsidR="00141628" w:rsidRPr="00D907D7">
        <w:rPr>
          <w:sz w:val="22"/>
          <w:szCs w:val="22"/>
        </w:rPr>
        <w:t>K</w:t>
      </w:r>
      <w:r w:rsidR="00471C25" w:rsidRPr="00D907D7">
        <w:rPr>
          <w:sz w:val="22"/>
          <w:szCs w:val="22"/>
        </w:rPr>
        <w:t>autabletten</w:t>
      </w:r>
    </w:p>
    <w:p w14:paraId="7C5746D2" w14:textId="77777777" w:rsidR="00E9338E" w:rsidRPr="00D907D7" w:rsidRDefault="00E9338E" w:rsidP="00E9338E">
      <w:pPr>
        <w:widowControl w:val="0"/>
        <w:tabs>
          <w:tab w:val="left" w:pos="567"/>
        </w:tabs>
        <w:autoSpaceDE w:val="0"/>
        <w:autoSpaceDN w:val="0"/>
        <w:adjustRightInd w:val="0"/>
        <w:spacing w:after="0" w:line="240" w:lineRule="auto"/>
        <w:rPr>
          <w:rFonts w:ascii="Times New Roman" w:hAnsi="Times New Roman"/>
        </w:rPr>
      </w:pPr>
      <w:r w:rsidRPr="00D907D7">
        <w:rPr>
          <w:rFonts w:ascii="Times New Roman" w:hAnsi="Times New Roman"/>
        </w:rPr>
        <w:t>Dánsko:</w:t>
      </w:r>
      <w:r w:rsidRPr="00D907D7">
        <w:rPr>
          <w:rFonts w:ascii="Times New Roman" w:hAnsi="Times New Roman"/>
          <w:spacing w:val="-4"/>
        </w:rPr>
        <w:t xml:space="preserve"> </w:t>
      </w:r>
      <w:r w:rsidRPr="00D907D7">
        <w:rPr>
          <w:rFonts w:ascii="Times New Roman" w:hAnsi="Times New Roman"/>
        </w:rPr>
        <w:t>Ferofix</w:t>
      </w:r>
    </w:p>
    <w:p w14:paraId="3B44DC60" w14:textId="60B8D480" w:rsidR="00471C25" w:rsidRPr="00D907D7" w:rsidRDefault="00E9338E" w:rsidP="00471C25">
      <w:pPr>
        <w:pStyle w:val="Default"/>
        <w:rPr>
          <w:rFonts w:eastAsiaTheme="minorHAnsi"/>
          <w:sz w:val="22"/>
          <w:szCs w:val="22"/>
          <w:lang w:eastAsia="en-US"/>
        </w:rPr>
      </w:pPr>
      <w:r w:rsidRPr="00D907D7">
        <w:rPr>
          <w:sz w:val="22"/>
          <w:szCs w:val="22"/>
        </w:rPr>
        <w:t>Fínsko: Ferofix 100 mg</w:t>
      </w:r>
      <w:r w:rsidR="00471C25" w:rsidRPr="00D907D7">
        <w:rPr>
          <w:sz w:val="22"/>
          <w:szCs w:val="22"/>
        </w:rPr>
        <w:t xml:space="preserve"> </w:t>
      </w:r>
      <w:r w:rsidR="00141628" w:rsidRPr="00D907D7">
        <w:rPr>
          <w:sz w:val="22"/>
          <w:szCs w:val="22"/>
          <w:lang w:val="fi-FI"/>
        </w:rPr>
        <w:t>purutabletti</w:t>
      </w:r>
      <w:r w:rsidRPr="00D907D7">
        <w:rPr>
          <w:sz w:val="22"/>
          <w:szCs w:val="22"/>
        </w:rPr>
        <w:t xml:space="preserve"> </w:t>
      </w:r>
    </w:p>
    <w:p w14:paraId="5BC732E7" w14:textId="314F909C" w:rsidR="00E9338E" w:rsidRPr="00D907D7" w:rsidRDefault="00E9338E" w:rsidP="00E9338E">
      <w:pPr>
        <w:widowControl w:val="0"/>
        <w:tabs>
          <w:tab w:val="left" w:pos="567"/>
        </w:tabs>
        <w:autoSpaceDE w:val="0"/>
        <w:autoSpaceDN w:val="0"/>
        <w:adjustRightInd w:val="0"/>
        <w:spacing w:after="0" w:line="240" w:lineRule="auto"/>
        <w:rPr>
          <w:rFonts w:ascii="Times New Roman" w:hAnsi="Times New Roman"/>
        </w:rPr>
      </w:pPr>
      <w:r w:rsidRPr="00D907D7">
        <w:rPr>
          <w:rFonts w:ascii="Times New Roman" w:hAnsi="Times New Roman"/>
        </w:rPr>
        <w:t xml:space="preserve">Francúzsko: </w:t>
      </w:r>
      <w:r w:rsidR="00D907D7" w:rsidRPr="00D907D7">
        <w:rPr>
          <w:rFonts w:ascii="Times New Roman" w:hAnsi="Times New Roman"/>
        </w:rPr>
        <w:t xml:space="preserve">ANELIE </w:t>
      </w:r>
      <w:r w:rsidRPr="00D907D7">
        <w:rPr>
          <w:rFonts w:ascii="Times New Roman" w:hAnsi="Times New Roman"/>
        </w:rPr>
        <w:t xml:space="preserve">100 mg </w:t>
      </w:r>
      <w:r w:rsidR="00141628" w:rsidRPr="00D907D7">
        <w:rPr>
          <w:rFonts w:ascii="Times New Roman" w:hAnsi="Times New Roman" w:cs="Times New Roman"/>
          <w:color w:val="000000"/>
          <w:lang w:val="fr-FR"/>
        </w:rPr>
        <w:t>comprimé à croquer</w:t>
      </w:r>
    </w:p>
    <w:p w14:paraId="03F8B491" w14:textId="546B6BA4" w:rsidR="00471C25" w:rsidRPr="00D907D7" w:rsidRDefault="00E9338E" w:rsidP="00456EC8">
      <w:pPr>
        <w:pStyle w:val="Default"/>
        <w:rPr>
          <w:sz w:val="22"/>
          <w:szCs w:val="22"/>
        </w:rPr>
      </w:pPr>
      <w:r w:rsidRPr="00D907D7">
        <w:rPr>
          <w:sz w:val="22"/>
          <w:szCs w:val="22"/>
        </w:rPr>
        <w:t xml:space="preserve">Taliansko: Ferofix 100 mg </w:t>
      </w:r>
      <w:r w:rsidR="00141628" w:rsidRPr="00D907D7">
        <w:rPr>
          <w:sz w:val="22"/>
          <w:szCs w:val="22"/>
          <w:lang w:val="it-IT"/>
        </w:rPr>
        <w:t>compresse masticabili</w:t>
      </w:r>
      <w:r w:rsidR="00141628" w:rsidRPr="00D907D7" w:rsidDel="00141628">
        <w:rPr>
          <w:sz w:val="22"/>
          <w:szCs w:val="22"/>
        </w:rPr>
        <w:t xml:space="preserve"> </w:t>
      </w:r>
    </w:p>
    <w:p w14:paraId="7733E0AF" w14:textId="380D4A8B" w:rsidR="00E9338E" w:rsidRPr="00D907D7" w:rsidRDefault="00E9338E" w:rsidP="00456EC8">
      <w:pPr>
        <w:pStyle w:val="Default"/>
        <w:rPr>
          <w:sz w:val="22"/>
          <w:szCs w:val="22"/>
        </w:rPr>
      </w:pPr>
      <w:r w:rsidRPr="00D907D7">
        <w:rPr>
          <w:sz w:val="22"/>
          <w:szCs w:val="22"/>
        </w:rPr>
        <w:t xml:space="preserve">Holandsko: Hemafer 100 mg </w:t>
      </w:r>
      <w:r w:rsidR="00141628" w:rsidRPr="00D907D7">
        <w:rPr>
          <w:sz w:val="22"/>
          <w:szCs w:val="22"/>
          <w:lang w:val="nl-NL"/>
        </w:rPr>
        <w:t>kauwtabletten</w:t>
      </w:r>
    </w:p>
    <w:p w14:paraId="1C3F9AC1" w14:textId="77777777" w:rsidR="00E9338E" w:rsidRPr="00D907D7" w:rsidRDefault="00E9338E" w:rsidP="00E9338E">
      <w:pPr>
        <w:widowControl w:val="0"/>
        <w:tabs>
          <w:tab w:val="left" w:pos="567"/>
        </w:tabs>
        <w:autoSpaceDE w:val="0"/>
        <w:autoSpaceDN w:val="0"/>
        <w:adjustRightInd w:val="0"/>
        <w:spacing w:after="0" w:line="240" w:lineRule="auto"/>
        <w:rPr>
          <w:rFonts w:ascii="Times New Roman" w:hAnsi="Times New Roman"/>
        </w:rPr>
      </w:pPr>
      <w:r w:rsidRPr="00D907D7">
        <w:rPr>
          <w:rFonts w:ascii="Times New Roman" w:hAnsi="Times New Roman"/>
        </w:rPr>
        <w:t>Nórsko: Ferofix</w:t>
      </w:r>
    </w:p>
    <w:p w14:paraId="4F209748" w14:textId="77777777" w:rsidR="00E9338E" w:rsidRPr="00D907D7" w:rsidRDefault="00E9338E" w:rsidP="00E9338E">
      <w:pPr>
        <w:widowControl w:val="0"/>
        <w:tabs>
          <w:tab w:val="left" w:pos="567"/>
        </w:tabs>
        <w:autoSpaceDE w:val="0"/>
        <w:autoSpaceDN w:val="0"/>
        <w:adjustRightInd w:val="0"/>
        <w:spacing w:after="0" w:line="240" w:lineRule="auto"/>
        <w:rPr>
          <w:rFonts w:ascii="Times New Roman" w:hAnsi="Times New Roman"/>
        </w:rPr>
      </w:pPr>
      <w:r w:rsidRPr="00D907D7">
        <w:rPr>
          <w:rFonts w:ascii="Times New Roman" w:hAnsi="Times New Roman"/>
        </w:rPr>
        <w:t>Slovensko: Hemafer 100 mg tablety na žuvanie</w:t>
      </w:r>
    </w:p>
    <w:p w14:paraId="305895B3" w14:textId="77777777" w:rsidR="00471C25" w:rsidRPr="00D907D7" w:rsidRDefault="00E9338E" w:rsidP="00471C25">
      <w:pPr>
        <w:pStyle w:val="Default"/>
        <w:rPr>
          <w:rFonts w:eastAsiaTheme="minorHAnsi"/>
          <w:sz w:val="22"/>
          <w:szCs w:val="22"/>
          <w:lang w:eastAsia="en-US"/>
        </w:rPr>
      </w:pPr>
      <w:r w:rsidRPr="00D907D7">
        <w:rPr>
          <w:sz w:val="22"/>
          <w:szCs w:val="22"/>
        </w:rPr>
        <w:t xml:space="preserve">Španielsko: Ferofix 100 mg </w:t>
      </w:r>
      <w:r w:rsidR="00471C25" w:rsidRPr="00D907D7">
        <w:rPr>
          <w:sz w:val="22"/>
          <w:szCs w:val="22"/>
        </w:rPr>
        <w:t>comprimidos masticables</w:t>
      </w:r>
    </w:p>
    <w:p w14:paraId="5173C71F" w14:textId="7FE07C9E" w:rsidR="00E9338E" w:rsidRPr="00D907D7" w:rsidRDefault="00E9338E" w:rsidP="00456EC8">
      <w:pPr>
        <w:pStyle w:val="Default"/>
        <w:rPr>
          <w:sz w:val="22"/>
          <w:szCs w:val="22"/>
        </w:rPr>
      </w:pPr>
      <w:r w:rsidRPr="00D907D7">
        <w:rPr>
          <w:sz w:val="22"/>
          <w:szCs w:val="22"/>
        </w:rPr>
        <w:t>Švédsko:</w:t>
      </w:r>
      <w:r w:rsidRPr="00D907D7">
        <w:rPr>
          <w:spacing w:val="-4"/>
          <w:sz w:val="22"/>
          <w:szCs w:val="22"/>
        </w:rPr>
        <w:t xml:space="preserve"> </w:t>
      </w:r>
      <w:r w:rsidRPr="00D907D7">
        <w:rPr>
          <w:sz w:val="22"/>
          <w:szCs w:val="22"/>
        </w:rPr>
        <w:t xml:space="preserve">Ferofix 100 mg </w:t>
      </w:r>
      <w:r w:rsidR="00141628" w:rsidRPr="00D907D7">
        <w:rPr>
          <w:sz w:val="22"/>
          <w:szCs w:val="22"/>
        </w:rPr>
        <w:t>tuggtabletter</w:t>
      </w:r>
    </w:p>
    <w:p w14:paraId="61AADAF5" w14:textId="77777777" w:rsidR="00E9338E" w:rsidRPr="00D907D7" w:rsidRDefault="00E9338E" w:rsidP="00E9338E">
      <w:pPr>
        <w:widowControl w:val="0"/>
        <w:tabs>
          <w:tab w:val="left" w:pos="567"/>
        </w:tabs>
        <w:autoSpaceDE w:val="0"/>
        <w:autoSpaceDN w:val="0"/>
        <w:adjustRightInd w:val="0"/>
        <w:spacing w:after="0" w:line="240" w:lineRule="auto"/>
        <w:rPr>
          <w:rFonts w:ascii="Times New Roman" w:hAnsi="Times New Roman"/>
        </w:rPr>
      </w:pPr>
    </w:p>
    <w:p w14:paraId="729EDC04" w14:textId="6219B6E7" w:rsidR="00E9338E" w:rsidRPr="009E48F7" w:rsidRDefault="00E9338E" w:rsidP="00E9338E">
      <w:pPr>
        <w:widowControl w:val="0"/>
        <w:tabs>
          <w:tab w:val="left" w:pos="567"/>
        </w:tabs>
        <w:autoSpaceDE w:val="0"/>
        <w:autoSpaceDN w:val="0"/>
        <w:adjustRightInd w:val="0"/>
        <w:spacing w:after="0" w:line="240" w:lineRule="auto"/>
        <w:rPr>
          <w:rFonts w:ascii="Times New Roman" w:hAnsi="Times New Roman"/>
          <w:b/>
        </w:rPr>
      </w:pPr>
      <w:r w:rsidRPr="009E48F7">
        <w:rPr>
          <w:rFonts w:ascii="Times New Roman" w:hAnsi="Times New Roman"/>
          <w:b/>
        </w:rPr>
        <w:t>Táto písomná informácia bola naposledy aktualizovaná v</w:t>
      </w:r>
      <w:r w:rsidR="00C92D72" w:rsidRPr="009E48F7">
        <w:rPr>
          <w:rFonts w:ascii="Times New Roman" w:hAnsi="Times New Roman"/>
          <w:b/>
        </w:rPr>
        <w:t> 1</w:t>
      </w:r>
      <w:r w:rsidR="006E0EC9" w:rsidRPr="009E48F7">
        <w:rPr>
          <w:rFonts w:ascii="Times New Roman" w:hAnsi="Times New Roman"/>
          <w:b/>
        </w:rPr>
        <w:t>2</w:t>
      </w:r>
      <w:r w:rsidR="00C92D72" w:rsidRPr="009E48F7">
        <w:rPr>
          <w:rFonts w:ascii="Times New Roman" w:hAnsi="Times New Roman"/>
          <w:b/>
        </w:rPr>
        <w:t>/2017.</w:t>
      </w:r>
    </w:p>
    <w:p w14:paraId="536B7EB0" w14:textId="77777777" w:rsidR="00E9338E" w:rsidRDefault="00E9338E" w:rsidP="00E9338E"/>
    <w:sectPr w:rsidR="00E9338E" w:rsidSect="00456EC8">
      <w:headerReference w:type="default" r:id="rId8"/>
      <w:footerReference w:type="default" r:id="rId9"/>
      <w:headerReference w:type="first" r:id="rId10"/>
      <w:footerReference w:type="first" r:id="rId11"/>
      <w:pgSz w:w="11906" w:h="16838" w:code="9"/>
      <w:pgMar w:top="1134" w:right="1418" w:bottom="1134" w:left="1418"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DEAD4" w14:textId="77777777" w:rsidR="003166F6" w:rsidRDefault="003166F6" w:rsidP="00C92D72">
      <w:pPr>
        <w:spacing w:after="0" w:line="240" w:lineRule="auto"/>
      </w:pPr>
      <w:r>
        <w:separator/>
      </w:r>
    </w:p>
  </w:endnote>
  <w:endnote w:type="continuationSeparator" w:id="0">
    <w:p w14:paraId="74DCB3D6" w14:textId="77777777" w:rsidR="003166F6" w:rsidRDefault="003166F6" w:rsidP="00C92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695354"/>
      <w:docPartObj>
        <w:docPartGallery w:val="Page Numbers (Bottom of Page)"/>
        <w:docPartUnique/>
      </w:docPartObj>
    </w:sdtPr>
    <w:sdtEndPr>
      <w:rPr>
        <w:rFonts w:ascii="Times New Roman" w:hAnsi="Times New Roman" w:cs="Times New Roman"/>
        <w:sz w:val="18"/>
        <w:szCs w:val="18"/>
      </w:rPr>
    </w:sdtEndPr>
    <w:sdtContent>
      <w:p w14:paraId="35C94FA8" w14:textId="76E73552" w:rsidR="00C92D72" w:rsidRPr="00456EC8" w:rsidRDefault="00C92D72">
        <w:pPr>
          <w:pStyle w:val="Footer"/>
          <w:jc w:val="center"/>
          <w:rPr>
            <w:rFonts w:ascii="Times New Roman" w:hAnsi="Times New Roman" w:cs="Times New Roman"/>
            <w:sz w:val="18"/>
            <w:szCs w:val="18"/>
          </w:rPr>
        </w:pPr>
        <w:r w:rsidRPr="00456EC8">
          <w:rPr>
            <w:rFonts w:ascii="Times New Roman" w:hAnsi="Times New Roman" w:cs="Times New Roman"/>
            <w:sz w:val="18"/>
            <w:szCs w:val="18"/>
          </w:rPr>
          <w:fldChar w:fldCharType="begin"/>
        </w:r>
        <w:r w:rsidRPr="00456EC8">
          <w:rPr>
            <w:rFonts w:ascii="Times New Roman" w:hAnsi="Times New Roman" w:cs="Times New Roman"/>
            <w:sz w:val="18"/>
            <w:szCs w:val="18"/>
          </w:rPr>
          <w:instrText>PAGE   \* MERGEFORMAT</w:instrText>
        </w:r>
        <w:r w:rsidRPr="00456EC8">
          <w:rPr>
            <w:rFonts w:ascii="Times New Roman" w:hAnsi="Times New Roman" w:cs="Times New Roman"/>
            <w:sz w:val="18"/>
            <w:szCs w:val="18"/>
          </w:rPr>
          <w:fldChar w:fldCharType="separate"/>
        </w:r>
        <w:r w:rsidR="00992BC6">
          <w:rPr>
            <w:rFonts w:ascii="Times New Roman" w:hAnsi="Times New Roman" w:cs="Times New Roman"/>
            <w:noProof/>
            <w:sz w:val="18"/>
            <w:szCs w:val="18"/>
          </w:rPr>
          <w:t>4</w:t>
        </w:r>
        <w:r w:rsidRPr="00456EC8">
          <w:rPr>
            <w:rFonts w:ascii="Times New Roman" w:hAnsi="Times New Roman" w:cs="Times New Roman"/>
            <w:sz w:val="18"/>
            <w:szCs w:val="18"/>
          </w:rPr>
          <w:fldChar w:fldCharType="end"/>
        </w:r>
      </w:p>
    </w:sdtContent>
  </w:sdt>
  <w:p w14:paraId="0701AB0A" w14:textId="77777777" w:rsidR="00C92D72" w:rsidRDefault="00C92D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091965"/>
      <w:docPartObj>
        <w:docPartGallery w:val="Page Numbers (Bottom of Page)"/>
        <w:docPartUnique/>
      </w:docPartObj>
    </w:sdtPr>
    <w:sdtEndPr>
      <w:rPr>
        <w:rFonts w:ascii="Times New Roman" w:hAnsi="Times New Roman" w:cs="Times New Roman"/>
        <w:sz w:val="18"/>
        <w:szCs w:val="18"/>
      </w:rPr>
    </w:sdtEndPr>
    <w:sdtContent>
      <w:p w14:paraId="7D7F33B1" w14:textId="6F52015C" w:rsidR="00C92D72" w:rsidRPr="00456EC8" w:rsidRDefault="00C92D72">
        <w:pPr>
          <w:pStyle w:val="Footer"/>
          <w:jc w:val="center"/>
          <w:rPr>
            <w:rFonts w:ascii="Times New Roman" w:hAnsi="Times New Roman" w:cs="Times New Roman"/>
            <w:sz w:val="18"/>
            <w:szCs w:val="18"/>
          </w:rPr>
        </w:pPr>
        <w:r w:rsidRPr="00456EC8">
          <w:rPr>
            <w:rFonts w:ascii="Times New Roman" w:hAnsi="Times New Roman" w:cs="Times New Roman"/>
            <w:sz w:val="18"/>
            <w:szCs w:val="18"/>
          </w:rPr>
          <w:fldChar w:fldCharType="begin"/>
        </w:r>
        <w:r w:rsidRPr="00456EC8">
          <w:rPr>
            <w:rFonts w:ascii="Times New Roman" w:hAnsi="Times New Roman" w:cs="Times New Roman"/>
            <w:sz w:val="18"/>
            <w:szCs w:val="18"/>
          </w:rPr>
          <w:instrText>PAGE   \* MERGEFORMAT</w:instrText>
        </w:r>
        <w:r w:rsidRPr="00456EC8">
          <w:rPr>
            <w:rFonts w:ascii="Times New Roman" w:hAnsi="Times New Roman" w:cs="Times New Roman"/>
            <w:sz w:val="18"/>
            <w:szCs w:val="18"/>
          </w:rPr>
          <w:fldChar w:fldCharType="separate"/>
        </w:r>
        <w:r w:rsidR="00992BC6">
          <w:rPr>
            <w:rFonts w:ascii="Times New Roman" w:hAnsi="Times New Roman" w:cs="Times New Roman"/>
            <w:noProof/>
            <w:sz w:val="18"/>
            <w:szCs w:val="18"/>
          </w:rPr>
          <w:t>1</w:t>
        </w:r>
        <w:r w:rsidRPr="00456EC8">
          <w:rPr>
            <w:rFonts w:ascii="Times New Roman" w:hAnsi="Times New Roman" w:cs="Times New Roman"/>
            <w:sz w:val="18"/>
            <w:szCs w:val="18"/>
          </w:rPr>
          <w:fldChar w:fldCharType="end"/>
        </w:r>
      </w:p>
    </w:sdtContent>
  </w:sdt>
  <w:p w14:paraId="13EF0D0E" w14:textId="77777777" w:rsidR="00C92D72" w:rsidRDefault="00C92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9BDC1" w14:textId="77777777" w:rsidR="003166F6" w:rsidRDefault="003166F6" w:rsidP="00C92D72">
      <w:pPr>
        <w:spacing w:after="0" w:line="240" w:lineRule="auto"/>
      </w:pPr>
      <w:r>
        <w:separator/>
      </w:r>
    </w:p>
  </w:footnote>
  <w:footnote w:type="continuationSeparator" w:id="0">
    <w:p w14:paraId="37599578" w14:textId="77777777" w:rsidR="003166F6" w:rsidRDefault="003166F6" w:rsidP="00C92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7ADAC" w14:textId="77777777" w:rsidR="00C92D72" w:rsidRDefault="00C92D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4399C" w14:textId="77777777" w:rsidR="00C92D72" w:rsidRPr="00456EC8" w:rsidRDefault="00C92D72" w:rsidP="00456EC8">
    <w:pPr>
      <w:rPr>
        <w:rFonts w:ascii="Times New Roman" w:hAnsi="Times New Roman" w:cs="Times New Roman"/>
        <w:bCs/>
        <w:sz w:val="18"/>
        <w:szCs w:val="18"/>
      </w:rPr>
    </w:pPr>
    <w:r w:rsidRPr="00C92D72">
      <w:rPr>
        <w:rFonts w:ascii="Times New Roman" w:hAnsi="Times New Roman" w:cs="Times New Roman"/>
        <w:bCs/>
        <w:sz w:val="18"/>
        <w:szCs w:val="18"/>
      </w:rPr>
      <w:t>Schválený text k rozhodnutiu o registrácii, ev. č.:</w:t>
    </w:r>
    <w:r w:rsidRPr="00C92D72">
      <w:rPr>
        <w:rFonts w:ascii="Times New Roman" w:hAnsi="Times New Roman" w:cs="Times New Roman"/>
        <w:color w:val="000000"/>
        <w:sz w:val="18"/>
        <w:szCs w:val="18"/>
      </w:rPr>
      <w:t xml:space="preserve"> 2016/04335-REG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C11C2"/>
    <w:multiLevelType w:val="hybridMultilevel"/>
    <w:tmpl w:val="1076DFC4"/>
    <w:lvl w:ilvl="0" w:tplc="FFFFFFFF">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D1B540C"/>
    <w:multiLevelType w:val="hybridMultilevel"/>
    <w:tmpl w:val="2878F196"/>
    <w:lvl w:ilvl="0" w:tplc="FFFFFFFF">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8162D0B"/>
    <w:multiLevelType w:val="hybridMultilevel"/>
    <w:tmpl w:val="0FF23748"/>
    <w:lvl w:ilvl="0" w:tplc="4A74C74C">
      <w:numFmt w:val="bullet"/>
      <w:lvlText w:val="-"/>
      <w:lvlJc w:val="left"/>
      <w:pPr>
        <w:ind w:left="720" w:hanging="360"/>
      </w:pPr>
      <w:rPr>
        <w:rFonts w:ascii="Times New Roman" w:eastAsia="Calibri" w:hAnsi="Times New Roman" w:cs="Times New Roman" w:hint="default"/>
      </w:rPr>
    </w:lvl>
    <w:lvl w:ilvl="1" w:tplc="B7A6E2C2" w:tentative="1">
      <w:start w:val="1"/>
      <w:numFmt w:val="bullet"/>
      <w:lvlText w:val="o"/>
      <w:lvlJc w:val="left"/>
      <w:pPr>
        <w:ind w:left="1440" w:hanging="360"/>
      </w:pPr>
      <w:rPr>
        <w:rFonts w:ascii="Courier New" w:hAnsi="Courier New" w:cs="Courier New" w:hint="default"/>
      </w:rPr>
    </w:lvl>
    <w:lvl w:ilvl="2" w:tplc="D1E4C656" w:tentative="1">
      <w:start w:val="1"/>
      <w:numFmt w:val="bullet"/>
      <w:lvlText w:val=""/>
      <w:lvlJc w:val="left"/>
      <w:pPr>
        <w:ind w:left="2160" w:hanging="360"/>
      </w:pPr>
      <w:rPr>
        <w:rFonts w:ascii="Wingdings" w:hAnsi="Wingdings" w:hint="default"/>
      </w:rPr>
    </w:lvl>
    <w:lvl w:ilvl="3" w:tplc="448E8D70" w:tentative="1">
      <w:start w:val="1"/>
      <w:numFmt w:val="bullet"/>
      <w:lvlText w:val=""/>
      <w:lvlJc w:val="left"/>
      <w:pPr>
        <w:ind w:left="2880" w:hanging="360"/>
      </w:pPr>
      <w:rPr>
        <w:rFonts w:ascii="Symbol" w:hAnsi="Symbol" w:hint="default"/>
      </w:rPr>
    </w:lvl>
    <w:lvl w:ilvl="4" w:tplc="848C4EEE" w:tentative="1">
      <w:start w:val="1"/>
      <w:numFmt w:val="bullet"/>
      <w:lvlText w:val="o"/>
      <w:lvlJc w:val="left"/>
      <w:pPr>
        <w:ind w:left="3600" w:hanging="360"/>
      </w:pPr>
      <w:rPr>
        <w:rFonts w:ascii="Courier New" w:hAnsi="Courier New" w:cs="Courier New" w:hint="default"/>
      </w:rPr>
    </w:lvl>
    <w:lvl w:ilvl="5" w:tplc="8DFED3B2" w:tentative="1">
      <w:start w:val="1"/>
      <w:numFmt w:val="bullet"/>
      <w:lvlText w:val=""/>
      <w:lvlJc w:val="left"/>
      <w:pPr>
        <w:ind w:left="4320" w:hanging="360"/>
      </w:pPr>
      <w:rPr>
        <w:rFonts w:ascii="Wingdings" w:hAnsi="Wingdings" w:hint="default"/>
      </w:rPr>
    </w:lvl>
    <w:lvl w:ilvl="6" w:tplc="E7ECD17A" w:tentative="1">
      <w:start w:val="1"/>
      <w:numFmt w:val="bullet"/>
      <w:lvlText w:val=""/>
      <w:lvlJc w:val="left"/>
      <w:pPr>
        <w:ind w:left="5040" w:hanging="360"/>
      </w:pPr>
      <w:rPr>
        <w:rFonts w:ascii="Symbol" w:hAnsi="Symbol" w:hint="default"/>
      </w:rPr>
    </w:lvl>
    <w:lvl w:ilvl="7" w:tplc="B302F716" w:tentative="1">
      <w:start w:val="1"/>
      <w:numFmt w:val="bullet"/>
      <w:lvlText w:val="o"/>
      <w:lvlJc w:val="left"/>
      <w:pPr>
        <w:ind w:left="5760" w:hanging="360"/>
      </w:pPr>
      <w:rPr>
        <w:rFonts w:ascii="Courier New" w:hAnsi="Courier New" w:cs="Courier New" w:hint="default"/>
      </w:rPr>
    </w:lvl>
    <w:lvl w:ilvl="8" w:tplc="A56A70E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8E"/>
    <w:rsid w:val="00014DCE"/>
    <w:rsid w:val="00030A0C"/>
    <w:rsid w:val="00067737"/>
    <w:rsid w:val="00120C48"/>
    <w:rsid w:val="00136A03"/>
    <w:rsid w:val="00141628"/>
    <w:rsid w:val="001447B5"/>
    <w:rsid w:val="00160A0D"/>
    <w:rsid w:val="001D6C84"/>
    <w:rsid w:val="001E5D22"/>
    <w:rsid w:val="00282EBA"/>
    <w:rsid w:val="00283DD9"/>
    <w:rsid w:val="00290D48"/>
    <w:rsid w:val="002D575C"/>
    <w:rsid w:val="00304CAA"/>
    <w:rsid w:val="003123FE"/>
    <w:rsid w:val="003166F6"/>
    <w:rsid w:val="003A66FE"/>
    <w:rsid w:val="003C2FE9"/>
    <w:rsid w:val="003C7A86"/>
    <w:rsid w:val="003F06A5"/>
    <w:rsid w:val="0041517E"/>
    <w:rsid w:val="004278E9"/>
    <w:rsid w:val="0044163E"/>
    <w:rsid w:val="00456EC8"/>
    <w:rsid w:val="00456EF7"/>
    <w:rsid w:val="00471C25"/>
    <w:rsid w:val="004C620D"/>
    <w:rsid w:val="004C6C30"/>
    <w:rsid w:val="004D1FE4"/>
    <w:rsid w:val="004F0F48"/>
    <w:rsid w:val="005100C5"/>
    <w:rsid w:val="00525974"/>
    <w:rsid w:val="00573EB7"/>
    <w:rsid w:val="005C4864"/>
    <w:rsid w:val="00665EE1"/>
    <w:rsid w:val="00671EE1"/>
    <w:rsid w:val="006960EE"/>
    <w:rsid w:val="006E0EC9"/>
    <w:rsid w:val="006E4FDF"/>
    <w:rsid w:val="007531E6"/>
    <w:rsid w:val="00776A23"/>
    <w:rsid w:val="007A31F9"/>
    <w:rsid w:val="007B6109"/>
    <w:rsid w:val="007D320C"/>
    <w:rsid w:val="007F4173"/>
    <w:rsid w:val="00827CEE"/>
    <w:rsid w:val="00862F5A"/>
    <w:rsid w:val="009622AB"/>
    <w:rsid w:val="00992BC6"/>
    <w:rsid w:val="009E48F7"/>
    <w:rsid w:val="00A161DD"/>
    <w:rsid w:val="00A33105"/>
    <w:rsid w:val="00AC12ED"/>
    <w:rsid w:val="00AC671D"/>
    <w:rsid w:val="00B1691D"/>
    <w:rsid w:val="00B637D3"/>
    <w:rsid w:val="00B91607"/>
    <w:rsid w:val="00BD44FC"/>
    <w:rsid w:val="00BF5E63"/>
    <w:rsid w:val="00C10905"/>
    <w:rsid w:val="00C55BB5"/>
    <w:rsid w:val="00C73C41"/>
    <w:rsid w:val="00C92D72"/>
    <w:rsid w:val="00CC61DA"/>
    <w:rsid w:val="00D816C1"/>
    <w:rsid w:val="00D855A5"/>
    <w:rsid w:val="00D907D7"/>
    <w:rsid w:val="00DC0FD2"/>
    <w:rsid w:val="00DE21E5"/>
    <w:rsid w:val="00DF2B20"/>
    <w:rsid w:val="00E1724F"/>
    <w:rsid w:val="00E3793A"/>
    <w:rsid w:val="00E9338E"/>
    <w:rsid w:val="00EA5EAE"/>
    <w:rsid w:val="00EB1ACA"/>
    <w:rsid w:val="00EF6A96"/>
    <w:rsid w:val="00F51C3A"/>
    <w:rsid w:val="00FA7F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55DC"/>
  <w15:docId w15:val="{DE821A04-0E69-449F-B33D-40C66454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338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alloonText">
    <w:name w:val="Balloon Text"/>
    <w:basedOn w:val="Normal"/>
    <w:link w:val="BalloonTextChar"/>
    <w:uiPriority w:val="99"/>
    <w:semiHidden/>
    <w:unhideWhenUsed/>
    <w:rsid w:val="00E93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38E"/>
    <w:rPr>
      <w:rFonts w:ascii="Tahoma" w:hAnsi="Tahoma" w:cs="Tahoma"/>
      <w:sz w:val="16"/>
      <w:szCs w:val="16"/>
    </w:rPr>
  </w:style>
  <w:style w:type="paragraph" w:styleId="Header">
    <w:name w:val="header"/>
    <w:basedOn w:val="Normal"/>
    <w:link w:val="HeaderChar"/>
    <w:uiPriority w:val="99"/>
    <w:unhideWhenUsed/>
    <w:rsid w:val="00C92D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2D72"/>
  </w:style>
  <w:style w:type="paragraph" w:styleId="Footer">
    <w:name w:val="footer"/>
    <w:basedOn w:val="Normal"/>
    <w:link w:val="FooterChar"/>
    <w:uiPriority w:val="99"/>
    <w:unhideWhenUsed/>
    <w:rsid w:val="00C92D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2D72"/>
  </w:style>
  <w:style w:type="character" w:styleId="Hyperlink">
    <w:name w:val="Hyperlink"/>
    <w:rsid w:val="00DC0FD2"/>
    <w:rPr>
      <w:color w:val="0000FF"/>
      <w:u w:val="single"/>
    </w:rPr>
  </w:style>
  <w:style w:type="character" w:styleId="CommentReference">
    <w:name w:val="annotation reference"/>
    <w:basedOn w:val="DefaultParagraphFont"/>
    <w:uiPriority w:val="99"/>
    <w:semiHidden/>
    <w:unhideWhenUsed/>
    <w:rsid w:val="00671EE1"/>
    <w:rPr>
      <w:sz w:val="16"/>
      <w:szCs w:val="16"/>
    </w:rPr>
  </w:style>
  <w:style w:type="paragraph" w:styleId="CommentText">
    <w:name w:val="annotation text"/>
    <w:basedOn w:val="Normal"/>
    <w:link w:val="CommentTextChar"/>
    <w:uiPriority w:val="99"/>
    <w:semiHidden/>
    <w:unhideWhenUsed/>
    <w:rsid w:val="00671EE1"/>
    <w:pPr>
      <w:spacing w:line="240" w:lineRule="auto"/>
    </w:pPr>
    <w:rPr>
      <w:sz w:val="20"/>
      <w:szCs w:val="20"/>
    </w:rPr>
  </w:style>
  <w:style w:type="character" w:customStyle="1" w:styleId="CommentTextChar">
    <w:name w:val="Comment Text Char"/>
    <w:basedOn w:val="DefaultParagraphFont"/>
    <w:link w:val="CommentText"/>
    <w:uiPriority w:val="99"/>
    <w:semiHidden/>
    <w:rsid w:val="00671EE1"/>
    <w:rPr>
      <w:sz w:val="20"/>
      <w:szCs w:val="20"/>
    </w:rPr>
  </w:style>
  <w:style w:type="paragraph" w:styleId="CommentSubject">
    <w:name w:val="annotation subject"/>
    <w:basedOn w:val="CommentText"/>
    <w:next w:val="CommentText"/>
    <w:link w:val="CommentSubjectChar"/>
    <w:uiPriority w:val="99"/>
    <w:semiHidden/>
    <w:unhideWhenUsed/>
    <w:rsid w:val="00671EE1"/>
    <w:rPr>
      <w:b/>
      <w:bCs/>
    </w:rPr>
  </w:style>
  <w:style w:type="character" w:customStyle="1" w:styleId="CommentSubjectChar">
    <w:name w:val="Comment Subject Char"/>
    <w:basedOn w:val="CommentTextChar"/>
    <w:link w:val="CommentSubject"/>
    <w:uiPriority w:val="99"/>
    <w:semiHidden/>
    <w:rsid w:val="00671E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00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1363</Words>
  <Characters>7773</Characters>
  <Application>Microsoft Office Word</Application>
  <DocSecurity>0</DocSecurity>
  <Lines>64</Lines>
  <Paragraphs>18</Paragraphs>
  <ScaleCrop>false</ScaleCrop>
  <HeadingPairs>
    <vt:vector size="6" baseType="variant">
      <vt:variant>
        <vt:lpstr>Title</vt:lpstr>
      </vt:variant>
      <vt:variant>
        <vt:i4>1</vt:i4>
      </vt:variant>
      <vt:variant>
        <vt:lpstr>Τίτλος</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Košuthová, Katarína</dc:creator>
  <cp:lastModifiedBy>Mary</cp:lastModifiedBy>
  <cp:revision>2</cp:revision>
  <dcterms:created xsi:type="dcterms:W3CDTF">2017-12-15T15:14:00Z</dcterms:created>
  <dcterms:modified xsi:type="dcterms:W3CDTF">2017-12-15T15:14:00Z</dcterms:modified>
</cp:coreProperties>
</file>