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12086" w14:textId="77777777" w:rsidR="00BB06C8" w:rsidRDefault="00BB06C8" w:rsidP="007262A1">
      <w:pPr>
        <w:pStyle w:val="SPCaPILhlavika"/>
        <w:spacing w:after="0"/>
        <w:rPr>
          <w:lang w:val="sk-SK"/>
        </w:rPr>
      </w:pPr>
      <w:r w:rsidRPr="00C6236F">
        <w:rPr>
          <w:lang w:val="sk-SK"/>
        </w:rPr>
        <w:t>P</w:t>
      </w:r>
      <w:r w:rsidR="001F7FDF">
        <w:rPr>
          <w:lang w:val="sk-SK"/>
        </w:rPr>
        <w:t>ísomná informácia pre používateľa</w:t>
      </w:r>
    </w:p>
    <w:p w14:paraId="2B89792A" w14:textId="77777777" w:rsidR="001F7FDF" w:rsidRPr="00C6236F" w:rsidRDefault="001F7FDF" w:rsidP="007262A1">
      <w:pPr>
        <w:pStyle w:val="SPCaPILhlavika"/>
        <w:spacing w:after="0"/>
        <w:rPr>
          <w:lang w:val="sk-SK"/>
        </w:rPr>
      </w:pPr>
    </w:p>
    <w:p w14:paraId="53FA1AD8" w14:textId="77777777" w:rsidR="00BB06C8" w:rsidRPr="00C6236F" w:rsidRDefault="00BB06C8" w:rsidP="007262A1">
      <w:pPr>
        <w:pStyle w:val="SPCaPILhlavika"/>
        <w:spacing w:after="0"/>
        <w:rPr>
          <w:lang w:val="sk-SK"/>
        </w:rPr>
      </w:pPr>
      <w:r w:rsidRPr="00C6236F">
        <w:rPr>
          <w:lang w:val="sk-SK"/>
        </w:rPr>
        <w:t>ZEPILEN 1 g</w:t>
      </w:r>
    </w:p>
    <w:p w14:paraId="3CE4C176" w14:textId="77777777" w:rsidR="00BB06C8" w:rsidRDefault="00BB06C8" w:rsidP="007262A1">
      <w:pPr>
        <w:pStyle w:val="SPCaPILhlavika"/>
        <w:spacing w:after="0"/>
        <w:rPr>
          <w:b w:val="0"/>
          <w:lang w:val="sk-SK"/>
        </w:rPr>
      </w:pPr>
      <w:r w:rsidRPr="00C6236F">
        <w:rPr>
          <w:b w:val="0"/>
          <w:lang w:val="sk-SK"/>
        </w:rPr>
        <w:t>prášok na injekčný/infúzny roztok</w:t>
      </w:r>
    </w:p>
    <w:p w14:paraId="2EDEA269" w14:textId="77777777" w:rsidR="006C364B" w:rsidRPr="00C6236F" w:rsidRDefault="006C364B" w:rsidP="007262A1">
      <w:pPr>
        <w:pStyle w:val="SPCaPILhlavika"/>
        <w:spacing w:after="0"/>
        <w:rPr>
          <w:b w:val="0"/>
          <w:lang w:val="sk-SK"/>
        </w:rPr>
      </w:pPr>
    </w:p>
    <w:p w14:paraId="2E09681E" w14:textId="77777777" w:rsidR="00BB06C8" w:rsidRDefault="00BB06C8" w:rsidP="007262A1">
      <w:pPr>
        <w:pStyle w:val="SPCaPILhlavika"/>
        <w:spacing w:after="0"/>
        <w:rPr>
          <w:b w:val="0"/>
          <w:lang w:val="sk-SK"/>
        </w:rPr>
      </w:pPr>
      <w:r w:rsidRPr="00C6236F">
        <w:rPr>
          <w:b w:val="0"/>
          <w:lang w:val="sk-SK"/>
        </w:rPr>
        <w:t>cefazolín</w:t>
      </w:r>
    </w:p>
    <w:p w14:paraId="39EC15CC" w14:textId="77777777" w:rsidR="001F7FDF" w:rsidRDefault="001F7FDF" w:rsidP="007262A1">
      <w:pPr>
        <w:pStyle w:val="SPCaPILhlavika"/>
        <w:spacing w:after="0"/>
        <w:jc w:val="left"/>
        <w:rPr>
          <w:b w:val="0"/>
          <w:lang w:val="sk-SK"/>
        </w:rPr>
      </w:pPr>
    </w:p>
    <w:p w14:paraId="310D1737" w14:textId="77777777" w:rsidR="006C364B" w:rsidRPr="00C6236F" w:rsidRDefault="006C364B" w:rsidP="007262A1">
      <w:pPr>
        <w:pStyle w:val="SPCaPILhlavika"/>
        <w:spacing w:after="0"/>
        <w:jc w:val="left"/>
        <w:rPr>
          <w:b w:val="0"/>
          <w:lang w:val="sk-SK"/>
        </w:rPr>
      </w:pPr>
    </w:p>
    <w:p w14:paraId="5E40663B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Pozorne si prečítajte celú písomnú informáciu predtým, ako začnete používať tento liek, pretože obsahuje pre vás dôležité informácie.</w:t>
      </w:r>
    </w:p>
    <w:p w14:paraId="679EC9B0" w14:textId="77777777" w:rsidR="00BB06C8" w:rsidRPr="00C6236F" w:rsidRDefault="00BB06C8" w:rsidP="00971BF6">
      <w:pPr>
        <w:pStyle w:val="Normlndoblokusodrkami"/>
        <w:rPr>
          <w:lang w:val="sk-SK"/>
        </w:rPr>
      </w:pPr>
      <w:r w:rsidRPr="00C6236F">
        <w:rPr>
          <w:lang w:val="sk-SK"/>
        </w:rPr>
        <w:t>Túto písomnú informáciu si uschovajte. Možno bude potrebné, aby ste si ju znovu prečítali.</w:t>
      </w:r>
    </w:p>
    <w:p w14:paraId="51AC4020" w14:textId="77777777" w:rsidR="00BB06C8" w:rsidRPr="00C6236F" w:rsidRDefault="00BB06C8" w:rsidP="00F25AAE">
      <w:pPr>
        <w:pStyle w:val="Normlndoblokusodrkami"/>
        <w:rPr>
          <w:lang w:val="sk-SK"/>
        </w:rPr>
      </w:pPr>
      <w:r w:rsidRPr="00C6236F">
        <w:rPr>
          <w:lang w:val="sk-SK"/>
        </w:rPr>
        <w:t>Ak máte akékoľvek ďalšie otázky, obráťte sa na svojho lekára alebo zdravotnú sestru.</w:t>
      </w:r>
    </w:p>
    <w:p w14:paraId="5824E7A3" w14:textId="77777777" w:rsidR="00ED3540" w:rsidRDefault="00BB06C8" w:rsidP="00F25AAE">
      <w:pPr>
        <w:pStyle w:val="Normlndoblokusodrkami"/>
        <w:rPr>
          <w:lang w:val="sk-SK"/>
        </w:rPr>
      </w:pPr>
      <w:r w:rsidRPr="00C6236F">
        <w:rPr>
          <w:lang w:val="sk-SK"/>
        </w:rPr>
        <w:t>Ak sa u vás vyskytne akýkoľvek vedľajší účinok, obráťte sa na svojho lekára alebo zdravotnú sestru. To sa týka aj akýchkoľvek vedľajších účinkov, ktoré nie sú uvedené v tejto písomnej informácii. Pozri časť 4.</w:t>
      </w:r>
    </w:p>
    <w:p w14:paraId="1AD73428" w14:textId="77777777" w:rsidR="00ED3540" w:rsidRPr="00272EE0" w:rsidRDefault="00ED3540" w:rsidP="00F25AAE">
      <w:pPr>
        <w:pStyle w:val="Normlndobloku"/>
        <w:rPr>
          <w:lang w:val="sk-SK"/>
        </w:rPr>
      </w:pPr>
    </w:p>
    <w:p w14:paraId="4CF89123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V tejto písomnej informácii sa dozviete:</w:t>
      </w:r>
    </w:p>
    <w:p w14:paraId="76E4C4CD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1.</w:t>
      </w:r>
      <w:r w:rsidRPr="00C6236F">
        <w:rPr>
          <w:lang w:val="sk-SK"/>
        </w:rPr>
        <w:tab/>
        <w:t>Čo je ZEPILEN a na čo sa používa</w:t>
      </w:r>
    </w:p>
    <w:p w14:paraId="415EEB8D" w14:textId="77777777" w:rsidR="00BB06C8" w:rsidRPr="00C6236F" w:rsidRDefault="00BB06C8" w:rsidP="00F25AAE">
      <w:pPr>
        <w:pStyle w:val="Normlndobloku"/>
        <w:rPr>
          <w:lang w:val="sk-SK"/>
        </w:rPr>
      </w:pPr>
      <w:r w:rsidRPr="00C6236F">
        <w:rPr>
          <w:lang w:val="sk-SK"/>
        </w:rPr>
        <w:t>2.</w:t>
      </w:r>
      <w:r w:rsidRPr="00C6236F">
        <w:rPr>
          <w:lang w:val="sk-SK"/>
        </w:rPr>
        <w:tab/>
        <w:t>Čo potrebujete vedieť predtým, ako použijete ZEPILEN</w:t>
      </w:r>
    </w:p>
    <w:p w14:paraId="717F5C75" w14:textId="77777777" w:rsidR="00BB06C8" w:rsidRPr="00C6236F" w:rsidRDefault="00BB06C8" w:rsidP="00F25AAE">
      <w:pPr>
        <w:pStyle w:val="Normlndobloku"/>
        <w:rPr>
          <w:lang w:val="sk-SK"/>
        </w:rPr>
      </w:pPr>
      <w:r w:rsidRPr="00C6236F">
        <w:rPr>
          <w:lang w:val="sk-SK"/>
        </w:rPr>
        <w:t>3.</w:t>
      </w:r>
      <w:r w:rsidRPr="00C6236F">
        <w:rPr>
          <w:lang w:val="sk-SK"/>
        </w:rPr>
        <w:tab/>
        <w:t>Ako používať ZEPILEN</w:t>
      </w:r>
    </w:p>
    <w:p w14:paraId="3E0AE559" w14:textId="77777777" w:rsidR="00BB06C8" w:rsidRPr="00C6236F" w:rsidRDefault="00BB06C8" w:rsidP="00F25AAE">
      <w:pPr>
        <w:pStyle w:val="Normlndobloku"/>
        <w:rPr>
          <w:lang w:val="sk-SK"/>
        </w:rPr>
      </w:pPr>
      <w:r w:rsidRPr="00C6236F">
        <w:rPr>
          <w:lang w:val="sk-SK"/>
        </w:rPr>
        <w:t>4.</w:t>
      </w:r>
      <w:r w:rsidRPr="00C6236F">
        <w:rPr>
          <w:lang w:val="sk-SK"/>
        </w:rPr>
        <w:tab/>
        <w:t>Možné vedľajšie účinky</w:t>
      </w:r>
    </w:p>
    <w:p w14:paraId="430D5016" w14:textId="77777777" w:rsidR="00BB06C8" w:rsidRPr="00C6236F" w:rsidRDefault="00BB06C8" w:rsidP="00F25AAE">
      <w:pPr>
        <w:pStyle w:val="Normlndobloku"/>
        <w:rPr>
          <w:lang w:val="sk-SK"/>
        </w:rPr>
      </w:pPr>
      <w:r w:rsidRPr="00C6236F">
        <w:rPr>
          <w:lang w:val="sk-SK"/>
        </w:rPr>
        <w:t>5.</w:t>
      </w:r>
      <w:r w:rsidRPr="00C6236F">
        <w:rPr>
          <w:lang w:val="sk-SK"/>
        </w:rPr>
        <w:tab/>
        <w:t>Ako uchovávať ZEPILEN</w:t>
      </w:r>
    </w:p>
    <w:p w14:paraId="70C64424" w14:textId="77777777" w:rsidR="00BB06C8" w:rsidRDefault="00BB06C8" w:rsidP="00F25AAE">
      <w:pPr>
        <w:pStyle w:val="Normlndobloku"/>
        <w:rPr>
          <w:lang w:val="sk-SK"/>
        </w:rPr>
      </w:pPr>
      <w:r w:rsidRPr="00C6236F">
        <w:rPr>
          <w:lang w:val="sk-SK"/>
        </w:rPr>
        <w:t>6.</w:t>
      </w:r>
      <w:r w:rsidRPr="00C6236F">
        <w:rPr>
          <w:lang w:val="sk-SK"/>
        </w:rPr>
        <w:tab/>
        <w:t>Obsah balenia a ďalšie informácie</w:t>
      </w:r>
    </w:p>
    <w:p w14:paraId="0131055B" w14:textId="77777777" w:rsidR="000C6F83" w:rsidRDefault="000C6F83" w:rsidP="00F25AAE">
      <w:pPr>
        <w:pStyle w:val="Normlndobloku"/>
        <w:rPr>
          <w:lang w:val="sk-SK"/>
        </w:rPr>
      </w:pPr>
    </w:p>
    <w:p w14:paraId="50A7134E" w14:textId="77777777" w:rsidR="006C364B" w:rsidRPr="00C6236F" w:rsidRDefault="006C364B" w:rsidP="00F25AAE">
      <w:pPr>
        <w:pStyle w:val="Normlndobloku"/>
        <w:rPr>
          <w:lang w:val="sk-SK"/>
        </w:rPr>
      </w:pPr>
    </w:p>
    <w:p w14:paraId="349C675D" w14:textId="77777777" w:rsidR="00BB06C8" w:rsidRPr="00272EE0" w:rsidRDefault="00BB06C8" w:rsidP="007262A1">
      <w:pPr>
        <w:pStyle w:val="Styl1"/>
        <w:spacing w:before="0" w:after="0"/>
        <w:rPr>
          <w:lang w:val="sk-SK"/>
        </w:rPr>
      </w:pPr>
      <w:r w:rsidRPr="00C6236F">
        <w:rPr>
          <w:lang w:val="sk-SK"/>
        </w:rPr>
        <w:t>Č</w:t>
      </w:r>
      <w:r w:rsidRPr="00FD1775">
        <w:rPr>
          <w:caps w:val="0"/>
          <w:lang w:val="sk-SK"/>
        </w:rPr>
        <w:t>o je</w:t>
      </w:r>
      <w:r w:rsidRPr="00C6236F">
        <w:rPr>
          <w:lang w:val="sk-SK"/>
        </w:rPr>
        <w:t xml:space="preserve"> ZEPILEN </w:t>
      </w:r>
      <w:r w:rsidRPr="00FD1775">
        <w:rPr>
          <w:caps w:val="0"/>
          <w:lang w:val="sk-SK"/>
        </w:rPr>
        <w:t>a na čo sa používa</w:t>
      </w:r>
    </w:p>
    <w:p w14:paraId="6F36196C" w14:textId="77777777" w:rsidR="001F7FDF" w:rsidRPr="00C6236F" w:rsidRDefault="001F7FDF">
      <w:pPr>
        <w:pStyle w:val="Styl1"/>
        <w:numPr>
          <w:ilvl w:val="0"/>
          <w:numId w:val="0"/>
        </w:numPr>
        <w:spacing w:before="0" w:after="0"/>
        <w:ind w:left="357"/>
        <w:rPr>
          <w:lang w:val="sk-SK"/>
        </w:rPr>
      </w:pPr>
    </w:p>
    <w:p w14:paraId="097A3EBF" w14:textId="3CB4C450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ZEPILEN je prášok na injekčný alebo infúzny roztok. ZEPILEN sa používa proti niektorým infekciám (je to antibiotikum). Patrí do skupiny liekov nazývaných cefalosporíny (špecifická skupina antibiotík).</w:t>
      </w:r>
    </w:p>
    <w:p w14:paraId="31C5D844" w14:textId="7CE039FE" w:rsidR="00BB06C8" w:rsidRPr="00C6236F" w:rsidRDefault="00BB06C8" w:rsidP="00F25AAE">
      <w:pPr>
        <w:pStyle w:val="Normlndobloku"/>
        <w:rPr>
          <w:lang w:val="sk-SK"/>
        </w:rPr>
      </w:pPr>
      <w:r w:rsidRPr="00C6236F">
        <w:rPr>
          <w:lang w:val="sk-SK"/>
        </w:rPr>
        <w:t>ZEPILEN je určený na liečbu nasledujúcich infekcií vyvolaných mikroorganizmami citlivými na cefazolín</w:t>
      </w:r>
      <w:r w:rsidR="00535031">
        <w:rPr>
          <w:lang w:val="sk-SK"/>
        </w:rPr>
        <w:t xml:space="preserve"> u dospelých a detí vo veku 1 mesiac a starších</w:t>
      </w:r>
      <w:r w:rsidRPr="00C6236F">
        <w:rPr>
          <w:lang w:val="sk-SK"/>
        </w:rPr>
        <w:t>:</w:t>
      </w:r>
    </w:p>
    <w:p w14:paraId="0E0668FF" w14:textId="77777777" w:rsidR="00BB06C8" w:rsidRPr="00C6236F" w:rsidRDefault="00BB06C8" w:rsidP="00F25AAE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infekcie kože a mäkkých tkanív</w:t>
      </w:r>
    </w:p>
    <w:p w14:paraId="26F6AC45" w14:textId="77777777" w:rsidR="00BB06C8" w:rsidRPr="00C6236F" w:rsidRDefault="00BB06C8" w:rsidP="00F25AAE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infekcie kostí a kĺbov</w:t>
      </w:r>
    </w:p>
    <w:p w14:paraId="603B9E4B" w14:textId="77777777" w:rsidR="00BB06C8" w:rsidRDefault="00BB06C8" w:rsidP="00F25AAE">
      <w:pPr>
        <w:pStyle w:val="Normlndobloku"/>
        <w:rPr>
          <w:lang w:val="sk-SK"/>
        </w:rPr>
      </w:pPr>
      <w:r w:rsidRPr="00C6236F">
        <w:rPr>
          <w:lang w:val="sk-SK"/>
        </w:rPr>
        <w:t>Liek ZEPILEN je tiež možné použiť pred operáciou ako ochranu pred pooperačnou infekciou.</w:t>
      </w:r>
    </w:p>
    <w:p w14:paraId="6A348B2B" w14:textId="77777777" w:rsidR="000C6F83" w:rsidRDefault="000C6F83" w:rsidP="00F25AAE">
      <w:pPr>
        <w:pStyle w:val="Normlndobloku"/>
        <w:rPr>
          <w:lang w:val="sk-SK"/>
        </w:rPr>
      </w:pPr>
    </w:p>
    <w:p w14:paraId="7CCBEE59" w14:textId="77777777" w:rsidR="006C364B" w:rsidRPr="00C6236F" w:rsidRDefault="006C364B" w:rsidP="00F25AAE">
      <w:pPr>
        <w:pStyle w:val="Normlndobloku"/>
        <w:rPr>
          <w:lang w:val="sk-SK"/>
        </w:rPr>
      </w:pPr>
    </w:p>
    <w:p w14:paraId="3683C498" w14:textId="77777777" w:rsidR="00BB06C8" w:rsidRDefault="00BB06C8" w:rsidP="007262A1">
      <w:pPr>
        <w:pStyle w:val="Styl1"/>
        <w:spacing w:before="0" w:after="0"/>
        <w:rPr>
          <w:lang w:val="sk-SK"/>
        </w:rPr>
      </w:pPr>
      <w:r w:rsidRPr="00C6236F">
        <w:rPr>
          <w:lang w:val="sk-SK"/>
        </w:rPr>
        <w:t>Č</w:t>
      </w:r>
      <w:r w:rsidRPr="00FD1775">
        <w:rPr>
          <w:caps w:val="0"/>
          <w:lang w:val="sk-SK"/>
        </w:rPr>
        <w:t>o</w:t>
      </w:r>
      <w:r w:rsidRPr="00C6236F">
        <w:rPr>
          <w:lang w:val="sk-SK"/>
        </w:rPr>
        <w:t xml:space="preserve"> </w:t>
      </w:r>
      <w:r w:rsidRPr="00FD1775">
        <w:rPr>
          <w:caps w:val="0"/>
          <w:lang w:val="sk-SK"/>
        </w:rPr>
        <w:t>potrebujete vedieť predtým, ako použijete</w:t>
      </w:r>
      <w:r w:rsidRPr="00C6236F">
        <w:rPr>
          <w:lang w:val="sk-SK"/>
        </w:rPr>
        <w:t xml:space="preserve"> ZEPILEN</w:t>
      </w:r>
    </w:p>
    <w:p w14:paraId="7819C339" w14:textId="77777777" w:rsidR="009202A0" w:rsidRPr="00C6236F" w:rsidRDefault="009202A0">
      <w:pPr>
        <w:pStyle w:val="Styl1"/>
        <w:numPr>
          <w:ilvl w:val="0"/>
          <w:numId w:val="0"/>
        </w:numPr>
        <w:spacing w:before="0" w:after="0"/>
        <w:ind w:left="357"/>
        <w:rPr>
          <w:lang w:val="sk-SK"/>
        </w:rPr>
      </w:pPr>
    </w:p>
    <w:p w14:paraId="0F6350E7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Nepoužívajte ZEPILEN</w:t>
      </w:r>
    </w:p>
    <w:p w14:paraId="702376AC" w14:textId="09C34B00" w:rsidR="00BB06C8" w:rsidRPr="00C6236F" w:rsidRDefault="00971BF6" w:rsidP="00971BF6">
      <w:pPr>
        <w:pStyle w:val="Normlndoblokusodrkami"/>
        <w:numPr>
          <w:ilvl w:val="0"/>
          <w:numId w:val="7"/>
        </w:numPr>
        <w:rPr>
          <w:lang w:val="sk-SK"/>
        </w:rPr>
      </w:pPr>
      <w:r>
        <w:rPr>
          <w:lang w:val="sk-SK"/>
        </w:rPr>
        <w:t>ak</w:t>
      </w:r>
      <w:r w:rsidRPr="00C6236F">
        <w:rPr>
          <w:lang w:val="sk-SK"/>
        </w:rPr>
        <w:t xml:space="preserve"> </w:t>
      </w:r>
      <w:r w:rsidR="00BB06C8" w:rsidRPr="00C6236F">
        <w:rPr>
          <w:lang w:val="sk-SK"/>
        </w:rPr>
        <w:t>ste alergický na cefazolín alebo iné cefalosporínové antibiotiká</w:t>
      </w:r>
    </w:p>
    <w:p w14:paraId="1B8C8CA3" w14:textId="77777777" w:rsidR="00BB06C8" w:rsidRPr="00C6236F" w:rsidRDefault="00BB06C8" w:rsidP="00F25AAE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ak ste v minulosti prekonali okamžitú a/alebo závažnú reakciu z precitlivenosti pri použití penicilínu alebo beta-laktámového antibiotika iného typu</w:t>
      </w:r>
    </w:p>
    <w:p w14:paraId="79FC0F45" w14:textId="2019D773" w:rsidR="00BB06C8" w:rsidRPr="00C6236F" w:rsidRDefault="00BB06C8" w:rsidP="00F25AAE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 xml:space="preserve">riedený v roztoku lidokaínu, </w:t>
      </w:r>
      <w:r w:rsidR="00971BF6">
        <w:rPr>
          <w:lang w:val="sk-SK"/>
        </w:rPr>
        <w:t>ak je u vás lidokaín</w:t>
      </w:r>
      <w:r w:rsidRPr="00C6236F">
        <w:rPr>
          <w:lang w:val="sk-SK"/>
        </w:rPr>
        <w:t xml:space="preserve"> kontraindikovaný </w:t>
      </w:r>
    </w:p>
    <w:p w14:paraId="55E2C3E6" w14:textId="77777777" w:rsidR="00BB06C8" w:rsidRDefault="00BB06C8" w:rsidP="00F25AAE">
      <w:pPr>
        <w:pStyle w:val="Normlndobloku"/>
        <w:rPr>
          <w:lang w:val="sk-SK"/>
        </w:rPr>
      </w:pPr>
      <w:r w:rsidRPr="00C6236F">
        <w:rPr>
          <w:lang w:val="sk-SK"/>
        </w:rPr>
        <w:t>Pre podanie deťom mladším ako jeden rok sa cefazolín nesmie rozpúšťať v roztoku lidokaínu.</w:t>
      </w:r>
    </w:p>
    <w:p w14:paraId="778235E1" w14:textId="77777777" w:rsidR="006C364B" w:rsidRPr="00C6236F" w:rsidRDefault="006C364B" w:rsidP="00F25AAE">
      <w:pPr>
        <w:pStyle w:val="Normlndobloku"/>
        <w:rPr>
          <w:lang w:val="sk-SK"/>
        </w:rPr>
      </w:pPr>
    </w:p>
    <w:p w14:paraId="5959E515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Upozornenia a opatrenia</w:t>
      </w:r>
    </w:p>
    <w:p w14:paraId="4AC84B9B" w14:textId="1AB9ABA7" w:rsidR="00971BF6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 xml:space="preserve">Predtým, ako začnete užívať ZEPILEN, obráťte sa na svojho lekára </w:t>
      </w:r>
      <w:r w:rsidR="00971BF6">
        <w:rPr>
          <w:lang w:val="sk-SK"/>
        </w:rPr>
        <w:t>a</w:t>
      </w:r>
      <w:r w:rsidRPr="00C6236F">
        <w:rPr>
          <w:lang w:val="sk-SK"/>
        </w:rPr>
        <w:t>k</w:t>
      </w:r>
      <w:r w:rsidR="00971BF6">
        <w:rPr>
          <w:lang w:val="sk-SK"/>
        </w:rPr>
        <w:t>:</w:t>
      </w:r>
    </w:p>
    <w:p w14:paraId="2806C5CB" w14:textId="399961E0" w:rsidR="00971BF6" w:rsidRDefault="00BB06C8" w:rsidP="00971BF6">
      <w:pPr>
        <w:pStyle w:val="Normlndobloku"/>
        <w:numPr>
          <w:ilvl w:val="0"/>
          <w:numId w:val="8"/>
        </w:numPr>
        <w:rPr>
          <w:lang w:val="sk-SK"/>
        </w:rPr>
      </w:pPr>
      <w:r w:rsidRPr="00C6236F">
        <w:rPr>
          <w:lang w:val="sk-SK"/>
        </w:rPr>
        <w:t xml:space="preserve">ste v minulosti boli precitlivený na penicilín alebo iné lieky, môžete byť precitlivený aj na cefazolín. Ak dôjde k alergickej reakcii, musí byť liečba </w:t>
      </w:r>
      <w:r w:rsidR="00C927AD">
        <w:rPr>
          <w:lang w:val="sk-SK"/>
        </w:rPr>
        <w:t>prerušená</w:t>
      </w:r>
      <w:r w:rsidRPr="00C6236F">
        <w:rPr>
          <w:lang w:val="sk-SK"/>
        </w:rPr>
        <w:t xml:space="preserve">, alergickú reakciu je potrebné liečiť a musí sa sledovať funkcia obličiek. Váš lekár navrhne alternatívnu liečbu. </w:t>
      </w:r>
    </w:p>
    <w:p w14:paraId="68B649A4" w14:textId="4C4CA524" w:rsidR="00BB06C8" w:rsidRDefault="00F25AAE" w:rsidP="00971BF6">
      <w:pPr>
        <w:pStyle w:val="Normlndobloku"/>
        <w:numPr>
          <w:ilvl w:val="0"/>
          <w:numId w:val="8"/>
        </w:numPr>
        <w:rPr>
          <w:lang w:val="sk-SK"/>
        </w:rPr>
      </w:pPr>
      <w:r>
        <w:rPr>
          <w:lang w:val="sk-SK"/>
        </w:rPr>
        <w:t>a</w:t>
      </w:r>
      <w:r w:rsidR="00BB06C8" w:rsidRPr="00C6236F">
        <w:rPr>
          <w:lang w:val="sk-SK"/>
        </w:rPr>
        <w:t>k používate maximálnu dávku a ste vážne chorý alebo súčasne užívate iné lieky, ktoré sú potenciálne škodlivé pre obličky (aminoglykozidy alebo silné diuretiká), lekár bude kontrolovať funkciu obličiek a v prípade potreby upraví dávkovanie.</w:t>
      </w:r>
    </w:p>
    <w:p w14:paraId="568470C5" w14:textId="6933A45C" w:rsidR="00971BF6" w:rsidRPr="00C6236F" w:rsidRDefault="00F25AAE" w:rsidP="00006F5A">
      <w:pPr>
        <w:pStyle w:val="Normlndobloku"/>
        <w:numPr>
          <w:ilvl w:val="0"/>
          <w:numId w:val="8"/>
        </w:numPr>
        <w:rPr>
          <w:lang w:val="sk-SK"/>
        </w:rPr>
      </w:pPr>
      <w:r>
        <w:rPr>
          <w:lang w:val="sk-SK"/>
        </w:rPr>
        <w:t>m</w:t>
      </w:r>
      <w:r w:rsidR="00971BF6">
        <w:rPr>
          <w:lang w:val="sk-SK"/>
        </w:rPr>
        <w:t xml:space="preserve">áte pridružené </w:t>
      </w:r>
      <w:r>
        <w:rPr>
          <w:lang w:val="sk-SK"/>
        </w:rPr>
        <w:t xml:space="preserve">ochorenie narúšajúce </w:t>
      </w:r>
      <w:r>
        <w:rPr>
          <w:lang w:val="sk-SK"/>
        </w:rPr>
        <w:t>z</w:t>
      </w:r>
      <w:r w:rsidR="00971BF6" w:rsidRPr="00C6236F">
        <w:rPr>
          <w:lang w:val="sk-SK"/>
        </w:rPr>
        <w:t xml:space="preserve">rážanie krvi </w:t>
      </w:r>
      <w:r>
        <w:rPr>
          <w:lang w:val="sk-SK"/>
        </w:rPr>
        <w:t>(</w:t>
      </w:r>
      <w:r w:rsidR="00971BF6" w:rsidRPr="00C6236F">
        <w:rPr>
          <w:lang w:val="sk-SK"/>
        </w:rPr>
        <w:t>napr. hemofília, vredy žalúdka a dvanástnika), ktoré môžu vyvolať alebo zhoršiť krvácanie.</w:t>
      </w:r>
      <w:r>
        <w:rPr>
          <w:lang w:val="sk-SK"/>
        </w:rPr>
        <w:t xml:space="preserve"> </w:t>
      </w:r>
      <w:r w:rsidRPr="00C6236F">
        <w:rPr>
          <w:lang w:val="sk-SK"/>
        </w:rPr>
        <w:t>V týchto prípadoch má byť skontrolovaná vaša krvná zrážanlivosť</w:t>
      </w:r>
      <w:r w:rsidR="00C927AD">
        <w:rPr>
          <w:lang w:val="sk-SK"/>
        </w:rPr>
        <w:t>.</w:t>
      </w:r>
    </w:p>
    <w:p w14:paraId="3E4AFB99" w14:textId="77777777" w:rsidR="00F25AAE" w:rsidRDefault="00F25AAE" w:rsidP="00971BF6">
      <w:pPr>
        <w:pStyle w:val="Normlndobloku"/>
        <w:rPr>
          <w:lang w:val="sk-SK"/>
        </w:rPr>
      </w:pPr>
    </w:p>
    <w:p w14:paraId="25A2AF6A" w14:textId="48F6C75C" w:rsidR="00F25AAE" w:rsidRDefault="00F25AAE" w:rsidP="00971BF6">
      <w:pPr>
        <w:pStyle w:val="Normlndobloku"/>
        <w:rPr>
          <w:lang w:val="sk-SK"/>
        </w:rPr>
      </w:pPr>
      <w:r>
        <w:rPr>
          <w:lang w:val="sk-SK"/>
        </w:rPr>
        <w:t>Počas liečby liekom ZEPILEN:</w:t>
      </w:r>
    </w:p>
    <w:p w14:paraId="6F72713F" w14:textId="77777777" w:rsidR="00F25AAE" w:rsidRDefault="00F25AAE" w:rsidP="00971BF6">
      <w:pPr>
        <w:pStyle w:val="Normlndobloku"/>
        <w:rPr>
          <w:lang w:val="sk-SK"/>
        </w:rPr>
      </w:pPr>
    </w:p>
    <w:p w14:paraId="343411D0" w14:textId="6D304275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Ak používate ZEPILEN dlhú dobu, lekár bude kontrolovať, či u vás nedochádza k premnoženiu baktérií necitlivých na cefazolín.</w:t>
      </w:r>
    </w:p>
    <w:p w14:paraId="5083B704" w14:textId="77777777" w:rsidR="00F25AAE" w:rsidRDefault="00F25AAE" w:rsidP="00971BF6">
      <w:pPr>
        <w:pStyle w:val="Normlndobloku"/>
        <w:rPr>
          <w:lang w:val="sk-SK"/>
        </w:rPr>
      </w:pPr>
    </w:p>
    <w:p w14:paraId="4C9C2E5B" w14:textId="6A3C5F5B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 xml:space="preserve">Vo výnimočných prípadoch sa v priebehu liečby cefazolínom môžu objaviť poruchy </w:t>
      </w:r>
      <w:r w:rsidR="00971BF6">
        <w:rPr>
          <w:lang w:val="sk-SK"/>
        </w:rPr>
        <w:t>zrážania krvi</w:t>
      </w:r>
      <w:r w:rsidRPr="00C6236F">
        <w:rPr>
          <w:lang w:val="sk-SK"/>
        </w:rPr>
        <w:t>. Rizikové faktory sú faktory spôsobujúce nedostatok vitamínu K alebo faktory ovplyvňujúce ďalšie mechanizmy</w:t>
      </w:r>
      <w:r w:rsidR="00971BF6">
        <w:rPr>
          <w:lang w:val="sk-SK"/>
        </w:rPr>
        <w:t xml:space="preserve"> zrážania krvi</w:t>
      </w:r>
      <w:r w:rsidRPr="00C6236F">
        <w:rPr>
          <w:lang w:val="sk-SK"/>
        </w:rPr>
        <w:t>. .</w:t>
      </w:r>
    </w:p>
    <w:p w14:paraId="6F138813" w14:textId="77777777" w:rsidR="00F25AAE" w:rsidRDefault="00F25AAE" w:rsidP="00971BF6">
      <w:pPr>
        <w:pStyle w:val="Normlndobloku"/>
        <w:rPr>
          <w:lang w:val="sk-SK"/>
        </w:rPr>
      </w:pPr>
    </w:p>
    <w:p w14:paraId="1EAB3213" w14:textId="43B67311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Ak máte dlhotrvajúce a </w:t>
      </w:r>
      <w:r w:rsidR="00971BF6">
        <w:rPr>
          <w:lang w:val="sk-SK"/>
        </w:rPr>
        <w:t>závažn</w:t>
      </w:r>
      <w:r w:rsidRPr="00C6236F">
        <w:rPr>
          <w:lang w:val="sk-SK"/>
        </w:rPr>
        <w:t>é hnačky v priebehu liečby, môžete trpieť zápalom tenkého a hrubého čreva s poškodením črevnej sliznice (pseudomembranózna kolitída).</w:t>
      </w:r>
    </w:p>
    <w:p w14:paraId="69AD265F" w14:textId="77777777" w:rsidR="00F25AAE" w:rsidRDefault="00F25AAE" w:rsidP="00971BF6">
      <w:pPr>
        <w:pStyle w:val="Normlndobloku"/>
        <w:rPr>
          <w:lang w:val="sk-SK"/>
        </w:rPr>
      </w:pPr>
    </w:p>
    <w:p w14:paraId="28ACD4A7" w14:textId="146B0BB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Ak sa vás týka alebo v minulosti týkalo ktorékoľvek z vyššie uvedených varovaní, poraďte sa s lekárom.</w:t>
      </w:r>
    </w:p>
    <w:p w14:paraId="0966C4AB" w14:textId="77777777" w:rsidR="009202A0" w:rsidRPr="00C6236F" w:rsidRDefault="009202A0" w:rsidP="00971BF6">
      <w:pPr>
        <w:pStyle w:val="Normlndobloku"/>
        <w:rPr>
          <w:lang w:val="sk-SK"/>
        </w:rPr>
      </w:pPr>
    </w:p>
    <w:p w14:paraId="469377DD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Deti</w:t>
      </w:r>
    </w:p>
    <w:p w14:paraId="226A256A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Cefazolín sa neodporúča pre použitie u novorodencov a dojčiat do 1 mesiaca veku, pretože bezpečnosť užívania nebola pre túto skupinu doteraz stanovená.</w:t>
      </w:r>
    </w:p>
    <w:p w14:paraId="5D2A1BF6" w14:textId="77777777" w:rsidR="009202A0" w:rsidRPr="00C6236F" w:rsidRDefault="009202A0" w:rsidP="00971BF6">
      <w:pPr>
        <w:pStyle w:val="Normlndobloku"/>
        <w:rPr>
          <w:lang w:val="sk-SK"/>
        </w:rPr>
      </w:pPr>
    </w:p>
    <w:p w14:paraId="337F9F02" w14:textId="77777777" w:rsidR="00BB06C8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Iné lieky a</w:t>
      </w:r>
      <w:r w:rsidR="006C364B">
        <w:rPr>
          <w:lang w:val="sk-SK"/>
        </w:rPr>
        <w:t> </w:t>
      </w:r>
      <w:r w:rsidRPr="00C6236F">
        <w:rPr>
          <w:lang w:val="sk-SK"/>
        </w:rPr>
        <w:t>ZEPILEN</w:t>
      </w:r>
    </w:p>
    <w:p w14:paraId="2A9FF74C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Ak teraz užívate, alebo ste v poslednom čase užívali, či práve budete užívať ďalšie lieky, povedzte to svojmu lekárovi.</w:t>
      </w:r>
    </w:p>
    <w:p w14:paraId="43A14EDE" w14:textId="77777777" w:rsidR="00C927AD" w:rsidRDefault="00C927AD" w:rsidP="007262A1">
      <w:pPr>
        <w:pStyle w:val="Styl3"/>
        <w:spacing w:after="0"/>
        <w:jc w:val="left"/>
        <w:rPr>
          <w:lang w:val="sk-SK"/>
        </w:rPr>
      </w:pPr>
    </w:p>
    <w:p w14:paraId="55DEF5C0" w14:textId="49691A22" w:rsidR="00BB06C8" w:rsidRPr="00C6236F" w:rsidRDefault="00BE46D9" w:rsidP="007262A1">
      <w:pPr>
        <w:pStyle w:val="Styl3"/>
        <w:spacing w:after="0"/>
        <w:jc w:val="left"/>
        <w:rPr>
          <w:lang w:val="sk-SK"/>
        </w:rPr>
      </w:pPr>
      <w:r>
        <w:rPr>
          <w:lang w:val="sk-SK"/>
        </w:rPr>
        <w:t>Neodporúčané kombinácie</w:t>
      </w:r>
      <w:r w:rsidR="00BB06C8" w:rsidRPr="00C6236F">
        <w:rPr>
          <w:lang w:val="sk-SK"/>
        </w:rPr>
        <w:t>: antibiotiká</w:t>
      </w:r>
    </w:p>
    <w:p w14:paraId="6586AA1A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Ak by ste súčasne užívali antibiotiká určitej skupiny (bakteriostatické látky), ako sú tetracyklíny a makrolidy, môžu tieto látky pôsobiť proti účinnosti ZEPILEN (znižovať jeho účinnosť).</w:t>
      </w:r>
    </w:p>
    <w:p w14:paraId="1A68C754" w14:textId="77777777" w:rsidR="00C927AD" w:rsidRDefault="00C927AD" w:rsidP="007262A1">
      <w:pPr>
        <w:pStyle w:val="Styl3"/>
        <w:spacing w:after="0"/>
        <w:jc w:val="left"/>
        <w:rPr>
          <w:lang w:val="sk-SK"/>
        </w:rPr>
      </w:pPr>
    </w:p>
    <w:p w14:paraId="7A38A21A" w14:textId="2B87F904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Neodporúčané kombinácie: probenecid</w:t>
      </w:r>
    </w:p>
    <w:p w14:paraId="69AFA68B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Pri súčasnom podávaní probenecid (liek na metabolické poruchy) znižuje vylučovanie cefazolínu obličkami.</w:t>
      </w:r>
    </w:p>
    <w:p w14:paraId="37DDF692" w14:textId="77777777" w:rsidR="00C927AD" w:rsidRDefault="00C927AD" w:rsidP="007262A1">
      <w:pPr>
        <w:pStyle w:val="Styl3"/>
        <w:spacing w:after="0"/>
        <w:jc w:val="left"/>
        <w:rPr>
          <w:lang w:val="sk-SK"/>
        </w:rPr>
      </w:pPr>
    </w:p>
    <w:p w14:paraId="1295204E" w14:textId="1E5B83DA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Použitie s opatrnosťou: vitamín K</w:t>
      </w:r>
      <w:r w:rsidRPr="00C6236F">
        <w:rPr>
          <w:vertAlign w:val="subscript"/>
          <w:lang w:val="sk-SK"/>
        </w:rPr>
        <w:t>1</w:t>
      </w:r>
    </w:p>
    <w:p w14:paraId="7E0502D6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Ak užívate vitamín K</w:t>
      </w:r>
      <w:r w:rsidRPr="00C6236F">
        <w:rPr>
          <w:vertAlign w:val="subscript"/>
          <w:lang w:val="sk-SK"/>
        </w:rPr>
        <w:t>1</w:t>
      </w:r>
      <w:r w:rsidRPr="00C6236F">
        <w:rPr>
          <w:lang w:val="sk-SK"/>
        </w:rPr>
        <w:t>, môže byť potrebné zvýšenie jeho dávky.</w:t>
      </w:r>
    </w:p>
    <w:p w14:paraId="641B639B" w14:textId="77777777" w:rsidR="00C927AD" w:rsidRDefault="00C927AD" w:rsidP="007262A1">
      <w:pPr>
        <w:pStyle w:val="Styl3"/>
        <w:spacing w:after="0"/>
        <w:jc w:val="left"/>
        <w:rPr>
          <w:lang w:val="sk-SK"/>
        </w:rPr>
      </w:pPr>
    </w:p>
    <w:p w14:paraId="214AB5EB" w14:textId="5949179A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Antikoagulanciá (látky na riedenie krvi) a heparín</w:t>
      </w:r>
    </w:p>
    <w:p w14:paraId="4A31BAAF" w14:textId="21F5D81E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Cefalosporíny môžu veľmi zriedkavo viesť k poruchám zrážanlivosti krvi. Pri súčasnom užívaní perorálnych antikoagulancií alebo heparínu vo vysokých dávkach je potrebné sledovať koagulačné parametre</w:t>
      </w:r>
      <w:r w:rsidR="00C927AD">
        <w:rPr>
          <w:lang w:val="sk-SK"/>
        </w:rPr>
        <w:t>.</w:t>
      </w:r>
    </w:p>
    <w:p w14:paraId="056C2C8D" w14:textId="77777777" w:rsidR="00C927AD" w:rsidRDefault="00C927AD" w:rsidP="007262A1">
      <w:pPr>
        <w:pStyle w:val="Styl3"/>
        <w:spacing w:after="0"/>
        <w:jc w:val="left"/>
        <w:rPr>
          <w:lang w:val="sk-SK"/>
        </w:rPr>
      </w:pPr>
    </w:p>
    <w:p w14:paraId="70D39BE5" w14:textId="09C92A65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Nefrotoxické látky</w:t>
      </w:r>
    </w:p>
    <w:p w14:paraId="0110959C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Pravdepodobnosť nefrotoxických javov je vyššia pri súčasnom podávaní nefrotoxických látok (aminoglykozidy, polymyxíny) alebo určitých diuretík (furosemid</w:t>
      </w:r>
      <w:r w:rsidR="00EF67FE">
        <w:rPr>
          <w:lang w:val="sk-SK"/>
        </w:rPr>
        <w:t>, kyselina etakrynová</w:t>
      </w:r>
      <w:r w:rsidRPr="00C6236F">
        <w:rPr>
          <w:lang w:val="sk-SK"/>
        </w:rPr>
        <w:t>). V týchto prípadoch je potrebné sledovať renálne funkcie.</w:t>
      </w:r>
    </w:p>
    <w:p w14:paraId="451194C3" w14:textId="77777777" w:rsidR="006A491D" w:rsidRDefault="006A491D" w:rsidP="00971BF6">
      <w:pPr>
        <w:pStyle w:val="Normlndobloku"/>
        <w:rPr>
          <w:lang w:val="sk-SK"/>
        </w:rPr>
      </w:pPr>
    </w:p>
    <w:p w14:paraId="7448270F" w14:textId="21E764C5" w:rsidR="00EF67FE" w:rsidRPr="00006F5A" w:rsidRDefault="00EF67FE" w:rsidP="00971BF6">
      <w:pPr>
        <w:pStyle w:val="Normlndobloku"/>
        <w:rPr>
          <w:u w:val="single"/>
          <w:lang w:val="sk-SK"/>
        </w:rPr>
      </w:pPr>
      <w:r w:rsidRPr="00006F5A">
        <w:rPr>
          <w:u w:val="single"/>
          <w:lang w:val="sk-SK"/>
        </w:rPr>
        <w:t>Laboratórne vyšetrenia:</w:t>
      </w:r>
    </w:p>
    <w:p w14:paraId="0F0F5CCB" w14:textId="77777777" w:rsidR="00EF67FE" w:rsidRPr="00C6236F" w:rsidRDefault="00EF67FE" w:rsidP="00971BF6">
      <w:pPr>
        <w:pStyle w:val="Normlndobloku"/>
        <w:rPr>
          <w:lang w:val="sk-SK"/>
        </w:rPr>
      </w:pPr>
      <w:r>
        <w:rPr>
          <w:lang w:val="sk-SK"/>
        </w:rPr>
        <w:t>ZEPILEN môže ovplyvniť výsledky krvného testu nazývaného Coombsov test. Ak máte poskytnúť vzorku krvi na vyšetrenie, upozornite zdravotníckeho pracovníka, že používate tento liek.</w:t>
      </w:r>
    </w:p>
    <w:p w14:paraId="54B18397" w14:textId="77777777" w:rsidR="00C927AD" w:rsidRDefault="00C927AD" w:rsidP="007262A1">
      <w:pPr>
        <w:pStyle w:val="Styl3"/>
        <w:spacing w:after="0"/>
        <w:jc w:val="left"/>
        <w:rPr>
          <w:lang w:val="sk-SK"/>
        </w:rPr>
      </w:pPr>
    </w:p>
    <w:p w14:paraId="5B679DCD" w14:textId="3D02C438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Perorálne kontraceptíva</w:t>
      </w:r>
    </w:p>
    <w:p w14:paraId="311DBB4F" w14:textId="68C5313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Cefazolín môže negatívne ovplyvniť účinnosť hormonálnej antikoncepcie. Je preto vhodné používať ďalšiu nehormonálnu antikoncepciu.</w:t>
      </w:r>
    </w:p>
    <w:p w14:paraId="5CA78683" w14:textId="77777777" w:rsidR="006C364B" w:rsidRPr="00C6236F" w:rsidRDefault="006C364B" w:rsidP="00971BF6">
      <w:pPr>
        <w:pStyle w:val="Normlndobloku"/>
        <w:rPr>
          <w:lang w:val="sk-SK"/>
        </w:rPr>
      </w:pPr>
    </w:p>
    <w:p w14:paraId="21E02E00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Tehotenstvo a dojčenie</w:t>
      </w:r>
    </w:p>
    <w:p w14:paraId="30518ABF" w14:textId="47456B1D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Ak ste tehotná alebo dojčíte, ak si myslíte, že ste tehotná, alebo ak plánujete otehotnieť, poraďte sa so svojím lekárom predtým, ako začnete užívať tento liek.</w:t>
      </w:r>
    </w:p>
    <w:p w14:paraId="4D2B1FAF" w14:textId="77777777" w:rsidR="006A491D" w:rsidRPr="00C6236F" w:rsidRDefault="006A491D" w:rsidP="00971BF6">
      <w:pPr>
        <w:pStyle w:val="Normlndobloku"/>
        <w:rPr>
          <w:lang w:val="sk-SK"/>
        </w:rPr>
      </w:pPr>
    </w:p>
    <w:p w14:paraId="43448592" w14:textId="77777777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lastRenderedPageBreak/>
        <w:t>Tehotenstvo</w:t>
      </w:r>
    </w:p>
    <w:p w14:paraId="36C5171E" w14:textId="77777777" w:rsidR="002662EF" w:rsidRDefault="00BB06C8" w:rsidP="00971BF6">
      <w:pPr>
        <w:pStyle w:val="Normlndobloku"/>
      </w:pPr>
      <w:r w:rsidRPr="00C6236F">
        <w:rPr>
          <w:lang w:val="sk-SK"/>
        </w:rPr>
        <w:t>Neexistujú dostatočné údaje o použití cefazolínu počas tehotenstva, aby bolo možné posúdiť jeho možnú škodlivosť.</w:t>
      </w:r>
      <w:r w:rsidR="002662EF">
        <w:rPr>
          <w:lang w:val="sk-SK"/>
        </w:rPr>
        <w:t xml:space="preserve"> </w:t>
      </w:r>
      <w:r w:rsidR="002662EF" w:rsidRPr="00E0209A">
        <w:t>Ako preventívne opatrenie sa použitie lieku ZEPILEN počas tehotenstva neodporúča, pokiaľ to nie je nevyhnutné.</w:t>
      </w:r>
    </w:p>
    <w:p w14:paraId="4214B503" w14:textId="77777777" w:rsidR="00BB06C8" w:rsidRPr="00C6236F" w:rsidRDefault="00BB06C8" w:rsidP="00971BF6">
      <w:pPr>
        <w:pStyle w:val="Normlndobloku"/>
        <w:rPr>
          <w:lang w:val="sk-SK"/>
        </w:rPr>
      </w:pPr>
    </w:p>
    <w:p w14:paraId="2F710923" w14:textId="77777777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Dojčenie</w:t>
      </w:r>
    </w:p>
    <w:p w14:paraId="1E783D69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Cefazolín prechádza do materského mlieka vo veľmi nízkych koncentráciách. V liečebných dávkach nemožno žiadne účinky na novorodenca očakávať. ZEPILEN je možné používať počas dojčenia.</w:t>
      </w:r>
    </w:p>
    <w:p w14:paraId="05D8B9BE" w14:textId="77777777" w:rsidR="009202A0" w:rsidRPr="00C6236F" w:rsidRDefault="009202A0" w:rsidP="00971BF6">
      <w:pPr>
        <w:pStyle w:val="Normlndobloku"/>
        <w:rPr>
          <w:lang w:val="sk-SK"/>
        </w:rPr>
      </w:pPr>
    </w:p>
    <w:p w14:paraId="665A6445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Vedenie vozidiel a obsluha strojov</w:t>
      </w:r>
    </w:p>
    <w:p w14:paraId="61292E2B" w14:textId="417D835C" w:rsidR="004E232E" w:rsidRPr="00006F5A" w:rsidRDefault="004E232E" w:rsidP="00971BF6">
      <w:pPr>
        <w:pStyle w:val="Normlndobloku"/>
        <w:rPr>
          <w:lang w:val="sk-SK"/>
        </w:rPr>
      </w:pPr>
      <w:r w:rsidRPr="00006F5A">
        <w:rPr>
          <w:lang w:val="sk-SK"/>
        </w:rPr>
        <w:t>ZEPILEN môže zriedkavo spôsobiť vertigo (pocit točenia sa), čo môže nepriaznivo ovplyvniť schopnosť viesť vozidlá a obsluhovať stroje (pozri časť 4. Možné vedľajšie účinky)</w:t>
      </w:r>
    </w:p>
    <w:p w14:paraId="1B73E855" w14:textId="77777777" w:rsidR="009202A0" w:rsidRPr="00C6236F" w:rsidRDefault="009202A0" w:rsidP="00971BF6">
      <w:pPr>
        <w:pStyle w:val="Normlndobloku"/>
        <w:rPr>
          <w:lang w:val="sk-SK"/>
        </w:rPr>
      </w:pPr>
    </w:p>
    <w:p w14:paraId="48A4BA9A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ZEPILEN obsahuje sodík</w:t>
      </w:r>
    </w:p>
    <w:p w14:paraId="0B5E538A" w14:textId="054D4C02" w:rsidR="000C6F83" w:rsidRDefault="00CE6F8B" w:rsidP="00F25AAE">
      <w:pPr>
        <w:pStyle w:val="Normlndobloku"/>
        <w:rPr>
          <w:lang w:val="sk-SK"/>
        </w:rPr>
      </w:pPr>
      <w:r w:rsidRPr="00CE6F8B">
        <w:rPr>
          <w:lang w:val="sk-SK"/>
        </w:rPr>
        <w:t>Tento liek obsahuje 2,1 mmol (48,3 mg) sodíka v jednej injekčnej liekovke čo zodpovedá 2,4 % WHO odporúčaného maximálneho denného príjmu 2 g sodíka pre dospelú osobu."</w:t>
      </w:r>
    </w:p>
    <w:p w14:paraId="3CB78AEF" w14:textId="0A6B68D9" w:rsidR="006C364B" w:rsidRDefault="006C364B" w:rsidP="00F25AAE">
      <w:pPr>
        <w:pStyle w:val="Normlndobloku"/>
        <w:rPr>
          <w:lang w:val="sk-SK"/>
        </w:rPr>
      </w:pPr>
    </w:p>
    <w:p w14:paraId="55A2125D" w14:textId="77777777" w:rsidR="006A491D" w:rsidRPr="00C6236F" w:rsidRDefault="006A491D" w:rsidP="00F25AAE">
      <w:pPr>
        <w:pStyle w:val="Normlndobloku"/>
        <w:rPr>
          <w:lang w:val="sk-SK"/>
        </w:rPr>
      </w:pPr>
    </w:p>
    <w:p w14:paraId="6859B655" w14:textId="77777777" w:rsidR="00BB06C8" w:rsidRDefault="00BB06C8" w:rsidP="007262A1">
      <w:pPr>
        <w:pStyle w:val="Styl1"/>
        <w:spacing w:before="0" w:after="0"/>
        <w:rPr>
          <w:lang w:val="sk-SK"/>
        </w:rPr>
      </w:pPr>
      <w:r w:rsidRPr="00C6236F">
        <w:rPr>
          <w:lang w:val="sk-SK"/>
        </w:rPr>
        <w:t>A</w:t>
      </w:r>
      <w:r w:rsidRPr="00FD1775">
        <w:rPr>
          <w:caps w:val="0"/>
          <w:lang w:val="sk-SK"/>
        </w:rPr>
        <w:t>ko používať</w:t>
      </w:r>
      <w:r w:rsidRPr="00C6236F">
        <w:rPr>
          <w:lang w:val="sk-SK"/>
        </w:rPr>
        <w:t xml:space="preserve"> ZEPILEN</w:t>
      </w:r>
    </w:p>
    <w:p w14:paraId="54B4CDF8" w14:textId="77777777" w:rsidR="009202A0" w:rsidRPr="00C6236F" w:rsidRDefault="009202A0">
      <w:pPr>
        <w:pStyle w:val="Styl1"/>
        <w:numPr>
          <w:ilvl w:val="0"/>
          <w:numId w:val="0"/>
        </w:numPr>
        <w:spacing w:before="0" w:after="0"/>
        <w:ind w:left="357"/>
        <w:rPr>
          <w:lang w:val="sk-SK"/>
        </w:rPr>
      </w:pPr>
    </w:p>
    <w:p w14:paraId="374E7CEF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Vždy používajte tento liek presne tak, ako vám povedal váš lekár. Ak si nie ste niečím istý, overte si to u svojho lekára.</w:t>
      </w:r>
    </w:p>
    <w:p w14:paraId="591BAE7F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Tento liek vám vždy podá lekár alebo iný kvalifikovaný zdravotnícky personál. To preto, že sa podáva buď ako injekcia alebo infúzia.</w:t>
      </w:r>
    </w:p>
    <w:p w14:paraId="16021787" w14:textId="77777777" w:rsidR="009202A0" w:rsidRPr="00C6236F" w:rsidRDefault="009202A0" w:rsidP="00F25AAE">
      <w:pPr>
        <w:pStyle w:val="Normlndobloku"/>
        <w:rPr>
          <w:lang w:val="sk-SK"/>
        </w:rPr>
      </w:pPr>
    </w:p>
    <w:p w14:paraId="694D6444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Dávkovanie</w:t>
      </w:r>
    </w:p>
    <w:p w14:paraId="590C76D1" w14:textId="77777777" w:rsidR="00BB06C8" w:rsidRPr="00C6236F" w:rsidRDefault="00BB06C8" w:rsidP="007262A1">
      <w:pPr>
        <w:pStyle w:val="Styl3"/>
        <w:spacing w:after="0"/>
        <w:jc w:val="left"/>
        <w:rPr>
          <w:u w:val="none"/>
          <w:lang w:val="sk-SK"/>
        </w:rPr>
      </w:pPr>
      <w:r w:rsidRPr="00C6236F">
        <w:rPr>
          <w:u w:val="none"/>
          <w:lang w:val="sk-SK"/>
        </w:rPr>
        <w:t>Odporúčaná dávka lieku je:</w:t>
      </w:r>
    </w:p>
    <w:p w14:paraId="427BCD8D" w14:textId="77777777" w:rsidR="006A491D" w:rsidRDefault="006A491D" w:rsidP="007262A1">
      <w:pPr>
        <w:pStyle w:val="Styl3"/>
        <w:spacing w:after="0"/>
        <w:jc w:val="left"/>
        <w:rPr>
          <w:lang w:val="sk-SK"/>
        </w:rPr>
      </w:pPr>
    </w:p>
    <w:p w14:paraId="4E372244" w14:textId="45A76934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Dospelí</w:t>
      </w:r>
    </w:p>
    <w:p w14:paraId="342A6B96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 xml:space="preserve">Pri infekciách spôsobených vysoko citlivými mikroorganizmami je zvyčajná dávka pre dospelých 1 – 2 g/deň </w:t>
      </w:r>
      <w:r w:rsidR="00B65DDE">
        <w:rPr>
          <w:lang w:val="sk-SK"/>
        </w:rPr>
        <w:t>rozdelená do</w:t>
      </w:r>
      <w:r w:rsidRPr="00C6236F">
        <w:rPr>
          <w:lang w:val="sk-SK"/>
        </w:rPr>
        <w:t> dvoch alebo troch rovnakých dáv</w:t>
      </w:r>
      <w:r w:rsidR="00B65DDE">
        <w:rPr>
          <w:lang w:val="sk-SK"/>
        </w:rPr>
        <w:t>o</w:t>
      </w:r>
      <w:r w:rsidRPr="00C6236F">
        <w:rPr>
          <w:lang w:val="sk-SK"/>
        </w:rPr>
        <w:t xml:space="preserve">k. Pri infekciách spôsobených menej citlivými grampozitívnymi a gramnegatívnymi patogénmi je zvyčajná dávka 3 – 4 g/deň </w:t>
      </w:r>
      <w:r w:rsidR="00B65DDE">
        <w:rPr>
          <w:lang w:val="sk-SK"/>
        </w:rPr>
        <w:t xml:space="preserve">rozdelená do </w:t>
      </w:r>
      <w:r w:rsidRPr="00C6236F">
        <w:rPr>
          <w:lang w:val="sk-SK"/>
        </w:rPr>
        <w:t>troch alebo štyroch rovnakých dáv</w:t>
      </w:r>
      <w:r w:rsidR="00B65DDE">
        <w:rPr>
          <w:lang w:val="sk-SK"/>
        </w:rPr>
        <w:t>o</w:t>
      </w:r>
      <w:r w:rsidRPr="00C6236F">
        <w:rPr>
          <w:lang w:val="sk-SK"/>
        </w:rPr>
        <w:t>k. U veľmi ťažkých infekcií sa ZEPILEN podáva v dávkach až 6 g/deň. U dospelých s poruchou funkcie obličiek môže byť potrebná nižšia dávka. Veľkosť dávky možno určiť na základe hladiny antibiotika v krvi alebo na základe hodnôt charakterizujúcich funkciu obličiek.</w:t>
      </w:r>
    </w:p>
    <w:p w14:paraId="0E811820" w14:textId="77777777" w:rsidR="006A491D" w:rsidRDefault="006A491D" w:rsidP="007262A1">
      <w:pPr>
        <w:pStyle w:val="Styl3"/>
        <w:spacing w:after="0"/>
        <w:jc w:val="left"/>
        <w:rPr>
          <w:lang w:val="sk-SK"/>
        </w:rPr>
      </w:pPr>
    </w:p>
    <w:p w14:paraId="5A6E2E03" w14:textId="22897603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Starší pacienti</w:t>
      </w:r>
    </w:p>
    <w:p w14:paraId="4FE7FEBB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U starších pacientov s normálnou funkciou obličiek nie je potrebná úprava dávkovania.</w:t>
      </w:r>
    </w:p>
    <w:p w14:paraId="24792530" w14:textId="77777777" w:rsidR="006A491D" w:rsidRDefault="006A491D" w:rsidP="007262A1">
      <w:pPr>
        <w:pStyle w:val="Styl3"/>
        <w:spacing w:after="0"/>
        <w:jc w:val="left"/>
        <w:rPr>
          <w:lang w:val="sk-SK"/>
        </w:rPr>
      </w:pPr>
    </w:p>
    <w:p w14:paraId="12243D61" w14:textId="09873E99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Použitie u detí</w:t>
      </w:r>
    </w:p>
    <w:p w14:paraId="135365DE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 xml:space="preserve">Pri infekciách spôsobených extrémne citlivými grampozitívnymi mikroorganizmami je účinná dávka 25 – 50 mg/kg telesnej hmotnosti rozdelená do dvoch až štyroch dávok za deň. Pri infekciách spôsobených menej citlivými grampozitívnymi mikroorganizmami a gramnegatívnymi patogénmi sa odporúča maximálne 100 mg/kg telesnej hmotnosti </w:t>
      </w:r>
      <w:r w:rsidR="00B65DDE">
        <w:rPr>
          <w:lang w:val="sk-SK"/>
        </w:rPr>
        <w:t>rozdelených do</w:t>
      </w:r>
      <w:r w:rsidRPr="00C6236F">
        <w:rPr>
          <w:lang w:val="sk-SK"/>
        </w:rPr>
        <w:t> troch alebo štyroch rovnakých dáv</w:t>
      </w:r>
      <w:r w:rsidR="00B65DDE">
        <w:rPr>
          <w:lang w:val="sk-SK"/>
        </w:rPr>
        <w:t>o</w:t>
      </w:r>
      <w:r w:rsidRPr="00C6236F">
        <w:rPr>
          <w:lang w:val="sk-SK"/>
        </w:rPr>
        <w:t>k.</w:t>
      </w:r>
    </w:p>
    <w:p w14:paraId="0177AEE6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 xml:space="preserve">U detí s poruchou funkcie obličiek môžu byť potrebné nižšie dávky, aby sa zabránilo akumulácii. Veľkosť dávky možno určiť na základe hladiny </w:t>
      </w:r>
      <w:r w:rsidR="00861388">
        <w:rPr>
          <w:lang w:val="sk-SK"/>
        </w:rPr>
        <w:t xml:space="preserve">antibiotika </w:t>
      </w:r>
      <w:r w:rsidRPr="00C6236F">
        <w:rPr>
          <w:lang w:val="sk-SK"/>
        </w:rPr>
        <w:t>v krvi. Ak to nie je možné, dávka sa odvodí z klírensu kreatinínu (hodnota charakterizujúca funkciu obličiek) podľa nasledujúcich pokynov:</w:t>
      </w:r>
    </w:p>
    <w:p w14:paraId="677D5856" w14:textId="77777777" w:rsidR="00BB06C8" w:rsidRPr="00C6236F" w:rsidRDefault="00BB06C8" w:rsidP="00F25AAE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 xml:space="preserve">U detí so stredne ťažkou poruchou funkcie obličiek (klírens kreatinínu 40 – 20 ml/min) </w:t>
      </w:r>
      <w:r w:rsidR="00B65DDE">
        <w:rPr>
          <w:lang w:val="sk-SK"/>
        </w:rPr>
        <w:t>je dostatočných</w:t>
      </w:r>
      <w:r w:rsidRPr="00C6236F">
        <w:rPr>
          <w:lang w:val="sk-SK"/>
        </w:rPr>
        <w:t xml:space="preserve"> 25 % normálnej </w:t>
      </w:r>
      <w:r w:rsidR="00861388">
        <w:rPr>
          <w:lang w:val="sk-SK"/>
        </w:rPr>
        <w:t xml:space="preserve">detskej </w:t>
      </w:r>
      <w:r w:rsidRPr="00C6236F">
        <w:rPr>
          <w:lang w:val="sk-SK"/>
        </w:rPr>
        <w:t xml:space="preserve">dennej dávky rozdelených </w:t>
      </w:r>
      <w:r w:rsidR="00B65DDE">
        <w:rPr>
          <w:lang w:val="sk-SK"/>
        </w:rPr>
        <w:t xml:space="preserve">do dávok </w:t>
      </w:r>
      <w:r w:rsidRPr="00C6236F">
        <w:rPr>
          <w:lang w:val="sk-SK"/>
        </w:rPr>
        <w:t>každých 12 hodín.</w:t>
      </w:r>
    </w:p>
    <w:p w14:paraId="4EB2D095" w14:textId="77777777" w:rsidR="00BB06C8" w:rsidRPr="00C6236F" w:rsidRDefault="00BB06C8" w:rsidP="00F25AAE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 xml:space="preserve">U detí s ťažkou poruchou funkcie obličiek (klírens kreatinínu 20 – 5 ml/min) </w:t>
      </w:r>
      <w:r w:rsidR="00B65DDE">
        <w:rPr>
          <w:lang w:val="sk-SK"/>
        </w:rPr>
        <w:t xml:space="preserve">je dostatočných </w:t>
      </w:r>
      <w:r w:rsidRPr="00C6236F">
        <w:rPr>
          <w:lang w:val="sk-SK"/>
        </w:rPr>
        <w:t xml:space="preserve">10 % normálnej </w:t>
      </w:r>
      <w:r w:rsidR="00861388">
        <w:rPr>
          <w:lang w:val="sk-SK"/>
        </w:rPr>
        <w:t xml:space="preserve">detskej </w:t>
      </w:r>
      <w:r w:rsidRPr="00C6236F">
        <w:rPr>
          <w:lang w:val="sk-SK"/>
        </w:rPr>
        <w:t>dennej dávky každých 24 hodín.</w:t>
      </w:r>
    </w:p>
    <w:p w14:paraId="3CF8B44D" w14:textId="77777777" w:rsidR="00BB06C8" w:rsidRPr="00C6236F" w:rsidRDefault="00BB06C8" w:rsidP="00023715">
      <w:pPr>
        <w:pStyle w:val="Normlndobloku"/>
        <w:rPr>
          <w:lang w:val="sk-SK"/>
        </w:rPr>
      </w:pPr>
      <w:r w:rsidRPr="00C6236F">
        <w:rPr>
          <w:lang w:val="sk-SK"/>
        </w:rPr>
        <w:t>Všetky tieto pokyny platia po aplikácii začiatočnej nasycovacej dávky.</w:t>
      </w:r>
    </w:p>
    <w:p w14:paraId="151AF363" w14:textId="77777777" w:rsidR="006A491D" w:rsidRDefault="006A491D" w:rsidP="007262A1">
      <w:pPr>
        <w:pStyle w:val="Styl3"/>
        <w:spacing w:after="0"/>
        <w:jc w:val="left"/>
        <w:rPr>
          <w:lang w:val="sk-SK"/>
        </w:rPr>
      </w:pPr>
    </w:p>
    <w:p w14:paraId="08A69D51" w14:textId="77777777" w:rsidR="005F7A85" w:rsidRDefault="005F7A85" w:rsidP="007262A1">
      <w:pPr>
        <w:pStyle w:val="Styl3"/>
        <w:spacing w:after="0"/>
        <w:jc w:val="left"/>
        <w:rPr>
          <w:lang w:val="sk-SK"/>
        </w:rPr>
      </w:pPr>
    </w:p>
    <w:p w14:paraId="2C29D573" w14:textId="56945F5A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lastRenderedPageBreak/>
        <w:t>Dojčatá</w:t>
      </w:r>
    </w:p>
    <w:p w14:paraId="5BEE70B2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Vzhľadom k tomu, že bezpečnosť použitia u nedonosených detí a detí mladších ako jeden mesiac nebola stanovená, použitie lieku ZEPILEN sa u týchto pacientov neodporúča.</w:t>
      </w:r>
    </w:p>
    <w:p w14:paraId="65664749" w14:textId="77777777" w:rsidR="006C364B" w:rsidRPr="00C6236F" w:rsidRDefault="006C364B" w:rsidP="00971BF6">
      <w:pPr>
        <w:pStyle w:val="Normlndobloku"/>
        <w:rPr>
          <w:lang w:val="sk-SK"/>
        </w:rPr>
      </w:pPr>
    </w:p>
    <w:p w14:paraId="1FC9A792" w14:textId="77777777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Dĺžka liečby</w:t>
      </w:r>
    </w:p>
    <w:p w14:paraId="162E3CAC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Záleží na priebehu ochorenia. V súlade so všeobecnými zásadami liečby antibiotikami má liečba liekom ZEPILEN pokračovať aspoň 2 až 3 dni po vymiznutí horúčky alebo kým nie je preukázané, že bola odstránená príčina ochorenia.</w:t>
      </w:r>
    </w:p>
    <w:p w14:paraId="06DA418B" w14:textId="77777777" w:rsidR="009202A0" w:rsidRPr="00C6236F" w:rsidRDefault="009202A0" w:rsidP="00971BF6">
      <w:pPr>
        <w:pStyle w:val="Normlndobloku"/>
        <w:rPr>
          <w:lang w:val="sk-SK"/>
        </w:rPr>
      </w:pPr>
    </w:p>
    <w:p w14:paraId="7E1127AA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Spôsob podania</w:t>
      </w:r>
    </w:p>
    <w:p w14:paraId="732BB178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ZEPILEN možno podávať injekčne do svalu (intramuskulárne) alebo infúziou do žily (intravenózne). Pred podaním sa ZEPILEN musí rozpustiť.</w:t>
      </w:r>
    </w:p>
    <w:p w14:paraId="519F32B8" w14:textId="77777777" w:rsidR="006A491D" w:rsidRDefault="006A491D" w:rsidP="007262A1">
      <w:pPr>
        <w:pStyle w:val="Styl3"/>
        <w:spacing w:after="0"/>
        <w:jc w:val="left"/>
        <w:rPr>
          <w:lang w:val="sk-SK"/>
        </w:rPr>
      </w:pPr>
    </w:p>
    <w:p w14:paraId="6E444D97" w14:textId="45F7E1D3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Intramuskulárna injekcia</w:t>
      </w:r>
    </w:p>
    <w:p w14:paraId="4D618394" w14:textId="56E5C596" w:rsidR="00BB06C8" w:rsidRPr="00B07A36" w:rsidRDefault="00BB06C8" w:rsidP="00971BF6">
      <w:pPr>
        <w:pStyle w:val="Normlndobloku"/>
        <w:rPr>
          <w:lang w:val="sk-SK"/>
        </w:rPr>
      </w:pPr>
      <w:r w:rsidRPr="00B07A36">
        <w:rPr>
          <w:lang w:val="sk-SK"/>
        </w:rPr>
        <w:t>ZEPILEN má byť aplikovaný do veľkého svalu.</w:t>
      </w:r>
      <w:r w:rsidR="00023715" w:rsidRPr="00B07A36">
        <w:rPr>
          <w:lang w:val="sk-SK"/>
        </w:rPr>
        <w:t xml:space="preserve"> </w:t>
      </w:r>
      <w:r w:rsidR="00023715" w:rsidRPr="00006F5A">
        <w:rPr>
          <w:lang w:val="sk-SK"/>
        </w:rPr>
        <w:t xml:space="preserve">Pre podanie deťom mladším ako jeden rok sa cefazolín </w:t>
      </w:r>
      <w:r w:rsidR="00023715" w:rsidRPr="00006F5A">
        <w:rPr>
          <w:u w:val="single"/>
          <w:lang w:val="sk-SK"/>
        </w:rPr>
        <w:t>nesmie</w:t>
      </w:r>
      <w:r w:rsidR="00023715" w:rsidRPr="00006F5A">
        <w:rPr>
          <w:lang w:val="sk-SK"/>
        </w:rPr>
        <w:t xml:space="preserve"> rozpúšťať v roztoku lidokaínu. (pozri časť “Neužívajte ZEPILEN”)</w:t>
      </w:r>
    </w:p>
    <w:p w14:paraId="652844D9" w14:textId="77777777" w:rsidR="006A491D" w:rsidRDefault="006A491D" w:rsidP="007262A1">
      <w:pPr>
        <w:pStyle w:val="Styl3"/>
        <w:spacing w:after="0"/>
        <w:jc w:val="left"/>
        <w:rPr>
          <w:lang w:val="sk-SK"/>
        </w:rPr>
      </w:pPr>
    </w:p>
    <w:p w14:paraId="3101A9FF" w14:textId="6369993A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Intravenózne podanie</w:t>
      </w:r>
    </w:p>
    <w:p w14:paraId="27E35E53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ZEPILEN môže byť podaný po ďalšom zriedení priamou intravenóznou injekciou, pridaný do prebiehajúcej intravenóznej liečby alebo podaný ako samostatná infúzia.</w:t>
      </w:r>
    </w:p>
    <w:p w14:paraId="58A662F4" w14:textId="77777777" w:rsidR="009202A0" w:rsidRPr="00C6236F" w:rsidRDefault="009202A0" w:rsidP="00971BF6">
      <w:pPr>
        <w:pStyle w:val="Normlndobloku"/>
        <w:rPr>
          <w:lang w:val="sk-SK"/>
        </w:rPr>
      </w:pPr>
    </w:p>
    <w:p w14:paraId="022F0B74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Ak použijete viac lieku ZEPILEN, ako máte</w:t>
      </w:r>
    </w:p>
    <w:p w14:paraId="61D70854" w14:textId="01698F18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 xml:space="preserve">Ak si myslíte, že ste dostali viac </w:t>
      </w:r>
      <w:r w:rsidR="006A491D">
        <w:rPr>
          <w:lang w:val="sk-SK"/>
        </w:rPr>
        <w:t xml:space="preserve">lieku </w:t>
      </w:r>
      <w:r w:rsidRPr="00C6236F">
        <w:rPr>
          <w:lang w:val="sk-SK"/>
        </w:rPr>
        <w:t>ZEPILEN, ako ste mali, opýtajte sa svojho lekára alebo zdravotnej sestry.</w:t>
      </w:r>
    </w:p>
    <w:p w14:paraId="11675849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Pri predávkovaní sa môžu vyskytnúť kŕče, najmä u pacientov s poruchou funkcie obličiek. V takom prípade je nutné okamžite ukončiť podávanie lieku ZEPILEN a zaviesť vhodnú liečbu proti kŕčom. Je potrebné pozorne sledovať životné funkcie.</w:t>
      </w:r>
    </w:p>
    <w:p w14:paraId="44B2A3DD" w14:textId="77777777" w:rsidR="009202A0" w:rsidRPr="00C6236F" w:rsidRDefault="009202A0" w:rsidP="00F25AAE">
      <w:pPr>
        <w:pStyle w:val="Normlndobloku"/>
        <w:rPr>
          <w:lang w:val="sk-SK"/>
        </w:rPr>
      </w:pPr>
    </w:p>
    <w:p w14:paraId="144529BB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Ak zabudnete použiť ZEPILEN</w:t>
      </w:r>
    </w:p>
    <w:p w14:paraId="3C5EB99C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Ak si myslíte, že vám vynechali dávku, opýtajte sa svojho lekára alebo zdravotnej sestry.</w:t>
      </w:r>
    </w:p>
    <w:p w14:paraId="190364E0" w14:textId="77777777" w:rsidR="009202A0" w:rsidRPr="00C6236F" w:rsidRDefault="009202A0" w:rsidP="00971BF6">
      <w:pPr>
        <w:pStyle w:val="Normlndobloku"/>
        <w:rPr>
          <w:lang w:val="sk-SK"/>
        </w:rPr>
      </w:pPr>
    </w:p>
    <w:p w14:paraId="324198A1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Ak prestanete používať ZEPILEN</w:t>
      </w:r>
    </w:p>
    <w:p w14:paraId="19891542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Je dôležité, aby sa dodržal priebeh liečby tak, ako vám ju predpísal lekár. Môžete sa začať cítiť lepšie, ale je dôležité neprestať s používaním tohto lieku, kým to nenariadi lekár. Inak sa váš stav môže znovu zhoršiť, pretože všetky baktérie nemusia byť ešte zlikvidované.</w:t>
      </w:r>
    </w:p>
    <w:p w14:paraId="3B01445E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Ak máte akékoľvek ďalšie otázky týkajúce sa použitia tohto lieku, opýtajte sa svojho lekára alebo zdravotnej sestry.</w:t>
      </w:r>
    </w:p>
    <w:p w14:paraId="3AA89740" w14:textId="77777777" w:rsidR="000C6F83" w:rsidRDefault="000C6F83" w:rsidP="00F25AAE">
      <w:pPr>
        <w:pStyle w:val="Normlndobloku"/>
        <w:rPr>
          <w:lang w:val="sk-SK"/>
        </w:rPr>
      </w:pPr>
    </w:p>
    <w:p w14:paraId="70BF4891" w14:textId="77777777" w:rsidR="006C364B" w:rsidRPr="00C6236F" w:rsidRDefault="006C364B" w:rsidP="00F25AAE">
      <w:pPr>
        <w:pStyle w:val="Normlndobloku"/>
        <w:rPr>
          <w:lang w:val="sk-SK"/>
        </w:rPr>
      </w:pPr>
    </w:p>
    <w:p w14:paraId="754FC61A" w14:textId="77777777" w:rsidR="00BB06C8" w:rsidRPr="00272EE0" w:rsidRDefault="00BB06C8" w:rsidP="007262A1">
      <w:pPr>
        <w:pStyle w:val="Styl1"/>
        <w:spacing w:before="0" w:after="0"/>
        <w:rPr>
          <w:lang w:val="sk-SK"/>
        </w:rPr>
      </w:pPr>
      <w:r w:rsidRPr="00C6236F">
        <w:rPr>
          <w:lang w:val="sk-SK"/>
        </w:rPr>
        <w:t xml:space="preserve"> M</w:t>
      </w:r>
      <w:r w:rsidRPr="00FD1775">
        <w:rPr>
          <w:caps w:val="0"/>
          <w:lang w:val="sk-SK"/>
        </w:rPr>
        <w:t>ožné vedľajšie účinky</w:t>
      </w:r>
    </w:p>
    <w:p w14:paraId="106FD526" w14:textId="77777777" w:rsidR="009202A0" w:rsidRPr="00C6236F" w:rsidRDefault="009202A0">
      <w:pPr>
        <w:pStyle w:val="Styl1"/>
        <w:numPr>
          <w:ilvl w:val="0"/>
          <w:numId w:val="0"/>
        </w:numPr>
        <w:spacing w:before="0" w:after="0"/>
        <w:ind w:left="357"/>
        <w:rPr>
          <w:lang w:val="sk-SK"/>
        </w:rPr>
      </w:pPr>
    </w:p>
    <w:p w14:paraId="2D50D677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Tak ako všetky lieky, aj tento liek môže spôsobovať vedľajšie účinky, hoci sa neprejavia u každého.</w:t>
      </w:r>
    </w:p>
    <w:p w14:paraId="11406DE6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Boli hlásene tieto vedľajšie účinky:</w:t>
      </w:r>
    </w:p>
    <w:p w14:paraId="5BCE08CB" w14:textId="5CFE0D4E" w:rsidR="00414F1A" w:rsidRDefault="00414F1A" w:rsidP="00F25AAE">
      <w:pPr>
        <w:pStyle w:val="Normlndobloku"/>
        <w:rPr>
          <w:lang w:val="sk-SK"/>
        </w:rPr>
      </w:pPr>
    </w:p>
    <w:p w14:paraId="19514367" w14:textId="0304E1A0" w:rsidR="00414F1A" w:rsidRPr="00006F5A" w:rsidRDefault="00414F1A" w:rsidP="00F25AAE">
      <w:pPr>
        <w:pStyle w:val="Normlndobloku"/>
        <w:rPr>
          <w:rFonts w:eastAsia="Times New Roman"/>
          <w:b/>
          <w:bCs/>
          <w:szCs w:val="20"/>
          <w:lang w:val="sk-SK"/>
        </w:rPr>
      </w:pPr>
      <w:r w:rsidRPr="00006F5A">
        <w:rPr>
          <w:rFonts w:eastAsia="Times New Roman"/>
          <w:b/>
          <w:bCs/>
          <w:szCs w:val="20"/>
          <w:lang w:val="sk-SK"/>
        </w:rPr>
        <w:t>Závažné vedľajšie účinky:</w:t>
      </w:r>
    </w:p>
    <w:p w14:paraId="6D505D90" w14:textId="19991C09" w:rsidR="00414F1A" w:rsidRDefault="00414F1A" w:rsidP="00023715">
      <w:pPr>
        <w:pStyle w:val="Normlndobloku"/>
        <w:rPr>
          <w:lang w:val="sk-SK"/>
        </w:rPr>
      </w:pPr>
      <w:r>
        <w:rPr>
          <w:lang w:val="sk-SK"/>
        </w:rPr>
        <w:t>Ak sa u vás objavia príznaky závažných vedľajších účinkov ihneď informujte svojho lekára, môžete potrebovať naliehavé lekárske ošetrenie:</w:t>
      </w:r>
    </w:p>
    <w:p w14:paraId="21D536B9" w14:textId="0BA12C8E" w:rsidR="00414F1A" w:rsidRDefault="00414F1A" w:rsidP="00023715">
      <w:pPr>
        <w:pStyle w:val="Normlndobloku"/>
        <w:rPr>
          <w:lang w:val="sk-SK"/>
        </w:rPr>
      </w:pPr>
    </w:p>
    <w:p w14:paraId="35A5C4AB" w14:textId="6BCB7EBA" w:rsidR="00414F1A" w:rsidRDefault="00414F1A" w:rsidP="00414F1A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Zriedkavé (môžu postihovať až 1 z 1 000 osôb)</w:t>
      </w:r>
    </w:p>
    <w:p w14:paraId="669F6014" w14:textId="77777777" w:rsidR="00414F1A" w:rsidRPr="00C6236F" w:rsidRDefault="00414F1A" w:rsidP="00971BF6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závažná alergická reakcia sprevádzaná kožnou vyrážkou, ktorá sa vyvíja rýchlo s pľuzgiermi alebo odlupovaním kože s prípadnými pľuzgiermi v ústach a s vysokou horúčkou (Stevens-Johnsonov syndróm, Lyellov syndróm)</w:t>
      </w:r>
    </w:p>
    <w:p w14:paraId="64DC1CBE" w14:textId="58CA0369" w:rsidR="00414F1A" w:rsidRPr="00C6236F" w:rsidRDefault="00083B87" w:rsidP="00971BF6">
      <w:pPr>
        <w:pStyle w:val="Normlndoblokusodrkami"/>
        <w:numPr>
          <w:ilvl w:val="0"/>
          <w:numId w:val="7"/>
        </w:numPr>
        <w:rPr>
          <w:lang w:val="sk-SK"/>
        </w:rPr>
      </w:pPr>
      <w:r>
        <w:rPr>
          <w:lang w:val="sk-SK"/>
        </w:rPr>
        <w:t xml:space="preserve">hnačka, ktorá môže byť </w:t>
      </w:r>
      <w:r w:rsidR="00414F1A">
        <w:rPr>
          <w:lang w:val="sk-SK"/>
        </w:rPr>
        <w:t>závažná</w:t>
      </w:r>
      <w:r w:rsidR="00414F1A" w:rsidRPr="00C6236F">
        <w:rPr>
          <w:lang w:val="sk-SK"/>
        </w:rPr>
        <w:t xml:space="preserve"> a</w:t>
      </w:r>
      <w:r>
        <w:rPr>
          <w:lang w:val="sk-SK"/>
        </w:rPr>
        <w:t> </w:t>
      </w:r>
      <w:r w:rsidR="00414F1A" w:rsidRPr="00C6236F">
        <w:rPr>
          <w:lang w:val="sk-SK"/>
        </w:rPr>
        <w:t>pretrvávajúc</w:t>
      </w:r>
      <w:r w:rsidR="00414F1A">
        <w:rPr>
          <w:lang w:val="sk-SK"/>
        </w:rPr>
        <w:t>a</w:t>
      </w:r>
      <w:r>
        <w:rPr>
          <w:lang w:val="sk-SK"/>
        </w:rPr>
        <w:t xml:space="preserve"> a objaví sa</w:t>
      </w:r>
      <w:r w:rsidR="00414F1A" w:rsidRPr="00C6236F">
        <w:rPr>
          <w:lang w:val="sk-SK"/>
        </w:rPr>
        <w:t xml:space="preserve"> v priebehu, alebo po ukončení liečby cefazolínom</w:t>
      </w:r>
      <w:r>
        <w:rPr>
          <w:lang w:val="sk-SK"/>
        </w:rPr>
        <w:t> ,</w:t>
      </w:r>
      <w:r w:rsidR="00414F1A" w:rsidRPr="00C6236F">
        <w:rPr>
          <w:lang w:val="sk-SK"/>
        </w:rPr>
        <w:t xml:space="preserve"> môže byť príznakom závažného ochorenia (pseudomembranózna kolitída), ktor</w:t>
      </w:r>
      <w:r>
        <w:rPr>
          <w:lang w:val="sk-SK"/>
        </w:rPr>
        <w:t>é</w:t>
      </w:r>
      <w:r w:rsidR="00414F1A" w:rsidRPr="00C6236F">
        <w:rPr>
          <w:lang w:val="sk-SK"/>
        </w:rPr>
        <w:t xml:space="preserve"> </w:t>
      </w:r>
      <w:r>
        <w:rPr>
          <w:lang w:val="sk-SK"/>
        </w:rPr>
        <w:t xml:space="preserve">si </w:t>
      </w:r>
      <w:r w:rsidR="00414F1A" w:rsidRPr="00C6236F">
        <w:rPr>
          <w:lang w:val="sk-SK"/>
        </w:rPr>
        <w:t>vyžaduje okamžitú liečbu. Nepoužívajte samoliečbu, ktorá blokuje pohyb čriev (črevnú peristaltiku).</w:t>
      </w:r>
    </w:p>
    <w:p w14:paraId="78C98926" w14:textId="77777777" w:rsidR="00414F1A" w:rsidRPr="00C6236F" w:rsidRDefault="00414F1A" w:rsidP="00414F1A">
      <w:pPr>
        <w:pStyle w:val="Styl2"/>
        <w:spacing w:before="0" w:after="0"/>
        <w:rPr>
          <w:lang w:val="sk-SK"/>
        </w:rPr>
      </w:pPr>
    </w:p>
    <w:p w14:paraId="0C9322DB" w14:textId="58F1C050" w:rsidR="00414F1A" w:rsidRPr="00971BF6" w:rsidRDefault="00414F1A" w:rsidP="00971BF6">
      <w:pPr>
        <w:pStyle w:val="Normlndobloku"/>
        <w:rPr>
          <w:lang w:val="sk-SK"/>
        </w:rPr>
      </w:pPr>
      <w:r w:rsidRPr="00006F5A">
        <w:rPr>
          <w:rFonts w:eastAsia="Times New Roman"/>
          <w:b/>
          <w:bCs/>
          <w:szCs w:val="20"/>
          <w:lang w:val="sk-SK"/>
        </w:rPr>
        <w:t>Veľmi zriedkavé (môžu postihovať až 1 z 10 000 osôb)</w:t>
      </w:r>
    </w:p>
    <w:p w14:paraId="63E9739D" w14:textId="4D6BAFDA" w:rsidR="00414F1A" w:rsidRPr="00C6236F" w:rsidRDefault="006A491D" w:rsidP="00F25AAE">
      <w:pPr>
        <w:pStyle w:val="Normlndoblokusodrkami"/>
        <w:numPr>
          <w:ilvl w:val="0"/>
          <w:numId w:val="7"/>
        </w:numPr>
        <w:rPr>
          <w:lang w:val="sk-SK"/>
        </w:rPr>
      </w:pPr>
      <w:r>
        <w:rPr>
          <w:lang w:val="sk-SK"/>
        </w:rPr>
        <w:t>ž</w:t>
      </w:r>
      <w:r w:rsidR="00414F1A">
        <w:rPr>
          <w:lang w:val="sk-SK"/>
        </w:rPr>
        <w:t xml:space="preserve">ivotohrozujúca alergická reakcia, ktorej príznaky zahŕňajú: </w:t>
      </w:r>
      <w:r w:rsidR="00414F1A" w:rsidRPr="00C6236F">
        <w:rPr>
          <w:lang w:val="sk-SK"/>
        </w:rPr>
        <w:t>opuch tváre, opuch jazyka, opuch hrtana so zúžením dýchacích ciest, zvýšená srdcová frekvencia, dýchavičnosť, pokles krvného tlaku, anafylaktický šok</w:t>
      </w:r>
    </w:p>
    <w:p w14:paraId="6F2E5712" w14:textId="77777777" w:rsidR="00414F1A" w:rsidRPr="00C6236F" w:rsidRDefault="00414F1A" w:rsidP="00F25AAE">
      <w:pPr>
        <w:pStyle w:val="Normlndobloku"/>
        <w:rPr>
          <w:lang w:val="sk-SK"/>
        </w:rPr>
      </w:pPr>
    </w:p>
    <w:p w14:paraId="696506CD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Časté (môžu postihovať až 1 z 10 osôb)</w:t>
      </w:r>
    </w:p>
    <w:p w14:paraId="63C2DF2E" w14:textId="77777777" w:rsidR="00BB06C8" w:rsidRDefault="00BB06C8" w:rsidP="00971BF6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bolesť v mieste vpichu intramuskulárnej injekcie, niekedy so zatvrdnutím</w:t>
      </w:r>
    </w:p>
    <w:p w14:paraId="45F8D974" w14:textId="77777777" w:rsidR="006C364B" w:rsidRPr="007262A1" w:rsidRDefault="006C364B" w:rsidP="00971BF6">
      <w:pPr>
        <w:pStyle w:val="Normlndobloku"/>
        <w:rPr>
          <w:lang w:val="sk-SK"/>
        </w:rPr>
      </w:pPr>
    </w:p>
    <w:p w14:paraId="76BB06A3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Menej časté (môžu postihovať až 1 zo 100 osôb)</w:t>
      </w:r>
    </w:p>
    <w:p w14:paraId="7FFA90B3" w14:textId="195725EB" w:rsidR="00BB06C8" w:rsidRPr="00C6236F" w:rsidRDefault="00BB06C8" w:rsidP="00971BF6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vyrážka, začervenanie kože</w:t>
      </w:r>
      <w:r w:rsidR="00C8361C">
        <w:rPr>
          <w:lang w:val="sk-SK"/>
        </w:rPr>
        <w:t>, multiformný erytém</w:t>
      </w:r>
    </w:p>
    <w:p w14:paraId="4A8E1C09" w14:textId="77777777" w:rsidR="00BB06C8" w:rsidRPr="00C6236F" w:rsidRDefault="00BB06C8" w:rsidP="00971BF6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kvasinková infekcia sliznice dutiny ústnej (orálna kandidóza) pri dlhodobom používaní</w:t>
      </w:r>
    </w:p>
    <w:p w14:paraId="48D66C98" w14:textId="77777777" w:rsidR="00BB06C8" w:rsidRPr="00C6236F" w:rsidRDefault="00BB06C8" w:rsidP="00F25AAE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vyrážka so silným svrbením (žihľavka), opuch (angioneurotický edém), horúčka</w:t>
      </w:r>
    </w:p>
    <w:p w14:paraId="6510EF90" w14:textId="77777777" w:rsidR="00BB06C8" w:rsidRPr="00C6236F" w:rsidRDefault="00BB06C8" w:rsidP="00F25AAE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kŕče u pacientov s poruchou funkcie obličiek, ktorí boli liečení s neprimerane vysokými dávkami</w:t>
      </w:r>
    </w:p>
    <w:p w14:paraId="55C35A2D" w14:textId="77777777" w:rsidR="00BB06C8" w:rsidRPr="00C6236F" w:rsidRDefault="00BB06C8" w:rsidP="00023715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zápal pľúc (intersticiálna pneumónia alebo pneumónia)</w:t>
      </w:r>
    </w:p>
    <w:p w14:paraId="42675BA5" w14:textId="77777777" w:rsidR="00BB06C8" w:rsidRDefault="00BB06C8" w:rsidP="002E19B1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u vnútrožilového (intravenózneho) podania sa môže objaviť zápal žíl (tromboflebitída), horúčka</w:t>
      </w:r>
    </w:p>
    <w:p w14:paraId="1233A6FB" w14:textId="77777777" w:rsidR="006C364B" w:rsidRPr="007262A1" w:rsidRDefault="006C364B">
      <w:pPr>
        <w:pStyle w:val="Normlndobloku"/>
        <w:rPr>
          <w:lang w:val="sk-SK"/>
        </w:rPr>
      </w:pPr>
    </w:p>
    <w:p w14:paraId="62999D16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Zriedkavé (môžu postihovať až 1 z 1 000 osôb)</w:t>
      </w:r>
    </w:p>
    <w:p w14:paraId="4BE534DC" w14:textId="77777777" w:rsidR="00BB06C8" w:rsidRPr="00C6236F" w:rsidRDefault="00BB06C8" w:rsidP="00971BF6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hubová infekcia pohlavných orgánov a ich okolia, zápal pošvy (vaginitída)</w:t>
      </w:r>
    </w:p>
    <w:p w14:paraId="3329C8A5" w14:textId="77777777" w:rsidR="00BB06C8" w:rsidRPr="00C6236F" w:rsidRDefault="00BB06C8" w:rsidP="00F25AAE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zvýšený počet krvných buniek (leukocytóza, granulocytóza, monocytóza, bazofília, eozinofília); znížený počet bielych krviniek, čo je spojené so zvýšenou náchylnosťou k infekciám (lymfocytopénia, granulocytopénia, neutropénia, leukopénia); znížený počet krvných doštičiek, čo je spojené s modrinami a sklonom ku krvácaniu (trombocytopénia). Tieto účinky sú vratné.</w:t>
      </w:r>
    </w:p>
    <w:p w14:paraId="65032AEB" w14:textId="77777777" w:rsidR="00BB06C8" w:rsidRPr="00C6236F" w:rsidRDefault="00BB06C8" w:rsidP="00F25AAE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prechodný zápal pečene (hepatitída), žltačka</w:t>
      </w:r>
    </w:p>
    <w:p w14:paraId="4592766D" w14:textId="77777777" w:rsidR="00BB06C8" w:rsidRPr="00C6236F" w:rsidRDefault="00BB06C8" w:rsidP="00023715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prechodné zvýšenie hladiny pečeňových enzýmov v krvi (ALT, AST, gama-GT, bilirubínu a/alebo LDH, alkalickej fosfatázy)</w:t>
      </w:r>
    </w:p>
    <w:p w14:paraId="1ED61382" w14:textId="77777777" w:rsidR="00BB06C8" w:rsidRPr="00C6236F" w:rsidRDefault="00BB06C8" w:rsidP="002E19B1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závrat, pocit nepohody (malátnosť), únava. Tieto príznaky často vymiznú počas liečby alebo po jej ukončení</w:t>
      </w:r>
      <w:r w:rsidR="003265FE">
        <w:rPr>
          <w:lang w:val="sk-SK"/>
        </w:rPr>
        <w:t>.</w:t>
      </w:r>
    </w:p>
    <w:p w14:paraId="15B728E3" w14:textId="77777777" w:rsidR="00BB06C8" w:rsidRPr="00C6236F" w:rsidRDefault="00BB06C8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bolesť na hrudníku, dýchacie ťažkosti, kašeľ, nádcha</w:t>
      </w:r>
    </w:p>
    <w:p w14:paraId="2EA84AF5" w14:textId="49A33F32" w:rsidR="00BB06C8" w:rsidRPr="00C6236F" w:rsidRDefault="00BB06C8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 xml:space="preserve">hnačka, pocit na vracanie, strata chuti do jedla, vracanie (tieto príznaky často vymiznú počas liečby alebo po jej ukončení). </w:t>
      </w:r>
    </w:p>
    <w:p w14:paraId="09505F37" w14:textId="77777777" w:rsidR="00BB06C8" w:rsidRPr="00C6236F" w:rsidRDefault="00BB06C8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dočasné zvýšenie dusíka močoviny v krvi (BUN, používa sa na overenie funkcie obličiek), prítomnosť bielkoviny v moči (proteinúria), ochorenie obličiek (intersticiálna nefritída, nefropatia, nefrotoxicita) vyskytujúce sa väčšinou u pacientov, ktorí sú liečení súčasne inými liekmi potenciálne škodlivými pre obličky (nefrotoxickými liekmi)</w:t>
      </w:r>
    </w:p>
    <w:p w14:paraId="6B617C06" w14:textId="77777777" w:rsidR="00BB06C8" w:rsidRDefault="00BB06C8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zvýšenie alebo zníženie plazmatickej koncentrácie glukózy</w:t>
      </w:r>
    </w:p>
    <w:p w14:paraId="15DFD11E" w14:textId="77777777" w:rsidR="006C364B" w:rsidRPr="007262A1" w:rsidRDefault="006C364B">
      <w:pPr>
        <w:pStyle w:val="Normlndobloku"/>
        <w:rPr>
          <w:lang w:val="sk-SK"/>
        </w:rPr>
      </w:pPr>
    </w:p>
    <w:p w14:paraId="466624C5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Veľmi zriedkavé (môžu postihovať až 1 z 10 000 osôb)</w:t>
      </w:r>
    </w:p>
    <w:p w14:paraId="4D9AD760" w14:textId="3679982A" w:rsidR="00BB06C8" w:rsidRPr="00414F1A" w:rsidRDefault="00BB06C8" w:rsidP="00006F5A">
      <w:pPr>
        <w:pStyle w:val="Normlndoblokusodrkami"/>
        <w:numPr>
          <w:ilvl w:val="0"/>
          <w:numId w:val="7"/>
        </w:numPr>
        <w:rPr>
          <w:lang w:val="sk-SK"/>
        </w:rPr>
      </w:pPr>
      <w:r w:rsidRPr="00414F1A">
        <w:rPr>
          <w:lang w:val="sk-SK"/>
        </w:rPr>
        <w:t>svrbenie v oblasti konečníka a vonkajších pohlavných orgánov, poruchy krvnej zrážanlivosti a v dôsledku toho krvácanie</w:t>
      </w:r>
    </w:p>
    <w:p w14:paraId="48456713" w14:textId="77777777" w:rsidR="006C364B" w:rsidRPr="007262A1" w:rsidRDefault="006C364B" w:rsidP="00971BF6">
      <w:pPr>
        <w:pStyle w:val="Normlndobloku"/>
        <w:rPr>
          <w:lang w:val="sk-SK"/>
        </w:rPr>
      </w:pPr>
    </w:p>
    <w:p w14:paraId="29901EA4" w14:textId="1FE3B67C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V zriedkavých prípadoch sú u niektorých cefalosporínov hlásené</w:t>
      </w:r>
      <w:r w:rsidR="00913F07">
        <w:rPr>
          <w:lang w:val="sk-SK"/>
        </w:rPr>
        <w:t>:</w:t>
      </w:r>
    </w:p>
    <w:p w14:paraId="18F45225" w14:textId="77777777" w:rsidR="00C96682" w:rsidRDefault="00BB06C8" w:rsidP="00971BF6">
      <w:pPr>
        <w:pStyle w:val="Normlndoblokusodrkami"/>
        <w:numPr>
          <w:ilvl w:val="0"/>
          <w:numId w:val="7"/>
        </w:numPr>
        <w:rPr>
          <w:lang w:val="sk-SK"/>
        </w:rPr>
      </w:pPr>
      <w:r w:rsidRPr="00C96682">
        <w:rPr>
          <w:lang w:val="sk-SK"/>
        </w:rPr>
        <w:t>problémy so zrážanlivosťou krvi (hemolytická anémia), pokles počtu granulocytov v periférnej krvi a kostnej dreni (agranulocytóza a anémia), úbytok všetkých druhov krviniek v krvi (pancytopénia, aplastická anémia), znížený obsah krvného červeného farbiva (hemoglobínu a/alebo hematokritu)</w:t>
      </w:r>
    </w:p>
    <w:p w14:paraId="700023BD" w14:textId="77777777" w:rsidR="006C364B" w:rsidRPr="007262A1" w:rsidRDefault="006C364B" w:rsidP="00971BF6">
      <w:pPr>
        <w:pStyle w:val="Normlndobloku"/>
        <w:rPr>
          <w:lang w:val="sk-SK"/>
        </w:rPr>
      </w:pPr>
    </w:p>
    <w:p w14:paraId="506802BE" w14:textId="77777777" w:rsidR="00BB06C8" w:rsidRPr="00C96682" w:rsidRDefault="00BB06C8" w:rsidP="007262A1">
      <w:pPr>
        <w:pStyle w:val="Styl2"/>
        <w:spacing w:before="0" w:after="0"/>
        <w:rPr>
          <w:lang w:val="sk-SK"/>
        </w:rPr>
      </w:pPr>
      <w:r w:rsidRPr="00C96682">
        <w:rPr>
          <w:lang w:val="sk-SK"/>
        </w:rPr>
        <w:t>Tieto účinky boli hlásené pri liečbe niektorými cefalosporínmi</w:t>
      </w:r>
    </w:p>
    <w:p w14:paraId="413E213E" w14:textId="06333E20" w:rsidR="00BB06C8" w:rsidRDefault="00BB06C8" w:rsidP="00971BF6">
      <w:pPr>
        <w:pStyle w:val="Normlndoblokusodrkami"/>
        <w:numPr>
          <w:ilvl w:val="0"/>
          <w:numId w:val="7"/>
        </w:numPr>
        <w:rPr>
          <w:lang w:val="sk-SK"/>
        </w:rPr>
      </w:pPr>
      <w:r w:rsidRPr="00C6236F">
        <w:rPr>
          <w:lang w:val="sk-SK"/>
        </w:rPr>
        <w:t>nočné mory, závraty, hyperaktivita, nervozita alebo úzkosť, nespavosť, ospalosť, slabosť, návaly tepla, poruchy farebného videnia, zmätenosť, epileptogénna aktivita (</w:t>
      </w:r>
      <w:r w:rsidR="00C8361C">
        <w:rPr>
          <w:lang w:val="sk-SK"/>
        </w:rPr>
        <w:t>vyvolávajú</w:t>
      </w:r>
      <w:r w:rsidR="007C2493">
        <w:rPr>
          <w:lang w:val="sk-SK"/>
        </w:rPr>
        <w:t xml:space="preserve"> </w:t>
      </w:r>
      <w:r w:rsidR="00C8361C">
        <w:rPr>
          <w:lang w:val="sk-SK"/>
        </w:rPr>
        <w:t xml:space="preserve">zmeny na EEG (záznam elektrickej aktivity mozgu) </w:t>
      </w:r>
      <w:r w:rsidR="007C2493">
        <w:rPr>
          <w:lang w:val="sk-SK"/>
        </w:rPr>
        <w:t> u pacientov so sklonom k epilepsii</w:t>
      </w:r>
    </w:p>
    <w:p w14:paraId="078E28C9" w14:textId="77777777" w:rsidR="006C364B" w:rsidRPr="007262A1" w:rsidRDefault="006C364B" w:rsidP="00971BF6">
      <w:pPr>
        <w:pStyle w:val="Normlndobloku"/>
        <w:rPr>
          <w:lang w:val="sk-SK"/>
        </w:rPr>
      </w:pPr>
    </w:p>
    <w:p w14:paraId="73BF51A7" w14:textId="77777777" w:rsidR="00BB06C8" w:rsidRPr="00C6236F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lastRenderedPageBreak/>
        <w:t>Hlásenie vedľajších účinkov</w:t>
      </w:r>
    </w:p>
    <w:p w14:paraId="0DAC5B13" w14:textId="76E2F9B5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</w:t>
      </w:r>
      <w:r w:rsidR="00AB3D4E">
        <w:rPr>
          <w:lang w:val="sk-SK"/>
        </w:rPr>
        <w:t xml:space="preserve">priamo </w:t>
      </w:r>
      <w:r w:rsidR="009202A0">
        <w:rPr>
          <w:lang w:val="sk-SK"/>
        </w:rPr>
        <w:t xml:space="preserve">na </w:t>
      </w:r>
      <w:r w:rsidRPr="00C6236F">
        <w:rPr>
          <w:highlight w:val="lightGray"/>
          <w:lang w:val="sk-SK"/>
        </w:rPr>
        <w:t xml:space="preserve">národné </w:t>
      </w:r>
      <w:r w:rsidR="009202A0">
        <w:rPr>
          <w:highlight w:val="lightGray"/>
          <w:lang w:val="sk-SK"/>
        </w:rPr>
        <w:t>centrum</w:t>
      </w:r>
      <w:r w:rsidRPr="00C6236F">
        <w:rPr>
          <w:highlight w:val="lightGray"/>
          <w:lang w:val="sk-SK"/>
        </w:rPr>
        <w:t xml:space="preserve"> hlásenia uvedené v </w:t>
      </w:r>
      <w:hyperlink r:id="rId8" w:history="1">
        <w:r w:rsidRPr="00C6236F">
          <w:rPr>
            <w:rStyle w:val="Hypertextovprepojenie"/>
            <w:highlight w:val="lightGray"/>
            <w:lang w:val="sk-SK"/>
          </w:rPr>
          <w:t>Prílohe V</w:t>
        </w:r>
      </w:hyperlink>
      <w:r w:rsidRPr="00C6236F">
        <w:rPr>
          <w:lang w:val="sk-SK"/>
        </w:rPr>
        <w:t>. Hlásením vedľajších účinkov môžete prispieť k získaniu ďalších informácií o bezpečnosti tohto lieku.</w:t>
      </w:r>
    </w:p>
    <w:p w14:paraId="282E8E7E" w14:textId="77777777" w:rsidR="00ED3540" w:rsidRDefault="00ED3540" w:rsidP="00971BF6">
      <w:pPr>
        <w:pStyle w:val="Normlndobloku"/>
        <w:rPr>
          <w:lang w:val="sk-SK"/>
        </w:rPr>
      </w:pPr>
    </w:p>
    <w:p w14:paraId="1D1D4028" w14:textId="77777777" w:rsidR="006C364B" w:rsidRPr="00C6236F" w:rsidRDefault="006C364B" w:rsidP="00F25AAE">
      <w:pPr>
        <w:pStyle w:val="Normlndobloku"/>
        <w:rPr>
          <w:lang w:val="sk-SK"/>
        </w:rPr>
      </w:pPr>
    </w:p>
    <w:p w14:paraId="063303D8" w14:textId="77777777" w:rsidR="00BB06C8" w:rsidRDefault="00BB06C8" w:rsidP="007262A1">
      <w:pPr>
        <w:pStyle w:val="Styl1"/>
        <w:spacing w:before="0" w:after="0"/>
        <w:rPr>
          <w:lang w:val="sk-SK"/>
        </w:rPr>
      </w:pPr>
      <w:r w:rsidRPr="00C6236F">
        <w:rPr>
          <w:lang w:val="sk-SK"/>
        </w:rPr>
        <w:t>A</w:t>
      </w:r>
      <w:r w:rsidRPr="00FD1775">
        <w:rPr>
          <w:caps w:val="0"/>
          <w:lang w:val="sk-SK"/>
        </w:rPr>
        <w:t>ko uchovávať</w:t>
      </w:r>
      <w:r w:rsidRPr="00C6236F">
        <w:rPr>
          <w:lang w:val="sk-SK"/>
        </w:rPr>
        <w:t xml:space="preserve"> ZEPILEN</w:t>
      </w:r>
    </w:p>
    <w:p w14:paraId="6E27299E" w14:textId="77777777" w:rsidR="009202A0" w:rsidRPr="00C6236F" w:rsidRDefault="009202A0">
      <w:pPr>
        <w:pStyle w:val="Styl1"/>
        <w:numPr>
          <w:ilvl w:val="0"/>
          <w:numId w:val="0"/>
        </w:numPr>
        <w:spacing w:before="0" w:after="0"/>
        <w:ind w:left="357"/>
        <w:rPr>
          <w:lang w:val="sk-SK"/>
        </w:rPr>
      </w:pPr>
    </w:p>
    <w:p w14:paraId="6F747C6B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Tento liek uchovávajte mimo dohľadu a dosahu detí.</w:t>
      </w:r>
    </w:p>
    <w:p w14:paraId="62D615F9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Uchovávajte pri teplote do 25</w:t>
      </w:r>
      <w:r w:rsidR="001D2793">
        <w:rPr>
          <w:lang w:val="sk-SK"/>
        </w:rPr>
        <w:t> </w:t>
      </w:r>
      <w:r w:rsidRPr="00C6236F">
        <w:rPr>
          <w:lang w:val="sk-SK"/>
        </w:rPr>
        <w:t>°C v pôvodnom obale.</w:t>
      </w:r>
    </w:p>
    <w:p w14:paraId="4A15CA19" w14:textId="77777777" w:rsidR="006C364B" w:rsidRPr="00C6236F" w:rsidRDefault="006C364B" w:rsidP="00F25AAE">
      <w:pPr>
        <w:pStyle w:val="Normlndobloku"/>
        <w:rPr>
          <w:lang w:val="sk-SK"/>
        </w:rPr>
      </w:pPr>
    </w:p>
    <w:p w14:paraId="40F6F65A" w14:textId="77777777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Rekonštituovaný roztok</w:t>
      </w:r>
    </w:p>
    <w:p w14:paraId="5D55A94B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Chemická a fyzikálna stabilita lieku bola pre všetky spôsoby podania preukázaná po dobu 24 hodín pri 2 °C – 8 °C.</w:t>
      </w:r>
    </w:p>
    <w:p w14:paraId="3A4C90D7" w14:textId="7C929BC5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 xml:space="preserve">Z mikrobiologického hľadiska má byť liek použitý okamžite. Ak nie je použitý okamžite, čas a podmienky uchovávania lieku po otvorení pred použitím sú v zodpovednosti užívateľa a nesmú byť dlhšie ako 24 hodín pri 2 °C – 8 °C </w:t>
      </w:r>
      <w:r w:rsidR="00414F1A">
        <w:rPr>
          <w:lang w:val="sk-SK"/>
        </w:rPr>
        <w:t>, pokiaľ</w:t>
      </w:r>
      <w:r w:rsidRPr="00C6236F">
        <w:rPr>
          <w:lang w:val="sk-SK"/>
        </w:rPr>
        <w:t xml:space="preserve"> riedenie </w:t>
      </w:r>
      <w:r w:rsidR="00414F1A">
        <w:rPr>
          <w:lang w:val="sk-SK"/>
        </w:rPr>
        <w:t>ne</w:t>
      </w:r>
      <w:r w:rsidRPr="00C6236F">
        <w:rPr>
          <w:lang w:val="sk-SK"/>
        </w:rPr>
        <w:t>prebehlo za kontrolovaných a validovaných aseptických podmienok.</w:t>
      </w:r>
    </w:p>
    <w:p w14:paraId="265D65D8" w14:textId="77777777" w:rsidR="006C364B" w:rsidRPr="00C6236F" w:rsidRDefault="006C364B" w:rsidP="00F25AAE">
      <w:pPr>
        <w:pStyle w:val="Normlndobloku"/>
        <w:rPr>
          <w:lang w:val="sk-SK"/>
        </w:rPr>
      </w:pPr>
    </w:p>
    <w:p w14:paraId="6818CBDC" w14:textId="77777777" w:rsidR="00BB06C8" w:rsidRPr="00C6236F" w:rsidRDefault="00BB06C8" w:rsidP="00F25AAE">
      <w:pPr>
        <w:pStyle w:val="Normlndobloku"/>
        <w:rPr>
          <w:lang w:val="sk-SK"/>
        </w:rPr>
      </w:pPr>
      <w:r w:rsidRPr="00C6236F">
        <w:rPr>
          <w:lang w:val="sk-SK"/>
        </w:rPr>
        <w:t>Nepoužívajte tento liek po dátume exspirácie, ktorý je uvedený na škatuli a injekčnej liekovke po EXP. Doba exspirácie sa vzťahuje na posledný deň v danom mesiaci.</w:t>
      </w:r>
    </w:p>
    <w:p w14:paraId="04B1172A" w14:textId="77777777" w:rsidR="00913F07" w:rsidRDefault="00913F07" w:rsidP="00023715">
      <w:pPr>
        <w:pStyle w:val="Normlndobloku"/>
        <w:rPr>
          <w:lang w:val="sk-SK"/>
        </w:rPr>
      </w:pPr>
    </w:p>
    <w:p w14:paraId="1A51A033" w14:textId="0F8BE3DC" w:rsidR="00BB06C8" w:rsidRDefault="00BB06C8" w:rsidP="00023715">
      <w:pPr>
        <w:pStyle w:val="Normlndobloku"/>
        <w:rPr>
          <w:lang w:val="sk-SK"/>
        </w:rPr>
      </w:pPr>
      <w:r w:rsidRPr="00C6236F">
        <w:rPr>
          <w:lang w:val="sk-SK"/>
        </w:rPr>
        <w:t>Nelikvidujte lieky odpadovou vodou alebo domovým odpadom. Nepoužitý liek vráťte do lekárne. Tieto opatrenia pomôžu chrániť životné prostredie.</w:t>
      </w:r>
    </w:p>
    <w:p w14:paraId="487B7FDF" w14:textId="77777777" w:rsidR="000C6F83" w:rsidRDefault="000C6F83" w:rsidP="00023715">
      <w:pPr>
        <w:pStyle w:val="Normlndobloku"/>
        <w:rPr>
          <w:lang w:val="sk-SK"/>
        </w:rPr>
      </w:pPr>
    </w:p>
    <w:p w14:paraId="44E56275" w14:textId="77777777" w:rsidR="006C364B" w:rsidRPr="00C6236F" w:rsidRDefault="006C364B" w:rsidP="002E19B1">
      <w:pPr>
        <w:pStyle w:val="Normlndobloku"/>
        <w:rPr>
          <w:lang w:val="sk-SK"/>
        </w:rPr>
      </w:pPr>
    </w:p>
    <w:p w14:paraId="2EFEF12E" w14:textId="77777777" w:rsidR="00AB3D4E" w:rsidRPr="00272EE0" w:rsidRDefault="00BB06C8" w:rsidP="007262A1">
      <w:pPr>
        <w:pStyle w:val="Styl1"/>
        <w:spacing w:before="0" w:after="0"/>
        <w:rPr>
          <w:lang w:val="sk-SK"/>
        </w:rPr>
      </w:pPr>
      <w:r w:rsidRPr="00C6236F">
        <w:rPr>
          <w:lang w:val="sk-SK"/>
        </w:rPr>
        <w:t xml:space="preserve"> O</w:t>
      </w:r>
      <w:r w:rsidRPr="00FD1775">
        <w:rPr>
          <w:caps w:val="0"/>
          <w:lang w:val="sk-SK"/>
        </w:rPr>
        <w:t>bsah balenia a ďalšie informácie</w:t>
      </w:r>
    </w:p>
    <w:p w14:paraId="057740EA" w14:textId="77777777" w:rsidR="009202A0" w:rsidRPr="00AB3D4E" w:rsidRDefault="009202A0">
      <w:pPr>
        <w:pStyle w:val="Styl1"/>
        <w:numPr>
          <w:ilvl w:val="0"/>
          <w:numId w:val="0"/>
        </w:numPr>
        <w:spacing w:before="0" w:after="0"/>
        <w:ind w:left="357"/>
        <w:rPr>
          <w:lang w:val="sk-SK"/>
        </w:rPr>
      </w:pPr>
    </w:p>
    <w:p w14:paraId="4B020442" w14:textId="77777777" w:rsidR="00BB06C8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Čo ZEPILEN obsahuje</w:t>
      </w:r>
    </w:p>
    <w:p w14:paraId="276A3B1C" w14:textId="77777777" w:rsidR="006C364B" w:rsidRPr="00C6236F" w:rsidRDefault="006C364B" w:rsidP="007262A1">
      <w:pPr>
        <w:pStyle w:val="Styl2"/>
        <w:spacing w:before="0" w:after="0"/>
        <w:rPr>
          <w:lang w:val="sk-SK"/>
        </w:rPr>
      </w:pPr>
    </w:p>
    <w:p w14:paraId="316A6090" w14:textId="77777777" w:rsidR="00BB06C8" w:rsidRPr="00C6236F" w:rsidRDefault="00BB06C8" w:rsidP="00971BF6">
      <w:pPr>
        <w:pStyle w:val="Normlndoblokusodrkami"/>
        <w:rPr>
          <w:lang w:val="sk-SK"/>
        </w:rPr>
      </w:pPr>
      <w:r w:rsidRPr="00C6236F">
        <w:rPr>
          <w:lang w:val="sk-SK"/>
        </w:rPr>
        <w:t>Liečivo je cefazolín.</w:t>
      </w:r>
    </w:p>
    <w:p w14:paraId="5907416A" w14:textId="77777777" w:rsidR="00C96682" w:rsidRPr="00C96682" w:rsidRDefault="00C96682" w:rsidP="00006F5A">
      <w:pPr>
        <w:pStyle w:val="Normlndobloku"/>
        <w:rPr>
          <w:lang w:val="sk-SK"/>
        </w:rPr>
      </w:pPr>
      <w:r w:rsidRPr="00C96682">
        <w:rPr>
          <w:lang w:val="sk-SK"/>
        </w:rPr>
        <w:t>Jedna injekčná liekovka obsahuje 1 g cefazolínu (ako sodnú soľ cefazolínu).</w:t>
      </w:r>
    </w:p>
    <w:p w14:paraId="066555D4" w14:textId="77777777" w:rsidR="00BB06C8" w:rsidRDefault="00BB06C8" w:rsidP="00971BF6">
      <w:pPr>
        <w:pStyle w:val="Normlndoblokusodrkami"/>
        <w:rPr>
          <w:lang w:val="sk-SK"/>
        </w:rPr>
      </w:pPr>
      <w:r w:rsidRPr="00C6236F">
        <w:rPr>
          <w:lang w:val="sk-SK"/>
        </w:rPr>
        <w:t>Liek neobsahuje žiadne pomocné látky.</w:t>
      </w:r>
    </w:p>
    <w:p w14:paraId="789A6314" w14:textId="77777777" w:rsidR="009202A0" w:rsidRPr="009202A0" w:rsidRDefault="009202A0" w:rsidP="00971BF6">
      <w:pPr>
        <w:pStyle w:val="Normlndobloku"/>
        <w:rPr>
          <w:lang w:val="sk-SK"/>
        </w:rPr>
      </w:pPr>
    </w:p>
    <w:p w14:paraId="55D7F7E4" w14:textId="77777777" w:rsidR="00BB06C8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Ako vyzerá ZEPILEN a obsah balenia</w:t>
      </w:r>
    </w:p>
    <w:p w14:paraId="594DC8F5" w14:textId="77777777" w:rsidR="006C364B" w:rsidRPr="00C6236F" w:rsidRDefault="006C364B" w:rsidP="007262A1">
      <w:pPr>
        <w:pStyle w:val="Styl2"/>
        <w:spacing w:before="0" w:after="0"/>
        <w:rPr>
          <w:lang w:val="sk-SK"/>
        </w:rPr>
      </w:pPr>
    </w:p>
    <w:p w14:paraId="182344C2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Sklenená injekčná liekovka, gumová zátka, hliníkový uzáver</w:t>
      </w:r>
    </w:p>
    <w:p w14:paraId="1C119395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Injekčné liekovky obsahujú biely až takmer biely sterilný prášok.</w:t>
      </w:r>
    </w:p>
    <w:p w14:paraId="69576B15" w14:textId="77777777" w:rsidR="00BB06C8" w:rsidRPr="00C6236F" w:rsidRDefault="00BB06C8" w:rsidP="00F25AAE">
      <w:pPr>
        <w:pStyle w:val="Normlndobloku"/>
        <w:rPr>
          <w:lang w:val="sk-SK"/>
        </w:rPr>
      </w:pPr>
      <w:r w:rsidRPr="00C6236F">
        <w:rPr>
          <w:lang w:val="sk-SK"/>
        </w:rPr>
        <w:t>Veľkosť balenia: 10, 50 alebo 100 injekčných liekoviek</w:t>
      </w:r>
    </w:p>
    <w:p w14:paraId="59B3E80F" w14:textId="77777777" w:rsidR="00BB06C8" w:rsidRDefault="00BB06C8" w:rsidP="00F25AAE">
      <w:pPr>
        <w:pStyle w:val="Normlndobloku"/>
        <w:rPr>
          <w:lang w:val="sk-SK"/>
        </w:rPr>
      </w:pPr>
      <w:r w:rsidRPr="00C6236F">
        <w:rPr>
          <w:lang w:val="sk-SK"/>
        </w:rPr>
        <w:t>Na trh nemusia byť uvedené všetky veľkosti balenia.</w:t>
      </w:r>
    </w:p>
    <w:p w14:paraId="65DA62B6" w14:textId="77777777" w:rsidR="00827A84" w:rsidRPr="00C6236F" w:rsidRDefault="00827A84" w:rsidP="00023715">
      <w:pPr>
        <w:pStyle w:val="Normlndobloku"/>
        <w:rPr>
          <w:lang w:val="sk-SK"/>
        </w:rPr>
      </w:pPr>
    </w:p>
    <w:p w14:paraId="0609C31A" w14:textId="77777777" w:rsidR="00BB06C8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t>Držiteľ rozhodnutia o</w:t>
      </w:r>
      <w:r w:rsidR="00C96682">
        <w:rPr>
          <w:lang w:val="sk-SK"/>
        </w:rPr>
        <w:t> </w:t>
      </w:r>
      <w:r w:rsidRPr="00C6236F">
        <w:rPr>
          <w:lang w:val="sk-SK"/>
        </w:rPr>
        <w:t>registrácii</w:t>
      </w:r>
      <w:r w:rsidR="00C96682">
        <w:rPr>
          <w:lang w:val="sk-SK"/>
        </w:rPr>
        <w:t xml:space="preserve"> a</w:t>
      </w:r>
      <w:r w:rsidR="006C364B">
        <w:rPr>
          <w:lang w:val="sk-SK"/>
        </w:rPr>
        <w:t> </w:t>
      </w:r>
      <w:r w:rsidR="00C96682">
        <w:rPr>
          <w:lang w:val="sk-SK"/>
        </w:rPr>
        <w:t>výrobca</w:t>
      </w:r>
    </w:p>
    <w:p w14:paraId="3F8E6DE6" w14:textId="77777777" w:rsidR="006C364B" w:rsidRDefault="006C364B" w:rsidP="007262A1">
      <w:pPr>
        <w:pStyle w:val="Styl2"/>
        <w:spacing w:before="0" w:after="0"/>
        <w:rPr>
          <w:lang w:val="sk-SK"/>
        </w:rPr>
      </w:pPr>
    </w:p>
    <w:p w14:paraId="561AE5E6" w14:textId="77777777" w:rsidR="00C96682" w:rsidRPr="00C6236F" w:rsidRDefault="00C96682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Držiteľ rozhodnutia o registrácii</w:t>
      </w:r>
    </w:p>
    <w:p w14:paraId="60F27E1F" w14:textId="77777777" w:rsidR="003E3F2D" w:rsidRDefault="003265FE" w:rsidP="00971BF6">
      <w:pPr>
        <w:pStyle w:val="Normlndobloku"/>
      </w:pPr>
      <w:r>
        <w:t>MEDOCHEMIE Ltd., 1-10 Constantinoupoleos Street, 3011 Limassol, Cyprus</w:t>
      </w:r>
    </w:p>
    <w:p w14:paraId="51DD55BC" w14:textId="77777777" w:rsidR="003265FE" w:rsidRPr="00C6236F" w:rsidRDefault="003265FE" w:rsidP="00971BF6">
      <w:pPr>
        <w:pStyle w:val="Normlndobloku"/>
        <w:rPr>
          <w:lang w:val="sk-SK"/>
        </w:rPr>
      </w:pPr>
    </w:p>
    <w:p w14:paraId="332EEB68" w14:textId="77777777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Výrobca</w:t>
      </w:r>
    </w:p>
    <w:p w14:paraId="2A09D404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Medochemie Ltd (Factory C - Cephalosporins), 2 Michael Erakleous Street, Agios Athanassios Industrial Area, 4101 Agios Athanassios Limassol 4101, Cyprus</w:t>
      </w:r>
    </w:p>
    <w:p w14:paraId="5617721F" w14:textId="77777777" w:rsidR="00CB1822" w:rsidRPr="00C6236F" w:rsidRDefault="00CB1822" w:rsidP="00971BF6">
      <w:pPr>
        <w:pStyle w:val="Normlndobloku"/>
        <w:rPr>
          <w:lang w:val="sk-SK"/>
        </w:rPr>
      </w:pPr>
    </w:p>
    <w:p w14:paraId="5C81F2D7" w14:textId="42CE2331" w:rsidR="00BB06C8" w:rsidRDefault="00BB06C8" w:rsidP="007262A1">
      <w:pPr>
        <w:pStyle w:val="Styl2"/>
        <w:spacing w:before="0" w:after="0"/>
        <w:rPr>
          <w:b w:val="0"/>
          <w:lang w:val="sk-SK"/>
        </w:rPr>
      </w:pPr>
      <w:r w:rsidRPr="00C6236F">
        <w:rPr>
          <w:lang w:val="sk-SK"/>
        </w:rPr>
        <w:t>Táto písomná informácia bola naposledy aktualizovaná v</w:t>
      </w:r>
      <w:r w:rsidR="00591188">
        <w:rPr>
          <w:lang w:val="sk-SK"/>
        </w:rPr>
        <w:t> </w:t>
      </w:r>
      <w:r w:rsidR="005F7A85">
        <w:rPr>
          <w:lang w:val="sk-SK"/>
        </w:rPr>
        <w:t>dece</w:t>
      </w:r>
      <w:bookmarkStart w:id="0" w:name="_GoBack"/>
      <w:bookmarkEnd w:id="0"/>
      <w:r w:rsidR="00591188">
        <w:rPr>
          <w:lang w:val="sk-SK"/>
        </w:rPr>
        <w:t>mbri 2020</w:t>
      </w:r>
      <w:r w:rsidR="00AB3D4E" w:rsidRPr="009202A0">
        <w:rPr>
          <w:b w:val="0"/>
          <w:lang w:val="sk-SK"/>
        </w:rPr>
        <w:t>.</w:t>
      </w:r>
    </w:p>
    <w:p w14:paraId="004E0B4F" w14:textId="77777777" w:rsidR="00A10DEE" w:rsidRDefault="00A10DEE" w:rsidP="007262A1">
      <w:pPr>
        <w:pStyle w:val="Styl2"/>
        <w:spacing w:before="0" w:after="0"/>
        <w:rPr>
          <w:lang w:val="sk-SK"/>
        </w:rPr>
      </w:pPr>
      <w:r>
        <w:rPr>
          <w:b w:val="0"/>
          <w:lang w:val="sk-SK"/>
        </w:rPr>
        <w:t>---------------------------------------------------------------------------------------------------------------------------</w:t>
      </w:r>
    </w:p>
    <w:p w14:paraId="4D148A13" w14:textId="77777777" w:rsidR="00C96682" w:rsidRDefault="00C96682" w:rsidP="007262A1">
      <w:pPr>
        <w:spacing w:line="276" w:lineRule="auto"/>
        <w:rPr>
          <w:b/>
          <w:bCs/>
          <w:lang w:val="sk-SK"/>
        </w:rPr>
      </w:pPr>
      <w:r>
        <w:rPr>
          <w:lang w:val="sk-SK"/>
        </w:rPr>
        <w:br w:type="page"/>
      </w:r>
    </w:p>
    <w:p w14:paraId="2801D379" w14:textId="77777777" w:rsidR="006C364B" w:rsidRDefault="00BB06C8" w:rsidP="007262A1">
      <w:pPr>
        <w:pStyle w:val="Styl2"/>
        <w:spacing w:before="0" w:after="0"/>
        <w:rPr>
          <w:lang w:val="sk-SK"/>
        </w:rPr>
      </w:pPr>
      <w:r w:rsidRPr="00C6236F">
        <w:rPr>
          <w:lang w:val="sk-SK"/>
        </w:rPr>
        <w:lastRenderedPageBreak/>
        <w:t>Nasledujúce informácie sú určené len pre zdravotníckych pracovníkov</w:t>
      </w:r>
    </w:p>
    <w:p w14:paraId="691A7F47" w14:textId="77777777" w:rsidR="006C364B" w:rsidRPr="007262A1" w:rsidRDefault="006C364B" w:rsidP="007262A1">
      <w:pPr>
        <w:pStyle w:val="Styl2"/>
        <w:spacing w:before="0" w:after="0"/>
        <w:rPr>
          <w:lang w:val="sk-SK"/>
        </w:rPr>
      </w:pPr>
    </w:p>
    <w:p w14:paraId="3891BB15" w14:textId="7928DC20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 xml:space="preserve">Príprava a podanie roztoku sa má spraviť za aseptických </w:t>
      </w:r>
      <w:r w:rsidR="00913F07">
        <w:rPr>
          <w:lang w:val="sk-SK"/>
        </w:rPr>
        <w:t>podmienok</w:t>
      </w:r>
      <w:r w:rsidRPr="00C6236F">
        <w:rPr>
          <w:lang w:val="sk-SK"/>
        </w:rPr>
        <w:t>. Pred podaním je potrebné roztok skontrolovať na neprítomnosť pevných častíc a sfarbenie. ZEPILEN injekčné liekovky sú len na jedno použitie, zvyšok roztoku sa musí znehodnotiť.</w:t>
      </w:r>
    </w:p>
    <w:p w14:paraId="49C2EADF" w14:textId="77777777" w:rsidR="006C364B" w:rsidRPr="00C6236F" w:rsidRDefault="006C364B" w:rsidP="00F25AAE">
      <w:pPr>
        <w:pStyle w:val="Normlndobloku"/>
        <w:rPr>
          <w:lang w:val="sk-SK"/>
        </w:rPr>
      </w:pPr>
    </w:p>
    <w:p w14:paraId="55B94979" w14:textId="77777777" w:rsidR="00BB06C8" w:rsidRPr="00272EE0" w:rsidRDefault="00BB06C8" w:rsidP="007262A1">
      <w:pPr>
        <w:pStyle w:val="Styl2-2"/>
        <w:spacing w:before="0" w:after="0"/>
        <w:rPr>
          <w:lang w:val="sk-SK"/>
        </w:rPr>
      </w:pPr>
      <w:r w:rsidRPr="00272EE0">
        <w:rPr>
          <w:lang w:val="sk-SK"/>
        </w:rPr>
        <w:t>Spôsob podávania</w:t>
      </w:r>
    </w:p>
    <w:p w14:paraId="40448657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ZEPILEN možno podávať intramuskulárne alebo intravenózne.</w:t>
      </w:r>
    </w:p>
    <w:p w14:paraId="1FE29A37" w14:textId="77777777" w:rsidR="006C364B" w:rsidRPr="00C6236F" w:rsidRDefault="006C364B" w:rsidP="00F25AAE">
      <w:pPr>
        <w:pStyle w:val="Normlndobloku"/>
        <w:rPr>
          <w:lang w:val="sk-SK"/>
        </w:rPr>
      </w:pPr>
    </w:p>
    <w:p w14:paraId="5342E4F4" w14:textId="77777777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Intramuskulárna injekcia</w:t>
      </w:r>
    </w:p>
    <w:p w14:paraId="48564E97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Rozrieďte vodou na injekciu, 0,9 % roztokom chloridu sodného na injekciu alebo 0,5 % roztokom lidokaínu podľa nižšie uvedenej tabuľky riedenia. Dôkladne pretrepte do úplného rozpustenia.</w:t>
      </w:r>
    </w:p>
    <w:p w14:paraId="3211CA8D" w14:textId="77777777" w:rsidR="003F5EBC" w:rsidRPr="003F5EBC" w:rsidRDefault="003F5EBC" w:rsidP="00F25AAE">
      <w:pPr>
        <w:pStyle w:val="Normlndobloku"/>
        <w:rPr>
          <w:lang w:val="sk-SK"/>
        </w:rPr>
      </w:pPr>
      <w:r w:rsidRPr="003F5EBC">
        <w:rPr>
          <w:lang w:val="sk-SK"/>
        </w:rPr>
        <w:t xml:space="preserve">Pre podanie deťom mladším ako jeden rok sa cefazolín </w:t>
      </w:r>
      <w:r w:rsidRPr="003F5EBC">
        <w:rPr>
          <w:u w:val="single"/>
          <w:lang w:val="sk-SK"/>
        </w:rPr>
        <w:t>nesmie</w:t>
      </w:r>
      <w:r w:rsidRPr="003F5EBC">
        <w:rPr>
          <w:lang w:val="sk-SK"/>
        </w:rPr>
        <w:t xml:space="preserve"> rozpúšťať v roztoku lidokaínu.</w:t>
      </w:r>
    </w:p>
    <w:p w14:paraId="6F9458F0" w14:textId="77777777" w:rsidR="00BB06C8" w:rsidRPr="00C6236F" w:rsidRDefault="00BB06C8" w:rsidP="00023715">
      <w:pPr>
        <w:pStyle w:val="Normlndobloku"/>
        <w:rPr>
          <w:lang w:val="sk-SK"/>
        </w:rPr>
      </w:pPr>
      <w:r w:rsidRPr="00C6236F">
        <w:rPr>
          <w:lang w:val="sk-SK"/>
        </w:rPr>
        <w:t>ZEPILEN má byť aplikovaný do veľkého svalu.</w:t>
      </w:r>
    </w:p>
    <w:p w14:paraId="2924E799" w14:textId="77777777" w:rsidR="00BB06C8" w:rsidRPr="00C6236F" w:rsidRDefault="00BB06C8" w:rsidP="00023715">
      <w:pPr>
        <w:pStyle w:val="Normlndobloku"/>
        <w:rPr>
          <w:lang w:val="sk-SK"/>
        </w:rPr>
      </w:pPr>
      <w:r w:rsidRPr="00C6236F">
        <w:rPr>
          <w:lang w:val="sk-SK"/>
        </w:rPr>
        <w:t xml:space="preserve">Čerstvo rozpustený roztok sa musí ihneď použiť. Ak bol roztok pripravený s vodou na injekciu, </w:t>
      </w:r>
      <w:r w:rsidR="00B909C8">
        <w:rPr>
          <w:lang w:val="sk-SK"/>
        </w:rPr>
        <w:t xml:space="preserve">v prípade potreby </w:t>
      </w:r>
      <w:r w:rsidRPr="00C6236F">
        <w:rPr>
          <w:lang w:val="sk-SK"/>
        </w:rPr>
        <w:t>je možné ho uchovať po dobu 24 hodín pri 2 °C – 8 °C.</w:t>
      </w:r>
    </w:p>
    <w:p w14:paraId="53DB4264" w14:textId="77777777" w:rsidR="00913F07" w:rsidRDefault="00913F07" w:rsidP="002E19B1">
      <w:pPr>
        <w:pStyle w:val="Normlndobloku"/>
        <w:rPr>
          <w:lang w:val="sk-SK"/>
        </w:rPr>
      </w:pPr>
    </w:p>
    <w:p w14:paraId="07D5AE87" w14:textId="4B6DF19F" w:rsidR="00BB06C8" w:rsidRPr="00C6236F" w:rsidRDefault="00BB06C8" w:rsidP="002E19B1">
      <w:pPr>
        <w:pStyle w:val="Normlndobloku"/>
        <w:rPr>
          <w:lang w:val="sk-SK"/>
        </w:rPr>
      </w:pPr>
      <w:r w:rsidRPr="00C6236F">
        <w:rPr>
          <w:lang w:val="sk-SK"/>
        </w:rPr>
        <w:t>Tabuľka riedenia:</w:t>
      </w:r>
    </w:p>
    <w:tbl>
      <w:tblPr>
        <w:tblpPr w:leftFromText="142" w:rightFromText="142" w:bottom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319"/>
        <w:gridCol w:w="2321"/>
        <w:gridCol w:w="2321"/>
      </w:tblGrid>
      <w:tr w:rsidR="00BB06C8" w:rsidRPr="00C6236F" w14:paraId="09DBDBDC" w14:textId="77777777" w:rsidTr="00B65DDE">
        <w:tc>
          <w:tcPr>
            <w:tcW w:w="2319" w:type="dxa"/>
            <w:vAlign w:val="center"/>
          </w:tcPr>
          <w:p w14:paraId="2B9531A2" w14:textId="012135FA" w:rsidR="00BB06C8" w:rsidRPr="00C6236F" w:rsidRDefault="00BB06C8" w:rsidP="00006F5A">
            <w:pPr>
              <w:pStyle w:val="Nadpisuvnittabulky"/>
            </w:pPr>
            <w:r w:rsidRPr="00C6236F">
              <w:t xml:space="preserve">Obsah </w:t>
            </w:r>
            <w:r w:rsidR="00023715">
              <w:t>injekčnej liekovky</w:t>
            </w:r>
          </w:p>
        </w:tc>
        <w:tc>
          <w:tcPr>
            <w:tcW w:w="2319" w:type="dxa"/>
            <w:vAlign w:val="center"/>
          </w:tcPr>
          <w:p w14:paraId="159DDD5C" w14:textId="77777777" w:rsidR="00BB06C8" w:rsidRPr="00C6236F" w:rsidRDefault="00BB06C8" w:rsidP="00006F5A">
            <w:pPr>
              <w:pStyle w:val="Nadpisuvnittabulky"/>
            </w:pPr>
            <w:r w:rsidRPr="00C6236F">
              <w:t>Objem rozpúšťadla</w:t>
            </w:r>
          </w:p>
        </w:tc>
        <w:tc>
          <w:tcPr>
            <w:tcW w:w="2321" w:type="dxa"/>
            <w:vAlign w:val="center"/>
          </w:tcPr>
          <w:p w14:paraId="6441CD2A" w14:textId="77777777" w:rsidR="00BB06C8" w:rsidRPr="00C6236F" w:rsidRDefault="00B909C8" w:rsidP="00006F5A">
            <w:pPr>
              <w:pStyle w:val="Nadpisuvnittabulky"/>
            </w:pPr>
            <w:r>
              <w:t>Priemerná</w:t>
            </w:r>
            <w:r w:rsidRPr="00C6236F">
              <w:t xml:space="preserve"> </w:t>
            </w:r>
            <w:r w:rsidR="00BB06C8" w:rsidRPr="00C6236F">
              <w:t>výsledná koncentrácia</w:t>
            </w:r>
          </w:p>
        </w:tc>
        <w:tc>
          <w:tcPr>
            <w:tcW w:w="2321" w:type="dxa"/>
            <w:vAlign w:val="center"/>
          </w:tcPr>
          <w:p w14:paraId="4B68ADAE" w14:textId="77777777" w:rsidR="00BB06C8" w:rsidRPr="00C6236F" w:rsidRDefault="00B909C8" w:rsidP="00006F5A">
            <w:pPr>
              <w:pStyle w:val="Nadpisuvnittabulky"/>
            </w:pPr>
            <w:r>
              <w:t>Priemerný</w:t>
            </w:r>
            <w:r w:rsidRPr="00C6236F">
              <w:t xml:space="preserve"> </w:t>
            </w:r>
            <w:r w:rsidR="00BB06C8" w:rsidRPr="00C6236F">
              <w:t>využiteľný objem</w:t>
            </w:r>
          </w:p>
        </w:tc>
      </w:tr>
      <w:tr w:rsidR="00BB06C8" w:rsidRPr="00C6236F" w14:paraId="1957E8D1" w14:textId="77777777" w:rsidTr="00B65DDE">
        <w:trPr>
          <w:trHeight w:val="504"/>
        </w:trPr>
        <w:tc>
          <w:tcPr>
            <w:tcW w:w="2319" w:type="dxa"/>
            <w:vAlign w:val="center"/>
          </w:tcPr>
          <w:p w14:paraId="528E2CC3" w14:textId="77777777" w:rsidR="00BB06C8" w:rsidRPr="00C6236F" w:rsidRDefault="00BB06C8" w:rsidP="00971BF6">
            <w:pPr>
              <w:pStyle w:val="Tabulkynormlndoblokuzarovnndoleva"/>
              <w:framePr w:hSpace="0" w:wrap="auto" w:vAnchor="margin" w:yAlign="inline"/>
              <w:suppressOverlap w:val="0"/>
            </w:pPr>
            <w:r w:rsidRPr="00C6236F">
              <w:t>1 g</w:t>
            </w:r>
          </w:p>
        </w:tc>
        <w:tc>
          <w:tcPr>
            <w:tcW w:w="2319" w:type="dxa"/>
            <w:vAlign w:val="center"/>
          </w:tcPr>
          <w:p w14:paraId="33580444" w14:textId="77777777" w:rsidR="00BB06C8" w:rsidRPr="00C6236F" w:rsidRDefault="00BB06C8" w:rsidP="00F25AAE">
            <w:pPr>
              <w:pStyle w:val="Tabulkynormlndoblokuzarovnndoleva"/>
              <w:framePr w:hSpace="0" w:wrap="auto" w:vAnchor="margin" w:yAlign="inline"/>
              <w:suppressOverlap w:val="0"/>
            </w:pPr>
            <w:r w:rsidRPr="00C6236F">
              <w:t>2,5 ml</w:t>
            </w:r>
          </w:p>
        </w:tc>
        <w:tc>
          <w:tcPr>
            <w:tcW w:w="2321" w:type="dxa"/>
            <w:vAlign w:val="center"/>
          </w:tcPr>
          <w:p w14:paraId="52A86CDC" w14:textId="77777777" w:rsidR="00BB06C8" w:rsidRPr="00C6236F" w:rsidRDefault="00BB06C8" w:rsidP="00023715">
            <w:pPr>
              <w:pStyle w:val="Tabulkynormlndoblokuzarovnndoleva"/>
              <w:framePr w:hSpace="0" w:wrap="auto" w:vAnchor="margin" w:yAlign="inline"/>
              <w:suppressOverlap w:val="0"/>
            </w:pPr>
            <w:r w:rsidRPr="00C6236F">
              <w:t>330 mg/ml</w:t>
            </w:r>
          </w:p>
        </w:tc>
        <w:tc>
          <w:tcPr>
            <w:tcW w:w="2321" w:type="dxa"/>
            <w:vAlign w:val="center"/>
          </w:tcPr>
          <w:p w14:paraId="22650AB1" w14:textId="77777777" w:rsidR="00BB06C8" w:rsidRPr="00C6236F" w:rsidRDefault="00BB06C8" w:rsidP="00023715">
            <w:pPr>
              <w:pStyle w:val="Tabulkynormlndoblokuzarovnndoleva"/>
              <w:framePr w:hSpace="0" w:wrap="auto" w:vAnchor="margin" w:yAlign="inline"/>
              <w:suppressOverlap w:val="0"/>
            </w:pPr>
            <w:r w:rsidRPr="00C6236F">
              <w:t>3,0 ml</w:t>
            </w:r>
          </w:p>
        </w:tc>
      </w:tr>
    </w:tbl>
    <w:p w14:paraId="5C8B5C76" w14:textId="77777777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Intravenózne podanie</w:t>
      </w:r>
    </w:p>
    <w:p w14:paraId="69670018" w14:textId="77777777" w:rsidR="00BB06C8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ZEPILEN môže byť podaný priamo intravenózne, intermitentnou infúziou alebo kontinuálnou infúziou. Celková denná dávka je rovnaká ako pre intramuskulárne podanie.</w:t>
      </w:r>
    </w:p>
    <w:p w14:paraId="2F7B81C5" w14:textId="77777777" w:rsidR="006C364B" w:rsidRPr="00C6236F" w:rsidRDefault="006C364B" w:rsidP="00F25AAE">
      <w:pPr>
        <w:pStyle w:val="Normlndobloku"/>
        <w:rPr>
          <w:lang w:val="sk-SK"/>
        </w:rPr>
      </w:pPr>
    </w:p>
    <w:p w14:paraId="302E2F5F" w14:textId="77777777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Intermitentná a kontinuálna infúzia</w:t>
      </w:r>
    </w:p>
    <w:p w14:paraId="76DC09F4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ZEPILEN môže byť podaný v rámci prebiehajúcej intravenóznej liečby, v primárnej alebo sekundárnej intravenóznej fľaši.</w:t>
      </w:r>
    </w:p>
    <w:p w14:paraId="7276C98D" w14:textId="722074CF" w:rsidR="00BB06C8" w:rsidRPr="00C6236F" w:rsidRDefault="00BB06C8" w:rsidP="00F25AAE">
      <w:pPr>
        <w:pStyle w:val="Normlndobloku"/>
        <w:rPr>
          <w:lang w:val="sk-SK"/>
        </w:rPr>
      </w:pPr>
      <w:r w:rsidRPr="00C6236F">
        <w:rPr>
          <w:lang w:val="sk-SK"/>
        </w:rPr>
        <w:t xml:space="preserve">500 mg až 2 g </w:t>
      </w:r>
      <w:r w:rsidR="00913F07">
        <w:rPr>
          <w:lang w:val="sk-SK"/>
        </w:rPr>
        <w:t xml:space="preserve">lieku </w:t>
      </w:r>
      <w:r w:rsidRPr="00C6236F">
        <w:rPr>
          <w:lang w:val="sk-SK"/>
        </w:rPr>
        <w:t>ZEPILEN môže byť rozpustené v 50 až 100 ml nasledovných intravenóznych roztokov:</w:t>
      </w:r>
    </w:p>
    <w:p w14:paraId="521F266D" w14:textId="77777777" w:rsidR="00BB06C8" w:rsidRPr="00C6236F" w:rsidRDefault="00BB06C8" w:rsidP="00023715">
      <w:pPr>
        <w:pStyle w:val="Normlndoblokusodrkami"/>
        <w:rPr>
          <w:lang w:val="sk-SK"/>
        </w:rPr>
      </w:pPr>
      <w:r w:rsidRPr="00C6236F">
        <w:rPr>
          <w:lang w:val="sk-SK"/>
        </w:rPr>
        <w:t>0,9 % chlorid sodný</w:t>
      </w:r>
    </w:p>
    <w:p w14:paraId="1011F559" w14:textId="77777777" w:rsidR="00BB06C8" w:rsidRPr="00C6236F" w:rsidRDefault="00BB06C8" w:rsidP="00023715">
      <w:pPr>
        <w:pStyle w:val="Normlndoblokusodrkami"/>
        <w:rPr>
          <w:lang w:val="sk-SK"/>
        </w:rPr>
      </w:pPr>
      <w:r w:rsidRPr="00C6236F">
        <w:rPr>
          <w:lang w:val="sk-SK"/>
        </w:rPr>
        <w:t>0,9% chlorid sodný a 5% roztok glukózy</w:t>
      </w:r>
    </w:p>
    <w:p w14:paraId="1BFE1154" w14:textId="77777777" w:rsidR="00BB06C8" w:rsidRPr="00C6236F" w:rsidRDefault="00BB06C8" w:rsidP="002E19B1">
      <w:pPr>
        <w:pStyle w:val="Normlndoblokusodrkami"/>
        <w:rPr>
          <w:lang w:val="sk-SK"/>
        </w:rPr>
      </w:pPr>
      <w:r w:rsidRPr="00C6236F">
        <w:rPr>
          <w:lang w:val="sk-SK"/>
        </w:rPr>
        <w:t>Ringerov roztok s laktátom</w:t>
      </w:r>
    </w:p>
    <w:p w14:paraId="7CEB8D9E" w14:textId="77777777" w:rsidR="00BB06C8" w:rsidRDefault="00BB06C8">
      <w:pPr>
        <w:pStyle w:val="Normlndobloku"/>
        <w:rPr>
          <w:lang w:val="sk-SK"/>
        </w:rPr>
      </w:pPr>
      <w:r w:rsidRPr="00C6236F">
        <w:rPr>
          <w:lang w:val="sk-SK"/>
        </w:rPr>
        <w:t>Čerstvo rozpustený roztok sa odporúča ihneď použiť. Roztok je stabilný 24 hodín pri uchovávaní v chladničke od 2 °C až do 8 °C.</w:t>
      </w:r>
    </w:p>
    <w:p w14:paraId="73A4D8E3" w14:textId="77777777" w:rsidR="006C364B" w:rsidRPr="00C6236F" w:rsidRDefault="006C364B">
      <w:pPr>
        <w:pStyle w:val="Normlndobloku"/>
        <w:rPr>
          <w:lang w:val="sk-SK"/>
        </w:rPr>
      </w:pPr>
    </w:p>
    <w:p w14:paraId="16216B49" w14:textId="77777777" w:rsidR="00BB06C8" w:rsidRPr="00C6236F" w:rsidRDefault="00BB06C8" w:rsidP="007262A1">
      <w:pPr>
        <w:pStyle w:val="Styl3"/>
        <w:spacing w:after="0"/>
        <w:jc w:val="left"/>
        <w:rPr>
          <w:lang w:val="sk-SK"/>
        </w:rPr>
      </w:pPr>
      <w:r w:rsidRPr="00C6236F">
        <w:rPr>
          <w:lang w:val="sk-SK"/>
        </w:rPr>
        <w:t>Priama intravenózna injekcia</w:t>
      </w:r>
    </w:p>
    <w:p w14:paraId="1B1D9BE0" w14:textId="77777777" w:rsidR="00BB06C8" w:rsidRPr="00C6236F" w:rsidRDefault="00BB06C8" w:rsidP="00971BF6">
      <w:pPr>
        <w:pStyle w:val="Normlndobloku"/>
        <w:rPr>
          <w:lang w:val="sk-SK"/>
        </w:rPr>
      </w:pPr>
      <w:r w:rsidRPr="00C6236F">
        <w:rPr>
          <w:lang w:val="sk-SK"/>
        </w:rPr>
        <w:t>ZEPILEN sa najprv rozpustí v 2,5 ml vody na injekciu (postupom uvedeným vyššie v bode Intramuskulárne injekcie) a ďalej sa nariedi s vodou na injekciu minimálne na 10 ml. Aplikuje sa pomaly počas troch až piatich minút. V žiadnom prípade neskracujte dobu podávania na menej ako 3 minúty. Možno podať priamo do žily alebo do kanýl, ktorými pacient dostáva vyššie uvedené intravenózne roztoky.</w:t>
      </w:r>
    </w:p>
    <w:p w14:paraId="59F1975F" w14:textId="77777777" w:rsidR="00BB06C8" w:rsidRPr="00C6236F" w:rsidRDefault="00BB06C8" w:rsidP="00F25AAE">
      <w:pPr>
        <w:pStyle w:val="Normlndobloku"/>
        <w:rPr>
          <w:lang w:val="sk-SK"/>
        </w:rPr>
      </w:pPr>
      <w:r w:rsidRPr="00C6236F">
        <w:rPr>
          <w:lang w:val="sk-SK"/>
        </w:rPr>
        <w:t>Čerstvo rozpustený roztok sa odporúča ihneď použiť. Ak je to potrebné, roztok je možné uchovať 24 hodín v chladničke pri teplote 2 °C – 8 °C.</w:t>
      </w:r>
    </w:p>
    <w:p w14:paraId="2448FDCA" w14:textId="77777777" w:rsidR="00B65DDE" w:rsidRPr="00BB06C8" w:rsidRDefault="00BB06C8" w:rsidP="00023715">
      <w:pPr>
        <w:pStyle w:val="Normlndobloku"/>
        <w:rPr>
          <w:lang w:val="sk-SK"/>
        </w:rPr>
      </w:pPr>
      <w:r w:rsidRPr="00C6236F">
        <w:rPr>
          <w:lang w:val="sk-SK"/>
        </w:rPr>
        <w:t>Poznámka: Jednotlivé dávky väčšie ako 1 g sa majú podať v priebehu 30 až 60 minút.</w:t>
      </w:r>
    </w:p>
    <w:sectPr w:rsidR="00B65DDE" w:rsidRPr="00BB06C8" w:rsidSect="00006F5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737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FFC8" w16cex:dateUtc="2020-11-25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FE07A9" w16cid:durableId="2368FFC8"/>
  <w16cid:commentId w16cid:paraId="2D88366E" w16cid:durableId="235D7E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4FBDB" w14:textId="77777777" w:rsidR="00201ABD" w:rsidRDefault="00201ABD" w:rsidP="00BB06C8">
      <w:r>
        <w:separator/>
      </w:r>
    </w:p>
  </w:endnote>
  <w:endnote w:type="continuationSeparator" w:id="0">
    <w:p w14:paraId="76EA608D" w14:textId="77777777" w:rsidR="00201ABD" w:rsidRDefault="00201ABD" w:rsidP="00B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69693" w14:textId="77777777" w:rsidR="00B65DDE" w:rsidRDefault="00DC3202" w:rsidP="00B65DDE">
    <w:pPr>
      <w:pStyle w:val="Pta"/>
      <w:rPr>
        <w:rStyle w:val="slostrany"/>
      </w:rPr>
    </w:pPr>
    <w:r>
      <w:rPr>
        <w:rStyle w:val="slostrany"/>
      </w:rPr>
      <w:fldChar w:fldCharType="begin"/>
    </w:r>
    <w:r w:rsidR="00B65DD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33B78DE" w14:textId="77777777" w:rsidR="00B65DDE" w:rsidRDefault="00B65DDE" w:rsidP="00B65DD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8843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083FC87" w14:textId="4579F91A" w:rsidR="005239D0" w:rsidRPr="00006F5A" w:rsidRDefault="005239D0">
        <w:pPr>
          <w:pStyle w:val="Pta"/>
          <w:jc w:val="center"/>
          <w:rPr>
            <w:sz w:val="18"/>
            <w:szCs w:val="18"/>
          </w:rPr>
        </w:pPr>
        <w:r w:rsidRPr="00006F5A">
          <w:rPr>
            <w:sz w:val="18"/>
            <w:szCs w:val="18"/>
          </w:rPr>
          <w:fldChar w:fldCharType="begin"/>
        </w:r>
        <w:r w:rsidRPr="00006F5A">
          <w:rPr>
            <w:sz w:val="18"/>
            <w:szCs w:val="18"/>
          </w:rPr>
          <w:instrText>PAGE   \* MERGEFORMAT</w:instrText>
        </w:r>
        <w:r w:rsidRPr="00006F5A">
          <w:rPr>
            <w:sz w:val="18"/>
            <w:szCs w:val="18"/>
          </w:rPr>
          <w:fldChar w:fldCharType="separate"/>
        </w:r>
        <w:r w:rsidR="002C6709" w:rsidRPr="002C6709">
          <w:rPr>
            <w:noProof/>
            <w:sz w:val="18"/>
            <w:szCs w:val="18"/>
            <w:lang w:val="sk-SK"/>
          </w:rPr>
          <w:t>7</w:t>
        </w:r>
        <w:r w:rsidRPr="00006F5A">
          <w:rPr>
            <w:sz w:val="18"/>
            <w:szCs w:val="18"/>
          </w:rPr>
          <w:fldChar w:fldCharType="end"/>
        </w:r>
      </w:p>
    </w:sdtContent>
  </w:sdt>
  <w:p w14:paraId="7C197107" w14:textId="679D16E3" w:rsidR="00B65DDE" w:rsidRPr="00272EE0" w:rsidRDefault="00B65DDE" w:rsidP="00B65DDE">
    <w:pPr>
      <w:pStyle w:val="Pt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FF6CA" w14:textId="77777777" w:rsidR="00B65DDE" w:rsidRPr="00272EE0" w:rsidRDefault="00DC3202" w:rsidP="00BB06C8">
    <w:pPr>
      <w:pStyle w:val="Pta"/>
      <w:tabs>
        <w:tab w:val="center" w:pos="4677"/>
        <w:tab w:val="left" w:pos="5445"/>
      </w:tabs>
      <w:jc w:val="center"/>
      <w:rPr>
        <w:sz w:val="18"/>
        <w:szCs w:val="18"/>
      </w:rPr>
    </w:pPr>
    <w:r w:rsidRPr="00272EE0">
      <w:rPr>
        <w:rStyle w:val="slostrany"/>
        <w:sz w:val="18"/>
        <w:szCs w:val="18"/>
      </w:rPr>
      <w:fldChar w:fldCharType="begin"/>
    </w:r>
    <w:r w:rsidR="00B65DDE" w:rsidRPr="00272EE0">
      <w:rPr>
        <w:rStyle w:val="slostrany"/>
        <w:sz w:val="18"/>
        <w:szCs w:val="18"/>
      </w:rPr>
      <w:instrText xml:space="preserve"> PAGE </w:instrText>
    </w:r>
    <w:r w:rsidRPr="00272EE0">
      <w:rPr>
        <w:rStyle w:val="slostrany"/>
        <w:sz w:val="18"/>
        <w:szCs w:val="18"/>
      </w:rPr>
      <w:fldChar w:fldCharType="separate"/>
    </w:r>
    <w:r w:rsidR="00162C10">
      <w:rPr>
        <w:rStyle w:val="slostrany"/>
        <w:noProof/>
        <w:sz w:val="18"/>
        <w:szCs w:val="18"/>
      </w:rPr>
      <w:t>1</w:t>
    </w:r>
    <w:r w:rsidRPr="00272EE0">
      <w:rPr>
        <w:rStyle w:val="slostrany"/>
        <w:sz w:val="18"/>
        <w:szCs w:val="18"/>
      </w:rPr>
      <w:fldChar w:fldCharType="end"/>
    </w:r>
    <w:r w:rsidR="00B65DDE" w:rsidRPr="00272EE0">
      <w:rPr>
        <w:rStyle w:val="slostrany"/>
        <w:sz w:val="18"/>
        <w:szCs w:val="18"/>
      </w:rPr>
      <w:t>/</w:t>
    </w:r>
    <w:r w:rsidRPr="00272EE0">
      <w:rPr>
        <w:rStyle w:val="slostrany"/>
        <w:sz w:val="18"/>
        <w:szCs w:val="18"/>
      </w:rPr>
      <w:fldChar w:fldCharType="begin"/>
    </w:r>
    <w:r w:rsidR="00B65DDE" w:rsidRPr="00272EE0">
      <w:rPr>
        <w:rStyle w:val="slostrany"/>
        <w:sz w:val="18"/>
        <w:szCs w:val="18"/>
      </w:rPr>
      <w:instrText xml:space="preserve"> NUMPAGES </w:instrText>
    </w:r>
    <w:r w:rsidRPr="00272EE0">
      <w:rPr>
        <w:rStyle w:val="slostrany"/>
        <w:sz w:val="18"/>
        <w:szCs w:val="18"/>
      </w:rPr>
      <w:fldChar w:fldCharType="separate"/>
    </w:r>
    <w:r w:rsidR="00162C10">
      <w:rPr>
        <w:rStyle w:val="slostrany"/>
        <w:noProof/>
        <w:sz w:val="18"/>
        <w:szCs w:val="18"/>
      </w:rPr>
      <w:t>7</w:t>
    </w:r>
    <w:r w:rsidRPr="00272EE0">
      <w:rPr>
        <w:rStyle w:val="slostra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AD064" w14:textId="77777777" w:rsidR="00201ABD" w:rsidRDefault="00201ABD" w:rsidP="00BB06C8">
      <w:r>
        <w:separator/>
      </w:r>
    </w:p>
  </w:footnote>
  <w:footnote w:type="continuationSeparator" w:id="0">
    <w:p w14:paraId="1304F843" w14:textId="77777777" w:rsidR="00201ABD" w:rsidRDefault="00201ABD" w:rsidP="00BB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9BFB7" w14:textId="77777777" w:rsidR="00162C10" w:rsidRDefault="00162C10" w:rsidP="00162C10">
    <w:pPr>
      <w:pStyle w:val="Hlavika"/>
      <w:rPr>
        <w:sz w:val="18"/>
        <w:szCs w:val="18"/>
        <w:lang w:val="sk-SK"/>
      </w:rPr>
    </w:pPr>
    <w:r>
      <w:rPr>
        <w:sz w:val="18"/>
        <w:szCs w:val="18"/>
        <w:lang w:val="sk-SK"/>
      </w:rPr>
      <w:t xml:space="preserve">Schválený text k rozhodnutiu o predĺžení, ev. č.: </w:t>
    </w:r>
    <w:r w:rsidRPr="009D04C9">
      <w:rPr>
        <w:sz w:val="18"/>
        <w:szCs w:val="18"/>
        <w:lang w:val="sk-SK"/>
      </w:rPr>
      <w:t>2020/04142</w:t>
    </w:r>
    <w:r>
      <w:rPr>
        <w:sz w:val="18"/>
        <w:szCs w:val="18"/>
        <w:lang w:val="sk-SK"/>
      </w:rPr>
      <w:t>-PRE</w:t>
    </w:r>
  </w:p>
  <w:p w14:paraId="01749591" w14:textId="77777777" w:rsidR="008730B8" w:rsidRDefault="008730B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1C064" w14:textId="77777777" w:rsidR="00162C10" w:rsidRDefault="00162C10" w:rsidP="00162C10">
    <w:pPr>
      <w:pStyle w:val="Hlavika"/>
      <w:rPr>
        <w:sz w:val="18"/>
        <w:szCs w:val="18"/>
        <w:lang w:val="sk-SK"/>
      </w:rPr>
    </w:pPr>
    <w:r>
      <w:rPr>
        <w:sz w:val="18"/>
        <w:szCs w:val="18"/>
        <w:lang w:val="sk-SK"/>
      </w:rPr>
      <w:t xml:space="preserve">Schválený text k rozhodnutiu o predĺžení, ev. č.: </w:t>
    </w:r>
    <w:r w:rsidRPr="009D04C9">
      <w:rPr>
        <w:sz w:val="18"/>
        <w:szCs w:val="18"/>
        <w:lang w:val="sk-SK"/>
      </w:rPr>
      <w:t>2020/04142</w:t>
    </w:r>
    <w:r>
      <w:rPr>
        <w:sz w:val="18"/>
        <w:szCs w:val="18"/>
        <w:lang w:val="sk-SK"/>
      </w:rPr>
      <w:t>-PRE</w:t>
    </w:r>
  </w:p>
  <w:p w14:paraId="0C0B0ACB" w14:textId="3ACF924F" w:rsidR="008730B8" w:rsidRDefault="008730B8" w:rsidP="00BB06C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D17"/>
    <w:multiLevelType w:val="singleLevel"/>
    <w:tmpl w:val="0405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4C7DB5"/>
    <w:multiLevelType w:val="hybridMultilevel"/>
    <w:tmpl w:val="4DCE25B4"/>
    <w:lvl w:ilvl="0" w:tplc="ADA290D8">
      <w:start w:val="1"/>
      <w:numFmt w:val="bullet"/>
      <w:pStyle w:val="Normlndobloku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53D4"/>
    <w:multiLevelType w:val="hybridMultilevel"/>
    <w:tmpl w:val="83BE7CB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5C40FC5"/>
    <w:multiLevelType w:val="singleLevel"/>
    <w:tmpl w:val="46245AC0"/>
    <w:lvl w:ilvl="0">
      <w:start w:val="7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57C26BBA"/>
    <w:multiLevelType w:val="hybridMultilevel"/>
    <w:tmpl w:val="28362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86226"/>
    <w:multiLevelType w:val="hybridMultilevel"/>
    <w:tmpl w:val="C2F02C7A"/>
    <w:lvl w:ilvl="0" w:tplc="9288F23A">
      <w:start w:val="1"/>
      <w:numFmt w:val="bullet"/>
      <w:pStyle w:val="Odrky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D4AA7"/>
    <w:multiLevelType w:val="multilevel"/>
    <w:tmpl w:val="A866D78C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2B9"/>
    <w:rsid w:val="00006F5A"/>
    <w:rsid w:val="00007B94"/>
    <w:rsid w:val="00023715"/>
    <w:rsid w:val="00050078"/>
    <w:rsid w:val="0008359C"/>
    <w:rsid w:val="00083B87"/>
    <w:rsid w:val="000C6F83"/>
    <w:rsid w:val="00160BFD"/>
    <w:rsid w:val="00162C10"/>
    <w:rsid w:val="001D2793"/>
    <w:rsid w:val="001F3BC6"/>
    <w:rsid w:val="001F7FDF"/>
    <w:rsid w:val="00201ABD"/>
    <w:rsid w:val="002425E0"/>
    <w:rsid w:val="00252DAC"/>
    <w:rsid w:val="002662EF"/>
    <w:rsid w:val="0026710C"/>
    <w:rsid w:val="00272EE0"/>
    <w:rsid w:val="00293F53"/>
    <w:rsid w:val="002B12B9"/>
    <w:rsid w:val="002C6709"/>
    <w:rsid w:val="002D6BA5"/>
    <w:rsid w:val="002E19B1"/>
    <w:rsid w:val="002F506F"/>
    <w:rsid w:val="00305A5F"/>
    <w:rsid w:val="003223DF"/>
    <w:rsid w:val="003265FE"/>
    <w:rsid w:val="003354DC"/>
    <w:rsid w:val="00342111"/>
    <w:rsid w:val="00350C8C"/>
    <w:rsid w:val="003576F9"/>
    <w:rsid w:val="003A33C1"/>
    <w:rsid w:val="003E3F2D"/>
    <w:rsid w:val="003F5EBC"/>
    <w:rsid w:val="0040216F"/>
    <w:rsid w:val="00414F1A"/>
    <w:rsid w:val="00496240"/>
    <w:rsid w:val="004D10D9"/>
    <w:rsid w:val="004E1E58"/>
    <w:rsid w:val="004E232E"/>
    <w:rsid w:val="00511F2D"/>
    <w:rsid w:val="005239D0"/>
    <w:rsid w:val="00535031"/>
    <w:rsid w:val="0053570C"/>
    <w:rsid w:val="005470FC"/>
    <w:rsid w:val="00591188"/>
    <w:rsid w:val="005C18A6"/>
    <w:rsid w:val="005E071F"/>
    <w:rsid w:val="005F7A85"/>
    <w:rsid w:val="006152B6"/>
    <w:rsid w:val="00616B81"/>
    <w:rsid w:val="00630FE7"/>
    <w:rsid w:val="00656608"/>
    <w:rsid w:val="00685375"/>
    <w:rsid w:val="00687D8E"/>
    <w:rsid w:val="006A491D"/>
    <w:rsid w:val="006C364B"/>
    <w:rsid w:val="006F1380"/>
    <w:rsid w:val="006F4C86"/>
    <w:rsid w:val="007262A1"/>
    <w:rsid w:val="00792F09"/>
    <w:rsid w:val="007C2493"/>
    <w:rsid w:val="007E7981"/>
    <w:rsid w:val="007F3AE7"/>
    <w:rsid w:val="00827A84"/>
    <w:rsid w:val="00845EA8"/>
    <w:rsid w:val="00861388"/>
    <w:rsid w:val="008726A3"/>
    <w:rsid w:val="008730B8"/>
    <w:rsid w:val="008C3250"/>
    <w:rsid w:val="00911598"/>
    <w:rsid w:val="00913F07"/>
    <w:rsid w:val="009202A0"/>
    <w:rsid w:val="00926511"/>
    <w:rsid w:val="00971BF6"/>
    <w:rsid w:val="00A10DEE"/>
    <w:rsid w:val="00AA575E"/>
    <w:rsid w:val="00AA6E0E"/>
    <w:rsid w:val="00AB3D4E"/>
    <w:rsid w:val="00B03B09"/>
    <w:rsid w:val="00B07A36"/>
    <w:rsid w:val="00B55E60"/>
    <w:rsid w:val="00B65DDE"/>
    <w:rsid w:val="00B909C8"/>
    <w:rsid w:val="00B90A90"/>
    <w:rsid w:val="00BB06C8"/>
    <w:rsid w:val="00BE46D9"/>
    <w:rsid w:val="00C53D1D"/>
    <w:rsid w:val="00C74E70"/>
    <w:rsid w:val="00C8361C"/>
    <w:rsid w:val="00C927AD"/>
    <w:rsid w:val="00C96682"/>
    <w:rsid w:val="00CB1822"/>
    <w:rsid w:val="00CE6F8B"/>
    <w:rsid w:val="00D02594"/>
    <w:rsid w:val="00D36730"/>
    <w:rsid w:val="00D46143"/>
    <w:rsid w:val="00D6362D"/>
    <w:rsid w:val="00D677A3"/>
    <w:rsid w:val="00D7756D"/>
    <w:rsid w:val="00D87078"/>
    <w:rsid w:val="00D938A0"/>
    <w:rsid w:val="00DA0A2F"/>
    <w:rsid w:val="00DB72EA"/>
    <w:rsid w:val="00DC3202"/>
    <w:rsid w:val="00E302B2"/>
    <w:rsid w:val="00E75EA0"/>
    <w:rsid w:val="00EC1FF6"/>
    <w:rsid w:val="00ED0B04"/>
    <w:rsid w:val="00ED3540"/>
    <w:rsid w:val="00EF67FE"/>
    <w:rsid w:val="00F06B42"/>
    <w:rsid w:val="00F25AAE"/>
    <w:rsid w:val="00F3172A"/>
    <w:rsid w:val="00F73D2C"/>
    <w:rsid w:val="00FD1775"/>
    <w:rsid w:val="00FE1E97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6B56CB"/>
  <w15:docId w15:val="{2BA157FD-C18F-4B90-87F4-C36D7D65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utoRedefine/>
    <w:qFormat/>
    <w:rsid w:val="00BB06C8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1">
    <w:name w:val="Styl1"/>
    <w:basedOn w:val="Normlny"/>
    <w:autoRedefine/>
    <w:rsid w:val="006C364B"/>
    <w:pPr>
      <w:keepNext/>
      <w:numPr>
        <w:numId w:val="1"/>
      </w:numPr>
      <w:spacing w:before="120" w:after="120"/>
      <w:ind w:left="357" w:hanging="357"/>
    </w:pPr>
    <w:rPr>
      <w:b/>
      <w:bCs/>
      <w:caps/>
      <w:szCs w:val="24"/>
    </w:rPr>
  </w:style>
  <w:style w:type="paragraph" w:customStyle="1" w:styleId="Styl2">
    <w:name w:val="Styl2"/>
    <w:basedOn w:val="Normlny"/>
    <w:link w:val="Styl2Char"/>
    <w:autoRedefine/>
    <w:qFormat/>
    <w:rsid w:val="00C96682"/>
    <w:pPr>
      <w:keepNext/>
      <w:spacing w:before="120" w:after="120"/>
    </w:pPr>
    <w:rPr>
      <w:b/>
      <w:bCs/>
    </w:rPr>
  </w:style>
  <w:style w:type="paragraph" w:customStyle="1" w:styleId="Styl2-2">
    <w:name w:val="Styl2-2"/>
    <w:basedOn w:val="Styl2"/>
    <w:next w:val="Normlny"/>
    <w:autoRedefine/>
    <w:qFormat/>
    <w:rsid w:val="00DB72EA"/>
    <w:rPr>
      <w:lang w:val="en-GB"/>
    </w:rPr>
  </w:style>
  <w:style w:type="paragraph" w:customStyle="1" w:styleId="Styl3">
    <w:name w:val="Styl3"/>
    <w:basedOn w:val="Normlny"/>
    <w:link w:val="Styl3Char"/>
    <w:rsid w:val="00DB72EA"/>
    <w:pPr>
      <w:tabs>
        <w:tab w:val="left" w:pos="6946"/>
      </w:tabs>
      <w:spacing w:after="120"/>
      <w:jc w:val="both"/>
    </w:pPr>
    <w:rPr>
      <w:rFonts w:eastAsia="Calibri"/>
      <w:szCs w:val="24"/>
      <w:u w:val="single"/>
    </w:rPr>
  </w:style>
  <w:style w:type="character" w:customStyle="1" w:styleId="Styl3Char">
    <w:name w:val="Styl3 Char"/>
    <w:link w:val="Styl3"/>
    <w:rsid w:val="00DB72EA"/>
    <w:rPr>
      <w:rFonts w:ascii="Times New Roman" w:eastAsia="Calibri" w:hAnsi="Times New Roman" w:cs="Times New Roman"/>
      <w:szCs w:val="24"/>
      <w:u w:val="single"/>
    </w:rPr>
  </w:style>
  <w:style w:type="character" w:customStyle="1" w:styleId="Bacil">
    <w:name w:val="Bacil"/>
    <w:qFormat/>
    <w:rsid w:val="00DB72EA"/>
    <w:rPr>
      <w:i/>
    </w:rPr>
  </w:style>
  <w:style w:type="paragraph" w:customStyle="1" w:styleId="Normlndobloku">
    <w:name w:val="Normální do bloku"/>
    <w:basedOn w:val="Normlny"/>
    <w:link w:val="NormlndoblokuChar"/>
    <w:autoRedefine/>
    <w:rsid w:val="00971BF6"/>
    <w:pPr>
      <w:suppressAutoHyphens/>
    </w:pPr>
    <w:rPr>
      <w:rFonts w:eastAsia="Calibri"/>
      <w:szCs w:val="24"/>
    </w:rPr>
  </w:style>
  <w:style w:type="character" w:customStyle="1" w:styleId="NormlndoblokuChar">
    <w:name w:val="Normální do bloku Char"/>
    <w:link w:val="Normlndobloku"/>
    <w:rsid w:val="00971BF6"/>
    <w:rPr>
      <w:rFonts w:ascii="Times New Roman" w:eastAsia="Calibri" w:hAnsi="Times New Roman" w:cs="Times New Roman"/>
      <w:szCs w:val="24"/>
      <w:lang w:val="en-US" w:eastAsia="cs-CZ"/>
    </w:rPr>
  </w:style>
  <w:style w:type="paragraph" w:customStyle="1" w:styleId="Normlndoblokusodrkami">
    <w:name w:val="Normální do bloku s odrážkami"/>
    <w:basedOn w:val="Normlndobloku"/>
    <w:next w:val="Normlndobloku"/>
    <w:autoRedefine/>
    <w:qFormat/>
    <w:rsid w:val="00687D8E"/>
    <w:pPr>
      <w:numPr>
        <w:numId w:val="3"/>
      </w:numPr>
    </w:pPr>
    <w:rPr>
      <w:noProof/>
    </w:rPr>
  </w:style>
  <w:style w:type="paragraph" w:customStyle="1" w:styleId="Odrky2">
    <w:name w:val="Odrážky 2"/>
    <w:basedOn w:val="Normlndoblokusodrkami"/>
    <w:autoRedefine/>
    <w:qFormat/>
    <w:rsid w:val="00DB72EA"/>
    <w:pPr>
      <w:numPr>
        <w:numId w:val="4"/>
      </w:numPr>
    </w:pPr>
  </w:style>
  <w:style w:type="paragraph" w:customStyle="1" w:styleId="SPCaPILhlavika">
    <w:name w:val="SPC a PIL hlavička"/>
    <w:basedOn w:val="Normlny"/>
    <w:qFormat/>
    <w:rsid w:val="00C96682"/>
    <w:pPr>
      <w:spacing w:after="120"/>
      <w:jc w:val="center"/>
    </w:pPr>
    <w:rPr>
      <w:b/>
    </w:rPr>
  </w:style>
  <w:style w:type="character" w:styleId="Hypertextovprepojenie">
    <w:name w:val="Hyperlink"/>
    <w:rsid w:val="00BB06C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BB06C8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B06C8"/>
    <w:rPr>
      <w:rFonts w:ascii="Times New Roman" w:eastAsia="Times New Roman" w:hAnsi="Times New Roman" w:cs="Times New Roman"/>
      <w:szCs w:val="20"/>
      <w:lang w:val="en-US" w:eastAsia="cs-CZ"/>
    </w:rPr>
  </w:style>
  <w:style w:type="paragraph" w:styleId="Pta">
    <w:name w:val="footer"/>
    <w:basedOn w:val="Normlny"/>
    <w:link w:val="PtaChar"/>
    <w:uiPriority w:val="99"/>
    <w:rsid w:val="00BB06C8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B06C8"/>
    <w:rPr>
      <w:rFonts w:ascii="Times New Roman" w:eastAsia="Times New Roman" w:hAnsi="Times New Roman" w:cs="Times New Roman"/>
      <w:szCs w:val="20"/>
      <w:lang w:val="en-US" w:eastAsia="cs-CZ"/>
    </w:rPr>
  </w:style>
  <w:style w:type="character" w:styleId="slostrany">
    <w:name w:val="page number"/>
    <w:basedOn w:val="Predvolenpsmoodseku"/>
    <w:rsid w:val="00BB06C8"/>
  </w:style>
  <w:style w:type="character" w:customStyle="1" w:styleId="shorttext">
    <w:name w:val="short_text"/>
    <w:rsid w:val="00BB06C8"/>
  </w:style>
  <w:style w:type="character" w:customStyle="1" w:styleId="Styl2Char">
    <w:name w:val="Styl2 Char"/>
    <w:link w:val="Styl2"/>
    <w:locked/>
    <w:rsid w:val="00C96682"/>
    <w:rPr>
      <w:rFonts w:ascii="Times New Roman" w:eastAsia="Times New Roman" w:hAnsi="Times New Roman" w:cs="Times New Roman"/>
      <w:b/>
      <w:bCs/>
      <w:szCs w:val="20"/>
      <w:lang w:val="en-US" w:eastAsia="cs-CZ"/>
    </w:rPr>
  </w:style>
  <w:style w:type="paragraph" w:customStyle="1" w:styleId="Tabulkynormlndoblokuzarovnndoleva">
    <w:name w:val="Tabulky = normální do bloku + zarovnání doleva"/>
    <w:basedOn w:val="Normlndobloku"/>
    <w:rsid w:val="00BB06C8"/>
    <w:pPr>
      <w:framePr w:hSpace="142" w:wrap="around" w:vAnchor="text" w:hAnchor="text" w:y="1"/>
      <w:suppressOverlap/>
    </w:pPr>
    <w:rPr>
      <w:rFonts w:ascii="TimesNewRoman" w:hAnsi="TimesNewRoman" w:cs="TimesNewRoman"/>
      <w:szCs w:val="20"/>
      <w:lang w:val="sk-SK"/>
    </w:rPr>
  </w:style>
  <w:style w:type="paragraph" w:customStyle="1" w:styleId="Nadpisuvnittabulky">
    <w:name w:val="Nadpis uvnitř tabulky"/>
    <w:basedOn w:val="Tabulkynormlndoblokuzarovnndoleva"/>
    <w:qFormat/>
    <w:rsid w:val="00BB06C8"/>
    <w:pPr>
      <w:framePr w:hSpace="0" w:wrap="auto" w:vAnchor="margin" w:yAlign="inline"/>
      <w:spacing w:before="120"/>
      <w:suppressOverlap w:val="0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6F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6F83"/>
    <w:rPr>
      <w:rFonts w:ascii="Tahoma" w:eastAsia="Times New Roman" w:hAnsi="Tahoma" w:cs="Tahoma"/>
      <w:sz w:val="16"/>
      <w:szCs w:val="16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317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3172A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3172A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317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172A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Revzia">
    <w:name w:val="Revision"/>
    <w:hidden/>
    <w:uiPriority w:val="99"/>
    <w:semiHidden/>
    <w:rsid w:val="00B07A36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1C91-0361-466D-B97C-46D50CDD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2777</Words>
  <Characters>15835</Characters>
  <Application>Microsoft Office Word</Application>
  <DocSecurity>0</DocSecurity>
  <Lines>131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Litera</dc:creator>
  <cp:lastModifiedBy>Repiščáková, Janka</cp:lastModifiedBy>
  <cp:revision>29</cp:revision>
  <cp:lastPrinted>2016-03-21T10:59:00Z</cp:lastPrinted>
  <dcterms:created xsi:type="dcterms:W3CDTF">2020-10-23T14:29:00Z</dcterms:created>
  <dcterms:modified xsi:type="dcterms:W3CDTF">2020-12-14T15:48:00Z</dcterms:modified>
</cp:coreProperties>
</file>