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649F6" w14:textId="77777777" w:rsidR="006605ED" w:rsidRPr="00B57AE7" w:rsidRDefault="006605ED" w:rsidP="000977F4">
      <w:pPr>
        <w:jc w:val="center"/>
        <w:outlineLvl w:val="0"/>
        <w:rPr>
          <w:b/>
          <w:caps/>
          <w:noProof/>
          <w:sz w:val="22"/>
          <w:szCs w:val="22"/>
        </w:rPr>
      </w:pPr>
      <w:r w:rsidRPr="00B57AE7">
        <w:rPr>
          <w:b/>
          <w:caps/>
          <w:noProof/>
          <w:sz w:val="22"/>
          <w:szCs w:val="22"/>
        </w:rPr>
        <w:t>Súhrn charakteristických vlastností lieku</w:t>
      </w:r>
    </w:p>
    <w:p w14:paraId="34803D2E" w14:textId="77777777" w:rsidR="006605ED" w:rsidRPr="00B57AE7" w:rsidRDefault="006605ED" w:rsidP="00AD6F14">
      <w:pPr>
        <w:widowControl w:val="0"/>
        <w:tabs>
          <w:tab w:val="left" w:pos="567"/>
        </w:tabs>
        <w:rPr>
          <w:iCs/>
          <w:sz w:val="22"/>
          <w:szCs w:val="22"/>
          <w:lang w:eastAsia="en-US"/>
        </w:rPr>
      </w:pPr>
    </w:p>
    <w:p w14:paraId="36B7ED3F" w14:textId="77777777" w:rsidR="006605ED" w:rsidRPr="00B57AE7" w:rsidRDefault="006605ED" w:rsidP="00AD6F14">
      <w:pPr>
        <w:widowControl w:val="0"/>
        <w:tabs>
          <w:tab w:val="left" w:pos="567"/>
        </w:tabs>
        <w:rPr>
          <w:iCs/>
          <w:sz w:val="22"/>
          <w:szCs w:val="22"/>
          <w:lang w:eastAsia="en-US"/>
        </w:rPr>
      </w:pPr>
    </w:p>
    <w:p w14:paraId="49155411" w14:textId="77777777" w:rsidR="005C5AB1" w:rsidRPr="00B57AE7" w:rsidRDefault="005C5AB1" w:rsidP="00AD6F14">
      <w:pPr>
        <w:widowControl w:val="0"/>
        <w:tabs>
          <w:tab w:val="left" w:pos="567"/>
        </w:tabs>
        <w:rPr>
          <w:b/>
          <w:sz w:val="22"/>
          <w:szCs w:val="22"/>
          <w:lang w:eastAsia="en-US"/>
        </w:rPr>
      </w:pPr>
      <w:r w:rsidRPr="00B57AE7">
        <w:rPr>
          <w:b/>
          <w:bCs/>
          <w:iCs/>
          <w:sz w:val="22"/>
          <w:szCs w:val="22"/>
          <w:lang w:eastAsia="en-US"/>
        </w:rPr>
        <w:t>1.</w:t>
      </w:r>
      <w:r w:rsidRPr="00B57AE7">
        <w:rPr>
          <w:b/>
          <w:bCs/>
          <w:iCs/>
          <w:sz w:val="22"/>
          <w:szCs w:val="22"/>
          <w:lang w:eastAsia="en-US"/>
        </w:rPr>
        <w:tab/>
      </w:r>
      <w:r w:rsidR="00953B48" w:rsidRPr="00B57AE7">
        <w:rPr>
          <w:b/>
          <w:sz w:val="22"/>
          <w:szCs w:val="22"/>
          <w:lang w:eastAsia="en-US"/>
        </w:rPr>
        <w:t>NÁZOV LIEKU</w:t>
      </w:r>
    </w:p>
    <w:p w14:paraId="5246E345" w14:textId="77777777" w:rsidR="005C5AB1" w:rsidRPr="00B57AE7" w:rsidRDefault="005C5AB1" w:rsidP="00AD6F14">
      <w:pPr>
        <w:widowControl w:val="0"/>
        <w:tabs>
          <w:tab w:val="left" w:pos="567"/>
        </w:tabs>
        <w:rPr>
          <w:iCs/>
          <w:sz w:val="22"/>
          <w:szCs w:val="22"/>
          <w:lang w:eastAsia="en-US"/>
        </w:rPr>
      </w:pPr>
    </w:p>
    <w:p w14:paraId="0489B8C5" w14:textId="77777777" w:rsidR="005C5AB1" w:rsidRPr="00B57AE7" w:rsidRDefault="008D6F86" w:rsidP="00AD6F14">
      <w:pPr>
        <w:widowControl w:val="0"/>
        <w:tabs>
          <w:tab w:val="left" w:pos="567"/>
        </w:tabs>
        <w:rPr>
          <w:iCs/>
          <w:sz w:val="22"/>
          <w:szCs w:val="22"/>
          <w:lang w:eastAsia="en-US"/>
        </w:rPr>
      </w:pPr>
      <w:r>
        <w:rPr>
          <w:sz w:val="22"/>
          <w:szCs w:val="22"/>
          <w:lang w:eastAsia="en-US"/>
        </w:rPr>
        <w:t>JUZIMETTE</w:t>
      </w:r>
      <w:r w:rsidR="005C5AB1" w:rsidRPr="00B57AE7">
        <w:rPr>
          <w:sz w:val="22"/>
          <w:szCs w:val="22"/>
          <w:lang w:eastAsia="en-US"/>
        </w:rPr>
        <w:t xml:space="preserve"> </w:t>
      </w:r>
      <w:r w:rsidR="00B22048" w:rsidRPr="00B57AE7">
        <w:rPr>
          <w:sz w:val="22"/>
          <w:szCs w:val="22"/>
          <w:lang w:eastAsia="en-US"/>
        </w:rPr>
        <w:t>50 mg/850 mg </w:t>
      </w:r>
      <w:r w:rsidR="00953B48" w:rsidRPr="00B57AE7">
        <w:rPr>
          <w:sz w:val="22"/>
          <w:szCs w:val="22"/>
          <w:lang w:eastAsia="en-US"/>
        </w:rPr>
        <w:t>filmom obalené tablety</w:t>
      </w:r>
    </w:p>
    <w:p w14:paraId="328203DB" w14:textId="77777777" w:rsidR="005C5AB1" w:rsidRPr="00B57AE7" w:rsidRDefault="005C5AB1" w:rsidP="00AD6F14">
      <w:pPr>
        <w:widowControl w:val="0"/>
        <w:tabs>
          <w:tab w:val="left" w:pos="567"/>
        </w:tabs>
        <w:rPr>
          <w:bCs/>
          <w:sz w:val="22"/>
          <w:szCs w:val="22"/>
          <w:lang w:eastAsia="en-US"/>
        </w:rPr>
      </w:pPr>
    </w:p>
    <w:p w14:paraId="40DABB6E" w14:textId="77777777" w:rsidR="005C5AB1" w:rsidRPr="00B57AE7" w:rsidRDefault="005C5AB1" w:rsidP="00AD6F14">
      <w:pPr>
        <w:widowControl w:val="0"/>
        <w:tabs>
          <w:tab w:val="left" w:pos="567"/>
        </w:tabs>
        <w:rPr>
          <w:bCs/>
          <w:sz w:val="22"/>
          <w:szCs w:val="22"/>
          <w:lang w:eastAsia="en-US"/>
        </w:rPr>
      </w:pPr>
    </w:p>
    <w:p w14:paraId="225540C2" w14:textId="77777777" w:rsidR="005C5AB1" w:rsidRPr="00B57AE7" w:rsidRDefault="005C5AB1" w:rsidP="00AD6F14">
      <w:pPr>
        <w:widowControl w:val="0"/>
        <w:tabs>
          <w:tab w:val="left" w:pos="567"/>
        </w:tabs>
        <w:rPr>
          <w:sz w:val="22"/>
          <w:szCs w:val="22"/>
          <w:lang w:eastAsia="en-US"/>
        </w:rPr>
      </w:pPr>
      <w:r w:rsidRPr="00B57AE7">
        <w:rPr>
          <w:b/>
          <w:sz w:val="22"/>
          <w:szCs w:val="22"/>
          <w:lang w:eastAsia="en-US"/>
        </w:rPr>
        <w:t>2.</w:t>
      </w:r>
      <w:r w:rsidRPr="00B57AE7">
        <w:rPr>
          <w:b/>
          <w:sz w:val="22"/>
          <w:szCs w:val="22"/>
          <w:lang w:eastAsia="en-US"/>
        </w:rPr>
        <w:tab/>
      </w:r>
      <w:r w:rsidR="00953B48" w:rsidRPr="00B57AE7">
        <w:rPr>
          <w:b/>
          <w:sz w:val="22"/>
          <w:szCs w:val="22"/>
          <w:lang w:eastAsia="en-US"/>
        </w:rPr>
        <w:t>KVALITATÍVNE A KVANTITATÍVNE ZLOŽENIE</w:t>
      </w:r>
    </w:p>
    <w:p w14:paraId="3BA20521" w14:textId="77777777" w:rsidR="005C5AB1" w:rsidRPr="00B57AE7" w:rsidRDefault="005C5AB1" w:rsidP="00AD6F14">
      <w:pPr>
        <w:widowControl w:val="0"/>
        <w:tabs>
          <w:tab w:val="left" w:pos="567"/>
        </w:tabs>
        <w:rPr>
          <w:sz w:val="22"/>
          <w:szCs w:val="22"/>
          <w:lang w:eastAsia="en-US"/>
        </w:rPr>
      </w:pPr>
    </w:p>
    <w:p w14:paraId="51AB94BC" w14:textId="77777777" w:rsidR="005C5AB1" w:rsidRPr="00B57AE7" w:rsidRDefault="00953B48" w:rsidP="00AD6F14">
      <w:pPr>
        <w:widowControl w:val="0"/>
        <w:autoSpaceDE w:val="0"/>
        <w:autoSpaceDN w:val="0"/>
        <w:adjustRightInd w:val="0"/>
        <w:rPr>
          <w:sz w:val="22"/>
          <w:szCs w:val="22"/>
          <w:lang w:eastAsia="en-US"/>
        </w:rPr>
      </w:pPr>
      <w:r w:rsidRPr="00B57AE7">
        <w:rPr>
          <w:sz w:val="22"/>
          <w:szCs w:val="22"/>
          <w:lang w:eastAsia="en-US"/>
        </w:rPr>
        <w:t>Každá filmom obalená tablet</w:t>
      </w:r>
      <w:r w:rsidR="00456814" w:rsidRPr="00B57AE7">
        <w:rPr>
          <w:sz w:val="22"/>
          <w:szCs w:val="22"/>
          <w:lang w:eastAsia="en-US"/>
        </w:rPr>
        <w:t>a</w:t>
      </w:r>
      <w:r w:rsidRPr="00B57AE7">
        <w:rPr>
          <w:sz w:val="22"/>
          <w:szCs w:val="22"/>
          <w:lang w:eastAsia="en-US"/>
        </w:rPr>
        <w:t xml:space="preserve"> obsahuje </w:t>
      </w:r>
      <w:r w:rsidR="00AD6F14" w:rsidRPr="00B57AE7">
        <w:rPr>
          <w:sz w:val="22"/>
          <w:szCs w:val="22"/>
          <w:lang w:eastAsia="en-US"/>
        </w:rPr>
        <w:t>monohydrát sitagliptínium</w:t>
      </w:r>
      <w:r w:rsidR="00FA5C1C">
        <w:rPr>
          <w:sz w:val="22"/>
          <w:szCs w:val="22"/>
          <w:lang w:eastAsia="en-US"/>
        </w:rPr>
        <w:t>-</w:t>
      </w:r>
      <w:r w:rsidR="0078055D" w:rsidRPr="00B57AE7">
        <w:rPr>
          <w:sz w:val="22"/>
          <w:szCs w:val="22"/>
          <w:lang w:eastAsia="en-US"/>
        </w:rPr>
        <w:t>chlorid</w:t>
      </w:r>
      <w:r w:rsidR="00AD6F14" w:rsidRPr="00B57AE7">
        <w:rPr>
          <w:sz w:val="22"/>
          <w:szCs w:val="22"/>
          <w:lang w:eastAsia="en-US"/>
        </w:rPr>
        <w:t>u, ekvivalentn</w:t>
      </w:r>
      <w:r w:rsidR="00707AB1" w:rsidRPr="00B57AE7">
        <w:rPr>
          <w:sz w:val="22"/>
          <w:szCs w:val="22"/>
          <w:lang w:eastAsia="en-US"/>
        </w:rPr>
        <w:t>ý</w:t>
      </w:r>
      <w:r w:rsidR="0078055D" w:rsidRPr="00B57AE7">
        <w:rPr>
          <w:sz w:val="22"/>
          <w:szCs w:val="22"/>
          <w:lang w:eastAsia="en-US"/>
        </w:rPr>
        <w:t xml:space="preserve"> </w:t>
      </w:r>
      <w:r w:rsidRPr="00B57AE7">
        <w:rPr>
          <w:sz w:val="22"/>
          <w:szCs w:val="22"/>
          <w:lang w:eastAsia="en-US"/>
        </w:rPr>
        <w:t>5</w:t>
      </w:r>
      <w:r w:rsidR="00B22048" w:rsidRPr="00B57AE7">
        <w:rPr>
          <w:sz w:val="22"/>
          <w:szCs w:val="22"/>
          <w:lang w:eastAsia="en-US"/>
        </w:rPr>
        <w:t>0</w:t>
      </w:r>
      <w:r w:rsidRPr="00B57AE7">
        <w:rPr>
          <w:sz w:val="22"/>
          <w:szCs w:val="22"/>
          <w:lang w:eastAsia="en-US"/>
        </w:rPr>
        <w:t xml:space="preserve"> mg sitagliptínu</w:t>
      </w:r>
      <w:r w:rsidR="00B22048" w:rsidRPr="00B57AE7">
        <w:rPr>
          <w:sz w:val="22"/>
          <w:szCs w:val="22"/>
          <w:lang w:eastAsia="en-US"/>
        </w:rPr>
        <w:t xml:space="preserve"> a 850 mg metformínium</w:t>
      </w:r>
      <w:r w:rsidR="00FA5C1C">
        <w:rPr>
          <w:sz w:val="22"/>
          <w:szCs w:val="22"/>
          <w:lang w:eastAsia="en-US"/>
        </w:rPr>
        <w:t>-</w:t>
      </w:r>
      <w:r w:rsidR="00B22048" w:rsidRPr="00B57AE7">
        <w:rPr>
          <w:sz w:val="22"/>
          <w:szCs w:val="22"/>
          <w:lang w:eastAsia="en-US"/>
        </w:rPr>
        <w:t>chloridu</w:t>
      </w:r>
      <w:r w:rsidR="00C9077D" w:rsidRPr="00B57AE7">
        <w:rPr>
          <w:sz w:val="22"/>
          <w:szCs w:val="22"/>
          <w:lang w:eastAsia="en-US"/>
        </w:rPr>
        <w:t xml:space="preserve"> (čo zodpovedá 660 mg metformínu)</w:t>
      </w:r>
      <w:r w:rsidR="00B22048" w:rsidRPr="00B57AE7">
        <w:rPr>
          <w:sz w:val="22"/>
          <w:szCs w:val="22"/>
          <w:lang w:eastAsia="en-US"/>
        </w:rPr>
        <w:t>.</w:t>
      </w:r>
    </w:p>
    <w:p w14:paraId="3E75D0A8" w14:textId="77777777" w:rsidR="005C5AB1" w:rsidRPr="00B57AE7" w:rsidRDefault="005C5AB1" w:rsidP="00AD6F14">
      <w:pPr>
        <w:widowControl w:val="0"/>
        <w:autoSpaceDE w:val="0"/>
        <w:autoSpaceDN w:val="0"/>
        <w:adjustRightInd w:val="0"/>
        <w:rPr>
          <w:bCs/>
          <w:sz w:val="22"/>
          <w:szCs w:val="22"/>
          <w:lang w:eastAsia="en-US"/>
        </w:rPr>
      </w:pPr>
    </w:p>
    <w:p w14:paraId="48D28723" w14:textId="77777777" w:rsidR="005C5AB1" w:rsidRPr="00B57AE7" w:rsidRDefault="00953B48" w:rsidP="00AD6F14">
      <w:pPr>
        <w:widowControl w:val="0"/>
        <w:autoSpaceDE w:val="0"/>
        <w:autoSpaceDN w:val="0"/>
        <w:adjustRightInd w:val="0"/>
        <w:rPr>
          <w:sz w:val="22"/>
          <w:szCs w:val="22"/>
          <w:lang w:eastAsia="en-US"/>
        </w:rPr>
      </w:pPr>
      <w:r w:rsidRPr="00B57AE7">
        <w:rPr>
          <w:sz w:val="22"/>
          <w:szCs w:val="22"/>
          <w:lang w:eastAsia="en-US"/>
        </w:rPr>
        <w:t>Úplný zoznam pomocných látok, pozri časť 6.1.</w:t>
      </w:r>
    </w:p>
    <w:p w14:paraId="4F9715D7" w14:textId="77777777" w:rsidR="005C5AB1" w:rsidRPr="00B57AE7" w:rsidRDefault="005C5AB1" w:rsidP="00AD6F14">
      <w:pPr>
        <w:widowControl w:val="0"/>
        <w:tabs>
          <w:tab w:val="left" w:pos="567"/>
        </w:tabs>
        <w:rPr>
          <w:sz w:val="22"/>
          <w:szCs w:val="22"/>
          <w:lang w:eastAsia="en-US"/>
        </w:rPr>
      </w:pPr>
    </w:p>
    <w:p w14:paraId="722DC7EC" w14:textId="77777777" w:rsidR="007C49AB" w:rsidRPr="00B57AE7" w:rsidRDefault="007C49AB" w:rsidP="00AD6F14">
      <w:pPr>
        <w:widowControl w:val="0"/>
        <w:tabs>
          <w:tab w:val="left" w:pos="567"/>
        </w:tabs>
        <w:rPr>
          <w:sz w:val="22"/>
          <w:szCs w:val="22"/>
          <w:lang w:eastAsia="en-US"/>
        </w:rPr>
      </w:pPr>
    </w:p>
    <w:p w14:paraId="615B9B5F" w14:textId="77777777" w:rsidR="00953B48" w:rsidRPr="00B57AE7" w:rsidRDefault="00953B48" w:rsidP="00AD6F14">
      <w:pPr>
        <w:widowControl w:val="0"/>
        <w:tabs>
          <w:tab w:val="left" w:pos="567"/>
        </w:tabs>
        <w:rPr>
          <w:b/>
          <w:sz w:val="22"/>
          <w:szCs w:val="22"/>
          <w:lang w:eastAsia="en-US"/>
        </w:rPr>
      </w:pPr>
      <w:r w:rsidRPr="00B57AE7">
        <w:rPr>
          <w:b/>
          <w:sz w:val="22"/>
          <w:szCs w:val="22"/>
          <w:lang w:eastAsia="en-US"/>
        </w:rPr>
        <w:t>3.</w:t>
      </w:r>
      <w:r w:rsidRPr="00B57AE7">
        <w:rPr>
          <w:b/>
          <w:sz w:val="22"/>
          <w:szCs w:val="22"/>
          <w:lang w:eastAsia="en-US"/>
        </w:rPr>
        <w:tab/>
        <w:t>LIEKOVÁ FORMA</w:t>
      </w:r>
    </w:p>
    <w:p w14:paraId="1264886C" w14:textId="77777777" w:rsidR="00953B48" w:rsidRPr="00B57AE7" w:rsidRDefault="00953B48" w:rsidP="00AD6F14">
      <w:pPr>
        <w:widowControl w:val="0"/>
        <w:tabs>
          <w:tab w:val="left" w:pos="567"/>
        </w:tabs>
        <w:rPr>
          <w:bCs/>
          <w:sz w:val="22"/>
          <w:szCs w:val="22"/>
          <w:lang w:eastAsia="en-US"/>
        </w:rPr>
      </w:pPr>
    </w:p>
    <w:p w14:paraId="35D242D8" w14:textId="77777777" w:rsidR="003E7B96" w:rsidRPr="00B57AE7" w:rsidRDefault="003E7B96" w:rsidP="00AD6F14">
      <w:pPr>
        <w:widowControl w:val="0"/>
        <w:tabs>
          <w:tab w:val="left" w:pos="567"/>
        </w:tabs>
        <w:rPr>
          <w:sz w:val="22"/>
          <w:szCs w:val="22"/>
          <w:lang w:eastAsia="en-US"/>
        </w:rPr>
      </w:pPr>
      <w:r w:rsidRPr="00B57AE7">
        <w:rPr>
          <w:sz w:val="22"/>
          <w:szCs w:val="22"/>
          <w:lang w:eastAsia="en-US"/>
        </w:rPr>
        <w:t>Film</w:t>
      </w:r>
      <w:r w:rsidR="00AD6F14" w:rsidRPr="00B57AE7">
        <w:rPr>
          <w:sz w:val="22"/>
          <w:szCs w:val="22"/>
          <w:lang w:eastAsia="en-US"/>
        </w:rPr>
        <w:t>om obalená tableta</w:t>
      </w:r>
      <w:r w:rsidR="00B22048" w:rsidRPr="00B57AE7">
        <w:rPr>
          <w:sz w:val="22"/>
          <w:szCs w:val="22"/>
          <w:lang w:eastAsia="en-US"/>
        </w:rPr>
        <w:t>.</w:t>
      </w:r>
      <w:r w:rsidR="00AD6F14" w:rsidRPr="00B57AE7">
        <w:rPr>
          <w:sz w:val="22"/>
          <w:szCs w:val="22"/>
          <w:lang w:eastAsia="en-US"/>
        </w:rPr>
        <w:t xml:space="preserve"> </w:t>
      </w:r>
    </w:p>
    <w:p w14:paraId="5E5B275E" w14:textId="77777777" w:rsidR="003E7B96" w:rsidRPr="00B57AE7" w:rsidRDefault="003E7B96" w:rsidP="00AD6F14">
      <w:pPr>
        <w:widowControl w:val="0"/>
        <w:tabs>
          <w:tab w:val="left" w:pos="567"/>
        </w:tabs>
        <w:rPr>
          <w:sz w:val="22"/>
          <w:szCs w:val="22"/>
          <w:lang w:eastAsia="en-US"/>
        </w:rPr>
      </w:pPr>
    </w:p>
    <w:p w14:paraId="6A022540" w14:textId="77777777" w:rsidR="00B22048" w:rsidRPr="00B57AE7" w:rsidRDefault="00C9077D">
      <w:pPr>
        <w:widowControl w:val="0"/>
        <w:tabs>
          <w:tab w:val="left" w:pos="567"/>
        </w:tabs>
        <w:rPr>
          <w:iCs/>
          <w:sz w:val="22"/>
          <w:szCs w:val="22"/>
          <w:lang w:eastAsia="en-US"/>
        </w:rPr>
      </w:pPr>
      <w:r w:rsidRPr="00B57AE7">
        <w:rPr>
          <w:sz w:val="22"/>
          <w:szCs w:val="22"/>
          <w:lang w:eastAsia="en-US"/>
        </w:rPr>
        <w:t>Ružová bikonvexná filmom obalená tableta podlhovastého tvaru (približne s dĺžkou 17,7 mm, šírkou 10,0 mm) s ružovo ohraničeným bielym alebo takmer bielo zafarbeným povrchom</w:t>
      </w:r>
      <w:r w:rsidR="00FA5C1C">
        <w:rPr>
          <w:sz w:val="22"/>
          <w:szCs w:val="22"/>
          <w:lang w:eastAsia="en-US"/>
        </w:rPr>
        <w:t xml:space="preserve"> zlomu tablety</w:t>
      </w:r>
      <w:r w:rsidRPr="00B57AE7">
        <w:rPr>
          <w:sz w:val="22"/>
          <w:szCs w:val="22"/>
          <w:lang w:eastAsia="en-US"/>
        </w:rPr>
        <w:t>, s vyrytým „AE3“ na jednej strane a bez akýchkoľvek značiek na druhej strane.</w:t>
      </w:r>
    </w:p>
    <w:p w14:paraId="6F5BFBDD" w14:textId="77777777" w:rsidR="005C5AB1" w:rsidRPr="00B57AE7" w:rsidRDefault="005C5AB1" w:rsidP="00AD6F14">
      <w:pPr>
        <w:widowControl w:val="0"/>
        <w:tabs>
          <w:tab w:val="left" w:pos="567"/>
        </w:tabs>
        <w:rPr>
          <w:sz w:val="22"/>
          <w:szCs w:val="22"/>
          <w:lang w:eastAsia="en-US"/>
        </w:rPr>
      </w:pPr>
    </w:p>
    <w:p w14:paraId="36DA318A" w14:textId="77777777" w:rsidR="005C5AB1" w:rsidRPr="00B57AE7" w:rsidRDefault="005C5AB1" w:rsidP="00AD6F14">
      <w:pPr>
        <w:widowControl w:val="0"/>
        <w:tabs>
          <w:tab w:val="left" w:pos="567"/>
        </w:tabs>
        <w:rPr>
          <w:sz w:val="22"/>
          <w:szCs w:val="22"/>
          <w:lang w:eastAsia="en-US"/>
        </w:rPr>
      </w:pPr>
    </w:p>
    <w:p w14:paraId="6BAB5678" w14:textId="77777777" w:rsidR="005C5AB1" w:rsidRPr="00B57AE7" w:rsidRDefault="00953B48" w:rsidP="00AD6F14">
      <w:pPr>
        <w:widowControl w:val="0"/>
        <w:tabs>
          <w:tab w:val="left" w:pos="567"/>
        </w:tabs>
        <w:rPr>
          <w:caps/>
          <w:sz w:val="22"/>
          <w:szCs w:val="22"/>
          <w:lang w:eastAsia="en-US"/>
        </w:rPr>
      </w:pPr>
      <w:r w:rsidRPr="00B57AE7">
        <w:rPr>
          <w:b/>
          <w:caps/>
          <w:sz w:val="22"/>
          <w:szCs w:val="22"/>
          <w:lang w:eastAsia="en-US"/>
        </w:rPr>
        <w:t>4.</w:t>
      </w:r>
      <w:r w:rsidRPr="00B57AE7">
        <w:rPr>
          <w:b/>
          <w:caps/>
          <w:sz w:val="22"/>
          <w:szCs w:val="22"/>
          <w:lang w:eastAsia="en-US"/>
        </w:rPr>
        <w:tab/>
        <w:t>KLINICKÉ ÚDAJE</w:t>
      </w:r>
    </w:p>
    <w:p w14:paraId="2721238B" w14:textId="77777777" w:rsidR="005C5AB1" w:rsidRPr="00B57AE7" w:rsidRDefault="005C5AB1" w:rsidP="00AD6F14">
      <w:pPr>
        <w:widowControl w:val="0"/>
        <w:tabs>
          <w:tab w:val="left" w:pos="567"/>
        </w:tabs>
        <w:rPr>
          <w:sz w:val="22"/>
          <w:szCs w:val="22"/>
          <w:lang w:eastAsia="en-US"/>
        </w:rPr>
      </w:pPr>
    </w:p>
    <w:p w14:paraId="3D5D5F57" w14:textId="77777777" w:rsidR="005C5AB1" w:rsidRPr="00B57AE7" w:rsidRDefault="005C5AB1" w:rsidP="00AD6F14">
      <w:pPr>
        <w:widowControl w:val="0"/>
        <w:tabs>
          <w:tab w:val="left" w:pos="567"/>
        </w:tabs>
        <w:rPr>
          <w:sz w:val="22"/>
          <w:szCs w:val="22"/>
          <w:lang w:eastAsia="en-US"/>
        </w:rPr>
      </w:pPr>
      <w:r w:rsidRPr="00B57AE7">
        <w:rPr>
          <w:b/>
          <w:sz w:val="22"/>
          <w:szCs w:val="22"/>
          <w:lang w:eastAsia="en-US"/>
        </w:rPr>
        <w:t>4.1</w:t>
      </w:r>
      <w:r w:rsidRPr="00B57AE7">
        <w:rPr>
          <w:b/>
          <w:sz w:val="22"/>
          <w:szCs w:val="22"/>
          <w:lang w:eastAsia="en-US"/>
        </w:rPr>
        <w:tab/>
        <w:t>T</w:t>
      </w:r>
      <w:r w:rsidR="00953B48" w:rsidRPr="00B57AE7">
        <w:rPr>
          <w:b/>
          <w:sz w:val="22"/>
          <w:szCs w:val="22"/>
          <w:lang w:eastAsia="en-US"/>
        </w:rPr>
        <w:t>erapeutické indikácie</w:t>
      </w:r>
    </w:p>
    <w:p w14:paraId="421F7043" w14:textId="77777777" w:rsidR="005C5AB1" w:rsidRPr="00B57AE7" w:rsidRDefault="005C5AB1" w:rsidP="00AD6F14">
      <w:pPr>
        <w:widowControl w:val="0"/>
        <w:tabs>
          <w:tab w:val="left" w:pos="567"/>
        </w:tabs>
        <w:rPr>
          <w:sz w:val="22"/>
          <w:szCs w:val="22"/>
          <w:lang w:eastAsia="en-US"/>
        </w:rPr>
      </w:pPr>
    </w:p>
    <w:p w14:paraId="4B228425" w14:textId="77777777" w:rsidR="00691BD2" w:rsidRPr="00B57AE7" w:rsidRDefault="00691BD2" w:rsidP="00AD6F14">
      <w:pPr>
        <w:widowControl w:val="0"/>
        <w:tabs>
          <w:tab w:val="left" w:pos="567"/>
        </w:tabs>
        <w:rPr>
          <w:sz w:val="22"/>
          <w:szCs w:val="22"/>
        </w:rPr>
      </w:pPr>
      <w:r w:rsidRPr="00B57AE7">
        <w:rPr>
          <w:sz w:val="22"/>
          <w:szCs w:val="22"/>
        </w:rPr>
        <w:t xml:space="preserve">Dospelým pacientom s diabetes mellitus 2. typu: </w:t>
      </w:r>
    </w:p>
    <w:p w14:paraId="06345610" w14:textId="77777777" w:rsidR="00691BD2" w:rsidRPr="00B57AE7" w:rsidRDefault="00691BD2" w:rsidP="00AD6F14">
      <w:pPr>
        <w:widowControl w:val="0"/>
        <w:tabs>
          <w:tab w:val="left" w:pos="567"/>
        </w:tabs>
        <w:rPr>
          <w:sz w:val="22"/>
          <w:szCs w:val="22"/>
        </w:rPr>
      </w:pPr>
    </w:p>
    <w:p w14:paraId="20D65664" w14:textId="77777777" w:rsidR="00691BD2" w:rsidRPr="00B57AE7" w:rsidRDefault="008D6F86" w:rsidP="00AD6F14">
      <w:pPr>
        <w:widowControl w:val="0"/>
        <w:tabs>
          <w:tab w:val="left" w:pos="567"/>
        </w:tabs>
        <w:rPr>
          <w:sz w:val="22"/>
          <w:szCs w:val="22"/>
        </w:rPr>
      </w:pPr>
      <w:r>
        <w:rPr>
          <w:sz w:val="22"/>
          <w:szCs w:val="22"/>
        </w:rPr>
        <w:t>JUZIMETTE</w:t>
      </w:r>
      <w:r w:rsidR="00691BD2" w:rsidRPr="00B57AE7">
        <w:rPr>
          <w:sz w:val="22"/>
          <w:szCs w:val="22"/>
        </w:rPr>
        <w:t xml:space="preserve"> je indikovan</w:t>
      </w:r>
      <w:r>
        <w:rPr>
          <w:sz w:val="22"/>
          <w:szCs w:val="22"/>
        </w:rPr>
        <w:t>ý</w:t>
      </w:r>
      <w:r w:rsidR="00691BD2" w:rsidRPr="00B57AE7">
        <w:rPr>
          <w:sz w:val="22"/>
          <w:szCs w:val="22"/>
        </w:rPr>
        <w:t xml:space="preserve"> ako doplnok k diéte a cvičeniu na zlepšenie kontroly glykémie pacientom nedostatočne kontrolovaným ich maximálnou tolerovanou dávkou samotného metformínu alebo pacientom, ktorí už sú liečení kombináciou sitagliptínu a metformínu. </w:t>
      </w:r>
    </w:p>
    <w:p w14:paraId="59BD051B" w14:textId="77777777" w:rsidR="00691BD2" w:rsidRPr="00B57AE7" w:rsidRDefault="00691BD2" w:rsidP="00AD6F14">
      <w:pPr>
        <w:widowControl w:val="0"/>
        <w:tabs>
          <w:tab w:val="left" w:pos="567"/>
        </w:tabs>
        <w:rPr>
          <w:sz w:val="22"/>
          <w:szCs w:val="22"/>
        </w:rPr>
      </w:pPr>
    </w:p>
    <w:p w14:paraId="4379C14A" w14:textId="77777777" w:rsidR="00691BD2" w:rsidRPr="00B57AE7" w:rsidRDefault="008D6F86" w:rsidP="00AD6F14">
      <w:pPr>
        <w:widowControl w:val="0"/>
        <w:tabs>
          <w:tab w:val="left" w:pos="567"/>
        </w:tabs>
        <w:rPr>
          <w:sz w:val="22"/>
          <w:szCs w:val="22"/>
        </w:rPr>
      </w:pPr>
      <w:r>
        <w:rPr>
          <w:sz w:val="22"/>
          <w:szCs w:val="22"/>
        </w:rPr>
        <w:t>JUZIMETTE</w:t>
      </w:r>
      <w:r w:rsidR="00691BD2" w:rsidRPr="00B57AE7">
        <w:rPr>
          <w:sz w:val="22"/>
          <w:szCs w:val="22"/>
        </w:rPr>
        <w:t xml:space="preserve"> je indikovan</w:t>
      </w:r>
      <w:r>
        <w:rPr>
          <w:sz w:val="22"/>
          <w:szCs w:val="22"/>
        </w:rPr>
        <w:t>ý</w:t>
      </w:r>
      <w:r w:rsidR="00691BD2" w:rsidRPr="00B57AE7">
        <w:rPr>
          <w:sz w:val="22"/>
          <w:szCs w:val="22"/>
        </w:rPr>
        <w:t xml:space="preserve"> v kombinácii s </w:t>
      </w:r>
      <w:r w:rsidR="00FA5C1C">
        <w:rPr>
          <w:sz w:val="22"/>
          <w:szCs w:val="22"/>
        </w:rPr>
        <w:t xml:space="preserve">derivátom </w:t>
      </w:r>
      <w:r w:rsidR="00691BD2" w:rsidRPr="00B57AE7">
        <w:rPr>
          <w:sz w:val="22"/>
          <w:szCs w:val="22"/>
        </w:rPr>
        <w:t>sulfonyl</w:t>
      </w:r>
      <w:r w:rsidR="00FA5C1C">
        <w:rPr>
          <w:sz w:val="22"/>
          <w:szCs w:val="22"/>
        </w:rPr>
        <w:t>močoviny</w:t>
      </w:r>
      <w:r w:rsidR="00691BD2" w:rsidRPr="00B57AE7">
        <w:rPr>
          <w:sz w:val="22"/>
          <w:szCs w:val="22"/>
        </w:rPr>
        <w:t xml:space="preserve"> (t.j. trojkombinačná liečba) ako doplnok k diéte a cvičeniu pacientom nedostatočne kontrolovaným ich maximálnou tolerovanou dávkou metformínu a</w:t>
      </w:r>
      <w:r w:rsidR="00FA5C1C">
        <w:rPr>
          <w:sz w:val="22"/>
          <w:szCs w:val="22"/>
        </w:rPr>
        <w:t xml:space="preserve"> derivátu </w:t>
      </w:r>
      <w:r w:rsidR="00691BD2" w:rsidRPr="00B57AE7">
        <w:rPr>
          <w:sz w:val="22"/>
          <w:szCs w:val="22"/>
        </w:rPr>
        <w:t>sulfonyl</w:t>
      </w:r>
      <w:r w:rsidR="00FA5C1C">
        <w:rPr>
          <w:sz w:val="22"/>
          <w:szCs w:val="22"/>
        </w:rPr>
        <w:t>močoviny</w:t>
      </w:r>
      <w:r w:rsidR="00691BD2" w:rsidRPr="00B57AE7">
        <w:rPr>
          <w:sz w:val="22"/>
          <w:szCs w:val="22"/>
        </w:rPr>
        <w:t xml:space="preserve">. </w:t>
      </w:r>
    </w:p>
    <w:p w14:paraId="30F8FD9D" w14:textId="77777777" w:rsidR="00691BD2" w:rsidRPr="00B57AE7" w:rsidRDefault="00691BD2" w:rsidP="00AD6F14">
      <w:pPr>
        <w:widowControl w:val="0"/>
        <w:tabs>
          <w:tab w:val="left" w:pos="567"/>
        </w:tabs>
        <w:rPr>
          <w:sz w:val="22"/>
          <w:szCs w:val="22"/>
        </w:rPr>
      </w:pPr>
    </w:p>
    <w:p w14:paraId="5B263FAF" w14:textId="77777777" w:rsidR="00691BD2" w:rsidRPr="00B57AE7" w:rsidRDefault="008D6F86" w:rsidP="00AD6F14">
      <w:pPr>
        <w:widowControl w:val="0"/>
        <w:tabs>
          <w:tab w:val="left" w:pos="567"/>
        </w:tabs>
        <w:rPr>
          <w:sz w:val="22"/>
          <w:szCs w:val="22"/>
        </w:rPr>
      </w:pPr>
      <w:r>
        <w:rPr>
          <w:sz w:val="22"/>
          <w:szCs w:val="22"/>
        </w:rPr>
        <w:t>JUZIMETTE</w:t>
      </w:r>
      <w:r w:rsidR="00691BD2" w:rsidRPr="00B57AE7">
        <w:rPr>
          <w:sz w:val="22"/>
          <w:szCs w:val="22"/>
        </w:rPr>
        <w:t xml:space="preserve"> je indikovan</w:t>
      </w:r>
      <w:r>
        <w:rPr>
          <w:sz w:val="22"/>
          <w:szCs w:val="22"/>
        </w:rPr>
        <w:t>ý</w:t>
      </w:r>
      <w:r w:rsidR="00691BD2" w:rsidRPr="00B57AE7">
        <w:rPr>
          <w:sz w:val="22"/>
          <w:szCs w:val="22"/>
        </w:rPr>
        <w:t xml:space="preserve"> ako trojkombinačná liečba s agonistom gama receptora aktivovaného proliferátorom peroxizómu (PPAR</w:t>
      </w:r>
      <w:r w:rsidR="00691BD2" w:rsidRPr="00B57AE7">
        <w:rPr>
          <w:sz w:val="22"/>
          <w:szCs w:val="22"/>
        </w:rPr>
        <w:sym w:font="Symbol" w:char="F067"/>
      </w:r>
      <w:r w:rsidR="00691BD2" w:rsidRPr="00B57AE7">
        <w:rPr>
          <w:sz w:val="22"/>
          <w:szCs w:val="22"/>
        </w:rPr>
        <w:t>) (t.j. tiazolidíndiónom) ako doplnok k diéte a cvičeniu pacientom nedostatočne kontrolovaným ich maximálnou tolerovanou dávkou metformínu a PPAR</w:t>
      </w:r>
      <w:r w:rsidR="00691BD2" w:rsidRPr="00B57AE7">
        <w:rPr>
          <w:sz w:val="22"/>
          <w:szCs w:val="22"/>
        </w:rPr>
        <w:sym w:font="Symbol" w:char="F067"/>
      </w:r>
      <w:r w:rsidR="00691BD2" w:rsidRPr="00B57AE7">
        <w:rPr>
          <w:sz w:val="22"/>
          <w:szCs w:val="22"/>
        </w:rPr>
        <w:t xml:space="preserve"> agonistu. </w:t>
      </w:r>
    </w:p>
    <w:p w14:paraId="6565F9A2" w14:textId="77777777" w:rsidR="00691BD2" w:rsidRPr="00B57AE7" w:rsidRDefault="00691BD2" w:rsidP="00AD6F14">
      <w:pPr>
        <w:widowControl w:val="0"/>
        <w:tabs>
          <w:tab w:val="left" w:pos="567"/>
        </w:tabs>
        <w:rPr>
          <w:sz w:val="22"/>
          <w:szCs w:val="22"/>
        </w:rPr>
      </w:pPr>
    </w:p>
    <w:p w14:paraId="1426AC9F" w14:textId="77777777" w:rsidR="00F934A1" w:rsidRPr="00B57AE7" w:rsidRDefault="008D6F86" w:rsidP="00AD6F14">
      <w:pPr>
        <w:widowControl w:val="0"/>
        <w:tabs>
          <w:tab w:val="left" w:pos="567"/>
        </w:tabs>
        <w:rPr>
          <w:sz w:val="22"/>
          <w:szCs w:val="22"/>
        </w:rPr>
      </w:pPr>
      <w:r>
        <w:rPr>
          <w:sz w:val="22"/>
          <w:szCs w:val="22"/>
        </w:rPr>
        <w:t>JUZIMETTE</w:t>
      </w:r>
      <w:r w:rsidR="00691BD2" w:rsidRPr="00B57AE7">
        <w:rPr>
          <w:sz w:val="22"/>
          <w:szCs w:val="22"/>
        </w:rPr>
        <w:t xml:space="preserve"> je tiež indikovan</w:t>
      </w:r>
      <w:r>
        <w:rPr>
          <w:sz w:val="22"/>
          <w:szCs w:val="22"/>
        </w:rPr>
        <w:t>ý</w:t>
      </w:r>
      <w:r w:rsidR="00691BD2" w:rsidRPr="00B57AE7">
        <w:rPr>
          <w:sz w:val="22"/>
          <w:szCs w:val="22"/>
        </w:rPr>
        <w:t xml:space="preserve"> ako prídavná liečba k inzulínu (t.j. trojkombinačná liečba) ako doplnok k diéte a cvičeniu na zlepšenie kontroly glykémie pacientom, u ktorých stabilná dávka inzulínu a metformínu samotná nezabezpečí dostatočnú kontrolu glykémie.</w:t>
      </w:r>
    </w:p>
    <w:p w14:paraId="2AB91167" w14:textId="77777777" w:rsidR="00F934A1" w:rsidRPr="00B57AE7" w:rsidRDefault="00F934A1" w:rsidP="00AD6F14">
      <w:pPr>
        <w:widowControl w:val="0"/>
        <w:tabs>
          <w:tab w:val="left" w:pos="567"/>
        </w:tabs>
        <w:rPr>
          <w:sz w:val="22"/>
          <w:szCs w:val="22"/>
          <w:lang w:eastAsia="en-US"/>
        </w:rPr>
      </w:pPr>
    </w:p>
    <w:p w14:paraId="18DD5464" w14:textId="77777777" w:rsidR="005C5AB1" w:rsidRPr="00B57AE7" w:rsidRDefault="00906DA6" w:rsidP="00AD6F14">
      <w:pPr>
        <w:widowControl w:val="0"/>
        <w:tabs>
          <w:tab w:val="left" w:pos="567"/>
        </w:tabs>
        <w:rPr>
          <w:b/>
          <w:sz w:val="22"/>
          <w:szCs w:val="22"/>
          <w:lang w:eastAsia="en-US"/>
        </w:rPr>
      </w:pPr>
      <w:r w:rsidRPr="00B57AE7">
        <w:rPr>
          <w:b/>
          <w:sz w:val="22"/>
          <w:szCs w:val="22"/>
          <w:lang w:eastAsia="en-US"/>
        </w:rPr>
        <w:t>4.2</w:t>
      </w:r>
      <w:r w:rsidRPr="00B57AE7">
        <w:rPr>
          <w:b/>
          <w:sz w:val="22"/>
          <w:szCs w:val="22"/>
          <w:lang w:eastAsia="en-US"/>
        </w:rPr>
        <w:tab/>
        <w:t>Dávkovanie a spôsob podávania</w:t>
      </w:r>
    </w:p>
    <w:p w14:paraId="7DFB4E1A" w14:textId="77777777" w:rsidR="005C5AB1" w:rsidRPr="00B57AE7" w:rsidRDefault="005C5AB1" w:rsidP="00AD6F14">
      <w:pPr>
        <w:widowControl w:val="0"/>
        <w:tabs>
          <w:tab w:val="left" w:pos="567"/>
        </w:tabs>
        <w:rPr>
          <w:sz w:val="22"/>
          <w:szCs w:val="22"/>
          <w:lang w:eastAsia="en-US"/>
        </w:rPr>
      </w:pPr>
    </w:p>
    <w:p w14:paraId="2CF02A1E" w14:textId="77777777" w:rsidR="005F52BC" w:rsidRPr="00B57AE7" w:rsidRDefault="005F52BC" w:rsidP="005F52BC">
      <w:pPr>
        <w:spacing w:line="0" w:lineRule="atLeast"/>
        <w:ind w:left="2"/>
        <w:rPr>
          <w:sz w:val="22"/>
          <w:szCs w:val="22"/>
          <w:u w:val="single"/>
        </w:rPr>
      </w:pPr>
      <w:r w:rsidRPr="00B57AE7">
        <w:rPr>
          <w:sz w:val="22"/>
          <w:szCs w:val="22"/>
          <w:u w:val="single"/>
        </w:rPr>
        <w:t>Dávkovanie</w:t>
      </w:r>
    </w:p>
    <w:p w14:paraId="148C7F51" w14:textId="77777777" w:rsidR="005F52BC" w:rsidRPr="00B57AE7" w:rsidRDefault="005F52BC" w:rsidP="005F52BC">
      <w:pPr>
        <w:spacing w:line="30" w:lineRule="exact"/>
        <w:rPr>
          <w:sz w:val="22"/>
          <w:szCs w:val="22"/>
        </w:rPr>
      </w:pPr>
    </w:p>
    <w:p w14:paraId="6CFD05AA" w14:textId="77777777" w:rsidR="00AC1285" w:rsidRPr="00B57AE7" w:rsidRDefault="00AC1285" w:rsidP="004C72E1">
      <w:pPr>
        <w:spacing w:line="250" w:lineRule="auto"/>
        <w:rPr>
          <w:sz w:val="22"/>
          <w:szCs w:val="22"/>
        </w:rPr>
      </w:pPr>
    </w:p>
    <w:p w14:paraId="41CF3049" w14:textId="77777777" w:rsidR="005F52BC" w:rsidRPr="00B57AE7" w:rsidRDefault="005F52BC" w:rsidP="004C72E1">
      <w:pPr>
        <w:spacing w:line="250" w:lineRule="auto"/>
        <w:rPr>
          <w:sz w:val="22"/>
          <w:szCs w:val="22"/>
        </w:rPr>
      </w:pPr>
      <w:r w:rsidRPr="00B57AE7">
        <w:rPr>
          <w:sz w:val="22"/>
          <w:szCs w:val="22"/>
        </w:rPr>
        <w:t>Dávka antihypergl</w:t>
      </w:r>
      <w:r w:rsidR="005F62AE" w:rsidRPr="00B57AE7">
        <w:rPr>
          <w:sz w:val="22"/>
          <w:szCs w:val="22"/>
        </w:rPr>
        <w:t xml:space="preserve">ykemickej liečby </w:t>
      </w:r>
      <w:r w:rsidR="008D6F86">
        <w:rPr>
          <w:sz w:val="22"/>
          <w:szCs w:val="22"/>
        </w:rPr>
        <w:t>s JUZIMETTE</w:t>
      </w:r>
      <w:r w:rsidRPr="00B57AE7">
        <w:rPr>
          <w:sz w:val="22"/>
          <w:szCs w:val="22"/>
        </w:rPr>
        <w:t xml:space="preserve"> má byť individualizovaná na základe súčasného režimu pacienta, účinnosti a znášanlivosti, pričom sa neprekročí maximálna odporúčaná denná dávka 100 mg sitagliptínu.</w:t>
      </w:r>
    </w:p>
    <w:p w14:paraId="447C3F27" w14:textId="77777777" w:rsidR="005F52BC" w:rsidRPr="00B57AE7" w:rsidRDefault="005F52BC" w:rsidP="00AC3448">
      <w:pPr>
        <w:spacing w:line="219" w:lineRule="exact"/>
        <w:rPr>
          <w:sz w:val="22"/>
          <w:szCs w:val="22"/>
        </w:rPr>
      </w:pPr>
    </w:p>
    <w:p w14:paraId="6D8FA4D0" w14:textId="77777777" w:rsidR="005F52BC" w:rsidRPr="00B57AE7" w:rsidRDefault="005F52BC" w:rsidP="00AC3448">
      <w:pPr>
        <w:spacing w:line="0" w:lineRule="atLeast"/>
        <w:rPr>
          <w:i/>
          <w:sz w:val="22"/>
          <w:szCs w:val="22"/>
        </w:rPr>
      </w:pPr>
      <w:r w:rsidRPr="00B57AE7">
        <w:rPr>
          <w:i/>
          <w:sz w:val="22"/>
          <w:szCs w:val="22"/>
        </w:rPr>
        <w:lastRenderedPageBreak/>
        <w:t>Dospelí s normálnou funkciou obličiek (GFR ≥ 90 ml/min)</w:t>
      </w:r>
    </w:p>
    <w:p w14:paraId="3AB2C41C" w14:textId="77777777" w:rsidR="005F52BC" w:rsidRPr="00B57AE7" w:rsidRDefault="005F52BC" w:rsidP="00AC3448">
      <w:pPr>
        <w:spacing w:line="267" w:lineRule="exact"/>
        <w:rPr>
          <w:sz w:val="22"/>
          <w:szCs w:val="22"/>
        </w:rPr>
      </w:pPr>
    </w:p>
    <w:p w14:paraId="771A4C72" w14:textId="77777777" w:rsidR="005C5AB1" w:rsidRPr="00B57AE7" w:rsidRDefault="00AC3448" w:rsidP="00AD6F14">
      <w:pPr>
        <w:widowControl w:val="0"/>
        <w:tabs>
          <w:tab w:val="left" w:pos="567"/>
        </w:tabs>
        <w:rPr>
          <w:sz w:val="22"/>
          <w:szCs w:val="22"/>
        </w:rPr>
      </w:pPr>
      <w:r w:rsidRPr="00B57AE7">
        <w:rPr>
          <w:sz w:val="22"/>
          <w:szCs w:val="22"/>
          <w:u w:val="single"/>
        </w:rPr>
        <w:t>U pacientov nedostatočne kontrolovaných maximálnou tolerovanou dávkou metformínu v monoterapii</w:t>
      </w:r>
      <w:r w:rsidRPr="00B57AE7">
        <w:rPr>
          <w:sz w:val="22"/>
          <w:szCs w:val="22"/>
        </w:rPr>
        <w:t xml:space="preserve"> Pacientom nedostatočne kontrolovaným samotným metformínom má zvyčajná počiatočná dávka zabezpečiť sitagliptín v dávke 50 mg dvakrát denne (celková denná dávka 100 mg) plus dávku metformínu, ktorú už pacient užíva.</w:t>
      </w:r>
    </w:p>
    <w:p w14:paraId="46F3AF4B" w14:textId="77777777" w:rsidR="00AC3448" w:rsidRPr="00B57AE7" w:rsidRDefault="00AC3448" w:rsidP="00AD6F14">
      <w:pPr>
        <w:widowControl w:val="0"/>
        <w:tabs>
          <w:tab w:val="left" w:pos="567"/>
        </w:tabs>
        <w:rPr>
          <w:sz w:val="22"/>
          <w:szCs w:val="22"/>
        </w:rPr>
      </w:pPr>
    </w:p>
    <w:p w14:paraId="0D98B015" w14:textId="77777777" w:rsidR="005F62AE" w:rsidRPr="00B57AE7" w:rsidRDefault="005F62AE" w:rsidP="005F62AE">
      <w:pPr>
        <w:spacing w:line="0" w:lineRule="atLeast"/>
        <w:rPr>
          <w:sz w:val="22"/>
          <w:u w:val="single"/>
        </w:rPr>
      </w:pPr>
      <w:r w:rsidRPr="00B57AE7">
        <w:rPr>
          <w:sz w:val="22"/>
          <w:u w:val="single"/>
        </w:rPr>
        <w:t>U pacientov, ktorí prechádzajú zo súbežného podávania sitagliptínu a metformínu</w:t>
      </w:r>
    </w:p>
    <w:p w14:paraId="35A7D552" w14:textId="77777777" w:rsidR="005F62AE" w:rsidRPr="00B57AE7" w:rsidRDefault="005F62AE" w:rsidP="005F62AE">
      <w:pPr>
        <w:spacing w:line="255" w:lineRule="auto"/>
        <w:ind w:right="460"/>
        <w:rPr>
          <w:sz w:val="22"/>
        </w:rPr>
      </w:pPr>
      <w:r w:rsidRPr="00B57AE7">
        <w:rPr>
          <w:sz w:val="22"/>
        </w:rPr>
        <w:t xml:space="preserve">U pacientov, ktorí prechádzajú zo súbežného podávania sitagliptínu a metformínu, sa má </w:t>
      </w:r>
      <w:r w:rsidR="008D6F86">
        <w:rPr>
          <w:sz w:val="22"/>
        </w:rPr>
        <w:t>JUZIMETTE</w:t>
      </w:r>
      <w:r w:rsidRPr="00B57AE7">
        <w:rPr>
          <w:sz w:val="22"/>
        </w:rPr>
        <w:t xml:space="preserve"> nasadiť v dávke sitagliptínu a metformínu, ktorú už pacienti užívajú.</w:t>
      </w:r>
    </w:p>
    <w:p w14:paraId="02AF6D68" w14:textId="77777777" w:rsidR="005F62AE" w:rsidRPr="00B57AE7" w:rsidRDefault="005F62AE" w:rsidP="00AD6F14">
      <w:pPr>
        <w:widowControl w:val="0"/>
        <w:tabs>
          <w:tab w:val="left" w:pos="567"/>
        </w:tabs>
        <w:rPr>
          <w:sz w:val="22"/>
          <w:szCs w:val="22"/>
          <w:u w:val="single"/>
        </w:rPr>
      </w:pPr>
    </w:p>
    <w:p w14:paraId="1F04CE41" w14:textId="77777777" w:rsidR="005F62AE" w:rsidRPr="00B57AE7" w:rsidRDefault="005F62AE" w:rsidP="005F62AE">
      <w:pPr>
        <w:spacing w:line="257" w:lineRule="auto"/>
        <w:ind w:right="200"/>
        <w:rPr>
          <w:sz w:val="22"/>
          <w:u w:val="single"/>
        </w:rPr>
      </w:pPr>
      <w:r w:rsidRPr="00B57AE7">
        <w:rPr>
          <w:sz w:val="22"/>
          <w:u w:val="single"/>
        </w:rPr>
        <w:t>U pacientov nedostatočne kontrolovaných duálnou kombinovanou liečbou s maximálnou tolerovanou dávkou metformínu a</w:t>
      </w:r>
      <w:r w:rsidR="00FA5C1C">
        <w:rPr>
          <w:sz w:val="22"/>
          <w:u w:val="single"/>
        </w:rPr>
        <w:t xml:space="preserve"> derivátu </w:t>
      </w:r>
      <w:r w:rsidRPr="00B57AE7">
        <w:rPr>
          <w:sz w:val="22"/>
          <w:u w:val="single"/>
        </w:rPr>
        <w:t>sulfonyl</w:t>
      </w:r>
      <w:r w:rsidR="00FA5C1C">
        <w:rPr>
          <w:sz w:val="22"/>
          <w:u w:val="single"/>
        </w:rPr>
        <w:t>močoviny</w:t>
      </w:r>
    </w:p>
    <w:p w14:paraId="1669522F" w14:textId="77777777" w:rsidR="005F62AE" w:rsidRPr="00B57AE7" w:rsidRDefault="005F62AE" w:rsidP="005F62AE">
      <w:pPr>
        <w:spacing w:line="248" w:lineRule="auto"/>
        <w:ind w:right="660"/>
        <w:rPr>
          <w:sz w:val="22"/>
        </w:rPr>
      </w:pPr>
      <w:r w:rsidRPr="00B57AE7">
        <w:rPr>
          <w:sz w:val="22"/>
        </w:rPr>
        <w:t xml:space="preserve">Dávka má zabezpečiť sitagliptín v dávke 50 mg dvakrát denne (celková denná dávka 100 mg) a metformín v dávke podobnej, aká sa užíva doteraz. Keď sa </w:t>
      </w:r>
      <w:r w:rsidR="008D6F86">
        <w:rPr>
          <w:sz w:val="22"/>
        </w:rPr>
        <w:t>JUZIMETTE</w:t>
      </w:r>
      <w:r w:rsidRPr="00B57AE7">
        <w:rPr>
          <w:sz w:val="22"/>
        </w:rPr>
        <w:t xml:space="preserve"> užíva v kombinácii s </w:t>
      </w:r>
      <w:r w:rsidR="00FA5C1C">
        <w:rPr>
          <w:sz w:val="22"/>
        </w:rPr>
        <w:t xml:space="preserve">derivátom </w:t>
      </w:r>
      <w:r w:rsidRPr="00B57AE7">
        <w:rPr>
          <w:sz w:val="22"/>
        </w:rPr>
        <w:t>sulfonyl</w:t>
      </w:r>
      <w:r w:rsidR="00FA5C1C">
        <w:rPr>
          <w:sz w:val="22"/>
        </w:rPr>
        <w:t>močoviny</w:t>
      </w:r>
      <w:r w:rsidRPr="00B57AE7">
        <w:rPr>
          <w:sz w:val="22"/>
        </w:rPr>
        <w:t xml:space="preserve">, môže byť potrebná nižšia dávka </w:t>
      </w:r>
      <w:r w:rsidR="00FA5C1C">
        <w:rPr>
          <w:sz w:val="22"/>
        </w:rPr>
        <w:t xml:space="preserve">derivátu </w:t>
      </w:r>
      <w:r w:rsidRPr="00B57AE7">
        <w:rPr>
          <w:sz w:val="22"/>
        </w:rPr>
        <w:t>sulfonyl</w:t>
      </w:r>
      <w:r w:rsidR="00FA5C1C">
        <w:rPr>
          <w:sz w:val="22"/>
        </w:rPr>
        <w:t>močoviny</w:t>
      </w:r>
      <w:r w:rsidRPr="00B57AE7">
        <w:rPr>
          <w:sz w:val="22"/>
        </w:rPr>
        <w:t>, aby sa znížilo riziko hypoglykémie (pozri časť 4.4).</w:t>
      </w:r>
    </w:p>
    <w:p w14:paraId="618292E3" w14:textId="77777777" w:rsidR="005F62AE" w:rsidRPr="00B57AE7" w:rsidRDefault="005F62AE" w:rsidP="005F62AE">
      <w:pPr>
        <w:spacing w:line="226" w:lineRule="exact"/>
      </w:pPr>
    </w:p>
    <w:p w14:paraId="694A090C" w14:textId="77777777" w:rsidR="005F62AE" w:rsidRPr="00B57AE7" w:rsidRDefault="005F62AE" w:rsidP="005F62AE">
      <w:pPr>
        <w:spacing w:line="255" w:lineRule="auto"/>
        <w:ind w:right="200"/>
        <w:rPr>
          <w:sz w:val="22"/>
          <w:u w:val="single"/>
        </w:rPr>
      </w:pPr>
      <w:r w:rsidRPr="00B57AE7">
        <w:rPr>
          <w:sz w:val="22"/>
          <w:u w:val="single"/>
        </w:rPr>
        <w:t>U pacientov nedostatočne kontrolovaných duálnou kombinovanou liečbou s maximálnou tolerovanou dávkou metformínu a PPAR</w:t>
      </w:r>
      <w:r w:rsidRPr="00B57AE7">
        <w:rPr>
          <w:rFonts w:ascii="Symbol" w:eastAsia="Symbol" w:hAnsi="Symbol"/>
          <w:sz w:val="22"/>
          <w:u w:val="single"/>
        </w:rPr>
        <w:t></w:t>
      </w:r>
      <w:r w:rsidRPr="00B57AE7">
        <w:rPr>
          <w:sz w:val="22"/>
          <w:u w:val="single"/>
        </w:rPr>
        <w:t xml:space="preserve"> agonistu</w:t>
      </w:r>
    </w:p>
    <w:p w14:paraId="5849F17E" w14:textId="77777777" w:rsidR="005F62AE" w:rsidRPr="00B57AE7" w:rsidRDefault="005F62AE" w:rsidP="005F62AE">
      <w:pPr>
        <w:spacing w:line="2" w:lineRule="exact"/>
      </w:pPr>
    </w:p>
    <w:p w14:paraId="27C24A56" w14:textId="77777777" w:rsidR="005F62AE" w:rsidRPr="00B57AE7" w:rsidRDefault="005F62AE" w:rsidP="005F62AE">
      <w:pPr>
        <w:spacing w:line="255" w:lineRule="auto"/>
        <w:ind w:right="920"/>
        <w:rPr>
          <w:sz w:val="22"/>
        </w:rPr>
      </w:pPr>
      <w:r w:rsidRPr="00B57AE7">
        <w:rPr>
          <w:sz w:val="22"/>
        </w:rPr>
        <w:t>Dávka má zabezpečiť sitagliptín v dávke 50 mg dvakrát denne (celková denná dávka 100 mg) a metformín v dávke podobnej, aká sa užíva doteraz.</w:t>
      </w:r>
    </w:p>
    <w:p w14:paraId="63AA9DBB" w14:textId="77777777" w:rsidR="005F62AE" w:rsidRPr="00B57AE7" w:rsidRDefault="005F62AE" w:rsidP="00AD6F14">
      <w:pPr>
        <w:widowControl w:val="0"/>
        <w:tabs>
          <w:tab w:val="left" w:pos="567"/>
        </w:tabs>
        <w:rPr>
          <w:sz w:val="22"/>
          <w:szCs w:val="22"/>
          <w:u w:val="single"/>
        </w:rPr>
      </w:pPr>
    </w:p>
    <w:p w14:paraId="2371FCA1" w14:textId="77777777" w:rsidR="005F62AE" w:rsidRPr="00B57AE7" w:rsidRDefault="00AC3448" w:rsidP="00AD6F14">
      <w:pPr>
        <w:widowControl w:val="0"/>
        <w:tabs>
          <w:tab w:val="left" w:pos="567"/>
        </w:tabs>
        <w:rPr>
          <w:sz w:val="22"/>
          <w:szCs w:val="22"/>
        </w:rPr>
      </w:pPr>
      <w:r w:rsidRPr="00B57AE7">
        <w:rPr>
          <w:sz w:val="22"/>
          <w:szCs w:val="22"/>
          <w:u w:val="single"/>
        </w:rPr>
        <w:t xml:space="preserve">U pacientov nedostatočne kontrolovaných </w:t>
      </w:r>
      <w:r w:rsidR="005F62AE" w:rsidRPr="00B57AE7">
        <w:rPr>
          <w:sz w:val="22"/>
          <w:szCs w:val="22"/>
          <w:u w:val="single"/>
        </w:rPr>
        <w:t xml:space="preserve">duálnou kombinovanou liečbou s inzulínom a </w:t>
      </w:r>
      <w:r w:rsidRPr="00B57AE7">
        <w:rPr>
          <w:sz w:val="22"/>
          <w:szCs w:val="22"/>
          <w:u w:val="single"/>
        </w:rPr>
        <w:t>maximálnou tolerovano</w:t>
      </w:r>
      <w:r w:rsidR="005F62AE" w:rsidRPr="00B57AE7">
        <w:rPr>
          <w:sz w:val="22"/>
          <w:szCs w:val="22"/>
          <w:u w:val="single"/>
        </w:rPr>
        <w:t>u dávkou metformínu</w:t>
      </w:r>
      <w:r w:rsidRPr="00B57AE7">
        <w:rPr>
          <w:sz w:val="22"/>
          <w:szCs w:val="22"/>
        </w:rPr>
        <w:t xml:space="preserve"> </w:t>
      </w:r>
    </w:p>
    <w:p w14:paraId="66F58354" w14:textId="77777777" w:rsidR="00AC1285" w:rsidRPr="00B57AE7" w:rsidRDefault="00AC1285" w:rsidP="00AC1285">
      <w:pPr>
        <w:rPr>
          <w:sz w:val="22"/>
          <w:szCs w:val="22"/>
        </w:rPr>
      </w:pPr>
      <w:r w:rsidRPr="00B57AE7">
        <w:rPr>
          <w:sz w:val="22"/>
          <w:szCs w:val="22"/>
        </w:rPr>
        <w:t xml:space="preserve">Dávka má zabezpečiť sitagliptín v dávke 50 mg dvakrát denne (celková denná dávka 100 mg) a dávku metformínu podobnú dávke, ktorá sa už užívala. Ak sa </w:t>
      </w:r>
      <w:r w:rsidR="008D6F86">
        <w:rPr>
          <w:sz w:val="22"/>
          <w:szCs w:val="22"/>
        </w:rPr>
        <w:t>JUZIMETTE</w:t>
      </w:r>
      <w:r w:rsidRPr="00B57AE7">
        <w:rPr>
          <w:sz w:val="22"/>
          <w:szCs w:val="22"/>
        </w:rPr>
        <w:t xml:space="preserve"> používa v kombinácii s inzulínom, môže byť potrebné znížiť dávku inzulínu, aby sa znížilo riziko hypoglykémie (pozri časť 4.4).</w:t>
      </w:r>
    </w:p>
    <w:p w14:paraId="73BC1B5C" w14:textId="77777777" w:rsidR="00AC3448" w:rsidRPr="00B57AE7" w:rsidRDefault="00AC3448" w:rsidP="00AD6F14">
      <w:pPr>
        <w:widowControl w:val="0"/>
        <w:tabs>
          <w:tab w:val="left" w:pos="567"/>
        </w:tabs>
        <w:rPr>
          <w:sz w:val="22"/>
          <w:szCs w:val="22"/>
        </w:rPr>
      </w:pPr>
    </w:p>
    <w:p w14:paraId="12727D34" w14:textId="77777777" w:rsidR="005F62AE" w:rsidRPr="00B57AE7" w:rsidRDefault="00AC3448" w:rsidP="00AD6F14">
      <w:pPr>
        <w:widowControl w:val="0"/>
        <w:tabs>
          <w:tab w:val="left" w:pos="567"/>
        </w:tabs>
        <w:rPr>
          <w:sz w:val="22"/>
          <w:szCs w:val="22"/>
        </w:rPr>
      </w:pPr>
      <w:r w:rsidRPr="00B57AE7">
        <w:rPr>
          <w:sz w:val="22"/>
          <w:szCs w:val="22"/>
        </w:rPr>
        <w:t>Z dôvodu rôzn</w:t>
      </w:r>
      <w:r w:rsidR="005F62AE" w:rsidRPr="00B57AE7">
        <w:rPr>
          <w:sz w:val="22"/>
          <w:szCs w:val="22"/>
        </w:rPr>
        <w:t xml:space="preserve">ych dávok metformínu sa </w:t>
      </w:r>
      <w:r w:rsidR="008D6F86">
        <w:rPr>
          <w:sz w:val="22"/>
          <w:szCs w:val="22"/>
        </w:rPr>
        <w:t>JUZIMETTE</w:t>
      </w:r>
      <w:r w:rsidR="005F62AE" w:rsidRPr="00B57AE7">
        <w:rPr>
          <w:sz w:val="22"/>
          <w:szCs w:val="22"/>
        </w:rPr>
        <w:t xml:space="preserve"> dodáva v silách</w:t>
      </w:r>
      <w:r w:rsidRPr="00B57AE7">
        <w:rPr>
          <w:sz w:val="22"/>
          <w:szCs w:val="22"/>
        </w:rPr>
        <w:t xml:space="preserve"> 50 mg sitagliptínu a 850 mg metformínium</w:t>
      </w:r>
      <w:r w:rsidR="00934BF1">
        <w:rPr>
          <w:sz w:val="22"/>
          <w:szCs w:val="22"/>
        </w:rPr>
        <w:t>-</w:t>
      </w:r>
      <w:r w:rsidRPr="00B57AE7">
        <w:rPr>
          <w:sz w:val="22"/>
          <w:szCs w:val="22"/>
        </w:rPr>
        <w:t>chloridu alebo 1 000 mg metformínium</w:t>
      </w:r>
      <w:r w:rsidR="00934BF1">
        <w:rPr>
          <w:sz w:val="22"/>
          <w:szCs w:val="22"/>
        </w:rPr>
        <w:t>-</w:t>
      </w:r>
      <w:r w:rsidRPr="00B57AE7">
        <w:rPr>
          <w:sz w:val="22"/>
          <w:szCs w:val="22"/>
        </w:rPr>
        <w:t xml:space="preserve">chloridu. </w:t>
      </w:r>
    </w:p>
    <w:p w14:paraId="4D39F334" w14:textId="77777777" w:rsidR="005F62AE" w:rsidRPr="00B57AE7" w:rsidRDefault="005F62AE" w:rsidP="00AD6F14">
      <w:pPr>
        <w:widowControl w:val="0"/>
        <w:tabs>
          <w:tab w:val="left" w:pos="567"/>
        </w:tabs>
        <w:rPr>
          <w:sz w:val="22"/>
          <w:szCs w:val="22"/>
        </w:rPr>
      </w:pPr>
    </w:p>
    <w:p w14:paraId="4333FE63" w14:textId="77777777" w:rsidR="005F62AE" w:rsidRPr="00B57AE7" w:rsidRDefault="00AC3448" w:rsidP="00AD6F14">
      <w:pPr>
        <w:widowControl w:val="0"/>
        <w:tabs>
          <w:tab w:val="left" w:pos="567"/>
        </w:tabs>
        <w:rPr>
          <w:sz w:val="22"/>
          <w:szCs w:val="22"/>
        </w:rPr>
      </w:pPr>
      <w:r w:rsidRPr="00B57AE7">
        <w:rPr>
          <w:sz w:val="22"/>
          <w:szCs w:val="22"/>
        </w:rPr>
        <w:t>Všetci pacienti majú pokračovať vo svojej odporúčanej diéte s primeraným rozložením príjmu uhľohydrátov počas dňa.</w:t>
      </w:r>
    </w:p>
    <w:p w14:paraId="3CB2F667" w14:textId="77777777" w:rsidR="005F62AE" w:rsidRPr="00B57AE7" w:rsidRDefault="005F62AE" w:rsidP="00AD6F14">
      <w:pPr>
        <w:widowControl w:val="0"/>
        <w:tabs>
          <w:tab w:val="left" w:pos="567"/>
        </w:tabs>
        <w:rPr>
          <w:sz w:val="22"/>
          <w:szCs w:val="22"/>
        </w:rPr>
      </w:pPr>
    </w:p>
    <w:p w14:paraId="38A3B079" w14:textId="77777777" w:rsidR="005F62AE" w:rsidRPr="00B57AE7" w:rsidRDefault="00AC3448" w:rsidP="00AD6F14">
      <w:pPr>
        <w:widowControl w:val="0"/>
        <w:tabs>
          <w:tab w:val="left" w:pos="567"/>
        </w:tabs>
        <w:rPr>
          <w:i/>
          <w:sz w:val="22"/>
          <w:szCs w:val="22"/>
        </w:rPr>
      </w:pPr>
      <w:r w:rsidRPr="00B57AE7">
        <w:rPr>
          <w:i/>
          <w:sz w:val="22"/>
          <w:szCs w:val="22"/>
        </w:rPr>
        <w:t>Osobitné skupiny pacientov</w:t>
      </w:r>
    </w:p>
    <w:p w14:paraId="7AB5F0BD" w14:textId="77777777" w:rsidR="00AC1285" w:rsidRPr="00B57AE7" w:rsidRDefault="00AC1285" w:rsidP="00AD6F14">
      <w:pPr>
        <w:widowControl w:val="0"/>
        <w:tabs>
          <w:tab w:val="left" w:pos="567"/>
        </w:tabs>
        <w:rPr>
          <w:i/>
          <w:sz w:val="22"/>
          <w:szCs w:val="22"/>
        </w:rPr>
      </w:pPr>
    </w:p>
    <w:p w14:paraId="30E17A3F" w14:textId="77777777" w:rsidR="005F62AE" w:rsidRPr="00B57AE7" w:rsidRDefault="00AC3448" w:rsidP="00AD6F14">
      <w:pPr>
        <w:widowControl w:val="0"/>
        <w:tabs>
          <w:tab w:val="left" w:pos="567"/>
        </w:tabs>
        <w:rPr>
          <w:sz w:val="22"/>
          <w:szCs w:val="22"/>
          <w:u w:val="single"/>
        </w:rPr>
      </w:pPr>
      <w:r w:rsidRPr="00B57AE7">
        <w:rPr>
          <w:sz w:val="22"/>
          <w:szCs w:val="22"/>
          <w:u w:val="single"/>
        </w:rPr>
        <w:t>Porucha funkcie obličiek</w:t>
      </w:r>
    </w:p>
    <w:p w14:paraId="551B98D4" w14:textId="77777777" w:rsidR="00AC1285" w:rsidRPr="00B57AE7" w:rsidRDefault="00AC3448" w:rsidP="00AD6F14">
      <w:pPr>
        <w:widowControl w:val="0"/>
        <w:tabs>
          <w:tab w:val="left" w:pos="567"/>
        </w:tabs>
        <w:rPr>
          <w:sz w:val="22"/>
          <w:szCs w:val="22"/>
        </w:rPr>
      </w:pPr>
      <w:r w:rsidRPr="00B57AE7">
        <w:rPr>
          <w:sz w:val="22"/>
          <w:szCs w:val="22"/>
        </w:rPr>
        <w:t xml:space="preserve">U pacientov s miernou poruchou funkcie obličiek (rýchlosť glomerulárnej filtrácie [GFR] ≥ 60 ml/min) nie je potrebná žiadna úprava dávkovania. Pred začatím liečby liekmi obsahujúcimi metformín a minimálne raz ročne po jej začatí je potrebné vyhodnotiť GFR. U pacientov so zvýšeným rizikom ďalšej progresie poruchy funkcie obličiek a u starších osôb je potrebné funkciu obličiek hodnotiť častejšie, napr. každé 3-6 mesiacov. </w:t>
      </w:r>
    </w:p>
    <w:p w14:paraId="1EC2E3F8" w14:textId="77777777" w:rsidR="00AC1285" w:rsidRPr="00B57AE7" w:rsidRDefault="00AC1285" w:rsidP="00AD6F14">
      <w:pPr>
        <w:widowControl w:val="0"/>
        <w:tabs>
          <w:tab w:val="left" w:pos="567"/>
        </w:tabs>
        <w:rPr>
          <w:sz w:val="22"/>
          <w:szCs w:val="22"/>
        </w:rPr>
      </w:pPr>
    </w:p>
    <w:p w14:paraId="35B06A99" w14:textId="77777777" w:rsidR="005F62AE" w:rsidRPr="00B57AE7" w:rsidRDefault="00AC3448" w:rsidP="00AD6F14">
      <w:pPr>
        <w:widowControl w:val="0"/>
        <w:tabs>
          <w:tab w:val="left" w:pos="567"/>
        </w:tabs>
        <w:rPr>
          <w:sz w:val="22"/>
          <w:szCs w:val="22"/>
        </w:rPr>
      </w:pPr>
      <w:r w:rsidRPr="00B57AE7">
        <w:rPr>
          <w:sz w:val="22"/>
          <w:szCs w:val="22"/>
        </w:rPr>
        <w:t xml:space="preserve">Maximálnu dennú dávku metformínu je optimálne potrebné rozdeliť na 2-3 denné dávky. Pred zvážením začiatku liečby metformínom u pacientov s GFR &lt; 60 ml/min je potrebné posúdiť faktory, ktoré by mohli zvyšovať riziko laktátovej acidózy (pozri časť 4.4). </w:t>
      </w:r>
    </w:p>
    <w:p w14:paraId="4BF650B0" w14:textId="77777777" w:rsidR="005F62AE" w:rsidRPr="00B57AE7" w:rsidRDefault="005F62AE" w:rsidP="00AD6F14">
      <w:pPr>
        <w:widowControl w:val="0"/>
        <w:tabs>
          <w:tab w:val="left" w:pos="567"/>
        </w:tabs>
        <w:rPr>
          <w:sz w:val="22"/>
          <w:szCs w:val="22"/>
        </w:rPr>
      </w:pPr>
    </w:p>
    <w:p w14:paraId="4382595D" w14:textId="77777777" w:rsidR="00AC3448" w:rsidRPr="00B57AE7" w:rsidRDefault="00AC3448" w:rsidP="00AD6F14">
      <w:pPr>
        <w:widowControl w:val="0"/>
        <w:tabs>
          <w:tab w:val="left" w:pos="567"/>
        </w:tabs>
        <w:rPr>
          <w:sz w:val="22"/>
          <w:szCs w:val="22"/>
        </w:rPr>
      </w:pPr>
      <w:r w:rsidRPr="00B57AE7">
        <w:rPr>
          <w:sz w:val="22"/>
          <w:szCs w:val="22"/>
        </w:rPr>
        <w:t>Ak nie je dostup</w:t>
      </w:r>
      <w:r w:rsidR="005F62AE" w:rsidRPr="00B57AE7">
        <w:rPr>
          <w:sz w:val="22"/>
          <w:szCs w:val="22"/>
        </w:rPr>
        <w:t xml:space="preserve">ná príslušná sila </w:t>
      </w:r>
      <w:r w:rsidR="008D6F86">
        <w:rPr>
          <w:sz w:val="22"/>
          <w:szCs w:val="22"/>
        </w:rPr>
        <w:t>JUZIMETTE</w:t>
      </w:r>
      <w:r w:rsidRPr="00B57AE7">
        <w:rPr>
          <w:sz w:val="22"/>
          <w:szCs w:val="22"/>
        </w:rPr>
        <w:t xml:space="preserve">, namiesto kombinácie fixnej dávky </w:t>
      </w:r>
      <w:r w:rsidR="00216399" w:rsidRPr="00B57AE7">
        <w:rPr>
          <w:sz w:val="22"/>
          <w:szCs w:val="22"/>
        </w:rPr>
        <w:t xml:space="preserve">môžete </w:t>
      </w:r>
      <w:r w:rsidRPr="00B57AE7">
        <w:rPr>
          <w:sz w:val="22"/>
          <w:szCs w:val="22"/>
        </w:rPr>
        <w:t>použi</w:t>
      </w:r>
      <w:r w:rsidR="00216399" w:rsidRPr="00B57AE7">
        <w:rPr>
          <w:sz w:val="22"/>
          <w:szCs w:val="22"/>
        </w:rPr>
        <w:t>ť</w:t>
      </w:r>
      <w:r w:rsidRPr="00B57AE7">
        <w:rPr>
          <w:sz w:val="22"/>
          <w:szCs w:val="22"/>
        </w:rPr>
        <w:t xml:space="preserve"> jednotlivé monozložky.</w:t>
      </w:r>
    </w:p>
    <w:p w14:paraId="7AAB0E10" w14:textId="77777777" w:rsidR="00AC3448" w:rsidRDefault="00AC3448" w:rsidP="00AD6F14">
      <w:pPr>
        <w:widowControl w:val="0"/>
        <w:tabs>
          <w:tab w:val="left" w:pos="567"/>
        </w:tabs>
        <w:rPr>
          <w:sz w:val="22"/>
          <w:szCs w:val="22"/>
        </w:rPr>
      </w:pPr>
    </w:p>
    <w:p w14:paraId="0F476E62" w14:textId="77777777" w:rsidR="00341CF4" w:rsidRPr="00B57AE7" w:rsidRDefault="00341CF4" w:rsidP="00AD6F14">
      <w:pPr>
        <w:widowControl w:val="0"/>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1"/>
        <w:gridCol w:w="3055"/>
        <w:gridCol w:w="3015"/>
      </w:tblGrid>
      <w:tr w:rsidR="009B0B04" w:rsidRPr="00B57AE7" w14:paraId="0C095D03" w14:textId="77777777" w:rsidTr="009D1BC2">
        <w:tc>
          <w:tcPr>
            <w:tcW w:w="3145" w:type="dxa"/>
            <w:shd w:val="clear" w:color="auto" w:fill="auto"/>
            <w:vAlign w:val="bottom"/>
          </w:tcPr>
          <w:p w14:paraId="42624EBD" w14:textId="77777777" w:rsidR="009B0B04" w:rsidRPr="00B57AE7" w:rsidRDefault="009B0B04" w:rsidP="009D1BC2">
            <w:pPr>
              <w:spacing w:line="245" w:lineRule="exact"/>
              <w:rPr>
                <w:b/>
                <w:w w:val="98"/>
                <w:sz w:val="22"/>
                <w:u w:val="single"/>
              </w:rPr>
            </w:pPr>
            <w:r w:rsidRPr="00B57AE7">
              <w:rPr>
                <w:b/>
                <w:w w:val="98"/>
                <w:sz w:val="22"/>
                <w:u w:val="single"/>
              </w:rPr>
              <w:t>GFR ml/min</w:t>
            </w:r>
          </w:p>
        </w:tc>
        <w:tc>
          <w:tcPr>
            <w:tcW w:w="3145" w:type="dxa"/>
            <w:shd w:val="clear" w:color="auto" w:fill="auto"/>
            <w:vAlign w:val="bottom"/>
          </w:tcPr>
          <w:p w14:paraId="507377C9" w14:textId="77777777" w:rsidR="009B0B04" w:rsidRPr="00B57AE7" w:rsidRDefault="009B0B04" w:rsidP="009D1BC2">
            <w:pPr>
              <w:spacing w:line="0" w:lineRule="atLeast"/>
              <w:rPr>
                <w:sz w:val="21"/>
                <w:u w:val="single"/>
              </w:rPr>
            </w:pPr>
            <w:r w:rsidRPr="00B57AE7">
              <w:rPr>
                <w:b/>
                <w:sz w:val="22"/>
                <w:u w:val="single"/>
              </w:rPr>
              <w:t>Metformín</w:t>
            </w:r>
          </w:p>
        </w:tc>
        <w:tc>
          <w:tcPr>
            <w:tcW w:w="3145" w:type="dxa"/>
            <w:shd w:val="clear" w:color="auto" w:fill="auto"/>
            <w:vAlign w:val="bottom"/>
          </w:tcPr>
          <w:p w14:paraId="78C72CAA" w14:textId="77777777" w:rsidR="009B0B04" w:rsidRPr="00B57AE7" w:rsidRDefault="009B0B04" w:rsidP="009D1BC2">
            <w:pPr>
              <w:spacing w:line="245" w:lineRule="exact"/>
              <w:rPr>
                <w:b/>
                <w:sz w:val="22"/>
                <w:u w:val="single"/>
              </w:rPr>
            </w:pPr>
            <w:r w:rsidRPr="00B57AE7">
              <w:rPr>
                <w:b/>
                <w:sz w:val="22"/>
                <w:u w:val="single"/>
              </w:rPr>
              <w:t>Sitagliptín</w:t>
            </w:r>
          </w:p>
        </w:tc>
      </w:tr>
      <w:tr w:rsidR="009B0B04" w:rsidRPr="00B57AE7" w14:paraId="73A41110" w14:textId="77777777" w:rsidTr="009D1BC2">
        <w:tc>
          <w:tcPr>
            <w:tcW w:w="3145" w:type="dxa"/>
            <w:shd w:val="clear" w:color="auto" w:fill="auto"/>
          </w:tcPr>
          <w:p w14:paraId="5E41FB41" w14:textId="77777777" w:rsidR="009B0B04" w:rsidRPr="00B57AE7" w:rsidRDefault="009B0B04" w:rsidP="009D1BC2">
            <w:pPr>
              <w:widowControl w:val="0"/>
              <w:tabs>
                <w:tab w:val="left" w:pos="567"/>
              </w:tabs>
              <w:rPr>
                <w:sz w:val="22"/>
                <w:szCs w:val="22"/>
              </w:rPr>
            </w:pPr>
            <w:r w:rsidRPr="00B57AE7">
              <w:rPr>
                <w:i/>
                <w:sz w:val="22"/>
              </w:rPr>
              <w:lastRenderedPageBreak/>
              <w:t>60-89</w:t>
            </w:r>
          </w:p>
        </w:tc>
        <w:tc>
          <w:tcPr>
            <w:tcW w:w="3145" w:type="dxa"/>
            <w:shd w:val="clear" w:color="auto" w:fill="auto"/>
            <w:vAlign w:val="bottom"/>
          </w:tcPr>
          <w:p w14:paraId="2450CB2D" w14:textId="77777777" w:rsidR="009B0B04" w:rsidRPr="00B57AE7" w:rsidRDefault="009B0B04" w:rsidP="000657F0">
            <w:pPr>
              <w:spacing w:line="230" w:lineRule="exact"/>
              <w:rPr>
                <w:i/>
                <w:sz w:val="22"/>
              </w:rPr>
            </w:pPr>
            <w:r w:rsidRPr="00B57AE7">
              <w:rPr>
                <w:i/>
                <w:sz w:val="22"/>
              </w:rPr>
              <w:t>Maximálna denná dávka je 3</w:t>
            </w:r>
            <w:r w:rsidR="000657F0" w:rsidRPr="00B57AE7">
              <w:rPr>
                <w:i/>
                <w:sz w:val="22"/>
              </w:rPr>
              <w:t> </w:t>
            </w:r>
            <w:r w:rsidRPr="00B57AE7">
              <w:rPr>
                <w:i/>
                <w:sz w:val="22"/>
              </w:rPr>
              <w:t>000 mg. Je možné zvážiť zníženie dávky vzhľadom na pokles funkcie obličiek.</w:t>
            </w:r>
          </w:p>
        </w:tc>
        <w:tc>
          <w:tcPr>
            <w:tcW w:w="3145" w:type="dxa"/>
            <w:shd w:val="clear" w:color="auto" w:fill="auto"/>
          </w:tcPr>
          <w:p w14:paraId="4A8F39AA" w14:textId="77777777" w:rsidR="009B0B04" w:rsidRPr="00B57AE7" w:rsidRDefault="009B0B04" w:rsidP="009D1BC2">
            <w:pPr>
              <w:widowControl w:val="0"/>
              <w:tabs>
                <w:tab w:val="left" w:pos="567"/>
              </w:tabs>
              <w:rPr>
                <w:i/>
                <w:sz w:val="22"/>
              </w:rPr>
            </w:pPr>
            <w:r w:rsidRPr="00B57AE7">
              <w:rPr>
                <w:i/>
                <w:sz w:val="22"/>
              </w:rPr>
              <w:t>Maximálna denná dávka je 100</w:t>
            </w:r>
            <w:r w:rsidR="00B50A95" w:rsidRPr="00B57AE7">
              <w:rPr>
                <w:i/>
                <w:sz w:val="22"/>
              </w:rPr>
              <w:t> </w:t>
            </w:r>
            <w:r w:rsidRPr="00B57AE7">
              <w:rPr>
                <w:i/>
                <w:sz w:val="22"/>
              </w:rPr>
              <w:t>mg.</w:t>
            </w:r>
          </w:p>
        </w:tc>
      </w:tr>
      <w:tr w:rsidR="009B0B04" w:rsidRPr="00B57AE7" w14:paraId="1B9D3D12" w14:textId="77777777" w:rsidTr="009D1BC2">
        <w:tc>
          <w:tcPr>
            <w:tcW w:w="3145" w:type="dxa"/>
            <w:shd w:val="clear" w:color="auto" w:fill="auto"/>
          </w:tcPr>
          <w:p w14:paraId="782F78A3" w14:textId="77777777" w:rsidR="009B0B04" w:rsidRPr="00B57AE7" w:rsidRDefault="009B0B04" w:rsidP="009D1BC2">
            <w:pPr>
              <w:widowControl w:val="0"/>
              <w:tabs>
                <w:tab w:val="left" w:pos="567"/>
              </w:tabs>
              <w:rPr>
                <w:sz w:val="22"/>
                <w:szCs w:val="22"/>
              </w:rPr>
            </w:pPr>
            <w:r w:rsidRPr="00B57AE7">
              <w:rPr>
                <w:i/>
                <w:sz w:val="22"/>
              </w:rPr>
              <w:t>45-59</w:t>
            </w:r>
          </w:p>
        </w:tc>
        <w:tc>
          <w:tcPr>
            <w:tcW w:w="3145" w:type="dxa"/>
            <w:shd w:val="clear" w:color="auto" w:fill="auto"/>
            <w:vAlign w:val="bottom"/>
          </w:tcPr>
          <w:p w14:paraId="5033FFB9" w14:textId="77777777" w:rsidR="009B0B04" w:rsidRPr="00B57AE7" w:rsidRDefault="009B0B04" w:rsidP="000657F0">
            <w:pPr>
              <w:spacing w:line="0" w:lineRule="atLeast"/>
              <w:rPr>
                <w:i/>
                <w:sz w:val="22"/>
              </w:rPr>
            </w:pPr>
            <w:r w:rsidRPr="00B57AE7">
              <w:rPr>
                <w:i/>
                <w:sz w:val="22"/>
              </w:rPr>
              <w:t>Maximálna denná dávka je 2</w:t>
            </w:r>
            <w:r w:rsidR="000657F0" w:rsidRPr="00B57AE7">
              <w:rPr>
                <w:i/>
                <w:sz w:val="22"/>
              </w:rPr>
              <w:t> </w:t>
            </w:r>
            <w:r w:rsidRPr="00B57AE7">
              <w:rPr>
                <w:i/>
                <w:sz w:val="22"/>
              </w:rPr>
              <w:t>000 mg. Úvodná dávka je nanajvýš polovica z maximálnej dávky.</w:t>
            </w:r>
          </w:p>
        </w:tc>
        <w:tc>
          <w:tcPr>
            <w:tcW w:w="3145" w:type="dxa"/>
            <w:shd w:val="clear" w:color="auto" w:fill="auto"/>
          </w:tcPr>
          <w:p w14:paraId="75E63572" w14:textId="77777777" w:rsidR="009B0B04" w:rsidRPr="00B57AE7" w:rsidRDefault="009B0B04" w:rsidP="009D1BC2">
            <w:pPr>
              <w:widowControl w:val="0"/>
              <w:tabs>
                <w:tab w:val="left" w:pos="567"/>
              </w:tabs>
              <w:rPr>
                <w:i/>
                <w:sz w:val="22"/>
              </w:rPr>
            </w:pPr>
            <w:r w:rsidRPr="00B57AE7">
              <w:rPr>
                <w:i/>
                <w:sz w:val="22"/>
              </w:rPr>
              <w:t>Maximálna denná dávka je 100</w:t>
            </w:r>
            <w:r w:rsidR="00B50A95" w:rsidRPr="00B57AE7">
              <w:rPr>
                <w:i/>
                <w:sz w:val="22"/>
              </w:rPr>
              <w:t> </w:t>
            </w:r>
            <w:r w:rsidRPr="00B57AE7">
              <w:rPr>
                <w:i/>
                <w:sz w:val="22"/>
              </w:rPr>
              <w:t>mg.</w:t>
            </w:r>
          </w:p>
        </w:tc>
      </w:tr>
      <w:tr w:rsidR="009B0B04" w:rsidRPr="00B57AE7" w14:paraId="1EC11716" w14:textId="77777777" w:rsidTr="009D1BC2">
        <w:tc>
          <w:tcPr>
            <w:tcW w:w="3145" w:type="dxa"/>
            <w:shd w:val="clear" w:color="auto" w:fill="auto"/>
          </w:tcPr>
          <w:p w14:paraId="7A3C8951" w14:textId="77777777" w:rsidR="009B0B04" w:rsidRPr="00B57AE7" w:rsidRDefault="009B0B04" w:rsidP="009D1BC2">
            <w:pPr>
              <w:widowControl w:val="0"/>
              <w:tabs>
                <w:tab w:val="left" w:pos="567"/>
              </w:tabs>
              <w:rPr>
                <w:sz w:val="22"/>
                <w:szCs w:val="22"/>
              </w:rPr>
            </w:pPr>
            <w:r w:rsidRPr="00B57AE7">
              <w:rPr>
                <w:i/>
                <w:sz w:val="22"/>
              </w:rPr>
              <w:t>30-44</w:t>
            </w:r>
          </w:p>
        </w:tc>
        <w:tc>
          <w:tcPr>
            <w:tcW w:w="3145" w:type="dxa"/>
            <w:shd w:val="clear" w:color="auto" w:fill="auto"/>
            <w:vAlign w:val="bottom"/>
          </w:tcPr>
          <w:p w14:paraId="7F6CE7F3" w14:textId="77777777" w:rsidR="009B0B04" w:rsidRPr="00B57AE7" w:rsidRDefault="009B0B04" w:rsidP="000657F0">
            <w:pPr>
              <w:spacing w:line="0" w:lineRule="atLeast"/>
              <w:rPr>
                <w:i/>
                <w:sz w:val="22"/>
              </w:rPr>
            </w:pPr>
            <w:r w:rsidRPr="00B57AE7">
              <w:rPr>
                <w:i/>
                <w:sz w:val="22"/>
              </w:rPr>
              <w:t>Maximálna denná dávka je 1</w:t>
            </w:r>
            <w:r w:rsidR="000657F0" w:rsidRPr="00B57AE7">
              <w:rPr>
                <w:i/>
                <w:sz w:val="22"/>
              </w:rPr>
              <w:t> </w:t>
            </w:r>
            <w:r w:rsidRPr="00B57AE7">
              <w:rPr>
                <w:i/>
                <w:sz w:val="22"/>
              </w:rPr>
              <w:t>000 mg. Úvodná dávka je nanajvýš polovica z maximálnej dávky.</w:t>
            </w:r>
          </w:p>
        </w:tc>
        <w:tc>
          <w:tcPr>
            <w:tcW w:w="3145" w:type="dxa"/>
            <w:shd w:val="clear" w:color="auto" w:fill="auto"/>
          </w:tcPr>
          <w:p w14:paraId="100B5B7A" w14:textId="77777777" w:rsidR="009B0B04" w:rsidRPr="00B57AE7" w:rsidRDefault="009B0B04" w:rsidP="000657F0">
            <w:pPr>
              <w:widowControl w:val="0"/>
              <w:tabs>
                <w:tab w:val="left" w:pos="567"/>
              </w:tabs>
              <w:rPr>
                <w:sz w:val="22"/>
                <w:szCs w:val="22"/>
              </w:rPr>
            </w:pPr>
            <w:r w:rsidRPr="00B57AE7">
              <w:rPr>
                <w:i/>
                <w:sz w:val="22"/>
              </w:rPr>
              <w:t>Maximálna denná dávka je 50</w:t>
            </w:r>
            <w:r w:rsidR="000657F0" w:rsidRPr="00B57AE7">
              <w:rPr>
                <w:i/>
                <w:sz w:val="22"/>
              </w:rPr>
              <w:t> </w:t>
            </w:r>
            <w:r w:rsidRPr="00B57AE7">
              <w:rPr>
                <w:i/>
                <w:sz w:val="22"/>
              </w:rPr>
              <w:t>mg.</w:t>
            </w:r>
          </w:p>
        </w:tc>
      </w:tr>
      <w:tr w:rsidR="009B0B04" w:rsidRPr="00B57AE7" w14:paraId="05D30BA2" w14:textId="77777777" w:rsidTr="009D1BC2">
        <w:tc>
          <w:tcPr>
            <w:tcW w:w="3145" w:type="dxa"/>
            <w:shd w:val="clear" w:color="auto" w:fill="auto"/>
          </w:tcPr>
          <w:p w14:paraId="709F7092" w14:textId="77777777" w:rsidR="009B0B04" w:rsidRPr="00B57AE7" w:rsidRDefault="009B0B04" w:rsidP="009D1BC2">
            <w:pPr>
              <w:widowControl w:val="0"/>
              <w:tabs>
                <w:tab w:val="left" w:pos="567"/>
              </w:tabs>
              <w:rPr>
                <w:sz w:val="22"/>
                <w:szCs w:val="22"/>
              </w:rPr>
            </w:pPr>
            <w:r w:rsidRPr="00B57AE7">
              <w:rPr>
                <w:i/>
                <w:sz w:val="22"/>
              </w:rPr>
              <w:t>&lt; 30</w:t>
            </w:r>
          </w:p>
        </w:tc>
        <w:tc>
          <w:tcPr>
            <w:tcW w:w="3145" w:type="dxa"/>
            <w:shd w:val="clear" w:color="auto" w:fill="auto"/>
          </w:tcPr>
          <w:p w14:paraId="2FAE791E" w14:textId="77777777" w:rsidR="009B0B04" w:rsidRPr="00B57AE7" w:rsidRDefault="009B0B04" w:rsidP="009D1BC2">
            <w:pPr>
              <w:widowControl w:val="0"/>
              <w:tabs>
                <w:tab w:val="left" w:pos="567"/>
              </w:tabs>
              <w:rPr>
                <w:sz w:val="22"/>
                <w:szCs w:val="22"/>
              </w:rPr>
            </w:pPr>
            <w:r w:rsidRPr="00B57AE7">
              <w:rPr>
                <w:i/>
                <w:sz w:val="22"/>
              </w:rPr>
              <w:t>Metformín je kontraindikovaný.</w:t>
            </w:r>
          </w:p>
        </w:tc>
        <w:tc>
          <w:tcPr>
            <w:tcW w:w="3145" w:type="dxa"/>
            <w:shd w:val="clear" w:color="auto" w:fill="auto"/>
          </w:tcPr>
          <w:p w14:paraId="536932EA" w14:textId="77777777" w:rsidR="009B0B04" w:rsidRPr="00B57AE7" w:rsidRDefault="009B0B04" w:rsidP="000657F0">
            <w:pPr>
              <w:widowControl w:val="0"/>
              <w:tabs>
                <w:tab w:val="left" w:pos="567"/>
              </w:tabs>
              <w:rPr>
                <w:sz w:val="22"/>
                <w:szCs w:val="22"/>
              </w:rPr>
            </w:pPr>
            <w:r w:rsidRPr="00B57AE7">
              <w:rPr>
                <w:i/>
                <w:sz w:val="22"/>
              </w:rPr>
              <w:t>Maximálna denná dávka je 25</w:t>
            </w:r>
            <w:r w:rsidR="000657F0" w:rsidRPr="00B57AE7">
              <w:rPr>
                <w:i/>
                <w:sz w:val="22"/>
              </w:rPr>
              <w:t> </w:t>
            </w:r>
            <w:r w:rsidRPr="00B57AE7">
              <w:rPr>
                <w:i/>
                <w:sz w:val="22"/>
              </w:rPr>
              <w:t>mg.</w:t>
            </w:r>
          </w:p>
        </w:tc>
      </w:tr>
    </w:tbl>
    <w:p w14:paraId="0C720A6A" w14:textId="77777777" w:rsidR="005F62AE" w:rsidRPr="00B57AE7" w:rsidRDefault="005F62AE" w:rsidP="00AD6F14">
      <w:pPr>
        <w:widowControl w:val="0"/>
        <w:tabs>
          <w:tab w:val="left" w:pos="567"/>
        </w:tabs>
        <w:rPr>
          <w:sz w:val="22"/>
          <w:szCs w:val="22"/>
        </w:rPr>
      </w:pPr>
    </w:p>
    <w:p w14:paraId="0E063FB4" w14:textId="77777777" w:rsidR="009B0B04" w:rsidRPr="00B57AE7" w:rsidRDefault="00AC3448" w:rsidP="00AD6F14">
      <w:pPr>
        <w:widowControl w:val="0"/>
        <w:tabs>
          <w:tab w:val="left" w:pos="567"/>
        </w:tabs>
        <w:rPr>
          <w:sz w:val="22"/>
          <w:szCs w:val="22"/>
          <w:u w:val="single"/>
        </w:rPr>
      </w:pPr>
      <w:r w:rsidRPr="00B57AE7">
        <w:rPr>
          <w:sz w:val="22"/>
          <w:szCs w:val="22"/>
          <w:u w:val="single"/>
        </w:rPr>
        <w:t xml:space="preserve">Porucha funkcie pečene </w:t>
      </w:r>
    </w:p>
    <w:p w14:paraId="20C6A2E6" w14:textId="77777777" w:rsidR="009B0B04" w:rsidRPr="00B57AE7" w:rsidRDefault="008D6F86" w:rsidP="009B0B04">
      <w:pPr>
        <w:widowControl w:val="0"/>
        <w:tabs>
          <w:tab w:val="left" w:pos="567"/>
        </w:tabs>
        <w:rPr>
          <w:sz w:val="22"/>
          <w:szCs w:val="22"/>
        </w:rPr>
      </w:pPr>
      <w:r>
        <w:rPr>
          <w:sz w:val="22"/>
          <w:szCs w:val="22"/>
        </w:rPr>
        <w:t>JUZIMETTE</w:t>
      </w:r>
      <w:r w:rsidR="00AC3448" w:rsidRPr="00B57AE7">
        <w:rPr>
          <w:sz w:val="22"/>
          <w:szCs w:val="22"/>
        </w:rPr>
        <w:t xml:space="preserve"> sa nesmie používať u pacientov s poruchou funkcie pečene (pozri časť 5.2).</w:t>
      </w:r>
    </w:p>
    <w:p w14:paraId="7F642878" w14:textId="77777777" w:rsidR="009B0B04" w:rsidRPr="00B57AE7" w:rsidRDefault="009B0B04" w:rsidP="009B0B04">
      <w:pPr>
        <w:widowControl w:val="0"/>
        <w:tabs>
          <w:tab w:val="left" w:pos="567"/>
        </w:tabs>
        <w:rPr>
          <w:sz w:val="22"/>
          <w:szCs w:val="22"/>
        </w:rPr>
      </w:pPr>
    </w:p>
    <w:p w14:paraId="40717868" w14:textId="77777777" w:rsidR="009B0B04" w:rsidRPr="00B57AE7" w:rsidRDefault="00AC3448" w:rsidP="009B0B04">
      <w:pPr>
        <w:widowControl w:val="0"/>
        <w:tabs>
          <w:tab w:val="left" w:pos="567"/>
        </w:tabs>
        <w:rPr>
          <w:sz w:val="22"/>
          <w:szCs w:val="22"/>
          <w:u w:val="single"/>
        </w:rPr>
      </w:pPr>
      <w:r w:rsidRPr="00B57AE7">
        <w:rPr>
          <w:sz w:val="22"/>
          <w:szCs w:val="22"/>
          <w:u w:val="single"/>
        </w:rPr>
        <w:t xml:space="preserve">Starší pacienti </w:t>
      </w:r>
    </w:p>
    <w:p w14:paraId="5C250E83" w14:textId="77777777" w:rsidR="009B0B04" w:rsidRPr="00B57AE7" w:rsidRDefault="00AC3448" w:rsidP="009B0B04">
      <w:pPr>
        <w:widowControl w:val="0"/>
        <w:tabs>
          <w:tab w:val="left" w:pos="567"/>
        </w:tabs>
        <w:rPr>
          <w:sz w:val="22"/>
          <w:szCs w:val="22"/>
        </w:rPr>
      </w:pPr>
      <w:r w:rsidRPr="00B57AE7">
        <w:rPr>
          <w:sz w:val="22"/>
          <w:szCs w:val="22"/>
        </w:rPr>
        <w:t>Vzhľadom na to, že metformín a sitagliptín</w:t>
      </w:r>
      <w:r w:rsidR="009B0B04" w:rsidRPr="00B57AE7">
        <w:rPr>
          <w:sz w:val="22"/>
          <w:szCs w:val="22"/>
        </w:rPr>
        <w:t xml:space="preserve"> sa vylučujú obličkami, </w:t>
      </w:r>
      <w:r w:rsidR="008D6F86">
        <w:rPr>
          <w:sz w:val="22"/>
          <w:szCs w:val="22"/>
        </w:rPr>
        <w:t>JUZIMETTE</w:t>
      </w:r>
      <w:r w:rsidRPr="00B57AE7">
        <w:rPr>
          <w:sz w:val="22"/>
          <w:szCs w:val="22"/>
        </w:rPr>
        <w:t xml:space="preserve"> sa má so stúpajúcim vekom používať s opatrnosťou. Monitorovanie funkcie obličiek je potrebné na to, aby napomohlo zabrániť laktátovej acidóze spojenej s metformínom, obzvlášť u starších pacientov (pozri časti 4.3 a</w:t>
      </w:r>
      <w:r w:rsidR="00B50A95" w:rsidRPr="00B57AE7">
        <w:rPr>
          <w:sz w:val="22"/>
          <w:szCs w:val="22"/>
        </w:rPr>
        <w:t> </w:t>
      </w:r>
      <w:r w:rsidRPr="00B57AE7">
        <w:rPr>
          <w:sz w:val="22"/>
          <w:szCs w:val="22"/>
        </w:rPr>
        <w:t xml:space="preserve">4.4). </w:t>
      </w:r>
    </w:p>
    <w:p w14:paraId="14AAA48A" w14:textId="77777777" w:rsidR="009B0B04" w:rsidRPr="00B57AE7" w:rsidRDefault="009B0B04" w:rsidP="009B0B04">
      <w:pPr>
        <w:widowControl w:val="0"/>
        <w:tabs>
          <w:tab w:val="left" w:pos="567"/>
        </w:tabs>
        <w:rPr>
          <w:sz w:val="22"/>
          <w:szCs w:val="22"/>
        </w:rPr>
      </w:pPr>
    </w:p>
    <w:p w14:paraId="7176F9A7" w14:textId="77777777" w:rsidR="009B0B04" w:rsidRPr="00B57AE7" w:rsidRDefault="00AC3448" w:rsidP="009B0B04">
      <w:pPr>
        <w:widowControl w:val="0"/>
        <w:tabs>
          <w:tab w:val="left" w:pos="567"/>
        </w:tabs>
        <w:rPr>
          <w:i/>
          <w:sz w:val="22"/>
          <w:szCs w:val="22"/>
        </w:rPr>
      </w:pPr>
      <w:r w:rsidRPr="00B57AE7">
        <w:rPr>
          <w:i/>
          <w:sz w:val="22"/>
          <w:szCs w:val="22"/>
        </w:rPr>
        <w:t xml:space="preserve">Pediatrická populácia </w:t>
      </w:r>
    </w:p>
    <w:p w14:paraId="7C546C5B" w14:textId="77777777" w:rsidR="00216399" w:rsidRPr="00B57AE7" w:rsidRDefault="00216399" w:rsidP="009B0B04">
      <w:pPr>
        <w:widowControl w:val="0"/>
        <w:tabs>
          <w:tab w:val="left" w:pos="567"/>
        </w:tabs>
        <w:rPr>
          <w:sz w:val="22"/>
          <w:szCs w:val="22"/>
        </w:rPr>
      </w:pPr>
    </w:p>
    <w:p w14:paraId="4DCDE674" w14:textId="77777777" w:rsidR="00216399" w:rsidRPr="00B57AE7" w:rsidRDefault="00216399" w:rsidP="00216399">
      <w:pPr>
        <w:rPr>
          <w:sz w:val="22"/>
          <w:szCs w:val="22"/>
        </w:rPr>
      </w:pPr>
      <w:r w:rsidRPr="00B57AE7">
        <w:rPr>
          <w:sz w:val="22"/>
          <w:szCs w:val="22"/>
        </w:rPr>
        <w:t>Kombinácia sitagliptínu a metformínu sa nemá používať u detí a dospievajúcich vo veku 10 až 17 rokov z dôvodu nedostatočnej účinnosti. V súčasnosti dostupné údaje sú opísané v častiach 4.8, 5.1 a 5.2. Kombinácia sitagliptínu a metformínu sa neskúmala u pediatrických pacientov mladších ako 10 rokov.</w:t>
      </w:r>
    </w:p>
    <w:p w14:paraId="6F0ED2AB" w14:textId="77777777" w:rsidR="009B0B04" w:rsidRPr="00B57AE7" w:rsidRDefault="009B0B04" w:rsidP="009B0B04">
      <w:pPr>
        <w:widowControl w:val="0"/>
        <w:tabs>
          <w:tab w:val="left" w:pos="567"/>
        </w:tabs>
        <w:rPr>
          <w:sz w:val="22"/>
          <w:szCs w:val="22"/>
        </w:rPr>
      </w:pPr>
    </w:p>
    <w:p w14:paraId="26B4E4DB" w14:textId="77777777" w:rsidR="009B0B04" w:rsidRPr="00B57AE7" w:rsidRDefault="00AC3448" w:rsidP="009B0B04">
      <w:pPr>
        <w:widowControl w:val="0"/>
        <w:tabs>
          <w:tab w:val="left" w:pos="567"/>
        </w:tabs>
        <w:rPr>
          <w:sz w:val="22"/>
          <w:szCs w:val="22"/>
          <w:u w:val="single"/>
        </w:rPr>
      </w:pPr>
      <w:r w:rsidRPr="00B57AE7">
        <w:rPr>
          <w:sz w:val="22"/>
          <w:szCs w:val="22"/>
          <w:u w:val="single"/>
        </w:rPr>
        <w:t xml:space="preserve">Spôsob podávania </w:t>
      </w:r>
    </w:p>
    <w:p w14:paraId="04BC6D6B" w14:textId="77777777" w:rsidR="00216399" w:rsidRPr="00B57AE7" w:rsidRDefault="00216399" w:rsidP="009B0B04">
      <w:pPr>
        <w:widowControl w:val="0"/>
        <w:tabs>
          <w:tab w:val="left" w:pos="567"/>
        </w:tabs>
        <w:rPr>
          <w:sz w:val="22"/>
          <w:szCs w:val="22"/>
        </w:rPr>
      </w:pPr>
    </w:p>
    <w:p w14:paraId="4BBE5CC4" w14:textId="77777777" w:rsidR="00AC3448" w:rsidRPr="00B57AE7" w:rsidRDefault="008D6F86" w:rsidP="009B0B04">
      <w:pPr>
        <w:widowControl w:val="0"/>
        <w:tabs>
          <w:tab w:val="left" w:pos="567"/>
        </w:tabs>
        <w:rPr>
          <w:sz w:val="22"/>
          <w:szCs w:val="22"/>
        </w:rPr>
      </w:pPr>
      <w:r>
        <w:rPr>
          <w:sz w:val="22"/>
          <w:szCs w:val="22"/>
        </w:rPr>
        <w:t>JUZIMETTE</w:t>
      </w:r>
      <w:r w:rsidR="00AC3448" w:rsidRPr="00B57AE7">
        <w:rPr>
          <w:sz w:val="22"/>
          <w:szCs w:val="22"/>
        </w:rPr>
        <w:t xml:space="preserve"> sa má podávať dvakrát denne s jedlom, aby sa obmedzili gastrointestinálne nežiaduce reakcie spojené s metformínom.</w:t>
      </w:r>
    </w:p>
    <w:p w14:paraId="60F99C33" w14:textId="77777777" w:rsidR="00AC3448" w:rsidRPr="00B57AE7" w:rsidRDefault="00AC3448" w:rsidP="00AD6F14">
      <w:pPr>
        <w:widowControl w:val="0"/>
        <w:tabs>
          <w:tab w:val="left" w:pos="567"/>
        </w:tabs>
        <w:rPr>
          <w:sz w:val="22"/>
          <w:szCs w:val="22"/>
          <w:lang w:eastAsia="en-US"/>
        </w:rPr>
      </w:pPr>
    </w:p>
    <w:p w14:paraId="62EA37ED" w14:textId="77777777" w:rsidR="005C5AB1" w:rsidRPr="00B57AE7" w:rsidRDefault="003F5167" w:rsidP="00AD6F14">
      <w:pPr>
        <w:widowControl w:val="0"/>
        <w:tabs>
          <w:tab w:val="left" w:pos="567"/>
        </w:tabs>
        <w:rPr>
          <w:sz w:val="22"/>
          <w:szCs w:val="22"/>
          <w:lang w:eastAsia="en-US"/>
        </w:rPr>
      </w:pPr>
      <w:r w:rsidRPr="00B57AE7">
        <w:rPr>
          <w:b/>
          <w:sz w:val="22"/>
          <w:szCs w:val="22"/>
          <w:lang w:eastAsia="en-US"/>
        </w:rPr>
        <w:t>4.3</w:t>
      </w:r>
      <w:r w:rsidRPr="00B57AE7">
        <w:rPr>
          <w:b/>
          <w:sz w:val="22"/>
          <w:szCs w:val="22"/>
          <w:lang w:eastAsia="en-US"/>
        </w:rPr>
        <w:tab/>
        <w:t>Kontraindikácie</w:t>
      </w:r>
    </w:p>
    <w:p w14:paraId="4E707269" w14:textId="77777777" w:rsidR="005C5AB1" w:rsidRPr="00B57AE7" w:rsidRDefault="005C5AB1" w:rsidP="00AD6F14">
      <w:pPr>
        <w:widowControl w:val="0"/>
        <w:tabs>
          <w:tab w:val="left" w:pos="567"/>
        </w:tabs>
        <w:rPr>
          <w:sz w:val="22"/>
          <w:szCs w:val="22"/>
          <w:lang w:eastAsia="en-US"/>
        </w:rPr>
      </w:pPr>
    </w:p>
    <w:p w14:paraId="4AE214E3" w14:textId="77777777" w:rsidR="009B0B04" w:rsidRPr="00B57AE7" w:rsidRDefault="008D6F86" w:rsidP="00AD6F14">
      <w:pPr>
        <w:widowControl w:val="0"/>
        <w:tabs>
          <w:tab w:val="left" w:pos="567"/>
        </w:tabs>
        <w:rPr>
          <w:sz w:val="22"/>
          <w:szCs w:val="22"/>
        </w:rPr>
      </w:pPr>
      <w:r>
        <w:rPr>
          <w:sz w:val="22"/>
          <w:szCs w:val="22"/>
        </w:rPr>
        <w:t>JUZIMETTE</w:t>
      </w:r>
      <w:r w:rsidR="00EA0C68" w:rsidRPr="00B57AE7">
        <w:rPr>
          <w:sz w:val="22"/>
          <w:szCs w:val="22"/>
        </w:rPr>
        <w:t xml:space="preserve"> je kontraindikovan</w:t>
      </w:r>
      <w:r w:rsidR="00934BF1">
        <w:rPr>
          <w:sz w:val="22"/>
          <w:szCs w:val="22"/>
        </w:rPr>
        <w:t>ý</w:t>
      </w:r>
      <w:r w:rsidR="00EA0C68" w:rsidRPr="00B57AE7">
        <w:rPr>
          <w:sz w:val="22"/>
          <w:szCs w:val="22"/>
        </w:rPr>
        <w:t xml:space="preserve"> u pacientov s: </w:t>
      </w:r>
    </w:p>
    <w:p w14:paraId="5E483423" w14:textId="77777777" w:rsidR="009B0B04" w:rsidRPr="00B57AE7" w:rsidRDefault="009B0B04" w:rsidP="009B0B04">
      <w:pPr>
        <w:widowControl w:val="0"/>
        <w:tabs>
          <w:tab w:val="left" w:pos="567"/>
        </w:tabs>
        <w:ind w:left="565" w:hanging="565"/>
        <w:rPr>
          <w:sz w:val="22"/>
          <w:szCs w:val="22"/>
        </w:rPr>
      </w:pPr>
      <w:r w:rsidRPr="00B57AE7">
        <w:rPr>
          <w:sz w:val="22"/>
          <w:szCs w:val="22"/>
        </w:rPr>
        <w:t>-</w:t>
      </w:r>
      <w:r w:rsidRPr="00B57AE7">
        <w:rPr>
          <w:sz w:val="22"/>
          <w:szCs w:val="22"/>
        </w:rPr>
        <w:tab/>
      </w:r>
      <w:r w:rsidR="00EA0C68" w:rsidRPr="00B57AE7">
        <w:rPr>
          <w:sz w:val="22"/>
          <w:szCs w:val="22"/>
        </w:rPr>
        <w:t xml:space="preserve">precitlivenosťou na liečivá alebo na ktorúkoľvek z pomocných látok uvedených v časti 6.1 (pozri </w:t>
      </w:r>
      <w:r w:rsidRPr="00B57AE7">
        <w:rPr>
          <w:sz w:val="22"/>
          <w:szCs w:val="22"/>
        </w:rPr>
        <w:t xml:space="preserve">časti 4.4 a 4.8); </w:t>
      </w:r>
    </w:p>
    <w:p w14:paraId="1304FD3B" w14:textId="77777777" w:rsidR="009B0B04" w:rsidRPr="00B57AE7" w:rsidRDefault="009B0B04" w:rsidP="009B0B04">
      <w:pPr>
        <w:widowControl w:val="0"/>
        <w:tabs>
          <w:tab w:val="left" w:pos="567"/>
        </w:tabs>
        <w:ind w:left="565" w:hanging="565"/>
        <w:rPr>
          <w:sz w:val="22"/>
          <w:szCs w:val="22"/>
        </w:rPr>
      </w:pPr>
      <w:r w:rsidRPr="00B57AE7">
        <w:rPr>
          <w:sz w:val="22"/>
          <w:szCs w:val="22"/>
        </w:rPr>
        <w:t>-</w:t>
      </w:r>
      <w:r w:rsidRPr="00B57AE7">
        <w:rPr>
          <w:sz w:val="22"/>
          <w:szCs w:val="22"/>
        </w:rPr>
        <w:tab/>
      </w:r>
      <w:r w:rsidR="00EA0C68" w:rsidRPr="00B57AE7">
        <w:rPr>
          <w:sz w:val="22"/>
          <w:szCs w:val="22"/>
        </w:rPr>
        <w:t>akýmkoľvek typom akútnej metabolickej acidózy (ako napríklad laktátová acid</w:t>
      </w:r>
      <w:r w:rsidRPr="00B57AE7">
        <w:rPr>
          <w:sz w:val="22"/>
          <w:szCs w:val="22"/>
        </w:rPr>
        <w:t xml:space="preserve">óza, diabetická ketoacidóza); </w:t>
      </w:r>
    </w:p>
    <w:p w14:paraId="41738418" w14:textId="77777777" w:rsidR="009B0B04" w:rsidRPr="00B57AE7" w:rsidRDefault="009B0B04" w:rsidP="009B0B04">
      <w:pPr>
        <w:widowControl w:val="0"/>
        <w:tabs>
          <w:tab w:val="left" w:pos="567"/>
        </w:tabs>
        <w:ind w:left="565" w:hanging="565"/>
        <w:rPr>
          <w:sz w:val="22"/>
          <w:szCs w:val="22"/>
        </w:rPr>
      </w:pPr>
      <w:r w:rsidRPr="00B57AE7">
        <w:rPr>
          <w:sz w:val="22"/>
          <w:szCs w:val="22"/>
        </w:rPr>
        <w:t>-</w:t>
      </w:r>
      <w:r w:rsidRPr="00B57AE7">
        <w:rPr>
          <w:sz w:val="22"/>
          <w:szCs w:val="22"/>
        </w:rPr>
        <w:tab/>
        <w:t xml:space="preserve">diabetickou prekómou; </w:t>
      </w:r>
    </w:p>
    <w:p w14:paraId="079F6763" w14:textId="79367A68" w:rsidR="009B0B04" w:rsidRPr="00B57AE7" w:rsidRDefault="009B0B04" w:rsidP="009B0B04">
      <w:pPr>
        <w:widowControl w:val="0"/>
        <w:tabs>
          <w:tab w:val="left" w:pos="567"/>
        </w:tabs>
        <w:ind w:left="565" w:hanging="565"/>
        <w:rPr>
          <w:sz w:val="22"/>
          <w:szCs w:val="22"/>
        </w:rPr>
      </w:pPr>
      <w:r w:rsidRPr="00B57AE7">
        <w:rPr>
          <w:sz w:val="22"/>
          <w:szCs w:val="22"/>
        </w:rPr>
        <w:t>-</w:t>
      </w:r>
      <w:r w:rsidRPr="00B57AE7">
        <w:rPr>
          <w:sz w:val="22"/>
          <w:szCs w:val="22"/>
        </w:rPr>
        <w:tab/>
      </w:r>
      <w:r w:rsidR="00EA0C68" w:rsidRPr="00B57AE7">
        <w:rPr>
          <w:sz w:val="22"/>
          <w:szCs w:val="22"/>
        </w:rPr>
        <w:t>závažn</w:t>
      </w:r>
      <w:r w:rsidR="002100FF">
        <w:rPr>
          <w:sz w:val="22"/>
          <w:szCs w:val="22"/>
        </w:rPr>
        <w:t>ou</w:t>
      </w:r>
      <w:r w:rsidR="00DA3CDE">
        <w:rPr>
          <w:sz w:val="22"/>
          <w:szCs w:val="22"/>
        </w:rPr>
        <w:t xml:space="preserve"> </w:t>
      </w:r>
      <w:r w:rsidR="002100FF">
        <w:rPr>
          <w:sz w:val="22"/>
          <w:szCs w:val="22"/>
        </w:rPr>
        <w:t>poruchou</w:t>
      </w:r>
      <w:r w:rsidR="00EA0C68" w:rsidRPr="00B57AE7">
        <w:rPr>
          <w:sz w:val="22"/>
          <w:szCs w:val="22"/>
        </w:rPr>
        <w:t xml:space="preserve"> obličiek (GFR </w:t>
      </w:r>
      <w:r w:rsidRPr="00B57AE7">
        <w:rPr>
          <w:sz w:val="22"/>
          <w:szCs w:val="22"/>
        </w:rPr>
        <w:t>&lt; 30 ml/min) (pozri časť 4.4);</w:t>
      </w:r>
    </w:p>
    <w:p w14:paraId="094DEC34" w14:textId="77777777" w:rsidR="001135F7" w:rsidRPr="00B57AE7" w:rsidRDefault="009B0B04" w:rsidP="009B0B04">
      <w:pPr>
        <w:widowControl w:val="0"/>
        <w:tabs>
          <w:tab w:val="left" w:pos="567"/>
        </w:tabs>
        <w:ind w:left="565" w:hanging="565"/>
        <w:rPr>
          <w:sz w:val="22"/>
          <w:szCs w:val="22"/>
        </w:rPr>
      </w:pPr>
      <w:r w:rsidRPr="00B57AE7">
        <w:rPr>
          <w:sz w:val="22"/>
          <w:szCs w:val="22"/>
        </w:rPr>
        <w:t>-</w:t>
      </w:r>
      <w:r w:rsidRPr="00B57AE7">
        <w:rPr>
          <w:sz w:val="22"/>
          <w:szCs w:val="22"/>
        </w:rPr>
        <w:tab/>
      </w:r>
      <w:r w:rsidR="00EA0C68" w:rsidRPr="00B57AE7">
        <w:rPr>
          <w:sz w:val="22"/>
          <w:szCs w:val="22"/>
        </w:rPr>
        <w:t>akútnymi stavmi, ktoré môžu zme</w:t>
      </w:r>
      <w:r w:rsidR="001135F7" w:rsidRPr="00B57AE7">
        <w:rPr>
          <w:sz w:val="22"/>
          <w:szCs w:val="22"/>
        </w:rPr>
        <w:t>niť funkciu obličiek, ako je:</w:t>
      </w:r>
    </w:p>
    <w:p w14:paraId="0D6B32F4" w14:textId="77777777" w:rsidR="001135F7" w:rsidRPr="00B57AE7" w:rsidRDefault="00B50A95" w:rsidP="009B0B04">
      <w:pPr>
        <w:widowControl w:val="0"/>
        <w:tabs>
          <w:tab w:val="left" w:pos="567"/>
        </w:tabs>
        <w:ind w:left="565" w:hanging="565"/>
        <w:rPr>
          <w:sz w:val="22"/>
          <w:szCs w:val="22"/>
        </w:rPr>
      </w:pPr>
      <w:r w:rsidRPr="00B57AE7">
        <w:rPr>
          <w:sz w:val="22"/>
          <w:szCs w:val="22"/>
        </w:rPr>
        <w:tab/>
      </w:r>
      <w:r w:rsidRPr="00B57AE7">
        <w:rPr>
          <w:sz w:val="22"/>
          <w:szCs w:val="22"/>
        </w:rPr>
        <w:tab/>
      </w:r>
      <w:r w:rsidRPr="00B57AE7">
        <w:rPr>
          <w:sz w:val="22"/>
          <w:szCs w:val="22"/>
        </w:rPr>
        <w:tab/>
      </w:r>
      <w:r w:rsidRPr="00B57AE7">
        <w:rPr>
          <w:sz w:val="22"/>
          <w:szCs w:val="22"/>
        </w:rPr>
        <w:tab/>
      </w:r>
      <w:r w:rsidR="001135F7" w:rsidRPr="00B57AE7">
        <w:rPr>
          <w:sz w:val="22"/>
          <w:szCs w:val="22"/>
        </w:rPr>
        <w:t>- dehydratácia,</w:t>
      </w:r>
    </w:p>
    <w:p w14:paraId="648E669F" w14:textId="77777777" w:rsidR="001135F7" w:rsidRPr="00B57AE7" w:rsidRDefault="00B50A95" w:rsidP="009B0B04">
      <w:pPr>
        <w:widowControl w:val="0"/>
        <w:tabs>
          <w:tab w:val="left" w:pos="567"/>
        </w:tabs>
        <w:ind w:left="565" w:hanging="565"/>
        <w:rPr>
          <w:sz w:val="22"/>
          <w:szCs w:val="22"/>
        </w:rPr>
      </w:pPr>
      <w:r w:rsidRPr="00B57AE7">
        <w:rPr>
          <w:sz w:val="22"/>
          <w:szCs w:val="22"/>
        </w:rPr>
        <w:tab/>
      </w:r>
      <w:r w:rsidRPr="00B57AE7">
        <w:rPr>
          <w:sz w:val="22"/>
          <w:szCs w:val="22"/>
        </w:rPr>
        <w:tab/>
      </w:r>
      <w:r w:rsidRPr="00B57AE7">
        <w:rPr>
          <w:sz w:val="22"/>
          <w:szCs w:val="22"/>
        </w:rPr>
        <w:tab/>
      </w:r>
      <w:r w:rsidRPr="00B57AE7">
        <w:rPr>
          <w:sz w:val="22"/>
          <w:szCs w:val="22"/>
        </w:rPr>
        <w:tab/>
      </w:r>
      <w:r w:rsidR="001135F7" w:rsidRPr="00B57AE7">
        <w:rPr>
          <w:sz w:val="22"/>
          <w:szCs w:val="22"/>
        </w:rPr>
        <w:t xml:space="preserve">- </w:t>
      </w:r>
      <w:r w:rsidR="00216399" w:rsidRPr="00B57AE7">
        <w:rPr>
          <w:sz w:val="22"/>
          <w:szCs w:val="22"/>
        </w:rPr>
        <w:t>závažná</w:t>
      </w:r>
      <w:r w:rsidR="001135F7" w:rsidRPr="00B57AE7">
        <w:rPr>
          <w:sz w:val="22"/>
          <w:szCs w:val="22"/>
        </w:rPr>
        <w:t xml:space="preserve"> infekcia,</w:t>
      </w:r>
    </w:p>
    <w:p w14:paraId="4603D381" w14:textId="77777777" w:rsidR="001135F7" w:rsidRPr="00B57AE7" w:rsidRDefault="00B50A95" w:rsidP="009B0B04">
      <w:pPr>
        <w:widowControl w:val="0"/>
        <w:tabs>
          <w:tab w:val="left" w:pos="567"/>
        </w:tabs>
        <w:ind w:left="565" w:hanging="565"/>
        <w:rPr>
          <w:sz w:val="22"/>
          <w:szCs w:val="22"/>
        </w:rPr>
      </w:pPr>
      <w:r w:rsidRPr="00B57AE7">
        <w:rPr>
          <w:sz w:val="22"/>
          <w:szCs w:val="22"/>
        </w:rPr>
        <w:tab/>
      </w:r>
      <w:r w:rsidRPr="00B57AE7">
        <w:rPr>
          <w:sz w:val="22"/>
          <w:szCs w:val="22"/>
        </w:rPr>
        <w:tab/>
      </w:r>
      <w:r w:rsidRPr="00B57AE7">
        <w:rPr>
          <w:sz w:val="22"/>
          <w:szCs w:val="22"/>
        </w:rPr>
        <w:tab/>
      </w:r>
      <w:r w:rsidRPr="00B57AE7">
        <w:rPr>
          <w:sz w:val="22"/>
          <w:szCs w:val="22"/>
        </w:rPr>
        <w:tab/>
      </w:r>
      <w:r w:rsidR="001135F7" w:rsidRPr="00B57AE7">
        <w:rPr>
          <w:sz w:val="22"/>
          <w:szCs w:val="22"/>
        </w:rPr>
        <w:t>- šok,</w:t>
      </w:r>
    </w:p>
    <w:p w14:paraId="1BD5CB5D" w14:textId="77777777" w:rsidR="001135F7" w:rsidRPr="00B57AE7" w:rsidRDefault="00B50A95" w:rsidP="009B0B04">
      <w:pPr>
        <w:widowControl w:val="0"/>
        <w:tabs>
          <w:tab w:val="left" w:pos="567"/>
        </w:tabs>
        <w:ind w:left="565" w:hanging="565"/>
        <w:rPr>
          <w:sz w:val="22"/>
          <w:szCs w:val="22"/>
        </w:rPr>
      </w:pPr>
      <w:r w:rsidRPr="00B57AE7">
        <w:rPr>
          <w:sz w:val="22"/>
          <w:szCs w:val="22"/>
        </w:rPr>
        <w:tab/>
      </w:r>
      <w:r w:rsidRPr="00B57AE7">
        <w:rPr>
          <w:sz w:val="22"/>
          <w:szCs w:val="22"/>
        </w:rPr>
        <w:tab/>
      </w:r>
      <w:r w:rsidRPr="00B57AE7">
        <w:rPr>
          <w:sz w:val="22"/>
          <w:szCs w:val="22"/>
        </w:rPr>
        <w:tab/>
      </w:r>
      <w:r w:rsidRPr="00B57AE7">
        <w:rPr>
          <w:sz w:val="22"/>
          <w:szCs w:val="22"/>
        </w:rPr>
        <w:tab/>
      </w:r>
      <w:r w:rsidR="001135F7" w:rsidRPr="00B57AE7">
        <w:rPr>
          <w:sz w:val="22"/>
          <w:szCs w:val="22"/>
        </w:rPr>
        <w:t xml:space="preserve">- </w:t>
      </w:r>
      <w:r w:rsidR="00EA0C68" w:rsidRPr="00B57AE7">
        <w:rPr>
          <w:sz w:val="22"/>
          <w:szCs w:val="22"/>
        </w:rPr>
        <w:t>intravaskulárne podanie jódovaných kontras</w:t>
      </w:r>
      <w:r w:rsidR="001135F7" w:rsidRPr="00B57AE7">
        <w:rPr>
          <w:sz w:val="22"/>
          <w:szCs w:val="22"/>
        </w:rPr>
        <w:t>tných látok (pozri časť 4.4);</w:t>
      </w:r>
    </w:p>
    <w:p w14:paraId="73E77DE8" w14:textId="77777777" w:rsidR="00B50A95" w:rsidRPr="00B57AE7" w:rsidRDefault="001135F7" w:rsidP="00B50A95">
      <w:pPr>
        <w:widowControl w:val="0"/>
        <w:tabs>
          <w:tab w:val="left" w:pos="567"/>
        </w:tabs>
        <w:ind w:left="565" w:hanging="565"/>
        <w:rPr>
          <w:sz w:val="22"/>
          <w:szCs w:val="22"/>
        </w:rPr>
      </w:pPr>
      <w:r w:rsidRPr="00B57AE7">
        <w:rPr>
          <w:sz w:val="22"/>
          <w:szCs w:val="22"/>
        </w:rPr>
        <w:t>-</w:t>
      </w:r>
      <w:r w:rsidRPr="00B57AE7">
        <w:rPr>
          <w:sz w:val="22"/>
          <w:szCs w:val="22"/>
        </w:rPr>
        <w:tab/>
      </w:r>
      <w:r w:rsidR="00EA0C68" w:rsidRPr="00B57AE7">
        <w:rPr>
          <w:sz w:val="22"/>
          <w:szCs w:val="22"/>
        </w:rPr>
        <w:t>akútnym alebo chronickým ochorením, ktoré môže spôs</w:t>
      </w:r>
      <w:r w:rsidRPr="00B57AE7">
        <w:rPr>
          <w:sz w:val="22"/>
          <w:szCs w:val="22"/>
        </w:rPr>
        <w:t>obiť hypoxiu tkaniva, ako je</w:t>
      </w:r>
      <w:r w:rsidR="00B50A95" w:rsidRPr="00B57AE7">
        <w:rPr>
          <w:sz w:val="22"/>
          <w:szCs w:val="22"/>
        </w:rPr>
        <w:t>:</w:t>
      </w:r>
    </w:p>
    <w:p w14:paraId="12D6264B" w14:textId="77777777" w:rsidR="001135F7" w:rsidRPr="00B57AE7" w:rsidRDefault="00B50A95" w:rsidP="00B50A95">
      <w:pPr>
        <w:widowControl w:val="0"/>
        <w:tabs>
          <w:tab w:val="left" w:pos="567"/>
        </w:tabs>
        <w:ind w:left="565" w:hanging="565"/>
        <w:rPr>
          <w:sz w:val="22"/>
          <w:szCs w:val="22"/>
        </w:rPr>
      </w:pPr>
      <w:r w:rsidRPr="00B57AE7">
        <w:rPr>
          <w:sz w:val="22"/>
          <w:szCs w:val="22"/>
        </w:rPr>
        <w:tab/>
      </w:r>
      <w:r w:rsidRPr="00B57AE7">
        <w:rPr>
          <w:sz w:val="22"/>
          <w:szCs w:val="22"/>
        </w:rPr>
        <w:tab/>
      </w:r>
      <w:r w:rsidRPr="00B57AE7">
        <w:rPr>
          <w:sz w:val="22"/>
          <w:szCs w:val="22"/>
        </w:rPr>
        <w:tab/>
      </w:r>
      <w:r w:rsidRPr="00B57AE7">
        <w:rPr>
          <w:sz w:val="22"/>
          <w:szCs w:val="22"/>
        </w:rPr>
        <w:tab/>
      </w:r>
      <w:r w:rsidR="001135F7" w:rsidRPr="00B57AE7">
        <w:rPr>
          <w:sz w:val="22"/>
          <w:szCs w:val="22"/>
        </w:rPr>
        <w:t xml:space="preserve">- </w:t>
      </w:r>
      <w:r w:rsidR="00EA0C68" w:rsidRPr="00B57AE7">
        <w:rPr>
          <w:sz w:val="22"/>
          <w:szCs w:val="22"/>
        </w:rPr>
        <w:t>z</w:t>
      </w:r>
      <w:r w:rsidR="001135F7" w:rsidRPr="00B57AE7">
        <w:rPr>
          <w:sz w:val="22"/>
          <w:szCs w:val="22"/>
        </w:rPr>
        <w:t>lyhanie srdca alebo dýchania,</w:t>
      </w:r>
    </w:p>
    <w:p w14:paraId="3C87CC36" w14:textId="77777777" w:rsidR="001135F7" w:rsidRPr="00B57AE7" w:rsidRDefault="00B50A95" w:rsidP="009B0B04">
      <w:pPr>
        <w:widowControl w:val="0"/>
        <w:tabs>
          <w:tab w:val="left" w:pos="567"/>
        </w:tabs>
        <w:ind w:left="565" w:hanging="565"/>
        <w:rPr>
          <w:sz w:val="22"/>
          <w:szCs w:val="22"/>
        </w:rPr>
      </w:pPr>
      <w:r w:rsidRPr="00B57AE7">
        <w:rPr>
          <w:sz w:val="22"/>
          <w:szCs w:val="22"/>
        </w:rPr>
        <w:tab/>
      </w:r>
      <w:r w:rsidRPr="00B57AE7">
        <w:rPr>
          <w:sz w:val="22"/>
          <w:szCs w:val="22"/>
        </w:rPr>
        <w:tab/>
      </w:r>
      <w:r w:rsidRPr="00B57AE7">
        <w:rPr>
          <w:sz w:val="22"/>
          <w:szCs w:val="22"/>
        </w:rPr>
        <w:tab/>
      </w:r>
      <w:r w:rsidRPr="00B57AE7">
        <w:rPr>
          <w:sz w:val="22"/>
          <w:szCs w:val="22"/>
        </w:rPr>
        <w:tab/>
      </w:r>
      <w:r w:rsidR="001135F7" w:rsidRPr="00B57AE7">
        <w:rPr>
          <w:sz w:val="22"/>
          <w:szCs w:val="22"/>
        </w:rPr>
        <w:t>- nedávny infarkt myokardu,</w:t>
      </w:r>
    </w:p>
    <w:p w14:paraId="40B1F99A" w14:textId="77777777" w:rsidR="001135F7" w:rsidRPr="00B57AE7" w:rsidRDefault="00B50A95" w:rsidP="009B0B04">
      <w:pPr>
        <w:widowControl w:val="0"/>
        <w:tabs>
          <w:tab w:val="left" w:pos="567"/>
        </w:tabs>
        <w:ind w:left="565" w:hanging="565"/>
        <w:rPr>
          <w:sz w:val="22"/>
          <w:szCs w:val="22"/>
        </w:rPr>
      </w:pPr>
      <w:r w:rsidRPr="00B57AE7">
        <w:rPr>
          <w:sz w:val="22"/>
          <w:szCs w:val="22"/>
        </w:rPr>
        <w:tab/>
      </w:r>
      <w:r w:rsidRPr="00B57AE7">
        <w:rPr>
          <w:sz w:val="22"/>
          <w:szCs w:val="22"/>
        </w:rPr>
        <w:tab/>
      </w:r>
      <w:r w:rsidRPr="00B57AE7">
        <w:rPr>
          <w:sz w:val="22"/>
          <w:szCs w:val="22"/>
        </w:rPr>
        <w:tab/>
      </w:r>
      <w:r w:rsidRPr="00B57AE7">
        <w:rPr>
          <w:sz w:val="22"/>
          <w:szCs w:val="22"/>
        </w:rPr>
        <w:tab/>
      </w:r>
      <w:r w:rsidR="001135F7" w:rsidRPr="00B57AE7">
        <w:rPr>
          <w:sz w:val="22"/>
          <w:szCs w:val="22"/>
        </w:rPr>
        <w:t>- šok;</w:t>
      </w:r>
    </w:p>
    <w:p w14:paraId="06C15573" w14:textId="77777777" w:rsidR="001135F7" w:rsidRPr="00B57AE7" w:rsidRDefault="001135F7" w:rsidP="009B0B04">
      <w:pPr>
        <w:widowControl w:val="0"/>
        <w:tabs>
          <w:tab w:val="left" w:pos="567"/>
        </w:tabs>
        <w:ind w:left="565" w:hanging="565"/>
        <w:rPr>
          <w:sz w:val="22"/>
          <w:szCs w:val="22"/>
        </w:rPr>
      </w:pPr>
      <w:r w:rsidRPr="00B57AE7">
        <w:rPr>
          <w:sz w:val="22"/>
          <w:szCs w:val="22"/>
        </w:rPr>
        <w:t>-</w:t>
      </w:r>
      <w:r w:rsidRPr="00B57AE7">
        <w:rPr>
          <w:sz w:val="22"/>
          <w:szCs w:val="22"/>
        </w:rPr>
        <w:tab/>
        <w:t>poruchou funkcie pečene;</w:t>
      </w:r>
    </w:p>
    <w:p w14:paraId="41F7E1B6" w14:textId="77777777" w:rsidR="001135F7" w:rsidRPr="00B57AE7" w:rsidRDefault="001135F7" w:rsidP="009B0B04">
      <w:pPr>
        <w:widowControl w:val="0"/>
        <w:tabs>
          <w:tab w:val="left" w:pos="567"/>
        </w:tabs>
        <w:ind w:left="565" w:hanging="565"/>
        <w:rPr>
          <w:sz w:val="22"/>
          <w:szCs w:val="22"/>
        </w:rPr>
      </w:pPr>
      <w:r w:rsidRPr="00B57AE7">
        <w:rPr>
          <w:sz w:val="22"/>
          <w:szCs w:val="22"/>
        </w:rPr>
        <w:t>-</w:t>
      </w:r>
      <w:r w:rsidRPr="00B57AE7">
        <w:rPr>
          <w:sz w:val="22"/>
          <w:szCs w:val="22"/>
        </w:rPr>
        <w:tab/>
      </w:r>
      <w:r w:rsidR="00EA0C68" w:rsidRPr="00B57AE7">
        <w:rPr>
          <w:sz w:val="22"/>
          <w:szCs w:val="22"/>
        </w:rPr>
        <w:t>akútnou otra</w:t>
      </w:r>
      <w:r w:rsidRPr="00B57AE7">
        <w:rPr>
          <w:sz w:val="22"/>
          <w:szCs w:val="22"/>
        </w:rPr>
        <w:t>vou alkoholom, alkoholizmom;</w:t>
      </w:r>
    </w:p>
    <w:p w14:paraId="5D9AE127" w14:textId="77777777" w:rsidR="005C5AB1" w:rsidRPr="00B57AE7" w:rsidRDefault="001135F7" w:rsidP="009B0B04">
      <w:pPr>
        <w:widowControl w:val="0"/>
        <w:tabs>
          <w:tab w:val="left" w:pos="567"/>
        </w:tabs>
        <w:ind w:left="565" w:hanging="565"/>
        <w:rPr>
          <w:sz w:val="22"/>
          <w:szCs w:val="22"/>
        </w:rPr>
      </w:pPr>
      <w:r w:rsidRPr="00B57AE7">
        <w:rPr>
          <w:sz w:val="22"/>
          <w:szCs w:val="22"/>
        </w:rPr>
        <w:lastRenderedPageBreak/>
        <w:t>-</w:t>
      </w:r>
      <w:r w:rsidRPr="00B57AE7">
        <w:rPr>
          <w:sz w:val="22"/>
          <w:szCs w:val="22"/>
        </w:rPr>
        <w:tab/>
      </w:r>
      <w:r w:rsidR="00EA0C68" w:rsidRPr="00B57AE7">
        <w:rPr>
          <w:sz w:val="22"/>
          <w:szCs w:val="22"/>
        </w:rPr>
        <w:t>pri laktácii.</w:t>
      </w:r>
    </w:p>
    <w:p w14:paraId="19BC6D70" w14:textId="77777777" w:rsidR="00EA0C68" w:rsidRPr="00B57AE7" w:rsidRDefault="00EA0C68" w:rsidP="00AD6F14">
      <w:pPr>
        <w:widowControl w:val="0"/>
        <w:tabs>
          <w:tab w:val="left" w:pos="567"/>
        </w:tabs>
        <w:rPr>
          <w:sz w:val="22"/>
          <w:szCs w:val="22"/>
          <w:lang w:eastAsia="en-US"/>
        </w:rPr>
      </w:pPr>
    </w:p>
    <w:p w14:paraId="6CBF141D" w14:textId="77777777" w:rsidR="005C5AB1" w:rsidRPr="00B57AE7" w:rsidRDefault="003F5167" w:rsidP="00AD6F14">
      <w:pPr>
        <w:widowControl w:val="0"/>
        <w:tabs>
          <w:tab w:val="left" w:pos="567"/>
        </w:tabs>
        <w:rPr>
          <w:sz w:val="22"/>
          <w:szCs w:val="22"/>
          <w:lang w:eastAsia="en-US"/>
        </w:rPr>
      </w:pPr>
      <w:r w:rsidRPr="00B57AE7">
        <w:rPr>
          <w:b/>
          <w:sz w:val="22"/>
          <w:szCs w:val="22"/>
          <w:lang w:eastAsia="en-US"/>
        </w:rPr>
        <w:t>4.4</w:t>
      </w:r>
      <w:r w:rsidRPr="00B57AE7">
        <w:rPr>
          <w:b/>
          <w:sz w:val="22"/>
          <w:szCs w:val="22"/>
          <w:lang w:eastAsia="en-US"/>
        </w:rPr>
        <w:tab/>
        <w:t>Osobitné upozornenia a opatrenia pri používaní</w:t>
      </w:r>
    </w:p>
    <w:p w14:paraId="79737FBD" w14:textId="77777777" w:rsidR="005C5AB1" w:rsidRPr="00B57AE7" w:rsidRDefault="005C5AB1" w:rsidP="00AD6F14">
      <w:pPr>
        <w:widowControl w:val="0"/>
        <w:tabs>
          <w:tab w:val="left" w:pos="567"/>
        </w:tabs>
        <w:rPr>
          <w:sz w:val="22"/>
          <w:szCs w:val="22"/>
        </w:rPr>
      </w:pPr>
    </w:p>
    <w:p w14:paraId="5EF86261" w14:textId="77777777" w:rsidR="00601029" w:rsidRPr="00B57AE7" w:rsidRDefault="00AC3448" w:rsidP="00EA0C68">
      <w:pPr>
        <w:spacing w:line="0" w:lineRule="atLeast"/>
        <w:rPr>
          <w:sz w:val="22"/>
          <w:szCs w:val="22"/>
          <w:u w:val="single"/>
        </w:rPr>
      </w:pPr>
      <w:r w:rsidRPr="00B57AE7">
        <w:rPr>
          <w:sz w:val="22"/>
          <w:szCs w:val="22"/>
          <w:u w:val="single"/>
        </w:rPr>
        <w:t xml:space="preserve">Všeobecné </w:t>
      </w:r>
    </w:p>
    <w:p w14:paraId="79E312A7" w14:textId="77777777" w:rsidR="00601029" w:rsidRPr="00B57AE7" w:rsidRDefault="008D6F86" w:rsidP="00EA0C68">
      <w:pPr>
        <w:spacing w:line="0" w:lineRule="atLeast"/>
        <w:rPr>
          <w:sz w:val="22"/>
          <w:szCs w:val="22"/>
        </w:rPr>
      </w:pPr>
      <w:r>
        <w:rPr>
          <w:sz w:val="22"/>
          <w:szCs w:val="22"/>
        </w:rPr>
        <w:t>JUZIMETTE</w:t>
      </w:r>
      <w:r w:rsidR="00AC3448" w:rsidRPr="00B57AE7">
        <w:rPr>
          <w:sz w:val="22"/>
          <w:szCs w:val="22"/>
        </w:rPr>
        <w:t xml:space="preserve"> sa nemá používať u pacientov s diabetom 1. typu a nesmie sa používať na liečbu diabetickej ketoacidózy. </w:t>
      </w:r>
    </w:p>
    <w:p w14:paraId="174F94B2" w14:textId="77777777" w:rsidR="00601029" w:rsidRPr="00B57AE7" w:rsidRDefault="00601029" w:rsidP="00EA0C68">
      <w:pPr>
        <w:spacing w:line="0" w:lineRule="atLeast"/>
        <w:rPr>
          <w:sz w:val="22"/>
          <w:szCs w:val="22"/>
        </w:rPr>
      </w:pPr>
    </w:p>
    <w:p w14:paraId="6308263C" w14:textId="77777777" w:rsidR="00601029" w:rsidRPr="00B57AE7" w:rsidRDefault="00AC3448" w:rsidP="00EA0C68">
      <w:pPr>
        <w:spacing w:line="0" w:lineRule="atLeast"/>
        <w:rPr>
          <w:sz w:val="22"/>
          <w:szCs w:val="22"/>
          <w:u w:val="single"/>
        </w:rPr>
      </w:pPr>
      <w:r w:rsidRPr="00B57AE7">
        <w:rPr>
          <w:sz w:val="22"/>
          <w:szCs w:val="22"/>
          <w:u w:val="single"/>
        </w:rPr>
        <w:t xml:space="preserve">Akútna pankreatitída </w:t>
      </w:r>
    </w:p>
    <w:p w14:paraId="4AAFC721" w14:textId="77777777" w:rsidR="00601029" w:rsidRPr="00B57AE7" w:rsidRDefault="00AC3448" w:rsidP="00EA0C68">
      <w:pPr>
        <w:spacing w:line="0" w:lineRule="atLeast"/>
        <w:rPr>
          <w:sz w:val="22"/>
          <w:szCs w:val="22"/>
        </w:rPr>
      </w:pPr>
      <w:r w:rsidRPr="00B57AE7">
        <w:rPr>
          <w:sz w:val="22"/>
          <w:szCs w:val="22"/>
        </w:rPr>
        <w:t>Použitie inhibítorov DPP-4 sa spája s rizikom vzniku akútnej pankreatitídy. Pacientov treba informovať o typickom príznaku akútnej pankreatitídy: pretrvávajúca silná bolesť brucha. Po vysadení sitagliptínu (s podpornou liečbou alebo bez nej) sa pozoroval ústup pankreatitídy, boli však hlásené veľmi zriedkavé prípady nekrotizujúcej alebo hemoragickej pankreatitídy a/alebo úmrtie. Ak existuje podozrenie na pankreati</w:t>
      </w:r>
      <w:r w:rsidR="00601029" w:rsidRPr="00B57AE7">
        <w:rPr>
          <w:sz w:val="22"/>
          <w:szCs w:val="22"/>
        </w:rPr>
        <w:t xml:space="preserve">tídu, </w:t>
      </w:r>
      <w:r w:rsidR="008D6F86">
        <w:rPr>
          <w:sz w:val="22"/>
          <w:szCs w:val="22"/>
        </w:rPr>
        <w:t>JUZIMETTE</w:t>
      </w:r>
      <w:r w:rsidRPr="00B57AE7">
        <w:rPr>
          <w:sz w:val="22"/>
          <w:szCs w:val="22"/>
        </w:rPr>
        <w:t xml:space="preserve"> a ostatné potenciálne podozrivé lieky sa majú vysadiť; ak je akútna p</w:t>
      </w:r>
      <w:r w:rsidR="00601029" w:rsidRPr="00B57AE7">
        <w:rPr>
          <w:sz w:val="22"/>
          <w:szCs w:val="22"/>
        </w:rPr>
        <w:t xml:space="preserve">ankreatitída potvrdená, </w:t>
      </w:r>
      <w:r w:rsidR="008D6F86">
        <w:rPr>
          <w:sz w:val="22"/>
          <w:szCs w:val="22"/>
        </w:rPr>
        <w:t>JUZIMETTE</w:t>
      </w:r>
      <w:r w:rsidRPr="00B57AE7">
        <w:rPr>
          <w:sz w:val="22"/>
          <w:szCs w:val="22"/>
        </w:rPr>
        <w:t xml:space="preserve"> sa nemá začať znova podávať. U pacientov s pankreatitídou v anamnéze je potrebná opatrnosť. </w:t>
      </w:r>
    </w:p>
    <w:p w14:paraId="54771614" w14:textId="77777777" w:rsidR="00601029" w:rsidRPr="00B57AE7" w:rsidRDefault="00601029" w:rsidP="00EA0C68">
      <w:pPr>
        <w:spacing w:line="0" w:lineRule="atLeast"/>
        <w:rPr>
          <w:sz w:val="22"/>
          <w:szCs w:val="22"/>
        </w:rPr>
      </w:pPr>
    </w:p>
    <w:p w14:paraId="7796D5FA" w14:textId="77777777" w:rsidR="00601029" w:rsidRPr="00B57AE7" w:rsidRDefault="00AC3448" w:rsidP="00EA0C68">
      <w:pPr>
        <w:spacing w:line="0" w:lineRule="atLeast"/>
        <w:rPr>
          <w:sz w:val="22"/>
          <w:szCs w:val="22"/>
          <w:u w:val="single"/>
        </w:rPr>
      </w:pPr>
      <w:r w:rsidRPr="00B57AE7">
        <w:rPr>
          <w:sz w:val="22"/>
          <w:szCs w:val="22"/>
          <w:u w:val="single"/>
        </w:rPr>
        <w:t>Laktátová acidóza</w:t>
      </w:r>
    </w:p>
    <w:p w14:paraId="709BDA6B" w14:textId="77777777" w:rsidR="00601029" w:rsidRPr="00B57AE7" w:rsidRDefault="00AC3448" w:rsidP="00EA0C68">
      <w:pPr>
        <w:spacing w:line="0" w:lineRule="atLeast"/>
        <w:rPr>
          <w:sz w:val="22"/>
          <w:szCs w:val="22"/>
        </w:rPr>
      </w:pPr>
      <w:r w:rsidRPr="00B57AE7">
        <w:rPr>
          <w:sz w:val="22"/>
          <w:szCs w:val="22"/>
        </w:rPr>
        <w:t xml:space="preserve">Laktátová acidóza, veľmi zriedkavá, ale závažná metabolická komplikácia, sa najčastejšie vyskytuje pri akútnom zhoršení funkcie obličiek alebo pri kardiorespiračnom ochorení či sepse. Akumulácia metformínu sa objavuje pri akútnom zhoršení funkcie obličiek a zvyšuje riziko laktátovej acidózy. </w:t>
      </w:r>
    </w:p>
    <w:p w14:paraId="26172BCA" w14:textId="77777777" w:rsidR="00601029" w:rsidRPr="00B57AE7" w:rsidRDefault="00601029" w:rsidP="00EA0C68">
      <w:pPr>
        <w:spacing w:line="0" w:lineRule="atLeast"/>
        <w:rPr>
          <w:sz w:val="22"/>
          <w:szCs w:val="22"/>
        </w:rPr>
      </w:pPr>
    </w:p>
    <w:p w14:paraId="61F7B408" w14:textId="77777777" w:rsidR="00601029" w:rsidRPr="00B57AE7" w:rsidRDefault="00601029" w:rsidP="00EA0C68">
      <w:pPr>
        <w:spacing w:line="0" w:lineRule="atLeast"/>
        <w:rPr>
          <w:sz w:val="22"/>
          <w:szCs w:val="22"/>
        </w:rPr>
      </w:pPr>
      <w:r w:rsidRPr="00B57AE7">
        <w:rPr>
          <w:sz w:val="22"/>
          <w:szCs w:val="22"/>
        </w:rPr>
        <w:t xml:space="preserve">V prípade dehydratácie (závažné vracanie, hnačka, </w:t>
      </w:r>
      <w:r w:rsidR="00AC3448" w:rsidRPr="00B57AE7">
        <w:rPr>
          <w:sz w:val="22"/>
          <w:szCs w:val="22"/>
        </w:rPr>
        <w:t xml:space="preserve">horúčka alebo znížený príjem tekutín) je potrebné dočasne prerušiť podávanie metformínu a odporúča sa kontaktovať zdravotníckeho pracovníka. </w:t>
      </w:r>
    </w:p>
    <w:p w14:paraId="76C273F7" w14:textId="77777777" w:rsidR="00601029" w:rsidRPr="00B57AE7" w:rsidRDefault="00601029" w:rsidP="00EA0C68">
      <w:pPr>
        <w:spacing w:line="0" w:lineRule="atLeast"/>
        <w:rPr>
          <w:sz w:val="22"/>
          <w:szCs w:val="22"/>
        </w:rPr>
      </w:pPr>
    </w:p>
    <w:p w14:paraId="1CE7BB80" w14:textId="77777777" w:rsidR="00AC3448" w:rsidRPr="00B57AE7" w:rsidRDefault="00AC3448" w:rsidP="00EA0C68">
      <w:pPr>
        <w:spacing w:line="0" w:lineRule="atLeast"/>
        <w:rPr>
          <w:sz w:val="22"/>
          <w:szCs w:val="22"/>
        </w:rPr>
      </w:pPr>
      <w:r w:rsidRPr="00B57AE7">
        <w:rPr>
          <w:sz w:val="22"/>
          <w:szCs w:val="22"/>
        </w:rPr>
        <w:t>Lieky, ktoré môžu akútne narušiť funkciu obličiek (ako napríklad antihypertenzíva, diuretiká a NSAID) sa majú u pacientov liečených metformínom začať podávať s opatrnosťou. Ďalšie rizikové faktory laktátovej acidózy sú nadmerné požívanie alkoholu, hepatálna insuficiencia, nedostatočne kontrolovaný diabetes mellitus, ketóza, dlhotrvajúce hladovanie a akékoľvek stavy spojené s hypoxiou, ako aj súbežné používanie liekov, ktoré môžu spôsobiť laktátovú acidózu (pozri časti 4.3 a 4.5).</w:t>
      </w:r>
    </w:p>
    <w:p w14:paraId="0110DF37" w14:textId="77777777" w:rsidR="00AC3448" w:rsidRPr="00B57AE7" w:rsidRDefault="00AC3448" w:rsidP="00EA0C68">
      <w:pPr>
        <w:spacing w:line="0" w:lineRule="atLeast"/>
        <w:rPr>
          <w:sz w:val="22"/>
          <w:szCs w:val="22"/>
        </w:rPr>
      </w:pPr>
    </w:p>
    <w:p w14:paraId="7F4FFFEB" w14:textId="77777777" w:rsidR="00601029" w:rsidRPr="00B57AE7" w:rsidRDefault="00AC3448" w:rsidP="00EA0C68">
      <w:pPr>
        <w:spacing w:line="0" w:lineRule="atLeast"/>
        <w:rPr>
          <w:sz w:val="22"/>
          <w:szCs w:val="22"/>
        </w:rPr>
      </w:pPr>
      <w:r w:rsidRPr="00B57AE7">
        <w:rPr>
          <w:sz w:val="22"/>
          <w:szCs w:val="22"/>
        </w:rPr>
        <w:t xml:space="preserve">Pacienti a/alebo ošetrovatelia musia byť informovaní o riziku laktátovej acidózy. Laktátová acidóza je charakterizovaná acidotickým dyspnoe, bolesťou brucha, svalovými kŕčmi, asténiou a hypotermiou, po ktorých nasleduje kóma. V prípade podozrenia na výskyt príznakov musí pacient prestať užívať metformín a vyhľadať okamžité lekárske ošetrenie. Diagnostickými laboratórnymi nálezmi sú znížená hodnota pH krvi (&lt; 7,35), zvýšené plazmatické hladiny laktátu (&gt;5 mmol/l) a zvýšená aniónová medzera a pomer laktátu/pyruvátu. </w:t>
      </w:r>
    </w:p>
    <w:p w14:paraId="3B19CA64" w14:textId="77777777" w:rsidR="00601029" w:rsidRPr="00B57AE7" w:rsidRDefault="00601029" w:rsidP="00EA0C68">
      <w:pPr>
        <w:spacing w:line="0" w:lineRule="atLeast"/>
        <w:rPr>
          <w:sz w:val="22"/>
          <w:szCs w:val="22"/>
        </w:rPr>
      </w:pPr>
    </w:p>
    <w:p w14:paraId="6776329F" w14:textId="77777777" w:rsidR="00601029" w:rsidRPr="00B57AE7" w:rsidRDefault="00AC3448" w:rsidP="00EA0C68">
      <w:pPr>
        <w:spacing w:line="0" w:lineRule="atLeast"/>
        <w:rPr>
          <w:sz w:val="22"/>
          <w:szCs w:val="22"/>
          <w:u w:val="single"/>
        </w:rPr>
      </w:pPr>
      <w:r w:rsidRPr="00B57AE7">
        <w:rPr>
          <w:sz w:val="22"/>
          <w:szCs w:val="22"/>
          <w:u w:val="single"/>
        </w:rPr>
        <w:t xml:space="preserve">Funkcia obličiek </w:t>
      </w:r>
    </w:p>
    <w:p w14:paraId="3C80E4DD" w14:textId="77777777" w:rsidR="00601029" w:rsidRPr="00B57AE7" w:rsidRDefault="00AC3448" w:rsidP="00EA0C68">
      <w:pPr>
        <w:spacing w:line="0" w:lineRule="atLeast"/>
        <w:rPr>
          <w:sz w:val="22"/>
          <w:szCs w:val="22"/>
        </w:rPr>
      </w:pPr>
      <w:r w:rsidRPr="00B57AE7">
        <w:rPr>
          <w:sz w:val="22"/>
          <w:szCs w:val="22"/>
        </w:rPr>
        <w:t>GFR je potrebné vyhodnotiť pred začiatkom liečby a pravidelne po ňom</w:t>
      </w:r>
      <w:r w:rsidR="00601029" w:rsidRPr="00B57AE7">
        <w:rPr>
          <w:sz w:val="22"/>
          <w:szCs w:val="22"/>
        </w:rPr>
        <w:t xml:space="preserve"> (pozri časť 4.2). </w:t>
      </w:r>
      <w:r w:rsidR="008D6F86">
        <w:rPr>
          <w:sz w:val="22"/>
          <w:szCs w:val="22"/>
        </w:rPr>
        <w:t>JUZIMETTE</w:t>
      </w:r>
      <w:r w:rsidRPr="00B57AE7">
        <w:rPr>
          <w:sz w:val="22"/>
          <w:szCs w:val="22"/>
        </w:rPr>
        <w:t xml:space="preserve"> je kontraindikovan</w:t>
      </w:r>
      <w:r w:rsidR="009C1052">
        <w:rPr>
          <w:sz w:val="22"/>
          <w:szCs w:val="22"/>
        </w:rPr>
        <w:t>ý</w:t>
      </w:r>
      <w:r w:rsidRPr="00B57AE7">
        <w:rPr>
          <w:sz w:val="22"/>
          <w:szCs w:val="22"/>
        </w:rPr>
        <w:t xml:space="preserve"> u pacientov s GFR &lt; 30 ml/min a v prípade výskytu stavov, pri ktorých dochádza k zmene funkcie obličiek, je potrebné ho dočasne prestať podávať (pozri časť 4.3). </w:t>
      </w:r>
    </w:p>
    <w:p w14:paraId="37D8C9BA" w14:textId="77777777" w:rsidR="00601029" w:rsidRPr="00B57AE7" w:rsidRDefault="00601029" w:rsidP="00EA0C68">
      <w:pPr>
        <w:spacing w:line="0" w:lineRule="atLeast"/>
        <w:rPr>
          <w:sz w:val="22"/>
          <w:szCs w:val="22"/>
        </w:rPr>
      </w:pPr>
    </w:p>
    <w:p w14:paraId="12BFBD70" w14:textId="77777777" w:rsidR="00601029" w:rsidRPr="00B57AE7" w:rsidRDefault="00AC3448" w:rsidP="00EA0C68">
      <w:pPr>
        <w:spacing w:line="0" w:lineRule="atLeast"/>
        <w:rPr>
          <w:sz w:val="22"/>
          <w:szCs w:val="22"/>
          <w:u w:val="single"/>
        </w:rPr>
      </w:pPr>
      <w:r w:rsidRPr="00B57AE7">
        <w:rPr>
          <w:sz w:val="22"/>
          <w:szCs w:val="22"/>
          <w:u w:val="single"/>
        </w:rPr>
        <w:t xml:space="preserve">Hypoglykémia </w:t>
      </w:r>
    </w:p>
    <w:p w14:paraId="60D3357F" w14:textId="77777777" w:rsidR="00601029" w:rsidRPr="00B57AE7" w:rsidRDefault="00AC3448" w:rsidP="00EA0C68">
      <w:pPr>
        <w:spacing w:line="0" w:lineRule="atLeast"/>
        <w:rPr>
          <w:sz w:val="22"/>
          <w:szCs w:val="22"/>
        </w:rPr>
      </w:pPr>
      <w:r w:rsidRPr="00B57AE7">
        <w:rPr>
          <w:sz w:val="22"/>
          <w:szCs w:val="22"/>
        </w:rPr>
        <w:t>Pacienti dostávaj</w:t>
      </w:r>
      <w:r w:rsidR="00601029" w:rsidRPr="00B57AE7">
        <w:rPr>
          <w:sz w:val="22"/>
          <w:szCs w:val="22"/>
        </w:rPr>
        <w:t xml:space="preserve">úci </w:t>
      </w:r>
      <w:r w:rsidR="008D6F86">
        <w:rPr>
          <w:sz w:val="22"/>
          <w:szCs w:val="22"/>
        </w:rPr>
        <w:t>JUZIMETTE</w:t>
      </w:r>
      <w:r w:rsidRPr="00B57AE7">
        <w:rPr>
          <w:sz w:val="22"/>
          <w:szCs w:val="22"/>
        </w:rPr>
        <w:t xml:space="preserve"> v kombinácii s </w:t>
      </w:r>
      <w:r w:rsidR="00FA5C1C">
        <w:rPr>
          <w:sz w:val="22"/>
          <w:szCs w:val="22"/>
        </w:rPr>
        <w:t xml:space="preserve">derivátom </w:t>
      </w:r>
      <w:r w:rsidRPr="00B57AE7">
        <w:rPr>
          <w:sz w:val="22"/>
          <w:szCs w:val="22"/>
        </w:rPr>
        <w:t>sulfonyl</w:t>
      </w:r>
      <w:r w:rsidR="00FA5C1C">
        <w:rPr>
          <w:sz w:val="22"/>
          <w:szCs w:val="22"/>
        </w:rPr>
        <w:t>močoviny</w:t>
      </w:r>
      <w:r w:rsidRPr="00B57AE7">
        <w:rPr>
          <w:sz w:val="22"/>
          <w:szCs w:val="22"/>
        </w:rPr>
        <w:t xml:space="preserve"> alebo s inzulínom môžu mať riziko hypoglykémie. Z tohto dôvodu môže byť potrebné zníženie dávky </w:t>
      </w:r>
      <w:r w:rsidR="00FA5C1C">
        <w:rPr>
          <w:sz w:val="22"/>
          <w:szCs w:val="22"/>
        </w:rPr>
        <w:t xml:space="preserve">derivátu </w:t>
      </w:r>
      <w:r w:rsidRPr="00B57AE7">
        <w:rPr>
          <w:sz w:val="22"/>
          <w:szCs w:val="22"/>
        </w:rPr>
        <w:t>sulfonyl</w:t>
      </w:r>
      <w:r w:rsidR="00FA5C1C">
        <w:rPr>
          <w:sz w:val="22"/>
          <w:szCs w:val="22"/>
        </w:rPr>
        <w:t>močoviny</w:t>
      </w:r>
      <w:r w:rsidRPr="00B57AE7">
        <w:rPr>
          <w:sz w:val="22"/>
          <w:szCs w:val="22"/>
        </w:rPr>
        <w:t xml:space="preserve"> alebo inzulínu. </w:t>
      </w:r>
    </w:p>
    <w:p w14:paraId="21B831BD" w14:textId="77777777" w:rsidR="00601029" w:rsidRPr="00B57AE7" w:rsidRDefault="00601029" w:rsidP="00EA0C68">
      <w:pPr>
        <w:spacing w:line="0" w:lineRule="atLeast"/>
        <w:rPr>
          <w:sz w:val="22"/>
          <w:szCs w:val="22"/>
        </w:rPr>
      </w:pPr>
    </w:p>
    <w:p w14:paraId="3258E904" w14:textId="77777777" w:rsidR="00601029" w:rsidRPr="00B57AE7" w:rsidRDefault="00AC3448" w:rsidP="000657F0">
      <w:pPr>
        <w:keepNext/>
        <w:spacing w:line="0" w:lineRule="atLeast"/>
        <w:rPr>
          <w:sz w:val="22"/>
          <w:szCs w:val="22"/>
          <w:u w:val="single"/>
        </w:rPr>
      </w:pPr>
      <w:r w:rsidRPr="00B57AE7">
        <w:rPr>
          <w:sz w:val="22"/>
          <w:szCs w:val="22"/>
          <w:u w:val="single"/>
        </w:rPr>
        <w:t xml:space="preserve">Reakcie z precitlivenosti </w:t>
      </w:r>
    </w:p>
    <w:p w14:paraId="17F011A0" w14:textId="77777777" w:rsidR="00AC3448" w:rsidRPr="00B57AE7" w:rsidRDefault="00AC3448" w:rsidP="000657F0">
      <w:pPr>
        <w:keepNext/>
        <w:spacing w:line="0" w:lineRule="atLeast"/>
        <w:rPr>
          <w:sz w:val="22"/>
          <w:szCs w:val="22"/>
        </w:rPr>
      </w:pPr>
      <w:r w:rsidRPr="00B57AE7">
        <w:rPr>
          <w:sz w:val="22"/>
          <w:szCs w:val="22"/>
        </w:rPr>
        <w:t xml:space="preserve">U pacientov liečených sitagliptínom boli po uvedení lieku na trh hlásené správy o závažných reakciách z precitlivenosti. Tieto reakcie zahŕňajú anafylaxiu, angioedém a exfoliatívne kožné choroby vrátane Stevensovho-Johnsonovho syndrómu. Nástup týchto reakcií sa objavil v priebehu prvých 3 mesiacov po nasadení liečby sitagliptínom, pričom niektoré hlásenia sa vyskytli po prvej dávke. Ak je </w:t>
      </w:r>
      <w:r w:rsidRPr="00B57AE7">
        <w:rPr>
          <w:sz w:val="22"/>
          <w:szCs w:val="22"/>
        </w:rPr>
        <w:lastRenderedPageBreak/>
        <w:t>podozrenie na rea</w:t>
      </w:r>
      <w:r w:rsidR="00601029" w:rsidRPr="00B57AE7">
        <w:rPr>
          <w:sz w:val="22"/>
          <w:szCs w:val="22"/>
        </w:rPr>
        <w:t xml:space="preserve">kciu z precitlivenosti, </w:t>
      </w:r>
      <w:r w:rsidR="008D6F86">
        <w:rPr>
          <w:sz w:val="22"/>
          <w:szCs w:val="22"/>
        </w:rPr>
        <w:t>JUZIMETTE</w:t>
      </w:r>
      <w:r w:rsidRPr="00B57AE7">
        <w:rPr>
          <w:sz w:val="22"/>
          <w:szCs w:val="22"/>
        </w:rPr>
        <w:t xml:space="preserve"> sa má vysadiť, majú sa vyhodnotiť iné možné príčiny udalosti a má sa nasadiť alternatívna liečba diabetu (pozri časť 4.8).</w:t>
      </w:r>
    </w:p>
    <w:p w14:paraId="6FE0F26D" w14:textId="77777777" w:rsidR="00AC3448" w:rsidRPr="00B57AE7" w:rsidRDefault="00AC3448" w:rsidP="00EA0C68">
      <w:pPr>
        <w:spacing w:line="0" w:lineRule="atLeast"/>
        <w:rPr>
          <w:sz w:val="22"/>
          <w:szCs w:val="22"/>
        </w:rPr>
      </w:pPr>
    </w:p>
    <w:p w14:paraId="23C12E7E" w14:textId="77777777" w:rsidR="00601029" w:rsidRPr="00B57AE7" w:rsidRDefault="00AC3448" w:rsidP="00EA0C68">
      <w:pPr>
        <w:spacing w:line="0" w:lineRule="atLeast"/>
        <w:rPr>
          <w:sz w:val="22"/>
          <w:szCs w:val="22"/>
          <w:u w:val="single"/>
        </w:rPr>
      </w:pPr>
      <w:r w:rsidRPr="00B57AE7">
        <w:rPr>
          <w:sz w:val="22"/>
          <w:szCs w:val="22"/>
          <w:u w:val="single"/>
        </w:rPr>
        <w:t xml:space="preserve">Bulózny pemfigoid </w:t>
      </w:r>
    </w:p>
    <w:p w14:paraId="45216B05" w14:textId="77777777" w:rsidR="00092AFA" w:rsidRPr="00B57AE7" w:rsidRDefault="00AC3448" w:rsidP="00EA0C68">
      <w:pPr>
        <w:spacing w:line="0" w:lineRule="atLeast"/>
        <w:rPr>
          <w:sz w:val="22"/>
          <w:szCs w:val="22"/>
        </w:rPr>
      </w:pPr>
      <w:r w:rsidRPr="00B57AE7">
        <w:rPr>
          <w:sz w:val="22"/>
          <w:szCs w:val="22"/>
        </w:rPr>
        <w:t>U pacientov užívajúcich inhibítory DPP-4 vrátane sitagliptínu, boli po uvedení lieku na trh hlásené prípady bulózneho pemfigoidu. Ak je podozrenie na bulózny p</w:t>
      </w:r>
      <w:r w:rsidR="008D6F86">
        <w:rPr>
          <w:sz w:val="22"/>
          <w:szCs w:val="22"/>
        </w:rPr>
        <w:t>emfigoid, liečba s JUZIMETTE</w:t>
      </w:r>
      <w:r w:rsidRPr="00B57AE7">
        <w:rPr>
          <w:sz w:val="22"/>
          <w:szCs w:val="22"/>
        </w:rPr>
        <w:t xml:space="preserve"> sa má ukončiť. </w:t>
      </w:r>
    </w:p>
    <w:p w14:paraId="2E137117" w14:textId="77777777" w:rsidR="00092AFA" w:rsidRPr="00B57AE7" w:rsidRDefault="00092AFA" w:rsidP="00EA0C68">
      <w:pPr>
        <w:spacing w:line="0" w:lineRule="atLeast"/>
        <w:rPr>
          <w:sz w:val="22"/>
          <w:szCs w:val="22"/>
        </w:rPr>
      </w:pPr>
    </w:p>
    <w:p w14:paraId="3AE643C4" w14:textId="77777777" w:rsidR="00092AFA" w:rsidRPr="00B57AE7" w:rsidRDefault="00AC3448" w:rsidP="00EA0C68">
      <w:pPr>
        <w:spacing w:line="0" w:lineRule="atLeast"/>
        <w:rPr>
          <w:sz w:val="22"/>
          <w:szCs w:val="22"/>
          <w:u w:val="single"/>
        </w:rPr>
      </w:pPr>
      <w:r w:rsidRPr="00B57AE7">
        <w:rPr>
          <w:sz w:val="22"/>
          <w:szCs w:val="22"/>
          <w:u w:val="single"/>
        </w:rPr>
        <w:t xml:space="preserve">Chirurgický zákrok </w:t>
      </w:r>
    </w:p>
    <w:p w14:paraId="2EC289D3" w14:textId="77777777" w:rsidR="00AC3448" w:rsidRPr="00B57AE7" w:rsidRDefault="008D6F86" w:rsidP="00EA0C68">
      <w:pPr>
        <w:spacing w:line="0" w:lineRule="atLeast"/>
        <w:rPr>
          <w:sz w:val="22"/>
          <w:szCs w:val="22"/>
        </w:rPr>
      </w:pPr>
      <w:r>
        <w:rPr>
          <w:sz w:val="22"/>
          <w:szCs w:val="22"/>
        </w:rPr>
        <w:t>JUZIMETTE</w:t>
      </w:r>
      <w:r w:rsidR="00AC3448" w:rsidRPr="00B57AE7">
        <w:rPr>
          <w:sz w:val="22"/>
          <w:szCs w:val="22"/>
        </w:rPr>
        <w:t xml:space="preserve"> sa musí vysadiť v čase chirurgického zákroku s celkovou, spinálnou alebo epidurálnou anestéziou. Liečba sa nesmie opätovne nasadiť skôr ako 48 hodín po chirurgickom zákroku alebo po obnovení perorálnej výživy a za predpokladu, že došlo k opätovnému vyhodnoteniu funkcie obličiek a pri zistení, že je stabilná.</w:t>
      </w:r>
    </w:p>
    <w:p w14:paraId="782E3266" w14:textId="77777777" w:rsidR="00AC3448" w:rsidRPr="00B57AE7" w:rsidRDefault="00AC3448" w:rsidP="00EA0C68">
      <w:pPr>
        <w:spacing w:line="0" w:lineRule="atLeast"/>
        <w:rPr>
          <w:sz w:val="22"/>
          <w:szCs w:val="22"/>
        </w:rPr>
      </w:pPr>
    </w:p>
    <w:p w14:paraId="1F506F96" w14:textId="77777777" w:rsidR="00092AFA" w:rsidRPr="00B57AE7" w:rsidRDefault="00AC3448" w:rsidP="00AC3448">
      <w:pPr>
        <w:spacing w:line="0" w:lineRule="atLeast"/>
        <w:rPr>
          <w:sz w:val="22"/>
          <w:szCs w:val="22"/>
          <w:u w:val="single"/>
        </w:rPr>
      </w:pPr>
      <w:r w:rsidRPr="00B57AE7">
        <w:rPr>
          <w:sz w:val="22"/>
          <w:szCs w:val="22"/>
          <w:u w:val="single"/>
        </w:rPr>
        <w:t xml:space="preserve">Podanie jódovej kontrastnej látky </w:t>
      </w:r>
    </w:p>
    <w:p w14:paraId="6BD5A322" w14:textId="77777777" w:rsidR="00F54090" w:rsidRPr="00B57AE7" w:rsidRDefault="00AC3448" w:rsidP="00AC3448">
      <w:pPr>
        <w:spacing w:line="0" w:lineRule="atLeast"/>
        <w:rPr>
          <w:sz w:val="22"/>
          <w:szCs w:val="22"/>
        </w:rPr>
      </w:pPr>
      <w:r w:rsidRPr="00B57AE7">
        <w:rPr>
          <w:sz w:val="22"/>
          <w:szCs w:val="22"/>
        </w:rPr>
        <w:t>Intravaskulárne podávanie jódových kontrastných látok môže viesť k nefropatii vyvolanej kontrastnou látkou, čo spôsobuje akumuláciu metformínu a zvýšené riziko laktátovej acidózy. Pred alebo v čase zobrazovacieho vyšetrenia je potrebné p</w:t>
      </w:r>
      <w:r w:rsidR="00F54090" w:rsidRPr="00B57AE7">
        <w:rPr>
          <w:sz w:val="22"/>
          <w:szCs w:val="22"/>
        </w:rPr>
        <w:t xml:space="preserve">rerušiť podávanie </w:t>
      </w:r>
      <w:r w:rsidR="008D6F86">
        <w:rPr>
          <w:sz w:val="22"/>
          <w:szCs w:val="22"/>
        </w:rPr>
        <w:t>JUZIMETTE</w:t>
      </w:r>
      <w:r w:rsidRPr="00B57AE7">
        <w:rPr>
          <w:sz w:val="22"/>
          <w:szCs w:val="22"/>
        </w:rPr>
        <w:t xml:space="preserve"> a v podávaní pokračujte nie skôr ako po uplynutí minimálne 48 hodín, za predpokladu, že funkcia obličiek bola opätovne posúdená a považovaná za stabilnú (pozri časti 4.3 a 4.5). </w:t>
      </w:r>
    </w:p>
    <w:p w14:paraId="7DE040CA" w14:textId="77777777" w:rsidR="00F54090" w:rsidRPr="00B57AE7" w:rsidRDefault="00F54090" w:rsidP="00AC3448">
      <w:pPr>
        <w:spacing w:line="0" w:lineRule="atLeast"/>
        <w:rPr>
          <w:sz w:val="22"/>
          <w:szCs w:val="22"/>
        </w:rPr>
      </w:pPr>
    </w:p>
    <w:p w14:paraId="1F2285E3" w14:textId="77777777" w:rsidR="00F54090" w:rsidRPr="00B57AE7" w:rsidRDefault="00AC3448" w:rsidP="00AC3448">
      <w:pPr>
        <w:spacing w:line="0" w:lineRule="atLeast"/>
        <w:rPr>
          <w:sz w:val="22"/>
          <w:szCs w:val="22"/>
          <w:u w:val="single"/>
        </w:rPr>
      </w:pPr>
      <w:r w:rsidRPr="00B57AE7">
        <w:rPr>
          <w:sz w:val="22"/>
          <w:szCs w:val="22"/>
          <w:u w:val="single"/>
        </w:rPr>
        <w:t xml:space="preserve">Zmena klinického stavu pacientov s doteraz kontrolovaným diabetom 2. typu </w:t>
      </w:r>
    </w:p>
    <w:p w14:paraId="0A771CBA" w14:textId="77777777" w:rsidR="00F54090" w:rsidRPr="00B57AE7" w:rsidRDefault="00AC3448" w:rsidP="00AC3448">
      <w:pPr>
        <w:spacing w:line="0" w:lineRule="atLeast"/>
        <w:rPr>
          <w:sz w:val="22"/>
          <w:szCs w:val="22"/>
        </w:rPr>
      </w:pPr>
      <w:r w:rsidRPr="00B57AE7">
        <w:rPr>
          <w:sz w:val="22"/>
          <w:szCs w:val="22"/>
        </w:rPr>
        <w:t>Pacienta s doteraz dobre kontrolovaným diabeto</w:t>
      </w:r>
      <w:r w:rsidR="00F54090" w:rsidRPr="00B57AE7">
        <w:rPr>
          <w:sz w:val="22"/>
          <w:szCs w:val="22"/>
        </w:rPr>
        <w:t xml:space="preserve">m 2. </w:t>
      </w:r>
      <w:r w:rsidR="000464EF">
        <w:rPr>
          <w:sz w:val="22"/>
          <w:szCs w:val="22"/>
        </w:rPr>
        <w:t xml:space="preserve">typu pomocou </w:t>
      </w:r>
      <w:r w:rsidR="008D6F86">
        <w:rPr>
          <w:sz w:val="22"/>
          <w:szCs w:val="22"/>
        </w:rPr>
        <w:t>JUZIMETTE</w:t>
      </w:r>
      <w:r w:rsidRPr="00B57AE7">
        <w:rPr>
          <w:sz w:val="22"/>
          <w:szCs w:val="22"/>
        </w:rPr>
        <w:t xml:space="preserve">, u ktorého sa objavia laboratórne abnormality alebo klinické ochorenie (obzvlášť nejasné a ťažko definovateľné ochorenie), je potrebné urýchlene vyšetriť na dôkaz ketoacidózy alebo laktátovej acidózy. Vyšetrenie má zahŕňať elektrolyty a ketóny v sére, glukózu v krvi a ak je indikované, pH krvi, hladiny laktátu, pyruvátu a metformínu. Ak sa vyskytne ktorákoľvek forma acidózy, liečba sa musí okamžite ukončiť a začať s ďalšími primeranými nápravnými opatreniami. </w:t>
      </w:r>
    </w:p>
    <w:p w14:paraId="1695B515" w14:textId="13F66BB6" w:rsidR="00F54090" w:rsidRDefault="00F54090" w:rsidP="00AC3448">
      <w:pPr>
        <w:spacing w:line="0" w:lineRule="atLeast"/>
        <w:rPr>
          <w:sz w:val="22"/>
          <w:szCs w:val="22"/>
        </w:rPr>
      </w:pPr>
    </w:p>
    <w:p w14:paraId="52464337" w14:textId="77777777" w:rsidR="00DA3CDE" w:rsidRPr="00DA3CDE" w:rsidRDefault="00DA3CDE" w:rsidP="00DA3CDE">
      <w:pPr>
        <w:spacing w:line="0" w:lineRule="atLeast"/>
        <w:rPr>
          <w:sz w:val="22"/>
          <w:szCs w:val="22"/>
          <w:u w:val="single"/>
        </w:rPr>
      </w:pPr>
      <w:r w:rsidRPr="00DA3CDE">
        <w:rPr>
          <w:sz w:val="22"/>
          <w:szCs w:val="22"/>
          <w:u w:val="single"/>
        </w:rPr>
        <w:t>Nedostatok vitamínu B</w:t>
      </w:r>
      <w:r w:rsidRPr="00DA3CDE">
        <w:rPr>
          <w:sz w:val="22"/>
          <w:szCs w:val="22"/>
          <w:u w:val="single"/>
          <w:vertAlign w:val="subscript"/>
        </w:rPr>
        <w:t>12</w:t>
      </w:r>
    </w:p>
    <w:p w14:paraId="6C8D63A7" w14:textId="77777777" w:rsidR="00DA3CDE" w:rsidRPr="00DA3CDE" w:rsidRDefault="00DA3CDE" w:rsidP="00DA3CDE">
      <w:pPr>
        <w:spacing w:line="0" w:lineRule="atLeast"/>
        <w:rPr>
          <w:sz w:val="22"/>
          <w:szCs w:val="22"/>
        </w:rPr>
      </w:pPr>
      <w:r w:rsidRPr="00DA3CDE">
        <w:rPr>
          <w:sz w:val="22"/>
          <w:szCs w:val="22"/>
        </w:rPr>
        <w:t>Metformín môže znížiť sérové hladiny vitamínu B</w:t>
      </w:r>
      <w:r w:rsidRPr="00DA3CDE">
        <w:rPr>
          <w:sz w:val="22"/>
          <w:szCs w:val="22"/>
          <w:vertAlign w:val="subscript"/>
        </w:rPr>
        <w:t>12</w:t>
      </w:r>
      <w:r w:rsidRPr="00DA3CDE">
        <w:rPr>
          <w:sz w:val="22"/>
          <w:szCs w:val="22"/>
        </w:rPr>
        <w:t>. Riziko nízkych hladín vitamínu B</w:t>
      </w:r>
      <w:r w:rsidRPr="00DA3CDE">
        <w:rPr>
          <w:sz w:val="22"/>
          <w:szCs w:val="22"/>
          <w:vertAlign w:val="subscript"/>
        </w:rPr>
        <w:t>12</w:t>
      </w:r>
      <w:r w:rsidRPr="00DA3CDE">
        <w:rPr>
          <w:sz w:val="22"/>
          <w:szCs w:val="22"/>
        </w:rPr>
        <w:t xml:space="preserve"> sa zvyšuje so zvyšujúcou sa dávkou metformínu, dĺžkou trvania liečby a/alebo u pacientov s rizikovými faktormi,</w:t>
      </w:r>
    </w:p>
    <w:p w14:paraId="0734F33C" w14:textId="77777777" w:rsidR="00DA3CDE" w:rsidRPr="00DA3CDE" w:rsidRDefault="00DA3CDE" w:rsidP="00DA3CDE">
      <w:pPr>
        <w:spacing w:line="0" w:lineRule="atLeast"/>
        <w:rPr>
          <w:sz w:val="22"/>
          <w:szCs w:val="22"/>
        </w:rPr>
      </w:pPr>
      <w:r w:rsidRPr="00DA3CDE">
        <w:rPr>
          <w:sz w:val="22"/>
          <w:szCs w:val="22"/>
        </w:rPr>
        <w:t>o ktorých je známe, že spôsobujú nedostatok vitamínu B</w:t>
      </w:r>
      <w:r w:rsidRPr="00DA3CDE">
        <w:rPr>
          <w:sz w:val="22"/>
          <w:szCs w:val="22"/>
          <w:vertAlign w:val="subscript"/>
        </w:rPr>
        <w:t>12</w:t>
      </w:r>
      <w:r w:rsidRPr="00DA3CDE">
        <w:rPr>
          <w:sz w:val="22"/>
          <w:szCs w:val="22"/>
        </w:rPr>
        <w:t>. V prípade podozrenia na nedostatok</w:t>
      </w:r>
    </w:p>
    <w:p w14:paraId="1563F820" w14:textId="77777777" w:rsidR="00DA3CDE" w:rsidRPr="00DA3CDE" w:rsidRDefault="00DA3CDE" w:rsidP="00DA3CDE">
      <w:pPr>
        <w:spacing w:line="0" w:lineRule="atLeast"/>
        <w:rPr>
          <w:sz w:val="22"/>
          <w:szCs w:val="22"/>
        </w:rPr>
      </w:pPr>
      <w:r w:rsidRPr="00DA3CDE">
        <w:rPr>
          <w:sz w:val="22"/>
          <w:szCs w:val="22"/>
        </w:rPr>
        <w:t>vitamínu B</w:t>
      </w:r>
      <w:r w:rsidRPr="00DA3CDE">
        <w:rPr>
          <w:sz w:val="22"/>
          <w:szCs w:val="22"/>
          <w:vertAlign w:val="subscript"/>
        </w:rPr>
        <w:t>12</w:t>
      </w:r>
      <w:r w:rsidRPr="00DA3CDE">
        <w:rPr>
          <w:sz w:val="22"/>
          <w:szCs w:val="22"/>
        </w:rPr>
        <w:t xml:space="preserve"> (ako sú anémia alebo neuropatia) sa majú sledovať sérové hladiny vitamínu B</w:t>
      </w:r>
      <w:r w:rsidRPr="00DA3CDE">
        <w:rPr>
          <w:sz w:val="22"/>
          <w:szCs w:val="22"/>
          <w:vertAlign w:val="subscript"/>
        </w:rPr>
        <w:t>12</w:t>
      </w:r>
      <w:r w:rsidRPr="00DA3CDE">
        <w:rPr>
          <w:sz w:val="22"/>
          <w:szCs w:val="22"/>
        </w:rPr>
        <w:t>.</w:t>
      </w:r>
    </w:p>
    <w:p w14:paraId="3732A75C" w14:textId="77777777" w:rsidR="00DA3CDE" w:rsidRPr="00DA3CDE" w:rsidRDefault="00DA3CDE" w:rsidP="00DA3CDE">
      <w:pPr>
        <w:spacing w:line="0" w:lineRule="atLeast"/>
        <w:rPr>
          <w:sz w:val="22"/>
          <w:szCs w:val="22"/>
        </w:rPr>
      </w:pPr>
      <w:r w:rsidRPr="00DA3CDE">
        <w:rPr>
          <w:sz w:val="22"/>
          <w:szCs w:val="22"/>
        </w:rPr>
        <w:t>U pacientov s rizikovými faktormi nedostatku vitamínu B</w:t>
      </w:r>
      <w:r w:rsidRPr="00DA3CDE">
        <w:rPr>
          <w:sz w:val="22"/>
          <w:szCs w:val="22"/>
          <w:vertAlign w:val="subscript"/>
        </w:rPr>
        <w:t>12</w:t>
      </w:r>
      <w:r w:rsidRPr="00DA3CDE">
        <w:rPr>
          <w:sz w:val="22"/>
          <w:szCs w:val="22"/>
        </w:rPr>
        <w:t xml:space="preserve"> môže byť potrebné pravidelné sledovanie</w:t>
      </w:r>
    </w:p>
    <w:p w14:paraId="2D4B560E" w14:textId="77777777" w:rsidR="00DA3CDE" w:rsidRPr="00DA3CDE" w:rsidRDefault="00DA3CDE" w:rsidP="00DA3CDE">
      <w:pPr>
        <w:spacing w:line="0" w:lineRule="atLeast"/>
        <w:rPr>
          <w:sz w:val="22"/>
          <w:szCs w:val="22"/>
        </w:rPr>
      </w:pPr>
      <w:r w:rsidRPr="00DA3CDE">
        <w:rPr>
          <w:sz w:val="22"/>
          <w:szCs w:val="22"/>
        </w:rPr>
        <w:t>vitamínu B</w:t>
      </w:r>
      <w:r w:rsidRPr="00DA3CDE">
        <w:rPr>
          <w:sz w:val="22"/>
          <w:szCs w:val="22"/>
          <w:vertAlign w:val="subscript"/>
        </w:rPr>
        <w:t>12</w:t>
      </w:r>
      <w:r w:rsidRPr="00DA3CDE">
        <w:rPr>
          <w:sz w:val="22"/>
          <w:szCs w:val="22"/>
        </w:rPr>
        <w:t>. Liečba metformínom má pokračovať tak dlho, kým je tolerovaná a nie je kontraindikovaná a má sa poskytnúť vhodná korektívna liečba nedostatku vitamínu B</w:t>
      </w:r>
      <w:r w:rsidRPr="00DA3CDE">
        <w:rPr>
          <w:sz w:val="22"/>
          <w:szCs w:val="22"/>
          <w:vertAlign w:val="subscript"/>
        </w:rPr>
        <w:t>12</w:t>
      </w:r>
      <w:r w:rsidRPr="00DA3CDE">
        <w:rPr>
          <w:sz w:val="22"/>
          <w:szCs w:val="22"/>
        </w:rPr>
        <w:t xml:space="preserve"> v súlade</w:t>
      </w:r>
    </w:p>
    <w:p w14:paraId="3E312490" w14:textId="77777777" w:rsidR="00DA3CDE" w:rsidRPr="00DA3CDE" w:rsidRDefault="00DA3CDE" w:rsidP="00DA3CDE">
      <w:pPr>
        <w:spacing w:line="0" w:lineRule="atLeast"/>
        <w:rPr>
          <w:sz w:val="22"/>
          <w:szCs w:val="22"/>
        </w:rPr>
      </w:pPr>
      <w:r w:rsidRPr="00DA3CDE">
        <w:rPr>
          <w:sz w:val="22"/>
          <w:szCs w:val="22"/>
        </w:rPr>
        <w:t>s aktuálnymi klinickými usmerneniami</w:t>
      </w:r>
    </w:p>
    <w:p w14:paraId="7E547B1B" w14:textId="77777777" w:rsidR="00DA3CDE" w:rsidRPr="00DA3CDE" w:rsidRDefault="00DA3CDE" w:rsidP="00DA3CDE">
      <w:pPr>
        <w:spacing w:line="0" w:lineRule="atLeast"/>
        <w:rPr>
          <w:sz w:val="22"/>
          <w:szCs w:val="22"/>
          <w:u w:val="single"/>
        </w:rPr>
      </w:pPr>
    </w:p>
    <w:p w14:paraId="0850B23C" w14:textId="77777777" w:rsidR="00F54090" w:rsidRPr="00B57AE7" w:rsidRDefault="00216399" w:rsidP="00AC3448">
      <w:pPr>
        <w:spacing w:line="0" w:lineRule="atLeast"/>
        <w:rPr>
          <w:sz w:val="22"/>
          <w:szCs w:val="22"/>
          <w:u w:val="single"/>
        </w:rPr>
      </w:pPr>
      <w:r w:rsidRPr="00B57AE7">
        <w:rPr>
          <w:sz w:val="22"/>
          <w:szCs w:val="22"/>
          <w:u w:val="single"/>
        </w:rPr>
        <w:t>Pomocné látky</w:t>
      </w:r>
      <w:r w:rsidR="00AC3448" w:rsidRPr="00B57AE7">
        <w:rPr>
          <w:sz w:val="22"/>
          <w:szCs w:val="22"/>
          <w:u w:val="single"/>
        </w:rPr>
        <w:t xml:space="preserve"> </w:t>
      </w:r>
    </w:p>
    <w:p w14:paraId="1AD265D7" w14:textId="77777777" w:rsidR="00EA0C68" w:rsidRPr="00B57AE7" w:rsidRDefault="00AC3448" w:rsidP="00AC3448">
      <w:pPr>
        <w:spacing w:line="0" w:lineRule="atLeast"/>
        <w:rPr>
          <w:sz w:val="22"/>
          <w:szCs w:val="22"/>
        </w:rPr>
      </w:pPr>
      <w:r w:rsidRPr="00B57AE7">
        <w:rPr>
          <w:sz w:val="22"/>
          <w:szCs w:val="22"/>
        </w:rPr>
        <w:t>Tento liek obsahuje menej ako 1 mmol sodíka (23 mg) v</w:t>
      </w:r>
      <w:r w:rsidR="00C9077D" w:rsidRPr="00B57AE7">
        <w:rPr>
          <w:sz w:val="22"/>
          <w:szCs w:val="22"/>
        </w:rPr>
        <w:t>o filmom obalenej</w:t>
      </w:r>
      <w:r w:rsidRPr="00B57AE7">
        <w:rPr>
          <w:sz w:val="22"/>
          <w:szCs w:val="22"/>
        </w:rPr>
        <w:t xml:space="preserve"> tablete, t.j. v podstate zanedbateľné množstvo sodíka</w:t>
      </w:r>
      <w:r w:rsidR="00E314F3" w:rsidRPr="00B57AE7">
        <w:rPr>
          <w:sz w:val="22"/>
          <w:szCs w:val="22"/>
        </w:rPr>
        <w:t>.</w:t>
      </w:r>
    </w:p>
    <w:p w14:paraId="1499ABDF" w14:textId="77777777" w:rsidR="004172A2" w:rsidRPr="00B57AE7" w:rsidRDefault="004172A2" w:rsidP="00AC3448">
      <w:pPr>
        <w:spacing w:line="0" w:lineRule="atLeast"/>
        <w:rPr>
          <w:sz w:val="22"/>
          <w:szCs w:val="22"/>
        </w:rPr>
      </w:pPr>
    </w:p>
    <w:p w14:paraId="6663376B" w14:textId="77777777" w:rsidR="004172A2" w:rsidRPr="00B57AE7" w:rsidRDefault="004172A2" w:rsidP="004172A2">
      <w:pPr>
        <w:widowControl w:val="0"/>
        <w:tabs>
          <w:tab w:val="left" w:pos="567"/>
        </w:tabs>
        <w:rPr>
          <w:sz w:val="22"/>
          <w:szCs w:val="22"/>
          <w:lang w:eastAsia="en-US"/>
        </w:rPr>
      </w:pPr>
      <w:r w:rsidRPr="00B57AE7">
        <w:rPr>
          <w:b/>
          <w:sz w:val="22"/>
          <w:szCs w:val="22"/>
          <w:lang w:eastAsia="en-US"/>
        </w:rPr>
        <w:t>4.5</w:t>
      </w:r>
      <w:r w:rsidRPr="00B57AE7">
        <w:rPr>
          <w:b/>
          <w:sz w:val="22"/>
          <w:szCs w:val="22"/>
          <w:lang w:eastAsia="en-US"/>
        </w:rPr>
        <w:tab/>
        <w:t>Liekové a iné interakcie</w:t>
      </w:r>
    </w:p>
    <w:p w14:paraId="0751E090" w14:textId="77777777" w:rsidR="004172A2" w:rsidRPr="00B57AE7" w:rsidRDefault="004172A2" w:rsidP="004172A2">
      <w:pPr>
        <w:widowControl w:val="0"/>
        <w:tabs>
          <w:tab w:val="left" w:pos="567"/>
        </w:tabs>
        <w:rPr>
          <w:sz w:val="22"/>
          <w:szCs w:val="22"/>
          <w:lang w:eastAsia="en-US"/>
        </w:rPr>
      </w:pPr>
    </w:p>
    <w:p w14:paraId="6B209BDF" w14:textId="77777777" w:rsidR="00135119" w:rsidRPr="00B57AE7" w:rsidRDefault="004172A2" w:rsidP="004172A2">
      <w:pPr>
        <w:spacing w:line="0" w:lineRule="atLeast"/>
        <w:rPr>
          <w:sz w:val="22"/>
          <w:szCs w:val="22"/>
        </w:rPr>
      </w:pPr>
      <w:r w:rsidRPr="00B57AE7">
        <w:rPr>
          <w:sz w:val="22"/>
          <w:szCs w:val="22"/>
        </w:rPr>
        <w:t xml:space="preserve">Súbežné podávanie opakovaných dávok sitagliptínu (50 mg dvakrát denne) a metformínu (1 000 mg dvakrát denne) významne nezmenilo farmakokinetiku sitagliptínu ani metformínu u pacientov s diabetom 2. typu. </w:t>
      </w:r>
    </w:p>
    <w:p w14:paraId="5D08B69E" w14:textId="77777777" w:rsidR="00135119" w:rsidRPr="00B57AE7" w:rsidRDefault="00135119" w:rsidP="004172A2">
      <w:pPr>
        <w:spacing w:line="0" w:lineRule="atLeast"/>
        <w:rPr>
          <w:sz w:val="22"/>
          <w:szCs w:val="22"/>
        </w:rPr>
      </w:pPr>
    </w:p>
    <w:p w14:paraId="3252A7F0" w14:textId="77777777" w:rsidR="00135119" w:rsidRPr="00B57AE7" w:rsidRDefault="004172A2" w:rsidP="004172A2">
      <w:pPr>
        <w:spacing w:line="0" w:lineRule="atLeast"/>
        <w:rPr>
          <w:sz w:val="22"/>
          <w:szCs w:val="22"/>
        </w:rPr>
      </w:pPr>
      <w:r w:rsidRPr="00B57AE7">
        <w:rPr>
          <w:sz w:val="22"/>
          <w:szCs w:val="22"/>
        </w:rPr>
        <w:t>Farmakokinetické int</w:t>
      </w:r>
      <w:r w:rsidR="00135119" w:rsidRPr="00B57AE7">
        <w:rPr>
          <w:sz w:val="22"/>
          <w:szCs w:val="22"/>
        </w:rPr>
        <w:t xml:space="preserve">erakčné štúdie s </w:t>
      </w:r>
      <w:r w:rsidR="008D6F86">
        <w:rPr>
          <w:sz w:val="22"/>
          <w:szCs w:val="22"/>
        </w:rPr>
        <w:t>JUZIMETTE</w:t>
      </w:r>
      <w:r w:rsidRPr="00B57AE7">
        <w:rPr>
          <w:sz w:val="22"/>
          <w:szCs w:val="22"/>
        </w:rPr>
        <w:t xml:space="preserve"> sa neuskutočnili. Takéto štúdie sa však vykonali s jednotlivými liečivami, so sitagliptínom a metformínom. </w:t>
      </w:r>
    </w:p>
    <w:p w14:paraId="2801622E" w14:textId="77777777" w:rsidR="000657F0" w:rsidRPr="00B57AE7" w:rsidRDefault="000657F0" w:rsidP="004172A2">
      <w:pPr>
        <w:spacing w:line="0" w:lineRule="atLeast"/>
        <w:rPr>
          <w:sz w:val="22"/>
          <w:szCs w:val="22"/>
        </w:rPr>
      </w:pPr>
    </w:p>
    <w:p w14:paraId="582036D5" w14:textId="77777777" w:rsidR="004172A2" w:rsidRPr="00B57AE7" w:rsidRDefault="004172A2" w:rsidP="004172A2">
      <w:pPr>
        <w:spacing w:line="0" w:lineRule="atLeast"/>
        <w:rPr>
          <w:sz w:val="22"/>
          <w:szCs w:val="22"/>
          <w:u w:val="single"/>
        </w:rPr>
      </w:pPr>
      <w:r w:rsidRPr="00B57AE7">
        <w:rPr>
          <w:sz w:val="22"/>
          <w:szCs w:val="22"/>
          <w:u w:val="single"/>
        </w:rPr>
        <w:t>Súbežné</w:t>
      </w:r>
      <w:r w:rsidR="00135119" w:rsidRPr="00B57AE7">
        <w:rPr>
          <w:sz w:val="22"/>
          <w:szCs w:val="22"/>
          <w:u w:val="single"/>
        </w:rPr>
        <w:t xml:space="preserve"> používanie, ktoré sa neodporúča</w:t>
      </w:r>
    </w:p>
    <w:p w14:paraId="66E46517" w14:textId="77777777" w:rsidR="00216399" w:rsidRPr="00B57AE7" w:rsidRDefault="00216399" w:rsidP="00135119">
      <w:pPr>
        <w:spacing w:line="0" w:lineRule="atLeast"/>
        <w:rPr>
          <w:sz w:val="22"/>
        </w:rPr>
      </w:pPr>
    </w:p>
    <w:p w14:paraId="630709C8" w14:textId="77777777" w:rsidR="00135119" w:rsidRPr="00B57AE7" w:rsidRDefault="00135119" w:rsidP="00135119">
      <w:pPr>
        <w:spacing w:line="0" w:lineRule="atLeast"/>
        <w:rPr>
          <w:sz w:val="22"/>
        </w:rPr>
      </w:pPr>
      <w:r w:rsidRPr="00B57AE7">
        <w:rPr>
          <w:sz w:val="22"/>
        </w:rPr>
        <w:t>Alkohol</w:t>
      </w:r>
    </w:p>
    <w:p w14:paraId="200F231D" w14:textId="77777777" w:rsidR="00135119" w:rsidRPr="00B57AE7" w:rsidRDefault="00135119" w:rsidP="00135119">
      <w:pPr>
        <w:spacing w:line="255" w:lineRule="auto"/>
        <w:ind w:right="805"/>
        <w:rPr>
          <w:sz w:val="22"/>
        </w:rPr>
      </w:pPr>
      <w:r w:rsidRPr="00B57AE7">
        <w:rPr>
          <w:sz w:val="22"/>
        </w:rPr>
        <w:lastRenderedPageBreak/>
        <w:t>Intoxikácia alkoholom je spojená so zvýšeným rizikom laktátovej acidózy najmä v prípadoch hladovania, nedostatočnej výživy alebo poškodenia funkcie pečene.</w:t>
      </w:r>
    </w:p>
    <w:p w14:paraId="7FC2C0C2" w14:textId="77777777" w:rsidR="00135119" w:rsidRPr="00B57AE7" w:rsidRDefault="00135119" w:rsidP="00135119">
      <w:pPr>
        <w:spacing w:line="216" w:lineRule="exact"/>
      </w:pPr>
    </w:p>
    <w:p w14:paraId="6D69DFA4" w14:textId="77777777" w:rsidR="00135119" w:rsidRPr="00B57AE7" w:rsidRDefault="00135119" w:rsidP="00135119">
      <w:pPr>
        <w:spacing w:line="0" w:lineRule="atLeast"/>
        <w:rPr>
          <w:sz w:val="22"/>
        </w:rPr>
      </w:pPr>
      <w:r w:rsidRPr="00B57AE7">
        <w:rPr>
          <w:sz w:val="22"/>
        </w:rPr>
        <w:t>Jódové kontrastné látky</w:t>
      </w:r>
    </w:p>
    <w:p w14:paraId="11B57883" w14:textId="77777777" w:rsidR="00135119" w:rsidRPr="00B57AE7" w:rsidRDefault="00135119" w:rsidP="00135119">
      <w:pPr>
        <w:spacing w:line="250" w:lineRule="auto"/>
        <w:ind w:right="85"/>
        <w:rPr>
          <w:sz w:val="22"/>
        </w:rPr>
      </w:pPr>
      <w:r w:rsidRPr="00B57AE7">
        <w:rPr>
          <w:sz w:val="22"/>
        </w:rPr>
        <w:t xml:space="preserve">Pred zobrazovacím vyšetrením alebo v čase zobrazovacieho vyšetrenia sa </w:t>
      </w:r>
      <w:r w:rsidR="008D6F86">
        <w:rPr>
          <w:sz w:val="22"/>
        </w:rPr>
        <w:t>JUZIMETTE</w:t>
      </w:r>
      <w:r w:rsidRPr="00B57AE7">
        <w:rPr>
          <w:sz w:val="22"/>
        </w:rPr>
        <w:t xml:space="preserve"> musí vysadiť a nesmie sa opätovne nasadiť, kým neuplynie minimálne 48 hodín, za predpokladu, že došlo k opätovnému vyhodnoteniu funkcie obličiek a zistilo sa, že je stabilná (pozri časti 4.3 a 4.4).</w:t>
      </w:r>
    </w:p>
    <w:p w14:paraId="79DCFCA6" w14:textId="77777777" w:rsidR="00135119" w:rsidRPr="00B57AE7" w:rsidRDefault="00135119" w:rsidP="00135119">
      <w:pPr>
        <w:spacing w:line="222" w:lineRule="exact"/>
      </w:pPr>
    </w:p>
    <w:p w14:paraId="2DD55BF3" w14:textId="77777777" w:rsidR="00135119" w:rsidRPr="00B57AE7" w:rsidRDefault="00135119" w:rsidP="00135119">
      <w:pPr>
        <w:spacing w:line="0" w:lineRule="atLeast"/>
        <w:rPr>
          <w:sz w:val="22"/>
          <w:u w:val="single"/>
        </w:rPr>
      </w:pPr>
      <w:r w:rsidRPr="00B57AE7">
        <w:rPr>
          <w:sz w:val="22"/>
          <w:u w:val="single"/>
        </w:rPr>
        <w:t>Kombinácie vyžadujúce opatrnosť pri používaní</w:t>
      </w:r>
    </w:p>
    <w:p w14:paraId="6D3545A0" w14:textId="77777777" w:rsidR="00216399" w:rsidRPr="00B57AE7" w:rsidRDefault="00216399" w:rsidP="00135119">
      <w:pPr>
        <w:spacing w:line="248" w:lineRule="auto"/>
        <w:ind w:right="65"/>
        <w:rPr>
          <w:sz w:val="22"/>
        </w:rPr>
      </w:pPr>
    </w:p>
    <w:p w14:paraId="2FBD0EDA" w14:textId="77777777" w:rsidR="00135119" w:rsidRPr="00B57AE7" w:rsidRDefault="00135119" w:rsidP="00135119">
      <w:pPr>
        <w:spacing w:line="248" w:lineRule="auto"/>
        <w:ind w:right="65"/>
        <w:rPr>
          <w:sz w:val="22"/>
        </w:rPr>
      </w:pPr>
      <w:r w:rsidRPr="00B57AE7">
        <w:rPr>
          <w:sz w:val="22"/>
        </w:rPr>
        <w:t>Niektoré lieky môžu nežiaduco ovplyvňovať funkciu obličiek, čo môže zvýšiť riziko laktátovej acidózy, napr. NSAID vrátane selektívnych inhibítorov cyklooxygenázy II (COX), inhibítorov ACE, antagonistov receptora angiotenzínu II a diuretík, obzvlášť kľučkových diuretík. Ak sa začína používať alebo používa takýto liek v kombinácii s metformínom, je potrebné dôkladné monitorovanie funkcie obličiek.</w:t>
      </w:r>
    </w:p>
    <w:p w14:paraId="02EF8143" w14:textId="77777777" w:rsidR="00135119" w:rsidRPr="00B57AE7" w:rsidRDefault="00135119" w:rsidP="00135119">
      <w:pPr>
        <w:spacing w:line="224" w:lineRule="exact"/>
      </w:pPr>
    </w:p>
    <w:p w14:paraId="393EA66E" w14:textId="3A02E596" w:rsidR="00135119" w:rsidRPr="00B57AE7" w:rsidRDefault="00135119" w:rsidP="00135119">
      <w:pPr>
        <w:spacing w:line="251" w:lineRule="auto"/>
        <w:ind w:right="85"/>
        <w:rPr>
          <w:sz w:val="22"/>
        </w:rPr>
      </w:pPr>
      <w:r w:rsidRPr="00B57AE7">
        <w:rPr>
          <w:sz w:val="22"/>
        </w:rPr>
        <w:t>Súbežné užívanie lie</w:t>
      </w:r>
      <w:r w:rsidR="00DA3CDE">
        <w:rPr>
          <w:sz w:val="22"/>
        </w:rPr>
        <w:t>kov</w:t>
      </w:r>
      <w:r w:rsidRPr="00B57AE7">
        <w:rPr>
          <w:sz w:val="22"/>
        </w:rPr>
        <w:t>, ktoré interagujú so spoločnými renálnymi tubulárnymi transportnými systémami, podieľajúcimi sa na renálnej eliminácii metformínu (napr. inhibítory organického katiónového transportéra-2 [OCT2] / proteínu extrudujúceho mnohé liečivá a toxíny [MATE], ako sú ranolazín, vandetanib, dolutegravir a cimetidín) môže zvýšiť systémovú expozíciu metformínu</w:t>
      </w:r>
    </w:p>
    <w:p w14:paraId="3383A18E" w14:textId="77777777" w:rsidR="00135119" w:rsidRPr="00B57AE7" w:rsidRDefault="00135119" w:rsidP="00135119">
      <w:pPr>
        <w:spacing w:line="250" w:lineRule="auto"/>
        <w:ind w:right="25"/>
        <w:rPr>
          <w:sz w:val="22"/>
        </w:rPr>
      </w:pPr>
      <w:r w:rsidRPr="00B57AE7">
        <w:rPr>
          <w:sz w:val="22"/>
        </w:rPr>
        <w:t>a riziko laktátovej acidózy. Zvážte prínosy a riziká súbežného užívania. Keď sú tieto liečivá podávané súbežne, je potrebné zvážiť dôkladné sledovanie glykemickej kontroly, úpravu dávky v rámci odporúčaného dávkovania a zmeny v liečbe diabetu.</w:t>
      </w:r>
    </w:p>
    <w:p w14:paraId="5BD99C07" w14:textId="77777777" w:rsidR="00F366A0" w:rsidRPr="00B57AE7" w:rsidRDefault="00F366A0" w:rsidP="00F366A0">
      <w:pPr>
        <w:spacing w:line="302" w:lineRule="auto"/>
        <w:ind w:right="425"/>
        <w:rPr>
          <w:sz w:val="21"/>
        </w:rPr>
      </w:pPr>
    </w:p>
    <w:p w14:paraId="46439168" w14:textId="77777777" w:rsidR="00F366A0" w:rsidRPr="00B57AE7" w:rsidRDefault="00F366A0" w:rsidP="00F366A0">
      <w:pPr>
        <w:ind w:right="425"/>
        <w:rPr>
          <w:sz w:val="21"/>
        </w:rPr>
      </w:pPr>
      <w:r w:rsidRPr="00B57AE7">
        <w:rPr>
          <w:sz w:val="21"/>
        </w:rPr>
        <w:t>Glukokortikoidy (podávané systémovo a lokálne), beta-2 agonisty a diuretiká majú vnútornú hyperglykemickú aktivitu. Pacient má byť informovaný a častejšie sa má sledovať glukóza v krvi,</w:t>
      </w:r>
    </w:p>
    <w:p w14:paraId="292E2CF5" w14:textId="77777777" w:rsidR="00F366A0" w:rsidRPr="00B57AE7" w:rsidRDefault="00F366A0" w:rsidP="00F366A0">
      <w:pPr>
        <w:ind w:right="185"/>
        <w:rPr>
          <w:sz w:val="22"/>
        </w:rPr>
      </w:pPr>
      <w:r w:rsidRPr="00B57AE7">
        <w:rPr>
          <w:sz w:val="22"/>
        </w:rPr>
        <w:t>obzvlášť na začiatku liečby takýmito liekmi. V prípade potreby sa má dávka antihyperglykemického lieku upraviť počas liečby s iným liekom a po jeho vysadení.</w:t>
      </w:r>
    </w:p>
    <w:p w14:paraId="6B7F753D" w14:textId="77777777" w:rsidR="00F366A0" w:rsidRPr="00B57AE7" w:rsidRDefault="00F366A0" w:rsidP="00F366A0"/>
    <w:p w14:paraId="13C194E2" w14:textId="77777777" w:rsidR="00F366A0" w:rsidRPr="00B57AE7" w:rsidRDefault="00F366A0" w:rsidP="00F366A0">
      <w:pPr>
        <w:ind w:right="1405"/>
        <w:rPr>
          <w:sz w:val="21"/>
        </w:rPr>
      </w:pPr>
      <w:r w:rsidRPr="00B57AE7">
        <w:rPr>
          <w:sz w:val="21"/>
        </w:rPr>
        <w:t>ACE inhibítory môžu znižovať hladiny glukózy v krvi. V prípade potreby sa má dávka antihyperglykemického lieku upraviť počas liečby s iným liekom a po jeho vysadení.</w:t>
      </w:r>
    </w:p>
    <w:p w14:paraId="04794EFD" w14:textId="77777777" w:rsidR="00F366A0" w:rsidRPr="00B57AE7" w:rsidRDefault="00F366A0" w:rsidP="00F366A0">
      <w:pPr>
        <w:spacing w:line="170" w:lineRule="exact"/>
      </w:pPr>
    </w:p>
    <w:p w14:paraId="3CD7EBD2" w14:textId="77777777" w:rsidR="00F366A0" w:rsidRPr="00B57AE7" w:rsidRDefault="00F366A0" w:rsidP="00F366A0">
      <w:pPr>
        <w:spacing w:line="0" w:lineRule="atLeast"/>
        <w:rPr>
          <w:sz w:val="22"/>
          <w:u w:val="single"/>
        </w:rPr>
      </w:pPr>
      <w:r w:rsidRPr="00B57AE7">
        <w:rPr>
          <w:sz w:val="22"/>
          <w:u w:val="single"/>
        </w:rPr>
        <w:t>Účinky iných liekov na sitagliptín</w:t>
      </w:r>
    </w:p>
    <w:p w14:paraId="427E9BB3" w14:textId="77777777" w:rsidR="00F366A0" w:rsidRPr="00B57AE7" w:rsidRDefault="00F366A0" w:rsidP="00F366A0">
      <w:pPr>
        <w:spacing w:line="30" w:lineRule="exact"/>
      </w:pPr>
    </w:p>
    <w:p w14:paraId="0E27F5A7" w14:textId="77777777" w:rsidR="00216399" w:rsidRPr="00B57AE7" w:rsidRDefault="00216399" w:rsidP="00F366A0">
      <w:pPr>
        <w:spacing w:line="255" w:lineRule="auto"/>
        <w:ind w:right="705"/>
        <w:rPr>
          <w:sz w:val="22"/>
        </w:rPr>
      </w:pPr>
    </w:p>
    <w:p w14:paraId="2E07B00E" w14:textId="77777777" w:rsidR="00F366A0" w:rsidRPr="00B57AE7" w:rsidRDefault="00F366A0" w:rsidP="00F366A0">
      <w:pPr>
        <w:spacing w:line="255" w:lineRule="auto"/>
        <w:ind w:right="705"/>
        <w:rPr>
          <w:sz w:val="22"/>
        </w:rPr>
      </w:pPr>
      <w:r w:rsidRPr="00B57AE7">
        <w:rPr>
          <w:sz w:val="22"/>
        </w:rPr>
        <w:t xml:space="preserve">Údaje </w:t>
      </w:r>
      <w:r w:rsidRPr="00B57AE7">
        <w:rPr>
          <w:i/>
          <w:sz w:val="22"/>
        </w:rPr>
        <w:t>in vitro</w:t>
      </w:r>
      <w:r w:rsidRPr="00B57AE7">
        <w:rPr>
          <w:sz w:val="22"/>
        </w:rPr>
        <w:t xml:space="preserve"> a klinické údaje uvedené nižšie poukazujú na to, že riziko klinicky významných interakcií po súbežnom podaní iných liekov je nízke.</w:t>
      </w:r>
    </w:p>
    <w:p w14:paraId="77F9DF40" w14:textId="77777777" w:rsidR="00F366A0" w:rsidRPr="00B57AE7" w:rsidRDefault="00F366A0" w:rsidP="00F366A0">
      <w:pPr>
        <w:spacing w:line="212" w:lineRule="exact"/>
      </w:pPr>
    </w:p>
    <w:p w14:paraId="47F6961B" w14:textId="77777777" w:rsidR="00F366A0" w:rsidRPr="00B57AE7" w:rsidRDefault="00F366A0" w:rsidP="00F366A0">
      <w:pPr>
        <w:spacing w:line="251" w:lineRule="auto"/>
        <w:ind w:right="145"/>
        <w:rPr>
          <w:sz w:val="22"/>
        </w:rPr>
      </w:pPr>
      <w:r w:rsidRPr="00B57AE7">
        <w:rPr>
          <w:sz w:val="22"/>
        </w:rPr>
        <w:t xml:space="preserve">Štúdie </w:t>
      </w:r>
      <w:r w:rsidRPr="00B57AE7">
        <w:rPr>
          <w:i/>
          <w:sz w:val="22"/>
        </w:rPr>
        <w:t>in vitro</w:t>
      </w:r>
      <w:r w:rsidRPr="00B57AE7">
        <w:rPr>
          <w:sz w:val="22"/>
        </w:rPr>
        <w:t xml:space="preserve"> ukázali, že primárnym enzýmom zodpovedným za limitovaný metabolizmus sitagliptínu je CYP3A4 s prispením CYP2C8. U pacientov s normálnou funkciou obličiek hrá metabolizmus vrátane cesty cez CYP3A4 iba malú úlohu v klírense sitagliptínu. Metabolizmus môže zohrať významnejšiu úlohu v eliminácii sitagliptínu v podmienkach ťažkej poruchy funkcie obličiek alebo terminálneho štádia ochorenia obličiek (ESRD). Z tohto dôvodu je možné, že silné inhibítory CYP3A4 (napr. ketokonazol, itrakonazol, ritonavir, klaritromycín) môžu ovplyvniť farmakokinetiku sitagliptínu u pacientov s ťažkou poruchou funkcie obličiek alebo ESRD. Účinky silných inhibítorov CYP3A4 sa v podmienkach poruchy funkcie obličiek nehodnotili v klinickej štúdii.</w:t>
      </w:r>
    </w:p>
    <w:p w14:paraId="59E96D63" w14:textId="77777777" w:rsidR="00987B82" w:rsidRPr="00B57AE7" w:rsidRDefault="00987B82" w:rsidP="00F366A0">
      <w:pPr>
        <w:spacing w:line="257" w:lineRule="auto"/>
        <w:ind w:right="5"/>
        <w:rPr>
          <w:sz w:val="22"/>
        </w:rPr>
      </w:pPr>
    </w:p>
    <w:p w14:paraId="6B165829" w14:textId="77777777" w:rsidR="00F366A0" w:rsidRPr="00B57AE7" w:rsidRDefault="00F366A0" w:rsidP="00F366A0">
      <w:pPr>
        <w:spacing w:line="257" w:lineRule="auto"/>
        <w:ind w:right="5"/>
        <w:rPr>
          <w:sz w:val="22"/>
        </w:rPr>
      </w:pPr>
      <w:r w:rsidRPr="00B57AE7">
        <w:rPr>
          <w:sz w:val="22"/>
        </w:rPr>
        <w:t xml:space="preserve">Transportné štúdie </w:t>
      </w:r>
      <w:r w:rsidRPr="00B57AE7">
        <w:rPr>
          <w:i/>
          <w:sz w:val="22"/>
        </w:rPr>
        <w:t>in vitro</w:t>
      </w:r>
      <w:r w:rsidRPr="00B57AE7">
        <w:rPr>
          <w:sz w:val="22"/>
        </w:rPr>
        <w:t xml:space="preserve"> preukázali, že sitagliptín je substrátom pre p-glykoproteín a organický aniónový transportér-3 (OAT3). Transport sitaglitpínu sprostredkovaný OAT3 bol </w:t>
      </w:r>
      <w:r w:rsidRPr="00B57AE7">
        <w:rPr>
          <w:i/>
          <w:sz w:val="22"/>
        </w:rPr>
        <w:t>in vitro</w:t>
      </w:r>
      <w:r w:rsidRPr="00B57AE7">
        <w:rPr>
          <w:sz w:val="22"/>
        </w:rPr>
        <w:t xml:space="preserve"> inhibovaný probenecidom, hoci riziko klinicky významných interakcií sa považuje za nízke. Súbežné podanie inhibítorov OAT3 sa </w:t>
      </w:r>
      <w:r w:rsidRPr="00B57AE7">
        <w:rPr>
          <w:i/>
          <w:sz w:val="22"/>
        </w:rPr>
        <w:t>in vivo</w:t>
      </w:r>
      <w:r w:rsidRPr="00B57AE7">
        <w:rPr>
          <w:sz w:val="22"/>
        </w:rPr>
        <w:t xml:space="preserve"> nehodnotilo.</w:t>
      </w:r>
    </w:p>
    <w:p w14:paraId="53411DFF" w14:textId="77777777" w:rsidR="00F366A0" w:rsidRPr="00B57AE7" w:rsidRDefault="00F366A0" w:rsidP="00F366A0">
      <w:pPr>
        <w:spacing w:line="212" w:lineRule="exact"/>
      </w:pPr>
    </w:p>
    <w:p w14:paraId="04289848" w14:textId="77777777" w:rsidR="00F366A0" w:rsidRPr="00B57AE7" w:rsidRDefault="00F366A0" w:rsidP="00F366A0">
      <w:pPr>
        <w:spacing w:line="242" w:lineRule="auto"/>
        <w:ind w:right="45"/>
        <w:rPr>
          <w:sz w:val="22"/>
        </w:rPr>
      </w:pPr>
      <w:r w:rsidRPr="00B57AE7">
        <w:rPr>
          <w:i/>
          <w:sz w:val="22"/>
        </w:rPr>
        <w:t xml:space="preserve">Cyklosporín: </w:t>
      </w:r>
      <w:r w:rsidRPr="00B57AE7">
        <w:rPr>
          <w:sz w:val="22"/>
        </w:rPr>
        <w:t>Uskutočnila sa štúdia na zhodnotenie účinku cyklosporínu, silného inhibítora</w:t>
      </w:r>
      <w:r w:rsidRPr="00B57AE7">
        <w:rPr>
          <w:i/>
          <w:sz w:val="22"/>
        </w:rPr>
        <w:t xml:space="preserve"> </w:t>
      </w:r>
      <w:r w:rsidRPr="00B57AE7">
        <w:rPr>
          <w:sz w:val="22"/>
        </w:rPr>
        <w:t>p-glykoproteínu, na farmakokinetiku sitagliptínu</w:t>
      </w:r>
      <w:r w:rsidRPr="00B57AE7">
        <w:rPr>
          <w:i/>
          <w:sz w:val="22"/>
        </w:rPr>
        <w:t>.</w:t>
      </w:r>
      <w:r w:rsidRPr="00B57AE7">
        <w:rPr>
          <w:sz w:val="22"/>
        </w:rPr>
        <w:t xml:space="preserve"> Súbežné podanie jednej 100 mg perorálnej dávky sitagliptínu a jednej 600 mg perorálnej dávky cyklosporínu zvýšilo AUC sitagliptínu približne o 29 % a C</w:t>
      </w:r>
      <w:r w:rsidRPr="00B57AE7">
        <w:rPr>
          <w:sz w:val="27"/>
          <w:vertAlign w:val="subscript"/>
        </w:rPr>
        <w:t>max</w:t>
      </w:r>
      <w:r w:rsidRPr="00B57AE7">
        <w:rPr>
          <w:sz w:val="22"/>
        </w:rPr>
        <w:t xml:space="preserve"> sitagliptínu o 68 %. Tieto zmeny vo farmakokinetike sitagliptínu sa nepovažovali za klinicky </w:t>
      </w:r>
      <w:r w:rsidRPr="00B57AE7">
        <w:rPr>
          <w:sz w:val="22"/>
        </w:rPr>
        <w:lastRenderedPageBreak/>
        <w:t>významné. Renálny klírens sitagliptínu sa významne nezmenil. Preto nie je predpoklad, že by došlo k významným interakciám s inými inhibítormi p-glykoproteínu.</w:t>
      </w:r>
    </w:p>
    <w:p w14:paraId="2466B110" w14:textId="77777777" w:rsidR="00F366A0" w:rsidRPr="00B57AE7" w:rsidRDefault="00F366A0" w:rsidP="00F366A0">
      <w:pPr>
        <w:spacing w:line="230" w:lineRule="exact"/>
      </w:pPr>
    </w:p>
    <w:p w14:paraId="12A3816A" w14:textId="77777777" w:rsidR="00F366A0" w:rsidRPr="00B57AE7" w:rsidRDefault="00F366A0" w:rsidP="00F366A0">
      <w:pPr>
        <w:spacing w:line="0" w:lineRule="atLeast"/>
        <w:rPr>
          <w:sz w:val="22"/>
          <w:u w:val="single"/>
        </w:rPr>
      </w:pPr>
      <w:r w:rsidRPr="00B57AE7">
        <w:rPr>
          <w:sz w:val="22"/>
          <w:u w:val="single"/>
        </w:rPr>
        <w:t>Účinky sitagliptínu na iné lieky</w:t>
      </w:r>
    </w:p>
    <w:p w14:paraId="25A887BE" w14:textId="77777777" w:rsidR="00987B82" w:rsidRPr="00B57AE7" w:rsidRDefault="00987B82" w:rsidP="00F366A0">
      <w:pPr>
        <w:spacing w:line="235" w:lineRule="auto"/>
        <w:ind w:right="325"/>
        <w:rPr>
          <w:i/>
          <w:sz w:val="22"/>
        </w:rPr>
      </w:pPr>
    </w:p>
    <w:p w14:paraId="4D6C3B65" w14:textId="77777777" w:rsidR="00F366A0" w:rsidRPr="00B57AE7" w:rsidRDefault="00F366A0" w:rsidP="00F366A0">
      <w:pPr>
        <w:spacing w:line="235" w:lineRule="auto"/>
        <w:ind w:right="325"/>
        <w:rPr>
          <w:sz w:val="22"/>
        </w:rPr>
      </w:pPr>
      <w:r w:rsidRPr="00B57AE7">
        <w:rPr>
          <w:i/>
          <w:sz w:val="22"/>
        </w:rPr>
        <w:t>Digoxín</w:t>
      </w:r>
      <w:r w:rsidRPr="00B57AE7">
        <w:rPr>
          <w:sz w:val="22"/>
        </w:rPr>
        <w:t>: Sitagliptín mal malý účinok na plazmatické koncentrácie digoxínu. Po podávaní 0,25 mg</w:t>
      </w:r>
      <w:r w:rsidRPr="00B57AE7">
        <w:rPr>
          <w:i/>
          <w:sz w:val="22"/>
        </w:rPr>
        <w:t xml:space="preserve"> </w:t>
      </w:r>
      <w:r w:rsidRPr="00B57AE7">
        <w:rPr>
          <w:sz w:val="22"/>
        </w:rPr>
        <w:t>digoxínu súbežne so 100 mg sitagliptínu denne počas 10 dní sa plazmatická AUC digoxínu zvýšila priemerne o 11 % a plazmatická C</w:t>
      </w:r>
      <w:r w:rsidRPr="00B57AE7">
        <w:rPr>
          <w:sz w:val="27"/>
          <w:vertAlign w:val="subscript"/>
        </w:rPr>
        <w:t>max</w:t>
      </w:r>
      <w:r w:rsidRPr="00B57AE7">
        <w:rPr>
          <w:sz w:val="22"/>
        </w:rPr>
        <w:t xml:space="preserve"> priemerne o 18 %. Neodporúča sa žiadna úprava dávky digoxínu. Pacienti s rizikom digoxínovej toxicity však majú byť na ňu sledovaní, ak sa sitagliptín a digoxín podávajú súbežne.</w:t>
      </w:r>
    </w:p>
    <w:p w14:paraId="4C2F7472" w14:textId="77777777" w:rsidR="00135119" w:rsidRPr="00B57AE7" w:rsidRDefault="00135119" w:rsidP="00AD6F14">
      <w:pPr>
        <w:widowControl w:val="0"/>
        <w:tabs>
          <w:tab w:val="left" w:pos="567"/>
        </w:tabs>
        <w:rPr>
          <w:sz w:val="22"/>
          <w:szCs w:val="22"/>
        </w:rPr>
      </w:pPr>
    </w:p>
    <w:p w14:paraId="539322B0" w14:textId="77777777" w:rsidR="00F366A0" w:rsidRPr="00B57AE7" w:rsidRDefault="00F366A0" w:rsidP="00F366A0">
      <w:pPr>
        <w:spacing w:line="254" w:lineRule="auto"/>
        <w:ind w:right="165"/>
        <w:rPr>
          <w:sz w:val="22"/>
        </w:rPr>
      </w:pPr>
      <w:r w:rsidRPr="00B57AE7">
        <w:rPr>
          <w:sz w:val="22"/>
        </w:rPr>
        <w:t xml:space="preserve">Údaje </w:t>
      </w:r>
      <w:r w:rsidRPr="00B57AE7">
        <w:rPr>
          <w:i/>
          <w:sz w:val="22"/>
        </w:rPr>
        <w:t>in vitro</w:t>
      </w:r>
      <w:r w:rsidRPr="00B57AE7">
        <w:rPr>
          <w:sz w:val="22"/>
        </w:rPr>
        <w:t xml:space="preserve"> naznačujú, že sitagliptín neinhibuje ani neindukuje izoenzýmy CYP450. V klinických štúdiách sitagliptín významne nezmenil farmakokinetiku metformínu, glyburidu, simvastatínu, rosiglitazónu, warfarínu alebo perorálnych kontraceptív a poskytol </w:t>
      </w:r>
      <w:r w:rsidRPr="00B57AE7">
        <w:rPr>
          <w:i/>
          <w:sz w:val="22"/>
        </w:rPr>
        <w:t>in vivo</w:t>
      </w:r>
      <w:r w:rsidRPr="00B57AE7">
        <w:rPr>
          <w:sz w:val="22"/>
        </w:rPr>
        <w:t xml:space="preserve"> dôkaz o slabej tendencii k spôsobeniu interakcií so substrátmi CYP3A4, CYP2C8, CYP2C9 a organického katiónového transportéra (OCT). Sitagliptín môže byť miernym inhibítorom p-glykoproteínu </w:t>
      </w:r>
      <w:r w:rsidRPr="00B57AE7">
        <w:rPr>
          <w:i/>
          <w:sz w:val="22"/>
        </w:rPr>
        <w:t>in vivo</w:t>
      </w:r>
      <w:r w:rsidRPr="00B57AE7">
        <w:rPr>
          <w:sz w:val="22"/>
        </w:rPr>
        <w:t>.</w:t>
      </w:r>
    </w:p>
    <w:p w14:paraId="4EA69BA5" w14:textId="77777777" w:rsidR="00F934A1" w:rsidRPr="00B57AE7" w:rsidRDefault="00F934A1" w:rsidP="00AD6F14">
      <w:pPr>
        <w:widowControl w:val="0"/>
        <w:tabs>
          <w:tab w:val="left" w:pos="567"/>
        </w:tabs>
        <w:rPr>
          <w:sz w:val="22"/>
          <w:szCs w:val="22"/>
        </w:rPr>
      </w:pPr>
    </w:p>
    <w:p w14:paraId="68ADDD62" w14:textId="77777777" w:rsidR="005C5AB1" w:rsidRPr="00B57AE7" w:rsidRDefault="005C5AB1" w:rsidP="00AD6F14">
      <w:pPr>
        <w:widowControl w:val="0"/>
        <w:tabs>
          <w:tab w:val="left" w:pos="567"/>
        </w:tabs>
        <w:rPr>
          <w:b/>
          <w:bCs/>
          <w:sz w:val="22"/>
          <w:szCs w:val="22"/>
          <w:lang w:eastAsia="en-US"/>
        </w:rPr>
      </w:pPr>
      <w:r w:rsidRPr="00B57AE7">
        <w:rPr>
          <w:b/>
          <w:sz w:val="22"/>
          <w:szCs w:val="22"/>
          <w:lang w:eastAsia="en-US"/>
        </w:rPr>
        <w:t>4.6</w:t>
      </w:r>
      <w:r w:rsidRPr="00B57AE7">
        <w:rPr>
          <w:b/>
          <w:sz w:val="22"/>
          <w:szCs w:val="22"/>
          <w:lang w:eastAsia="en-US"/>
        </w:rPr>
        <w:tab/>
      </w:r>
      <w:r w:rsidRPr="00B57AE7">
        <w:rPr>
          <w:b/>
          <w:bCs/>
          <w:sz w:val="22"/>
          <w:szCs w:val="22"/>
          <w:lang w:eastAsia="en-US"/>
        </w:rPr>
        <w:t>Fertilit</w:t>
      </w:r>
      <w:r w:rsidR="00DE5F6B" w:rsidRPr="00B57AE7">
        <w:rPr>
          <w:b/>
          <w:bCs/>
          <w:sz w:val="22"/>
          <w:szCs w:val="22"/>
          <w:lang w:eastAsia="en-US"/>
        </w:rPr>
        <w:t>a, gravidita a laktácia</w:t>
      </w:r>
    </w:p>
    <w:p w14:paraId="7112EDA3" w14:textId="77777777" w:rsidR="00DE5F6B" w:rsidRPr="00B57AE7" w:rsidRDefault="00DE5F6B" w:rsidP="00AD6F14">
      <w:pPr>
        <w:widowControl w:val="0"/>
        <w:tabs>
          <w:tab w:val="left" w:pos="567"/>
        </w:tabs>
        <w:rPr>
          <w:sz w:val="22"/>
          <w:szCs w:val="22"/>
        </w:rPr>
      </w:pPr>
    </w:p>
    <w:p w14:paraId="7E337BC6" w14:textId="77777777" w:rsidR="00DE5F6B" w:rsidRPr="00B57AE7" w:rsidRDefault="00DE5F6B" w:rsidP="00AD6F14">
      <w:pPr>
        <w:autoSpaceDE w:val="0"/>
        <w:autoSpaceDN w:val="0"/>
        <w:adjustRightInd w:val="0"/>
        <w:rPr>
          <w:sz w:val="22"/>
          <w:szCs w:val="22"/>
          <w:u w:val="single"/>
        </w:rPr>
      </w:pPr>
      <w:r w:rsidRPr="00B57AE7">
        <w:rPr>
          <w:sz w:val="22"/>
          <w:szCs w:val="22"/>
          <w:u w:val="single"/>
        </w:rPr>
        <w:t>Gravidita</w:t>
      </w:r>
    </w:p>
    <w:p w14:paraId="18205AFC" w14:textId="77777777" w:rsidR="009A0393" w:rsidRPr="00B57AE7" w:rsidRDefault="00E314F3" w:rsidP="00AD6F14">
      <w:pPr>
        <w:widowControl w:val="0"/>
        <w:autoSpaceDE w:val="0"/>
        <w:autoSpaceDN w:val="0"/>
        <w:adjustRightInd w:val="0"/>
        <w:rPr>
          <w:sz w:val="22"/>
          <w:szCs w:val="22"/>
        </w:rPr>
      </w:pPr>
      <w:r w:rsidRPr="00B57AE7">
        <w:rPr>
          <w:sz w:val="22"/>
          <w:szCs w:val="22"/>
        </w:rPr>
        <w:t xml:space="preserve">Nie sú k dispozícii dostatočné údaje o použití sitagliptínu u gravidných žien. Štúdie na zvieratách preukázali pri vysokých dávkach sitagliptínu reprodukčnú toxicitu (pozri časť 5.3). </w:t>
      </w:r>
    </w:p>
    <w:p w14:paraId="2C4F395C" w14:textId="77777777" w:rsidR="009A0393" w:rsidRPr="00B57AE7" w:rsidRDefault="009A0393" w:rsidP="00AD6F14">
      <w:pPr>
        <w:widowControl w:val="0"/>
        <w:autoSpaceDE w:val="0"/>
        <w:autoSpaceDN w:val="0"/>
        <w:adjustRightInd w:val="0"/>
        <w:rPr>
          <w:sz w:val="22"/>
          <w:szCs w:val="22"/>
        </w:rPr>
      </w:pPr>
    </w:p>
    <w:p w14:paraId="765840A8" w14:textId="1C2E846F" w:rsidR="009A0393" w:rsidRPr="00B57AE7" w:rsidRDefault="00E314F3" w:rsidP="00AD6F14">
      <w:pPr>
        <w:widowControl w:val="0"/>
        <w:autoSpaceDE w:val="0"/>
        <w:autoSpaceDN w:val="0"/>
        <w:adjustRightInd w:val="0"/>
        <w:rPr>
          <w:sz w:val="22"/>
          <w:szCs w:val="22"/>
        </w:rPr>
      </w:pPr>
      <w:r w:rsidRPr="00B57AE7">
        <w:rPr>
          <w:sz w:val="22"/>
          <w:szCs w:val="22"/>
        </w:rPr>
        <w:t xml:space="preserve">Obmedzené množstvo údajov naznačuje, že použitie metformínu u gravidných žien nie je spojené so zvýšeným rizikom kongenitálnych malformácií. Štúdie s metformínom na zvieratách nenaznačujú škodlivé účinky pokiaľ ide o graviditu, embryonálny alebo fetálny vývoj, pôrod alebo </w:t>
      </w:r>
      <w:proofErr w:type="spellStart"/>
      <w:r w:rsidRPr="00B57AE7">
        <w:rPr>
          <w:sz w:val="22"/>
          <w:szCs w:val="22"/>
        </w:rPr>
        <w:t>postnatálny</w:t>
      </w:r>
      <w:proofErr w:type="spellEnd"/>
      <w:r w:rsidRPr="00B57AE7">
        <w:rPr>
          <w:sz w:val="22"/>
          <w:szCs w:val="22"/>
        </w:rPr>
        <w:t xml:space="preserve"> vývoj (pozri časť 5.3). </w:t>
      </w:r>
    </w:p>
    <w:p w14:paraId="32B55CC0" w14:textId="77777777" w:rsidR="009A0393" w:rsidRPr="00B57AE7" w:rsidRDefault="009A0393" w:rsidP="00AD6F14">
      <w:pPr>
        <w:widowControl w:val="0"/>
        <w:autoSpaceDE w:val="0"/>
        <w:autoSpaceDN w:val="0"/>
        <w:adjustRightInd w:val="0"/>
        <w:rPr>
          <w:sz w:val="22"/>
          <w:szCs w:val="22"/>
        </w:rPr>
      </w:pPr>
    </w:p>
    <w:p w14:paraId="72B404FE" w14:textId="77777777" w:rsidR="00DE5F6B" w:rsidRPr="00B57AE7" w:rsidRDefault="008D6F86" w:rsidP="00AD6F14">
      <w:pPr>
        <w:widowControl w:val="0"/>
        <w:autoSpaceDE w:val="0"/>
        <w:autoSpaceDN w:val="0"/>
        <w:adjustRightInd w:val="0"/>
        <w:rPr>
          <w:sz w:val="22"/>
          <w:szCs w:val="22"/>
        </w:rPr>
      </w:pPr>
      <w:r>
        <w:rPr>
          <w:sz w:val="22"/>
          <w:szCs w:val="22"/>
        </w:rPr>
        <w:t>JUZIMETTE</w:t>
      </w:r>
      <w:r w:rsidR="00E314F3" w:rsidRPr="00B57AE7">
        <w:rPr>
          <w:sz w:val="22"/>
          <w:szCs w:val="22"/>
        </w:rPr>
        <w:t xml:space="preserve"> sa nesmie používať počas gravidity. Ak chce pacientka otehotnieť alebo ak dôjde ku gravidite, liečba sa musí prerušiť a pacientka má čo najskôr prejsť na liečbu inzulínom.</w:t>
      </w:r>
    </w:p>
    <w:p w14:paraId="7F307CE8" w14:textId="77777777" w:rsidR="00E314F3" w:rsidRPr="00B57AE7" w:rsidRDefault="00E314F3" w:rsidP="00AD6F14">
      <w:pPr>
        <w:widowControl w:val="0"/>
        <w:autoSpaceDE w:val="0"/>
        <w:autoSpaceDN w:val="0"/>
        <w:adjustRightInd w:val="0"/>
        <w:rPr>
          <w:sz w:val="22"/>
          <w:szCs w:val="22"/>
        </w:rPr>
      </w:pPr>
    </w:p>
    <w:p w14:paraId="0234BB35" w14:textId="77777777" w:rsidR="00DE5F6B" w:rsidRPr="00B57AE7" w:rsidRDefault="00DE5F6B" w:rsidP="00AD6F14">
      <w:pPr>
        <w:autoSpaceDE w:val="0"/>
        <w:autoSpaceDN w:val="0"/>
        <w:adjustRightInd w:val="0"/>
        <w:rPr>
          <w:sz w:val="22"/>
          <w:szCs w:val="22"/>
          <w:u w:val="single"/>
        </w:rPr>
      </w:pPr>
      <w:r w:rsidRPr="00B57AE7">
        <w:rPr>
          <w:sz w:val="22"/>
          <w:szCs w:val="22"/>
          <w:u w:val="single"/>
        </w:rPr>
        <w:t>Dojčenie</w:t>
      </w:r>
    </w:p>
    <w:p w14:paraId="3BFE9B86" w14:textId="77777777" w:rsidR="00F934A1" w:rsidRPr="00B57AE7" w:rsidRDefault="00E314F3" w:rsidP="00AD6F14">
      <w:pPr>
        <w:widowControl w:val="0"/>
        <w:autoSpaceDE w:val="0"/>
        <w:autoSpaceDN w:val="0"/>
        <w:adjustRightInd w:val="0"/>
        <w:rPr>
          <w:sz w:val="22"/>
          <w:szCs w:val="22"/>
        </w:rPr>
      </w:pPr>
      <w:r w:rsidRPr="00B57AE7">
        <w:rPr>
          <w:sz w:val="22"/>
          <w:szCs w:val="22"/>
        </w:rPr>
        <w:t>S kombináciou liečiv tohto lieku sa nevykonali žiadne štúdie na dojčiacich zvieratách. V štúdiách vykonaných s jeho jednotlivými liečivami sa sitagliptín aj metformín vylučovali do mlieka dojčiacich potkanov. Metformín sa v malých množstvách vylučuje do ľudského mlieka. Nie je známe, či sa sitagliptín vyluč</w:t>
      </w:r>
      <w:r w:rsidR="009A0393" w:rsidRPr="00B57AE7">
        <w:rPr>
          <w:sz w:val="22"/>
          <w:szCs w:val="22"/>
        </w:rPr>
        <w:t xml:space="preserve">uje do ľudského mlieka. </w:t>
      </w:r>
      <w:r w:rsidR="008D6F86">
        <w:rPr>
          <w:sz w:val="22"/>
          <w:szCs w:val="22"/>
        </w:rPr>
        <w:t>JUZIMETTE</w:t>
      </w:r>
      <w:r w:rsidRPr="00B57AE7">
        <w:rPr>
          <w:sz w:val="22"/>
          <w:szCs w:val="22"/>
        </w:rPr>
        <w:t xml:space="preserve"> sa preto nesmie používať u žien, ktoré dojčia (pozri časť 4.3).</w:t>
      </w:r>
    </w:p>
    <w:p w14:paraId="31A13129" w14:textId="77777777" w:rsidR="00E314F3" w:rsidRPr="00B57AE7" w:rsidRDefault="00E314F3" w:rsidP="00AD6F14">
      <w:pPr>
        <w:widowControl w:val="0"/>
        <w:autoSpaceDE w:val="0"/>
        <w:autoSpaceDN w:val="0"/>
        <w:adjustRightInd w:val="0"/>
        <w:rPr>
          <w:sz w:val="22"/>
          <w:szCs w:val="22"/>
        </w:rPr>
      </w:pPr>
    </w:p>
    <w:p w14:paraId="0FE7B555" w14:textId="77777777" w:rsidR="00DE5F6B" w:rsidRPr="00B57AE7" w:rsidRDefault="00DE5F6B" w:rsidP="00AD6F14">
      <w:pPr>
        <w:autoSpaceDE w:val="0"/>
        <w:autoSpaceDN w:val="0"/>
        <w:adjustRightInd w:val="0"/>
        <w:rPr>
          <w:sz w:val="22"/>
          <w:szCs w:val="22"/>
          <w:u w:val="single"/>
        </w:rPr>
      </w:pPr>
      <w:r w:rsidRPr="00B57AE7">
        <w:rPr>
          <w:sz w:val="22"/>
          <w:szCs w:val="22"/>
          <w:u w:val="single"/>
        </w:rPr>
        <w:t>Fertilita</w:t>
      </w:r>
    </w:p>
    <w:p w14:paraId="472443A3" w14:textId="77777777" w:rsidR="00E314F3" w:rsidRPr="00B57AE7" w:rsidRDefault="00E314F3" w:rsidP="00AD6F14">
      <w:pPr>
        <w:autoSpaceDE w:val="0"/>
        <w:autoSpaceDN w:val="0"/>
        <w:adjustRightInd w:val="0"/>
        <w:rPr>
          <w:sz w:val="22"/>
          <w:szCs w:val="22"/>
          <w:u w:val="single"/>
        </w:rPr>
      </w:pPr>
      <w:r w:rsidRPr="00B57AE7">
        <w:rPr>
          <w:sz w:val="22"/>
          <w:szCs w:val="22"/>
        </w:rPr>
        <w:t>Údaje u zvierat nenaznačujú účinok liečby sitagliptínom na fertilitu mužov a žien. Údaje o ľuďoch chýbajú.</w:t>
      </w:r>
    </w:p>
    <w:p w14:paraId="5543A22D" w14:textId="77777777" w:rsidR="005C5AB1" w:rsidRPr="00B57AE7" w:rsidRDefault="005C5AB1" w:rsidP="00AD6F14">
      <w:pPr>
        <w:widowControl w:val="0"/>
        <w:tabs>
          <w:tab w:val="left" w:pos="567"/>
        </w:tabs>
        <w:rPr>
          <w:bCs/>
          <w:sz w:val="22"/>
          <w:szCs w:val="22"/>
          <w:lang w:eastAsia="en-US"/>
        </w:rPr>
      </w:pPr>
    </w:p>
    <w:p w14:paraId="1EB169A6" w14:textId="77777777" w:rsidR="005C5AB1" w:rsidRPr="00B57AE7" w:rsidRDefault="00DE5F6B" w:rsidP="00AD6F14">
      <w:pPr>
        <w:widowControl w:val="0"/>
        <w:tabs>
          <w:tab w:val="left" w:pos="567"/>
        </w:tabs>
        <w:rPr>
          <w:sz w:val="22"/>
          <w:szCs w:val="22"/>
          <w:lang w:eastAsia="en-US"/>
        </w:rPr>
      </w:pPr>
      <w:r w:rsidRPr="00B57AE7">
        <w:rPr>
          <w:b/>
          <w:sz w:val="22"/>
          <w:szCs w:val="22"/>
          <w:lang w:eastAsia="en-US"/>
        </w:rPr>
        <w:t>4.7</w:t>
      </w:r>
      <w:r w:rsidRPr="00B57AE7">
        <w:rPr>
          <w:b/>
          <w:sz w:val="22"/>
          <w:szCs w:val="22"/>
          <w:lang w:eastAsia="en-US"/>
        </w:rPr>
        <w:tab/>
        <w:t>Ovplyvnenie schopnosti viesť vozidlá a obsluhovať stroje</w:t>
      </w:r>
    </w:p>
    <w:p w14:paraId="172EBBDB" w14:textId="77777777" w:rsidR="005C5AB1" w:rsidRPr="00B57AE7" w:rsidRDefault="005C5AB1" w:rsidP="00AD6F14">
      <w:pPr>
        <w:widowControl w:val="0"/>
        <w:tabs>
          <w:tab w:val="left" w:pos="567"/>
        </w:tabs>
        <w:rPr>
          <w:sz w:val="22"/>
          <w:szCs w:val="22"/>
        </w:rPr>
      </w:pPr>
    </w:p>
    <w:p w14:paraId="76E97D06" w14:textId="77777777" w:rsidR="002A245E" w:rsidRPr="00B57AE7" w:rsidRDefault="008D6F86" w:rsidP="00AD6F14">
      <w:pPr>
        <w:widowControl w:val="0"/>
        <w:rPr>
          <w:sz w:val="22"/>
          <w:szCs w:val="22"/>
        </w:rPr>
      </w:pPr>
      <w:r>
        <w:rPr>
          <w:sz w:val="22"/>
          <w:szCs w:val="22"/>
        </w:rPr>
        <w:t>JUZIMETTE</w:t>
      </w:r>
      <w:r w:rsidR="00E314F3" w:rsidRPr="00B57AE7">
        <w:rPr>
          <w:sz w:val="22"/>
          <w:szCs w:val="22"/>
        </w:rPr>
        <w:t xml:space="preserve"> nemá žiadny alebo má zanedbateľný vplyv na schopnosť viesť vozidlá a obsluhovať stroje. Pri vedení vozidla alebo obsluhovaní strojov však treba zobrať do úvahy, že pri sitagliptíne boli hlásené závrat a somnolencia. </w:t>
      </w:r>
    </w:p>
    <w:p w14:paraId="766E3F6B" w14:textId="77777777" w:rsidR="00562066" w:rsidRPr="00B57AE7" w:rsidRDefault="00E314F3" w:rsidP="00AD6F14">
      <w:pPr>
        <w:widowControl w:val="0"/>
        <w:rPr>
          <w:sz w:val="22"/>
          <w:szCs w:val="22"/>
        </w:rPr>
      </w:pPr>
      <w:r w:rsidRPr="00B57AE7">
        <w:rPr>
          <w:sz w:val="22"/>
          <w:szCs w:val="22"/>
        </w:rPr>
        <w:t>Okrem toho majú byť pacienti upozornení na riziko hypogl</w:t>
      </w:r>
      <w:r w:rsidR="002A245E" w:rsidRPr="00B57AE7">
        <w:rPr>
          <w:sz w:val="22"/>
          <w:szCs w:val="22"/>
        </w:rPr>
        <w:t xml:space="preserve">ykémie v prípade, že sa </w:t>
      </w:r>
      <w:r w:rsidR="008D6F86">
        <w:rPr>
          <w:sz w:val="22"/>
          <w:szCs w:val="22"/>
        </w:rPr>
        <w:t>JUZIMETTE</w:t>
      </w:r>
      <w:r w:rsidRPr="00B57AE7">
        <w:rPr>
          <w:sz w:val="22"/>
          <w:szCs w:val="22"/>
        </w:rPr>
        <w:t xml:space="preserve"> používa v kombinácii s liekmi obsahujúcimi </w:t>
      </w:r>
      <w:r w:rsidR="00FA5C1C">
        <w:rPr>
          <w:sz w:val="22"/>
          <w:szCs w:val="22"/>
        </w:rPr>
        <w:t xml:space="preserve">derivát </w:t>
      </w:r>
      <w:r w:rsidRPr="00B57AE7">
        <w:rPr>
          <w:sz w:val="22"/>
          <w:szCs w:val="22"/>
        </w:rPr>
        <w:t>sulfonyl</w:t>
      </w:r>
      <w:r w:rsidR="00FA5C1C">
        <w:rPr>
          <w:sz w:val="22"/>
          <w:szCs w:val="22"/>
        </w:rPr>
        <w:t>močoviny</w:t>
      </w:r>
      <w:r w:rsidRPr="00B57AE7">
        <w:rPr>
          <w:sz w:val="22"/>
          <w:szCs w:val="22"/>
        </w:rPr>
        <w:t xml:space="preserve"> alebo s inzulínom.</w:t>
      </w:r>
    </w:p>
    <w:p w14:paraId="7E83EFF7" w14:textId="77777777" w:rsidR="00E314F3" w:rsidRPr="00B57AE7" w:rsidRDefault="00E314F3" w:rsidP="00AD6F14">
      <w:pPr>
        <w:widowControl w:val="0"/>
        <w:rPr>
          <w:sz w:val="22"/>
          <w:szCs w:val="22"/>
          <w:lang w:eastAsia="en-US"/>
        </w:rPr>
      </w:pPr>
    </w:p>
    <w:p w14:paraId="2699DFED" w14:textId="77777777" w:rsidR="005C5AB1" w:rsidRPr="00B57AE7" w:rsidRDefault="00DE5F6B" w:rsidP="00AD6F14">
      <w:pPr>
        <w:widowControl w:val="0"/>
        <w:tabs>
          <w:tab w:val="left" w:pos="567"/>
        </w:tabs>
        <w:rPr>
          <w:b/>
          <w:bCs/>
          <w:sz w:val="22"/>
          <w:szCs w:val="22"/>
          <w:lang w:eastAsia="en-US"/>
        </w:rPr>
      </w:pPr>
      <w:r w:rsidRPr="00B57AE7">
        <w:rPr>
          <w:b/>
          <w:bCs/>
          <w:sz w:val="22"/>
          <w:szCs w:val="22"/>
          <w:lang w:eastAsia="en-US"/>
        </w:rPr>
        <w:t>4.8</w:t>
      </w:r>
      <w:r w:rsidRPr="00B57AE7">
        <w:rPr>
          <w:b/>
          <w:bCs/>
          <w:sz w:val="22"/>
          <w:szCs w:val="22"/>
          <w:lang w:eastAsia="en-US"/>
        </w:rPr>
        <w:tab/>
        <w:t>Nežiaduce účinky</w:t>
      </w:r>
    </w:p>
    <w:p w14:paraId="7830510C" w14:textId="77777777" w:rsidR="005C5AB1" w:rsidRPr="00B57AE7" w:rsidRDefault="005C5AB1" w:rsidP="00AD6F14">
      <w:pPr>
        <w:widowControl w:val="0"/>
        <w:tabs>
          <w:tab w:val="left" w:pos="567"/>
        </w:tabs>
        <w:rPr>
          <w:sz w:val="22"/>
          <w:szCs w:val="22"/>
        </w:rPr>
      </w:pPr>
    </w:p>
    <w:p w14:paraId="70A24446" w14:textId="77777777" w:rsidR="00BD7E4F" w:rsidRPr="00B57AE7" w:rsidRDefault="00E314F3" w:rsidP="00AD6F14">
      <w:pPr>
        <w:widowControl w:val="0"/>
        <w:tabs>
          <w:tab w:val="left" w:pos="567"/>
        </w:tabs>
        <w:rPr>
          <w:sz w:val="22"/>
          <w:szCs w:val="22"/>
          <w:u w:val="single"/>
        </w:rPr>
      </w:pPr>
      <w:r w:rsidRPr="00B57AE7">
        <w:rPr>
          <w:sz w:val="22"/>
          <w:szCs w:val="22"/>
          <w:u w:val="single"/>
        </w:rPr>
        <w:t xml:space="preserve">Súhrn bezpečnostného profilu </w:t>
      </w:r>
    </w:p>
    <w:p w14:paraId="1C2228A5" w14:textId="3F9B611A" w:rsidR="00BD7E4F" w:rsidRPr="00B57AE7" w:rsidRDefault="00BD7E4F" w:rsidP="00AD6F14">
      <w:pPr>
        <w:widowControl w:val="0"/>
        <w:tabs>
          <w:tab w:val="left" w:pos="567"/>
        </w:tabs>
        <w:rPr>
          <w:sz w:val="22"/>
          <w:szCs w:val="22"/>
        </w:rPr>
      </w:pPr>
      <w:r w:rsidRPr="00B57AE7">
        <w:rPr>
          <w:sz w:val="22"/>
          <w:szCs w:val="22"/>
        </w:rPr>
        <w:t>S</w:t>
      </w:r>
      <w:r w:rsidR="00ED457F" w:rsidRPr="00B57AE7">
        <w:rPr>
          <w:sz w:val="22"/>
          <w:szCs w:val="22"/>
        </w:rPr>
        <w:t xml:space="preserve"> filmom obalenými </w:t>
      </w:r>
      <w:r w:rsidRPr="00B57AE7">
        <w:rPr>
          <w:sz w:val="22"/>
          <w:szCs w:val="22"/>
        </w:rPr>
        <w:t xml:space="preserve">tabletami </w:t>
      </w:r>
      <w:r w:rsidR="008D6F86">
        <w:rPr>
          <w:sz w:val="22"/>
          <w:szCs w:val="22"/>
        </w:rPr>
        <w:t>JUZIMETTE</w:t>
      </w:r>
      <w:r w:rsidRPr="00B57AE7">
        <w:rPr>
          <w:sz w:val="22"/>
          <w:szCs w:val="22"/>
        </w:rPr>
        <w:t>u</w:t>
      </w:r>
      <w:r w:rsidR="00E314F3" w:rsidRPr="00B57AE7">
        <w:rPr>
          <w:sz w:val="22"/>
          <w:szCs w:val="22"/>
        </w:rPr>
        <w:t xml:space="preserve"> sa nevykonali žiadne terapeutické klinické </w:t>
      </w:r>
      <w:r w:rsidR="00DA3CDE">
        <w:rPr>
          <w:sz w:val="22"/>
          <w:szCs w:val="22"/>
        </w:rPr>
        <w:t>štúdie</w:t>
      </w:r>
      <w:r w:rsidR="00E314F3" w:rsidRPr="00B57AE7">
        <w:rPr>
          <w:sz w:val="22"/>
          <w:szCs w:val="22"/>
        </w:rPr>
        <w:t>, preukázala sa však</w:t>
      </w:r>
      <w:r w:rsidRPr="00B57AE7">
        <w:rPr>
          <w:sz w:val="22"/>
          <w:szCs w:val="22"/>
        </w:rPr>
        <w:t xml:space="preserve"> bioekvivalencia sitagliptínu/metformínu</w:t>
      </w:r>
      <w:r w:rsidR="00E314F3" w:rsidRPr="00B57AE7">
        <w:rPr>
          <w:sz w:val="22"/>
          <w:szCs w:val="22"/>
        </w:rPr>
        <w:t xml:space="preserve"> so súbežne podávaným sitagliptínom a </w:t>
      </w:r>
      <w:r w:rsidR="00E314F3" w:rsidRPr="00B57AE7">
        <w:rPr>
          <w:sz w:val="22"/>
          <w:szCs w:val="22"/>
        </w:rPr>
        <w:lastRenderedPageBreak/>
        <w:t xml:space="preserve">metformínom (pozri časť 5.2). </w:t>
      </w:r>
    </w:p>
    <w:p w14:paraId="657DF51E" w14:textId="77777777" w:rsidR="00BD7E4F" w:rsidRPr="00B57AE7" w:rsidRDefault="00E314F3" w:rsidP="00AD6F14">
      <w:pPr>
        <w:widowControl w:val="0"/>
        <w:tabs>
          <w:tab w:val="left" w:pos="567"/>
        </w:tabs>
        <w:rPr>
          <w:sz w:val="22"/>
          <w:szCs w:val="22"/>
        </w:rPr>
      </w:pPr>
      <w:r w:rsidRPr="00B57AE7">
        <w:rPr>
          <w:sz w:val="22"/>
          <w:szCs w:val="22"/>
        </w:rPr>
        <w:t xml:space="preserve">Boli hlásené závažné nežiaduce reakcie zahŕňajúce pankreatitídu a reakcie z precitlivenosti. Hypoglykémia sa hlásila v kombinácii s </w:t>
      </w:r>
      <w:r w:rsidR="00FA5C1C">
        <w:rPr>
          <w:sz w:val="22"/>
          <w:szCs w:val="22"/>
        </w:rPr>
        <w:t xml:space="preserve">derivátom </w:t>
      </w:r>
      <w:r w:rsidRPr="00B57AE7">
        <w:rPr>
          <w:sz w:val="22"/>
          <w:szCs w:val="22"/>
        </w:rPr>
        <w:t>sulfonyl</w:t>
      </w:r>
      <w:r w:rsidR="00FA5C1C">
        <w:rPr>
          <w:sz w:val="22"/>
          <w:szCs w:val="22"/>
        </w:rPr>
        <w:t>močoviny</w:t>
      </w:r>
      <w:r w:rsidRPr="00B57AE7">
        <w:rPr>
          <w:sz w:val="22"/>
          <w:szCs w:val="22"/>
        </w:rPr>
        <w:t xml:space="preserve"> (13,8 %) a inzulínom (10,9 %). </w:t>
      </w:r>
    </w:p>
    <w:p w14:paraId="2C315C10" w14:textId="77777777" w:rsidR="00BD7E4F" w:rsidRPr="00B57AE7" w:rsidRDefault="00BD7E4F" w:rsidP="00AD6F14">
      <w:pPr>
        <w:widowControl w:val="0"/>
        <w:tabs>
          <w:tab w:val="left" w:pos="567"/>
        </w:tabs>
        <w:rPr>
          <w:sz w:val="22"/>
          <w:szCs w:val="22"/>
        </w:rPr>
      </w:pPr>
    </w:p>
    <w:p w14:paraId="7CA59552" w14:textId="77777777" w:rsidR="00BD7E4F" w:rsidRPr="00B57AE7" w:rsidRDefault="00E314F3" w:rsidP="00AD6F14">
      <w:pPr>
        <w:widowControl w:val="0"/>
        <w:tabs>
          <w:tab w:val="left" w:pos="567"/>
        </w:tabs>
        <w:rPr>
          <w:sz w:val="22"/>
          <w:szCs w:val="22"/>
          <w:u w:val="single"/>
        </w:rPr>
      </w:pPr>
      <w:r w:rsidRPr="00B57AE7">
        <w:rPr>
          <w:sz w:val="22"/>
          <w:szCs w:val="22"/>
          <w:u w:val="single"/>
        </w:rPr>
        <w:t xml:space="preserve">Sitagliptín a metformín </w:t>
      </w:r>
    </w:p>
    <w:p w14:paraId="775E5DE0" w14:textId="77777777" w:rsidR="00BD7E4F" w:rsidRPr="00B57AE7" w:rsidRDefault="00E314F3" w:rsidP="00AD6F14">
      <w:pPr>
        <w:widowControl w:val="0"/>
        <w:tabs>
          <w:tab w:val="left" w:pos="567"/>
        </w:tabs>
        <w:rPr>
          <w:i/>
          <w:sz w:val="22"/>
          <w:szCs w:val="22"/>
        </w:rPr>
      </w:pPr>
      <w:r w:rsidRPr="00B57AE7">
        <w:rPr>
          <w:i/>
          <w:sz w:val="22"/>
          <w:szCs w:val="22"/>
        </w:rPr>
        <w:t xml:space="preserve">Tabuľkový zoznam nežiaducich reakcií </w:t>
      </w:r>
    </w:p>
    <w:p w14:paraId="7A445A93" w14:textId="77777777" w:rsidR="00BD7E4F" w:rsidRPr="00B57AE7" w:rsidRDefault="00E314F3" w:rsidP="00AD6F14">
      <w:pPr>
        <w:widowControl w:val="0"/>
        <w:tabs>
          <w:tab w:val="left" w:pos="567"/>
        </w:tabs>
        <w:rPr>
          <w:sz w:val="22"/>
          <w:szCs w:val="22"/>
        </w:rPr>
      </w:pPr>
      <w:r w:rsidRPr="00B57AE7">
        <w:rPr>
          <w:sz w:val="22"/>
          <w:szCs w:val="22"/>
        </w:rPr>
        <w:t>Nežiaduce reakcie sú vymenované nižšie podľa tried orgánových systémov a absolútnej frekvencie podľa uprednostňovaných názvov MedDRA (tabuľka 1). Frekvencie sú definované ako: veľmi časté (≥ 1/10); časté (≥ 1/100 až &lt; 1/10); menej časté (≥ 1/1 000 až &lt; 1/100); zriedkavé (≥ 1/10 000 až &lt; 1/1 000); veľmi zriedkavé (&lt; 1/10 000) a neznáme (</w:t>
      </w:r>
      <w:r w:rsidR="008D6F86">
        <w:rPr>
          <w:sz w:val="22"/>
          <w:szCs w:val="22"/>
        </w:rPr>
        <w:t xml:space="preserve">frekvenciu nemožno odhadnúť </w:t>
      </w:r>
      <w:r w:rsidRPr="00B57AE7">
        <w:rPr>
          <w:sz w:val="22"/>
          <w:szCs w:val="22"/>
        </w:rPr>
        <w:t xml:space="preserve">z dostupných údajov). </w:t>
      </w:r>
    </w:p>
    <w:p w14:paraId="2B53B184" w14:textId="77777777" w:rsidR="00BD7E4F" w:rsidRPr="00B57AE7" w:rsidRDefault="00BD7E4F" w:rsidP="00AD6F14">
      <w:pPr>
        <w:widowControl w:val="0"/>
        <w:tabs>
          <w:tab w:val="left" w:pos="567"/>
        </w:tabs>
        <w:rPr>
          <w:sz w:val="22"/>
          <w:szCs w:val="22"/>
        </w:rPr>
      </w:pPr>
    </w:p>
    <w:p w14:paraId="44CDCF06" w14:textId="77777777" w:rsidR="00562066" w:rsidRPr="00B57AE7" w:rsidRDefault="00E314F3" w:rsidP="00AD6F14">
      <w:pPr>
        <w:widowControl w:val="0"/>
        <w:tabs>
          <w:tab w:val="left" w:pos="567"/>
        </w:tabs>
        <w:rPr>
          <w:b/>
          <w:sz w:val="22"/>
          <w:szCs w:val="22"/>
        </w:rPr>
      </w:pPr>
      <w:r w:rsidRPr="00B57AE7">
        <w:rPr>
          <w:b/>
          <w:sz w:val="22"/>
          <w:szCs w:val="22"/>
        </w:rPr>
        <w:t>Tabuľka 1: Frekvencia nežiaducich reakcií zistených v placebom kontrolovaných klinických štúdiách so samotným sitagliptínom a metformínom a pri používaní lieku po jeho uvedení na trh</w:t>
      </w:r>
    </w:p>
    <w:p w14:paraId="268BEA41" w14:textId="77777777" w:rsidR="00E314F3" w:rsidRPr="00B57AE7" w:rsidRDefault="00E314F3" w:rsidP="00AD6F14">
      <w:pPr>
        <w:widowControl w:val="0"/>
        <w:tabs>
          <w:tab w:val="left" w:pos="567"/>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4519"/>
      </w:tblGrid>
      <w:tr w:rsidR="008D5BD2" w:rsidRPr="00B57AE7" w14:paraId="74033AF9" w14:textId="77777777" w:rsidTr="009D1BC2">
        <w:tc>
          <w:tcPr>
            <w:tcW w:w="4605" w:type="dxa"/>
            <w:shd w:val="clear" w:color="auto" w:fill="auto"/>
            <w:vAlign w:val="bottom"/>
          </w:tcPr>
          <w:p w14:paraId="60A6879E" w14:textId="77777777" w:rsidR="008D5BD2" w:rsidRPr="00B57AE7" w:rsidRDefault="008D5BD2" w:rsidP="009D1BC2">
            <w:pPr>
              <w:spacing w:line="0" w:lineRule="atLeast"/>
              <w:ind w:left="120"/>
              <w:rPr>
                <w:b/>
                <w:sz w:val="22"/>
              </w:rPr>
            </w:pPr>
            <w:r w:rsidRPr="00B57AE7">
              <w:rPr>
                <w:b/>
                <w:sz w:val="22"/>
              </w:rPr>
              <w:t>Nežiaduca reakcia</w:t>
            </w:r>
          </w:p>
        </w:tc>
        <w:tc>
          <w:tcPr>
            <w:tcW w:w="4606" w:type="dxa"/>
            <w:shd w:val="clear" w:color="auto" w:fill="auto"/>
            <w:vAlign w:val="bottom"/>
          </w:tcPr>
          <w:p w14:paraId="6FADA797" w14:textId="77777777" w:rsidR="008D5BD2" w:rsidRPr="00B57AE7" w:rsidRDefault="008D5BD2" w:rsidP="009D1BC2">
            <w:pPr>
              <w:spacing w:line="0" w:lineRule="atLeast"/>
              <w:jc w:val="center"/>
              <w:rPr>
                <w:b/>
                <w:sz w:val="22"/>
              </w:rPr>
            </w:pPr>
            <w:r w:rsidRPr="00B57AE7">
              <w:rPr>
                <w:b/>
                <w:sz w:val="22"/>
              </w:rPr>
              <w:t>Frekvencia nežiaducej reakcie</w:t>
            </w:r>
          </w:p>
        </w:tc>
      </w:tr>
      <w:tr w:rsidR="008D5BD2" w:rsidRPr="00B57AE7" w14:paraId="10584B6D" w14:textId="77777777" w:rsidTr="009D1BC2">
        <w:tc>
          <w:tcPr>
            <w:tcW w:w="4605" w:type="dxa"/>
            <w:shd w:val="clear" w:color="auto" w:fill="auto"/>
          </w:tcPr>
          <w:p w14:paraId="3AFA4AAF" w14:textId="77777777" w:rsidR="008D5BD2" w:rsidRPr="00B57AE7" w:rsidRDefault="008D5BD2" w:rsidP="009D1BC2">
            <w:pPr>
              <w:widowControl w:val="0"/>
              <w:tabs>
                <w:tab w:val="left" w:pos="567"/>
              </w:tabs>
              <w:rPr>
                <w:sz w:val="22"/>
                <w:szCs w:val="22"/>
              </w:rPr>
            </w:pPr>
          </w:p>
        </w:tc>
        <w:tc>
          <w:tcPr>
            <w:tcW w:w="4606" w:type="dxa"/>
            <w:shd w:val="clear" w:color="auto" w:fill="auto"/>
          </w:tcPr>
          <w:p w14:paraId="2F0FE887" w14:textId="77777777" w:rsidR="008D5BD2" w:rsidRPr="00B57AE7" w:rsidRDefault="008D5BD2" w:rsidP="009D1BC2">
            <w:pPr>
              <w:widowControl w:val="0"/>
              <w:tabs>
                <w:tab w:val="left" w:pos="567"/>
              </w:tabs>
              <w:rPr>
                <w:sz w:val="22"/>
                <w:szCs w:val="22"/>
              </w:rPr>
            </w:pPr>
          </w:p>
        </w:tc>
      </w:tr>
      <w:tr w:rsidR="008D5BD2" w:rsidRPr="00B57AE7" w14:paraId="56489CC5" w14:textId="77777777" w:rsidTr="009D1BC2">
        <w:tc>
          <w:tcPr>
            <w:tcW w:w="4605" w:type="dxa"/>
            <w:shd w:val="clear" w:color="auto" w:fill="auto"/>
            <w:vAlign w:val="bottom"/>
          </w:tcPr>
          <w:p w14:paraId="265259E9" w14:textId="77777777" w:rsidR="008D5BD2" w:rsidRPr="00B57AE7" w:rsidRDefault="008D5BD2" w:rsidP="009D1BC2">
            <w:pPr>
              <w:spacing w:line="249" w:lineRule="exact"/>
              <w:ind w:left="120"/>
              <w:rPr>
                <w:b/>
                <w:sz w:val="22"/>
              </w:rPr>
            </w:pPr>
            <w:r w:rsidRPr="00B57AE7">
              <w:rPr>
                <w:b/>
                <w:sz w:val="22"/>
              </w:rPr>
              <w:t>Poruchy krvi a lymfatického systému</w:t>
            </w:r>
          </w:p>
        </w:tc>
        <w:tc>
          <w:tcPr>
            <w:tcW w:w="4606" w:type="dxa"/>
            <w:shd w:val="clear" w:color="auto" w:fill="auto"/>
            <w:vAlign w:val="bottom"/>
          </w:tcPr>
          <w:p w14:paraId="404FF3CC" w14:textId="77777777" w:rsidR="008D5BD2" w:rsidRPr="00B57AE7" w:rsidRDefault="008D5BD2" w:rsidP="009D1BC2">
            <w:pPr>
              <w:spacing w:line="0" w:lineRule="atLeast"/>
              <w:rPr>
                <w:sz w:val="21"/>
              </w:rPr>
            </w:pPr>
          </w:p>
        </w:tc>
      </w:tr>
      <w:tr w:rsidR="008D5BD2" w:rsidRPr="00B57AE7" w14:paraId="6372D653" w14:textId="77777777" w:rsidTr="009D1BC2">
        <w:tc>
          <w:tcPr>
            <w:tcW w:w="4605" w:type="dxa"/>
            <w:shd w:val="clear" w:color="auto" w:fill="auto"/>
            <w:vAlign w:val="bottom"/>
          </w:tcPr>
          <w:p w14:paraId="3AB30C3B" w14:textId="77777777" w:rsidR="008D5BD2" w:rsidRPr="00B57AE7" w:rsidRDefault="008D5BD2" w:rsidP="009D1BC2">
            <w:pPr>
              <w:spacing w:line="249" w:lineRule="exact"/>
              <w:ind w:left="120"/>
              <w:rPr>
                <w:sz w:val="22"/>
              </w:rPr>
            </w:pPr>
            <w:r w:rsidRPr="00B57AE7">
              <w:rPr>
                <w:sz w:val="22"/>
              </w:rPr>
              <w:t>trombocytopénia</w:t>
            </w:r>
          </w:p>
        </w:tc>
        <w:tc>
          <w:tcPr>
            <w:tcW w:w="4606" w:type="dxa"/>
            <w:shd w:val="clear" w:color="auto" w:fill="auto"/>
            <w:vAlign w:val="bottom"/>
          </w:tcPr>
          <w:p w14:paraId="01E90509" w14:textId="77777777" w:rsidR="008D5BD2" w:rsidRPr="00B57AE7" w:rsidRDefault="008D5BD2" w:rsidP="009D1BC2">
            <w:pPr>
              <w:spacing w:line="249" w:lineRule="exact"/>
              <w:jc w:val="center"/>
              <w:rPr>
                <w:sz w:val="22"/>
              </w:rPr>
            </w:pPr>
            <w:r w:rsidRPr="00B57AE7">
              <w:rPr>
                <w:sz w:val="22"/>
              </w:rPr>
              <w:t>zriedkavé</w:t>
            </w:r>
          </w:p>
        </w:tc>
      </w:tr>
      <w:tr w:rsidR="008D5BD2" w:rsidRPr="00B57AE7" w14:paraId="7A053C8D" w14:textId="77777777" w:rsidTr="009D1BC2">
        <w:tc>
          <w:tcPr>
            <w:tcW w:w="4605" w:type="dxa"/>
            <w:shd w:val="clear" w:color="auto" w:fill="auto"/>
          </w:tcPr>
          <w:p w14:paraId="479526DD" w14:textId="77777777" w:rsidR="008D5BD2" w:rsidRPr="00B57AE7" w:rsidRDefault="008D5BD2" w:rsidP="009D1BC2">
            <w:pPr>
              <w:widowControl w:val="0"/>
              <w:tabs>
                <w:tab w:val="left" w:pos="567"/>
              </w:tabs>
              <w:rPr>
                <w:sz w:val="22"/>
                <w:szCs w:val="22"/>
              </w:rPr>
            </w:pPr>
          </w:p>
        </w:tc>
        <w:tc>
          <w:tcPr>
            <w:tcW w:w="4606" w:type="dxa"/>
            <w:shd w:val="clear" w:color="auto" w:fill="auto"/>
          </w:tcPr>
          <w:p w14:paraId="4000CEAB" w14:textId="77777777" w:rsidR="008D5BD2" w:rsidRPr="00B57AE7" w:rsidRDefault="008D5BD2" w:rsidP="009D1BC2">
            <w:pPr>
              <w:widowControl w:val="0"/>
              <w:tabs>
                <w:tab w:val="left" w:pos="567"/>
              </w:tabs>
              <w:rPr>
                <w:sz w:val="22"/>
                <w:szCs w:val="22"/>
              </w:rPr>
            </w:pPr>
          </w:p>
        </w:tc>
      </w:tr>
      <w:tr w:rsidR="008D5BD2" w:rsidRPr="00B57AE7" w14:paraId="784FB6C2" w14:textId="77777777" w:rsidTr="009D1BC2">
        <w:tc>
          <w:tcPr>
            <w:tcW w:w="4605" w:type="dxa"/>
            <w:shd w:val="clear" w:color="auto" w:fill="auto"/>
            <w:vAlign w:val="bottom"/>
          </w:tcPr>
          <w:p w14:paraId="35F0E389" w14:textId="77777777" w:rsidR="008D5BD2" w:rsidRPr="00B57AE7" w:rsidRDefault="008D5BD2" w:rsidP="009D1BC2">
            <w:pPr>
              <w:spacing w:line="249" w:lineRule="exact"/>
              <w:ind w:left="120"/>
              <w:rPr>
                <w:b/>
                <w:sz w:val="22"/>
              </w:rPr>
            </w:pPr>
            <w:r w:rsidRPr="00B57AE7">
              <w:rPr>
                <w:b/>
                <w:sz w:val="22"/>
              </w:rPr>
              <w:t>Poruchy imunitného systému</w:t>
            </w:r>
          </w:p>
        </w:tc>
        <w:tc>
          <w:tcPr>
            <w:tcW w:w="4606" w:type="dxa"/>
            <w:shd w:val="clear" w:color="auto" w:fill="auto"/>
            <w:vAlign w:val="bottom"/>
          </w:tcPr>
          <w:p w14:paraId="7555D16A" w14:textId="77777777" w:rsidR="008D5BD2" w:rsidRPr="00B57AE7" w:rsidRDefault="008D5BD2" w:rsidP="009D1BC2">
            <w:pPr>
              <w:spacing w:line="0" w:lineRule="atLeast"/>
              <w:rPr>
                <w:sz w:val="21"/>
              </w:rPr>
            </w:pPr>
          </w:p>
        </w:tc>
      </w:tr>
      <w:tr w:rsidR="008D5BD2" w:rsidRPr="00B57AE7" w14:paraId="574FDA49" w14:textId="77777777" w:rsidTr="009D1BC2">
        <w:tc>
          <w:tcPr>
            <w:tcW w:w="4605" w:type="dxa"/>
            <w:shd w:val="clear" w:color="auto" w:fill="auto"/>
            <w:vAlign w:val="bottom"/>
          </w:tcPr>
          <w:p w14:paraId="25231602" w14:textId="77777777" w:rsidR="008D5BD2" w:rsidRPr="00B57AE7" w:rsidRDefault="008D5BD2" w:rsidP="009D1BC2">
            <w:pPr>
              <w:spacing w:line="214" w:lineRule="exact"/>
              <w:ind w:left="120"/>
              <w:rPr>
                <w:sz w:val="22"/>
              </w:rPr>
            </w:pPr>
            <w:r w:rsidRPr="00B57AE7">
              <w:rPr>
                <w:sz w:val="22"/>
              </w:rPr>
              <w:t>reakcie z precitlivenosti vrátane anafylaktických</w:t>
            </w:r>
            <w:r w:rsidR="00BD7E4F" w:rsidRPr="00B57AE7">
              <w:rPr>
                <w:sz w:val="22"/>
              </w:rPr>
              <w:t xml:space="preserve"> odpovedí</w:t>
            </w:r>
            <w:r w:rsidR="00BD7E4F" w:rsidRPr="00B57AE7">
              <w:rPr>
                <w:sz w:val="27"/>
                <w:vertAlign w:val="superscript"/>
              </w:rPr>
              <w:t>*,</w:t>
            </w:r>
            <w:r w:rsidR="00BD7E4F" w:rsidRPr="00B57AE7">
              <w:rPr>
                <w:b/>
                <w:sz w:val="27"/>
                <w:vertAlign w:val="superscript"/>
              </w:rPr>
              <w:t>†</w:t>
            </w:r>
          </w:p>
        </w:tc>
        <w:tc>
          <w:tcPr>
            <w:tcW w:w="4606" w:type="dxa"/>
            <w:shd w:val="clear" w:color="auto" w:fill="auto"/>
            <w:vAlign w:val="bottom"/>
          </w:tcPr>
          <w:p w14:paraId="4E1002FF" w14:textId="77777777" w:rsidR="008D5BD2" w:rsidRPr="00B57AE7" w:rsidRDefault="008D5BD2" w:rsidP="009D1BC2">
            <w:pPr>
              <w:spacing w:line="214" w:lineRule="exact"/>
              <w:jc w:val="center"/>
              <w:rPr>
                <w:w w:val="99"/>
                <w:sz w:val="22"/>
              </w:rPr>
            </w:pPr>
            <w:r w:rsidRPr="00B57AE7">
              <w:rPr>
                <w:w w:val="99"/>
                <w:sz w:val="22"/>
              </w:rPr>
              <w:t>frekvencia neznáma</w:t>
            </w:r>
          </w:p>
        </w:tc>
      </w:tr>
      <w:tr w:rsidR="008D5BD2" w:rsidRPr="00B57AE7" w14:paraId="335F9AC5" w14:textId="77777777" w:rsidTr="009D1BC2">
        <w:tc>
          <w:tcPr>
            <w:tcW w:w="4605" w:type="dxa"/>
            <w:shd w:val="clear" w:color="auto" w:fill="auto"/>
            <w:vAlign w:val="bottom"/>
          </w:tcPr>
          <w:p w14:paraId="2D7600B5" w14:textId="77777777" w:rsidR="008D5BD2" w:rsidRPr="00B57AE7" w:rsidRDefault="008D5BD2" w:rsidP="009D1BC2">
            <w:pPr>
              <w:spacing w:line="0" w:lineRule="atLeast"/>
              <w:ind w:left="120"/>
              <w:rPr>
                <w:b/>
                <w:sz w:val="22"/>
              </w:rPr>
            </w:pPr>
          </w:p>
        </w:tc>
        <w:tc>
          <w:tcPr>
            <w:tcW w:w="4606" w:type="dxa"/>
            <w:shd w:val="clear" w:color="auto" w:fill="auto"/>
            <w:vAlign w:val="bottom"/>
          </w:tcPr>
          <w:p w14:paraId="2305DF98" w14:textId="77777777" w:rsidR="008D5BD2" w:rsidRPr="00B57AE7" w:rsidRDefault="008D5BD2" w:rsidP="009D1BC2">
            <w:pPr>
              <w:spacing w:line="0" w:lineRule="atLeast"/>
              <w:ind w:right="210"/>
              <w:jc w:val="center"/>
              <w:rPr>
                <w:b/>
                <w:sz w:val="22"/>
              </w:rPr>
            </w:pPr>
          </w:p>
        </w:tc>
      </w:tr>
      <w:tr w:rsidR="00BD7E4F" w:rsidRPr="00B57AE7" w14:paraId="629D4ED3" w14:textId="77777777" w:rsidTr="009D1BC2">
        <w:tc>
          <w:tcPr>
            <w:tcW w:w="4605" w:type="dxa"/>
            <w:shd w:val="clear" w:color="auto" w:fill="auto"/>
            <w:vAlign w:val="bottom"/>
          </w:tcPr>
          <w:p w14:paraId="75C13528" w14:textId="77777777" w:rsidR="00BD7E4F" w:rsidRPr="00B57AE7" w:rsidRDefault="00BD7E4F" w:rsidP="009D1BC2">
            <w:pPr>
              <w:spacing w:line="0" w:lineRule="atLeast"/>
              <w:ind w:left="120"/>
              <w:rPr>
                <w:b/>
                <w:sz w:val="22"/>
              </w:rPr>
            </w:pPr>
            <w:r w:rsidRPr="00B57AE7">
              <w:rPr>
                <w:b/>
                <w:sz w:val="22"/>
              </w:rPr>
              <w:t>Poruchy metabolizmu a výživy</w:t>
            </w:r>
          </w:p>
        </w:tc>
        <w:tc>
          <w:tcPr>
            <w:tcW w:w="4606" w:type="dxa"/>
            <w:shd w:val="clear" w:color="auto" w:fill="auto"/>
            <w:vAlign w:val="bottom"/>
          </w:tcPr>
          <w:p w14:paraId="10212536" w14:textId="77777777" w:rsidR="00BD7E4F" w:rsidRPr="00B57AE7" w:rsidRDefault="00BD7E4F" w:rsidP="009D1BC2">
            <w:pPr>
              <w:spacing w:line="0" w:lineRule="atLeast"/>
              <w:ind w:right="210"/>
              <w:jc w:val="center"/>
              <w:rPr>
                <w:b/>
                <w:sz w:val="22"/>
              </w:rPr>
            </w:pPr>
          </w:p>
        </w:tc>
      </w:tr>
      <w:tr w:rsidR="00BD7E4F" w:rsidRPr="00B57AE7" w14:paraId="7A807AC2" w14:textId="77777777" w:rsidTr="009D1BC2">
        <w:tc>
          <w:tcPr>
            <w:tcW w:w="4605" w:type="dxa"/>
            <w:shd w:val="clear" w:color="auto" w:fill="auto"/>
            <w:vAlign w:val="bottom"/>
          </w:tcPr>
          <w:p w14:paraId="47E5D60F" w14:textId="77777777" w:rsidR="00BD7E4F" w:rsidRPr="00B57AE7" w:rsidRDefault="00BD7E4F" w:rsidP="009D1BC2">
            <w:pPr>
              <w:spacing w:line="0" w:lineRule="atLeast"/>
              <w:ind w:left="120"/>
              <w:rPr>
                <w:sz w:val="22"/>
              </w:rPr>
            </w:pPr>
            <w:r w:rsidRPr="00B57AE7">
              <w:rPr>
                <w:sz w:val="22"/>
              </w:rPr>
              <w:t>hypoglykémia</w:t>
            </w:r>
            <w:r w:rsidRPr="00B57AE7">
              <w:rPr>
                <w:b/>
                <w:sz w:val="27"/>
                <w:vertAlign w:val="superscript"/>
              </w:rPr>
              <w:t>†</w:t>
            </w:r>
          </w:p>
        </w:tc>
        <w:tc>
          <w:tcPr>
            <w:tcW w:w="4606" w:type="dxa"/>
            <w:shd w:val="clear" w:color="auto" w:fill="auto"/>
            <w:vAlign w:val="bottom"/>
          </w:tcPr>
          <w:p w14:paraId="5751DC62" w14:textId="77777777" w:rsidR="00BD7E4F" w:rsidRPr="00B57AE7" w:rsidRDefault="00BD7E4F" w:rsidP="009D1BC2">
            <w:pPr>
              <w:spacing w:line="0" w:lineRule="atLeast"/>
              <w:ind w:right="210"/>
              <w:jc w:val="center"/>
              <w:rPr>
                <w:sz w:val="22"/>
              </w:rPr>
            </w:pPr>
            <w:r w:rsidRPr="00B57AE7">
              <w:rPr>
                <w:sz w:val="22"/>
              </w:rPr>
              <w:t>časté</w:t>
            </w:r>
          </w:p>
        </w:tc>
      </w:tr>
      <w:tr w:rsidR="00DA3CDE" w:rsidRPr="00B57AE7" w14:paraId="5E4F5D54" w14:textId="77777777" w:rsidTr="009D1BC2">
        <w:tc>
          <w:tcPr>
            <w:tcW w:w="4605" w:type="dxa"/>
            <w:shd w:val="clear" w:color="auto" w:fill="auto"/>
            <w:vAlign w:val="bottom"/>
          </w:tcPr>
          <w:p w14:paraId="14A92204" w14:textId="59E5E2E3" w:rsidR="00DA3CDE" w:rsidRPr="00B57AE7" w:rsidRDefault="00DA3CDE" w:rsidP="009D1BC2">
            <w:pPr>
              <w:spacing w:line="0" w:lineRule="atLeast"/>
              <w:ind w:left="120"/>
              <w:rPr>
                <w:sz w:val="22"/>
              </w:rPr>
            </w:pPr>
            <w:r w:rsidRPr="00DA3CDE">
              <w:rPr>
                <w:sz w:val="22"/>
              </w:rPr>
              <w:t xml:space="preserve">pokles/nedostatok vitamínu B </w:t>
            </w:r>
            <w:r w:rsidRPr="00DA3CDE">
              <w:rPr>
                <w:sz w:val="22"/>
                <w:vertAlign w:val="subscript"/>
              </w:rPr>
              <w:t>12</w:t>
            </w:r>
            <w:r w:rsidRPr="00DA3CDE">
              <w:rPr>
                <w:sz w:val="22"/>
              </w:rPr>
              <w:t>†</w:t>
            </w:r>
          </w:p>
        </w:tc>
        <w:tc>
          <w:tcPr>
            <w:tcW w:w="4606" w:type="dxa"/>
            <w:shd w:val="clear" w:color="auto" w:fill="auto"/>
            <w:vAlign w:val="bottom"/>
          </w:tcPr>
          <w:p w14:paraId="378AAE59" w14:textId="1C227BFD" w:rsidR="00DA3CDE" w:rsidRPr="00B57AE7" w:rsidRDefault="00DA3CDE" w:rsidP="009D1BC2">
            <w:pPr>
              <w:spacing w:line="0" w:lineRule="atLeast"/>
              <w:ind w:right="210"/>
              <w:jc w:val="center"/>
              <w:rPr>
                <w:sz w:val="22"/>
              </w:rPr>
            </w:pPr>
            <w:r>
              <w:rPr>
                <w:sz w:val="22"/>
              </w:rPr>
              <w:t>časté</w:t>
            </w:r>
          </w:p>
        </w:tc>
      </w:tr>
      <w:tr w:rsidR="00BD7E4F" w:rsidRPr="00B57AE7" w14:paraId="18BFED14" w14:textId="77777777" w:rsidTr="009D1BC2">
        <w:tc>
          <w:tcPr>
            <w:tcW w:w="4605" w:type="dxa"/>
            <w:shd w:val="clear" w:color="auto" w:fill="auto"/>
            <w:vAlign w:val="bottom"/>
          </w:tcPr>
          <w:p w14:paraId="2DF2588B" w14:textId="77777777" w:rsidR="00BD7E4F" w:rsidRPr="00B57AE7" w:rsidRDefault="00BD7E4F" w:rsidP="009D1BC2">
            <w:pPr>
              <w:spacing w:line="0" w:lineRule="atLeast"/>
              <w:ind w:left="120"/>
              <w:rPr>
                <w:sz w:val="22"/>
              </w:rPr>
            </w:pPr>
          </w:p>
        </w:tc>
        <w:tc>
          <w:tcPr>
            <w:tcW w:w="4606" w:type="dxa"/>
            <w:shd w:val="clear" w:color="auto" w:fill="auto"/>
            <w:vAlign w:val="bottom"/>
          </w:tcPr>
          <w:p w14:paraId="453B8DE9" w14:textId="77777777" w:rsidR="00BD7E4F" w:rsidRPr="00B57AE7" w:rsidRDefault="00BD7E4F" w:rsidP="009D1BC2">
            <w:pPr>
              <w:spacing w:line="0" w:lineRule="atLeast"/>
              <w:ind w:right="210"/>
              <w:jc w:val="center"/>
              <w:rPr>
                <w:sz w:val="22"/>
              </w:rPr>
            </w:pPr>
          </w:p>
        </w:tc>
      </w:tr>
      <w:tr w:rsidR="008D5BD2" w:rsidRPr="00B57AE7" w14:paraId="3AE1729E" w14:textId="77777777" w:rsidTr="009D1BC2">
        <w:tc>
          <w:tcPr>
            <w:tcW w:w="4605" w:type="dxa"/>
            <w:shd w:val="clear" w:color="auto" w:fill="auto"/>
            <w:vAlign w:val="bottom"/>
          </w:tcPr>
          <w:p w14:paraId="15F6CC0B" w14:textId="77777777" w:rsidR="008D5BD2" w:rsidRPr="00B57AE7" w:rsidRDefault="008D5BD2" w:rsidP="009D1BC2">
            <w:pPr>
              <w:spacing w:line="249" w:lineRule="exact"/>
              <w:ind w:left="120"/>
              <w:rPr>
                <w:b/>
                <w:sz w:val="22"/>
              </w:rPr>
            </w:pPr>
            <w:r w:rsidRPr="00B57AE7">
              <w:rPr>
                <w:b/>
                <w:sz w:val="22"/>
              </w:rPr>
              <w:t>Poruchy nervového systému</w:t>
            </w:r>
          </w:p>
        </w:tc>
        <w:tc>
          <w:tcPr>
            <w:tcW w:w="4606" w:type="dxa"/>
            <w:shd w:val="clear" w:color="auto" w:fill="auto"/>
            <w:vAlign w:val="bottom"/>
          </w:tcPr>
          <w:p w14:paraId="37FE892E" w14:textId="77777777" w:rsidR="008D5BD2" w:rsidRPr="00B57AE7" w:rsidRDefault="008D5BD2" w:rsidP="009D1BC2">
            <w:pPr>
              <w:spacing w:line="0" w:lineRule="atLeast"/>
              <w:rPr>
                <w:sz w:val="21"/>
              </w:rPr>
            </w:pPr>
          </w:p>
        </w:tc>
      </w:tr>
      <w:tr w:rsidR="008D5BD2" w:rsidRPr="00B57AE7" w14:paraId="4B33279A" w14:textId="77777777" w:rsidTr="009D1BC2">
        <w:tc>
          <w:tcPr>
            <w:tcW w:w="4605" w:type="dxa"/>
            <w:shd w:val="clear" w:color="auto" w:fill="auto"/>
            <w:vAlign w:val="bottom"/>
          </w:tcPr>
          <w:p w14:paraId="75F6E71F" w14:textId="77777777" w:rsidR="008D5BD2" w:rsidRPr="00B57AE7" w:rsidRDefault="008D5BD2" w:rsidP="009D1BC2">
            <w:pPr>
              <w:spacing w:line="249" w:lineRule="exact"/>
              <w:ind w:left="120"/>
              <w:rPr>
                <w:sz w:val="22"/>
              </w:rPr>
            </w:pPr>
            <w:r w:rsidRPr="00B57AE7">
              <w:rPr>
                <w:sz w:val="22"/>
              </w:rPr>
              <w:t>somnolencia</w:t>
            </w:r>
          </w:p>
        </w:tc>
        <w:tc>
          <w:tcPr>
            <w:tcW w:w="4606" w:type="dxa"/>
            <w:shd w:val="clear" w:color="auto" w:fill="auto"/>
            <w:vAlign w:val="bottom"/>
          </w:tcPr>
          <w:p w14:paraId="1C0D744B" w14:textId="77777777" w:rsidR="008D5BD2" w:rsidRPr="00B57AE7" w:rsidRDefault="008D5BD2" w:rsidP="009D1BC2">
            <w:pPr>
              <w:spacing w:line="249" w:lineRule="exact"/>
              <w:ind w:right="190"/>
              <w:jc w:val="center"/>
              <w:rPr>
                <w:sz w:val="22"/>
              </w:rPr>
            </w:pPr>
            <w:r w:rsidRPr="00B57AE7">
              <w:rPr>
                <w:sz w:val="22"/>
              </w:rPr>
              <w:t>menej časté</w:t>
            </w:r>
          </w:p>
        </w:tc>
      </w:tr>
      <w:tr w:rsidR="008D5BD2" w:rsidRPr="00B57AE7" w14:paraId="35F71E50" w14:textId="77777777" w:rsidTr="009D1BC2">
        <w:tc>
          <w:tcPr>
            <w:tcW w:w="4605" w:type="dxa"/>
            <w:shd w:val="clear" w:color="auto" w:fill="auto"/>
          </w:tcPr>
          <w:p w14:paraId="04832E4B" w14:textId="77777777" w:rsidR="008D5BD2" w:rsidRPr="00B57AE7" w:rsidRDefault="008D5BD2" w:rsidP="009D1BC2">
            <w:pPr>
              <w:widowControl w:val="0"/>
              <w:tabs>
                <w:tab w:val="left" w:pos="567"/>
              </w:tabs>
              <w:rPr>
                <w:sz w:val="22"/>
                <w:szCs w:val="22"/>
              </w:rPr>
            </w:pPr>
          </w:p>
        </w:tc>
        <w:tc>
          <w:tcPr>
            <w:tcW w:w="4606" w:type="dxa"/>
            <w:shd w:val="clear" w:color="auto" w:fill="auto"/>
          </w:tcPr>
          <w:p w14:paraId="3793A393" w14:textId="77777777" w:rsidR="008D5BD2" w:rsidRPr="00B57AE7" w:rsidRDefault="008D5BD2" w:rsidP="009D1BC2">
            <w:pPr>
              <w:widowControl w:val="0"/>
              <w:tabs>
                <w:tab w:val="left" w:pos="567"/>
              </w:tabs>
              <w:rPr>
                <w:sz w:val="22"/>
                <w:szCs w:val="22"/>
              </w:rPr>
            </w:pPr>
          </w:p>
        </w:tc>
      </w:tr>
      <w:tr w:rsidR="00BD7E4F" w:rsidRPr="00B57AE7" w14:paraId="5D30853C" w14:textId="77777777" w:rsidTr="009D1BC2">
        <w:tc>
          <w:tcPr>
            <w:tcW w:w="4605" w:type="dxa"/>
            <w:shd w:val="clear" w:color="auto" w:fill="auto"/>
          </w:tcPr>
          <w:p w14:paraId="6452A9B8" w14:textId="77777777" w:rsidR="00BD7E4F" w:rsidRPr="00B57AE7" w:rsidRDefault="00BD7E4F" w:rsidP="006B2E74">
            <w:pPr>
              <w:widowControl w:val="0"/>
              <w:tabs>
                <w:tab w:val="left" w:pos="567"/>
              </w:tabs>
              <w:ind w:left="142"/>
              <w:rPr>
                <w:b/>
                <w:sz w:val="22"/>
                <w:szCs w:val="22"/>
              </w:rPr>
            </w:pPr>
            <w:r w:rsidRPr="00B57AE7">
              <w:rPr>
                <w:b/>
                <w:sz w:val="22"/>
                <w:szCs w:val="22"/>
              </w:rPr>
              <w:t>Poruchy dýchac</w:t>
            </w:r>
            <w:r w:rsidR="00973EDA">
              <w:rPr>
                <w:b/>
                <w:sz w:val="22"/>
                <w:szCs w:val="22"/>
              </w:rPr>
              <w:t>ej</w:t>
            </w:r>
            <w:r w:rsidRPr="00B57AE7">
              <w:rPr>
                <w:b/>
                <w:sz w:val="22"/>
                <w:szCs w:val="22"/>
              </w:rPr>
              <w:t xml:space="preserve"> </w:t>
            </w:r>
            <w:r w:rsidR="00973EDA">
              <w:rPr>
                <w:b/>
                <w:sz w:val="22"/>
                <w:szCs w:val="22"/>
              </w:rPr>
              <w:t>sústavy</w:t>
            </w:r>
            <w:r w:rsidRPr="00B57AE7">
              <w:rPr>
                <w:b/>
                <w:sz w:val="22"/>
                <w:szCs w:val="22"/>
              </w:rPr>
              <w:t>, hrudníka a</w:t>
            </w:r>
            <w:r w:rsidR="006B2E74" w:rsidRPr="00B57AE7">
              <w:rPr>
                <w:b/>
                <w:sz w:val="22"/>
                <w:szCs w:val="22"/>
              </w:rPr>
              <w:t> </w:t>
            </w:r>
            <w:r w:rsidRPr="00B57AE7">
              <w:rPr>
                <w:b/>
                <w:sz w:val="22"/>
                <w:szCs w:val="22"/>
              </w:rPr>
              <w:t>mediastína</w:t>
            </w:r>
          </w:p>
        </w:tc>
        <w:tc>
          <w:tcPr>
            <w:tcW w:w="4606" w:type="dxa"/>
            <w:shd w:val="clear" w:color="auto" w:fill="auto"/>
          </w:tcPr>
          <w:p w14:paraId="5245DCB2" w14:textId="77777777" w:rsidR="00BD7E4F" w:rsidRPr="00B57AE7" w:rsidRDefault="00BD7E4F" w:rsidP="009D1BC2">
            <w:pPr>
              <w:widowControl w:val="0"/>
              <w:tabs>
                <w:tab w:val="left" w:pos="567"/>
              </w:tabs>
              <w:rPr>
                <w:sz w:val="22"/>
                <w:szCs w:val="22"/>
              </w:rPr>
            </w:pPr>
          </w:p>
        </w:tc>
      </w:tr>
      <w:tr w:rsidR="00BD7E4F" w:rsidRPr="00B57AE7" w14:paraId="266D92D0" w14:textId="77777777" w:rsidTr="009D1BC2">
        <w:tc>
          <w:tcPr>
            <w:tcW w:w="4605" w:type="dxa"/>
            <w:shd w:val="clear" w:color="auto" w:fill="auto"/>
          </w:tcPr>
          <w:p w14:paraId="29743035" w14:textId="77777777" w:rsidR="00BD7E4F" w:rsidRPr="00B57AE7" w:rsidRDefault="00BD7E4F" w:rsidP="006B2E74">
            <w:pPr>
              <w:widowControl w:val="0"/>
              <w:tabs>
                <w:tab w:val="left" w:pos="567"/>
              </w:tabs>
              <w:ind w:firstLine="142"/>
              <w:rPr>
                <w:sz w:val="22"/>
                <w:szCs w:val="22"/>
              </w:rPr>
            </w:pPr>
            <w:r w:rsidRPr="00B57AE7">
              <w:rPr>
                <w:sz w:val="22"/>
                <w:szCs w:val="22"/>
              </w:rPr>
              <w:t>inte</w:t>
            </w:r>
            <w:r w:rsidR="008F281C" w:rsidRPr="00B57AE7">
              <w:rPr>
                <w:sz w:val="22"/>
                <w:szCs w:val="22"/>
              </w:rPr>
              <w:t>r</w:t>
            </w:r>
            <w:r w:rsidRPr="00B57AE7">
              <w:rPr>
                <w:sz w:val="22"/>
                <w:szCs w:val="22"/>
              </w:rPr>
              <w:t>sti</w:t>
            </w:r>
            <w:r w:rsidR="008F281C" w:rsidRPr="00B57AE7">
              <w:rPr>
                <w:sz w:val="22"/>
                <w:szCs w:val="22"/>
              </w:rPr>
              <w:t>ci</w:t>
            </w:r>
            <w:r w:rsidRPr="00B57AE7">
              <w:rPr>
                <w:sz w:val="22"/>
                <w:szCs w:val="22"/>
              </w:rPr>
              <w:t>álne ochorenie pľúc</w:t>
            </w:r>
            <w:r w:rsidRPr="00B57AE7">
              <w:rPr>
                <w:sz w:val="27"/>
                <w:vertAlign w:val="superscript"/>
              </w:rPr>
              <w:t>*</w:t>
            </w:r>
          </w:p>
        </w:tc>
        <w:tc>
          <w:tcPr>
            <w:tcW w:w="4606" w:type="dxa"/>
            <w:shd w:val="clear" w:color="auto" w:fill="auto"/>
          </w:tcPr>
          <w:p w14:paraId="696A19D3" w14:textId="77777777" w:rsidR="00BD7E4F" w:rsidRPr="00B57AE7" w:rsidRDefault="00BD7E4F" w:rsidP="009D1BC2">
            <w:pPr>
              <w:widowControl w:val="0"/>
              <w:tabs>
                <w:tab w:val="left" w:pos="567"/>
              </w:tabs>
              <w:jc w:val="center"/>
              <w:rPr>
                <w:sz w:val="22"/>
                <w:szCs w:val="22"/>
              </w:rPr>
            </w:pPr>
            <w:r w:rsidRPr="00B57AE7">
              <w:rPr>
                <w:w w:val="99"/>
                <w:sz w:val="22"/>
              </w:rPr>
              <w:t>frekvencia neznáma</w:t>
            </w:r>
          </w:p>
        </w:tc>
      </w:tr>
      <w:tr w:rsidR="00BD7E4F" w:rsidRPr="00B57AE7" w14:paraId="1DDFAD76" w14:textId="77777777" w:rsidTr="009D1BC2">
        <w:tc>
          <w:tcPr>
            <w:tcW w:w="4605" w:type="dxa"/>
            <w:shd w:val="clear" w:color="auto" w:fill="auto"/>
          </w:tcPr>
          <w:p w14:paraId="54A60343" w14:textId="77777777" w:rsidR="00BD7E4F" w:rsidRPr="00B57AE7" w:rsidRDefault="00BD7E4F" w:rsidP="009D1BC2">
            <w:pPr>
              <w:widowControl w:val="0"/>
              <w:tabs>
                <w:tab w:val="left" w:pos="567"/>
              </w:tabs>
              <w:rPr>
                <w:sz w:val="22"/>
                <w:szCs w:val="22"/>
              </w:rPr>
            </w:pPr>
          </w:p>
        </w:tc>
        <w:tc>
          <w:tcPr>
            <w:tcW w:w="4606" w:type="dxa"/>
            <w:shd w:val="clear" w:color="auto" w:fill="auto"/>
          </w:tcPr>
          <w:p w14:paraId="7FD80909" w14:textId="77777777" w:rsidR="00BD7E4F" w:rsidRPr="00B57AE7" w:rsidRDefault="00BD7E4F" w:rsidP="009D1BC2">
            <w:pPr>
              <w:widowControl w:val="0"/>
              <w:tabs>
                <w:tab w:val="left" w:pos="567"/>
              </w:tabs>
              <w:jc w:val="center"/>
              <w:rPr>
                <w:w w:val="99"/>
                <w:sz w:val="22"/>
              </w:rPr>
            </w:pPr>
          </w:p>
        </w:tc>
      </w:tr>
      <w:tr w:rsidR="008D5BD2" w:rsidRPr="00B57AE7" w14:paraId="6AF9EE68" w14:textId="77777777" w:rsidTr="009D1BC2">
        <w:tc>
          <w:tcPr>
            <w:tcW w:w="4605" w:type="dxa"/>
            <w:shd w:val="clear" w:color="auto" w:fill="auto"/>
            <w:vAlign w:val="bottom"/>
          </w:tcPr>
          <w:p w14:paraId="290E3FD7" w14:textId="77777777" w:rsidR="008D5BD2" w:rsidRPr="00B57AE7" w:rsidRDefault="008D5BD2" w:rsidP="009D1BC2">
            <w:pPr>
              <w:spacing w:line="249" w:lineRule="exact"/>
              <w:ind w:left="120"/>
              <w:rPr>
                <w:b/>
                <w:sz w:val="22"/>
              </w:rPr>
            </w:pPr>
            <w:r w:rsidRPr="00B57AE7">
              <w:rPr>
                <w:b/>
                <w:sz w:val="22"/>
              </w:rPr>
              <w:t>Poruchy gastrointestinálneho traktu</w:t>
            </w:r>
          </w:p>
        </w:tc>
        <w:tc>
          <w:tcPr>
            <w:tcW w:w="4606" w:type="dxa"/>
            <w:shd w:val="clear" w:color="auto" w:fill="auto"/>
            <w:vAlign w:val="bottom"/>
          </w:tcPr>
          <w:p w14:paraId="22B3E8E2" w14:textId="77777777" w:rsidR="008D5BD2" w:rsidRPr="00B57AE7" w:rsidRDefault="008D5BD2" w:rsidP="009D1BC2">
            <w:pPr>
              <w:spacing w:line="0" w:lineRule="atLeast"/>
              <w:rPr>
                <w:sz w:val="21"/>
              </w:rPr>
            </w:pPr>
          </w:p>
        </w:tc>
      </w:tr>
      <w:tr w:rsidR="008D5BD2" w:rsidRPr="00B57AE7" w14:paraId="78E533DB" w14:textId="77777777" w:rsidTr="009D1BC2">
        <w:tc>
          <w:tcPr>
            <w:tcW w:w="4605" w:type="dxa"/>
            <w:shd w:val="clear" w:color="auto" w:fill="auto"/>
            <w:vAlign w:val="bottom"/>
          </w:tcPr>
          <w:p w14:paraId="113BF07D" w14:textId="77777777" w:rsidR="008D5BD2" w:rsidRPr="00B57AE7" w:rsidRDefault="00BD7E4F" w:rsidP="009D1BC2">
            <w:pPr>
              <w:spacing w:line="249" w:lineRule="exact"/>
              <w:ind w:left="120"/>
              <w:rPr>
                <w:sz w:val="22"/>
              </w:rPr>
            </w:pPr>
            <w:r w:rsidRPr="00B57AE7">
              <w:rPr>
                <w:sz w:val="22"/>
              </w:rPr>
              <w:t>h</w:t>
            </w:r>
            <w:r w:rsidR="008D5BD2" w:rsidRPr="00B57AE7">
              <w:rPr>
                <w:sz w:val="22"/>
              </w:rPr>
              <w:t>načka</w:t>
            </w:r>
          </w:p>
        </w:tc>
        <w:tc>
          <w:tcPr>
            <w:tcW w:w="4606" w:type="dxa"/>
            <w:shd w:val="clear" w:color="auto" w:fill="auto"/>
            <w:vAlign w:val="bottom"/>
          </w:tcPr>
          <w:p w14:paraId="4385A3AE" w14:textId="77777777" w:rsidR="008D5BD2" w:rsidRPr="00B57AE7" w:rsidRDefault="008D5BD2" w:rsidP="009D1BC2">
            <w:pPr>
              <w:spacing w:line="249" w:lineRule="exact"/>
              <w:ind w:right="190"/>
              <w:jc w:val="center"/>
              <w:rPr>
                <w:sz w:val="22"/>
              </w:rPr>
            </w:pPr>
            <w:r w:rsidRPr="00B57AE7">
              <w:rPr>
                <w:sz w:val="22"/>
              </w:rPr>
              <w:t>menej časté</w:t>
            </w:r>
          </w:p>
        </w:tc>
      </w:tr>
      <w:tr w:rsidR="008D5BD2" w:rsidRPr="00B57AE7" w14:paraId="41711282" w14:textId="77777777" w:rsidTr="009D1BC2">
        <w:tc>
          <w:tcPr>
            <w:tcW w:w="4605" w:type="dxa"/>
            <w:shd w:val="clear" w:color="auto" w:fill="auto"/>
            <w:vAlign w:val="bottom"/>
          </w:tcPr>
          <w:p w14:paraId="0C035D1C" w14:textId="77777777" w:rsidR="008D5BD2" w:rsidRPr="00B57AE7" w:rsidRDefault="00BD7E4F" w:rsidP="009D1BC2">
            <w:pPr>
              <w:spacing w:line="249" w:lineRule="exact"/>
              <w:ind w:left="120"/>
              <w:rPr>
                <w:sz w:val="22"/>
              </w:rPr>
            </w:pPr>
            <w:r w:rsidRPr="00B57AE7">
              <w:rPr>
                <w:sz w:val="22"/>
              </w:rPr>
              <w:t>n</w:t>
            </w:r>
            <w:r w:rsidR="008D5BD2" w:rsidRPr="00B57AE7">
              <w:rPr>
                <w:sz w:val="22"/>
              </w:rPr>
              <w:t>auzea</w:t>
            </w:r>
          </w:p>
        </w:tc>
        <w:tc>
          <w:tcPr>
            <w:tcW w:w="4606" w:type="dxa"/>
            <w:shd w:val="clear" w:color="auto" w:fill="auto"/>
            <w:vAlign w:val="bottom"/>
          </w:tcPr>
          <w:p w14:paraId="7817BB15" w14:textId="77777777" w:rsidR="008D5BD2" w:rsidRPr="00B57AE7" w:rsidRDefault="008D5BD2" w:rsidP="009D1BC2">
            <w:pPr>
              <w:spacing w:line="249" w:lineRule="exact"/>
              <w:ind w:right="190"/>
              <w:jc w:val="center"/>
              <w:rPr>
                <w:w w:val="99"/>
                <w:sz w:val="22"/>
              </w:rPr>
            </w:pPr>
            <w:r w:rsidRPr="00B57AE7">
              <w:rPr>
                <w:w w:val="99"/>
                <w:sz w:val="22"/>
              </w:rPr>
              <w:t>časté</w:t>
            </w:r>
          </w:p>
        </w:tc>
      </w:tr>
      <w:tr w:rsidR="008D5BD2" w:rsidRPr="00B57AE7" w14:paraId="36FA557A" w14:textId="77777777" w:rsidTr="009D1BC2">
        <w:tc>
          <w:tcPr>
            <w:tcW w:w="4605" w:type="dxa"/>
            <w:shd w:val="clear" w:color="auto" w:fill="auto"/>
            <w:vAlign w:val="bottom"/>
          </w:tcPr>
          <w:p w14:paraId="29DFE510" w14:textId="77777777" w:rsidR="008D5BD2" w:rsidRPr="00B57AE7" w:rsidRDefault="008D5BD2" w:rsidP="009D1BC2">
            <w:pPr>
              <w:spacing w:line="249" w:lineRule="exact"/>
              <w:ind w:left="120"/>
              <w:rPr>
                <w:sz w:val="22"/>
              </w:rPr>
            </w:pPr>
            <w:r w:rsidRPr="00B57AE7">
              <w:rPr>
                <w:sz w:val="22"/>
              </w:rPr>
              <w:t>plynatosť</w:t>
            </w:r>
          </w:p>
        </w:tc>
        <w:tc>
          <w:tcPr>
            <w:tcW w:w="4606" w:type="dxa"/>
            <w:shd w:val="clear" w:color="auto" w:fill="auto"/>
            <w:vAlign w:val="bottom"/>
          </w:tcPr>
          <w:p w14:paraId="0D635681" w14:textId="77777777" w:rsidR="008D5BD2" w:rsidRPr="00B57AE7" w:rsidRDefault="008D5BD2" w:rsidP="009D1BC2">
            <w:pPr>
              <w:spacing w:line="249" w:lineRule="exact"/>
              <w:ind w:right="190"/>
              <w:jc w:val="center"/>
              <w:rPr>
                <w:w w:val="99"/>
                <w:sz w:val="22"/>
              </w:rPr>
            </w:pPr>
            <w:r w:rsidRPr="00B57AE7">
              <w:rPr>
                <w:w w:val="99"/>
                <w:sz w:val="22"/>
              </w:rPr>
              <w:t>časté</w:t>
            </w:r>
          </w:p>
        </w:tc>
      </w:tr>
      <w:tr w:rsidR="008D5BD2" w:rsidRPr="00B57AE7" w14:paraId="17F0DC43" w14:textId="77777777" w:rsidTr="009D1BC2">
        <w:tc>
          <w:tcPr>
            <w:tcW w:w="4605" w:type="dxa"/>
            <w:shd w:val="clear" w:color="auto" w:fill="auto"/>
            <w:vAlign w:val="bottom"/>
          </w:tcPr>
          <w:p w14:paraId="3CADEF27" w14:textId="77777777" w:rsidR="008D5BD2" w:rsidRPr="00B57AE7" w:rsidRDefault="00BD7E4F" w:rsidP="009D1BC2">
            <w:pPr>
              <w:spacing w:line="249" w:lineRule="exact"/>
              <w:ind w:left="120"/>
              <w:rPr>
                <w:sz w:val="22"/>
              </w:rPr>
            </w:pPr>
            <w:r w:rsidRPr="00B57AE7">
              <w:rPr>
                <w:sz w:val="22"/>
              </w:rPr>
              <w:t>z</w:t>
            </w:r>
            <w:r w:rsidR="008D5BD2" w:rsidRPr="00B57AE7">
              <w:rPr>
                <w:sz w:val="22"/>
              </w:rPr>
              <w:t>ápcha</w:t>
            </w:r>
          </w:p>
        </w:tc>
        <w:tc>
          <w:tcPr>
            <w:tcW w:w="4606" w:type="dxa"/>
            <w:shd w:val="clear" w:color="auto" w:fill="auto"/>
            <w:vAlign w:val="bottom"/>
          </w:tcPr>
          <w:p w14:paraId="77BC9018" w14:textId="77777777" w:rsidR="008D5BD2" w:rsidRPr="00B57AE7" w:rsidRDefault="008D5BD2" w:rsidP="009D1BC2">
            <w:pPr>
              <w:spacing w:line="249" w:lineRule="exact"/>
              <w:ind w:right="190"/>
              <w:jc w:val="center"/>
              <w:rPr>
                <w:sz w:val="22"/>
              </w:rPr>
            </w:pPr>
            <w:r w:rsidRPr="00B57AE7">
              <w:rPr>
                <w:sz w:val="22"/>
              </w:rPr>
              <w:t>menej časté</w:t>
            </w:r>
          </w:p>
        </w:tc>
      </w:tr>
      <w:tr w:rsidR="008D5BD2" w:rsidRPr="00B57AE7" w14:paraId="3D8A09B9" w14:textId="77777777" w:rsidTr="009D1BC2">
        <w:tc>
          <w:tcPr>
            <w:tcW w:w="4605" w:type="dxa"/>
            <w:shd w:val="clear" w:color="auto" w:fill="auto"/>
            <w:vAlign w:val="bottom"/>
          </w:tcPr>
          <w:p w14:paraId="0E3EAD6A" w14:textId="77777777" w:rsidR="008D5BD2" w:rsidRPr="00B57AE7" w:rsidRDefault="008D5BD2" w:rsidP="009D1BC2">
            <w:pPr>
              <w:spacing w:line="249" w:lineRule="exact"/>
              <w:ind w:left="120"/>
              <w:rPr>
                <w:sz w:val="22"/>
              </w:rPr>
            </w:pPr>
            <w:r w:rsidRPr="00B57AE7">
              <w:rPr>
                <w:sz w:val="22"/>
              </w:rPr>
              <w:t>bolesť v hornej časti brucha</w:t>
            </w:r>
          </w:p>
        </w:tc>
        <w:tc>
          <w:tcPr>
            <w:tcW w:w="4606" w:type="dxa"/>
            <w:shd w:val="clear" w:color="auto" w:fill="auto"/>
            <w:vAlign w:val="bottom"/>
          </w:tcPr>
          <w:p w14:paraId="158F8265" w14:textId="77777777" w:rsidR="008D5BD2" w:rsidRPr="00B57AE7" w:rsidRDefault="008D5BD2" w:rsidP="009D1BC2">
            <w:pPr>
              <w:spacing w:line="249" w:lineRule="exact"/>
              <w:ind w:right="190"/>
              <w:jc w:val="center"/>
              <w:rPr>
                <w:sz w:val="22"/>
              </w:rPr>
            </w:pPr>
            <w:r w:rsidRPr="00B57AE7">
              <w:rPr>
                <w:sz w:val="22"/>
              </w:rPr>
              <w:t>menej časté</w:t>
            </w:r>
          </w:p>
        </w:tc>
      </w:tr>
      <w:tr w:rsidR="008D5BD2" w:rsidRPr="00B57AE7" w14:paraId="224F3314" w14:textId="77777777" w:rsidTr="009D1BC2">
        <w:tc>
          <w:tcPr>
            <w:tcW w:w="4605" w:type="dxa"/>
            <w:shd w:val="clear" w:color="auto" w:fill="auto"/>
            <w:vAlign w:val="bottom"/>
          </w:tcPr>
          <w:p w14:paraId="73A3DE6A" w14:textId="77777777" w:rsidR="008D5BD2" w:rsidRPr="00B57AE7" w:rsidRDefault="008D5BD2" w:rsidP="009D1BC2">
            <w:pPr>
              <w:spacing w:line="249" w:lineRule="exact"/>
              <w:ind w:left="120"/>
              <w:rPr>
                <w:sz w:val="22"/>
              </w:rPr>
            </w:pPr>
            <w:r w:rsidRPr="00B57AE7">
              <w:rPr>
                <w:sz w:val="22"/>
              </w:rPr>
              <w:t>vracanie</w:t>
            </w:r>
          </w:p>
        </w:tc>
        <w:tc>
          <w:tcPr>
            <w:tcW w:w="4606" w:type="dxa"/>
            <w:shd w:val="clear" w:color="auto" w:fill="auto"/>
            <w:vAlign w:val="bottom"/>
          </w:tcPr>
          <w:p w14:paraId="70986B09" w14:textId="77777777" w:rsidR="008D5BD2" w:rsidRPr="00B57AE7" w:rsidRDefault="008D5BD2" w:rsidP="009D1BC2">
            <w:pPr>
              <w:spacing w:line="249" w:lineRule="exact"/>
              <w:ind w:right="190"/>
              <w:jc w:val="center"/>
              <w:rPr>
                <w:w w:val="99"/>
                <w:sz w:val="22"/>
              </w:rPr>
            </w:pPr>
            <w:r w:rsidRPr="00B57AE7">
              <w:rPr>
                <w:w w:val="99"/>
                <w:sz w:val="22"/>
              </w:rPr>
              <w:t>časté</w:t>
            </w:r>
          </w:p>
        </w:tc>
      </w:tr>
      <w:tr w:rsidR="008D5BD2" w:rsidRPr="00B57AE7" w14:paraId="1E62B942" w14:textId="77777777" w:rsidTr="009D1BC2">
        <w:tc>
          <w:tcPr>
            <w:tcW w:w="4605" w:type="dxa"/>
            <w:shd w:val="clear" w:color="auto" w:fill="auto"/>
            <w:vAlign w:val="bottom"/>
          </w:tcPr>
          <w:p w14:paraId="53675504" w14:textId="77777777" w:rsidR="008D5BD2" w:rsidRPr="00B57AE7" w:rsidRDefault="008D5BD2" w:rsidP="009D1BC2">
            <w:pPr>
              <w:spacing w:line="249" w:lineRule="exact"/>
              <w:ind w:left="120"/>
              <w:rPr>
                <w:b/>
                <w:sz w:val="27"/>
                <w:vertAlign w:val="superscript"/>
              </w:rPr>
            </w:pPr>
            <w:r w:rsidRPr="00B57AE7">
              <w:rPr>
                <w:sz w:val="22"/>
              </w:rPr>
              <w:t>akútna pankreatitída</w:t>
            </w:r>
            <w:r w:rsidRPr="00B57AE7">
              <w:rPr>
                <w:sz w:val="27"/>
                <w:vertAlign w:val="superscript"/>
              </w:rPr>
              <w:t>*,</w:t>
            </w:r>
            <w:r w:rsidRPr="00B57AE7">
              <w:rPr>
                <w:b/>
                <w:sz w:val="27"/>
                <w:vertAlign w:val="superscript"/>
              </w:rPr>
              <w:t>†,‡</w:t>
            </w:r>
          </w:p>
        </w:tc>
        <w:tc>
          <w:tcPr>
            <w:tcW w:w="4606" w:type="dxa"/>
            <w:shd w:val="clear" w:color="auto" w:fill="auto"/>
            <w:vAlign w:val="bottom"/>
          </w:tcPr>
          <w:p w14:paraId="3E35509F" w14:textId="77777777" w:rsidR="008D5BD2" w:rsidRPr="00B57AE7" w:rsidRDefault="008D5BD2" w:rsidP="009D1BC2">
            <w:pPr>
              <w:spacing w:line="249" w:lineRule="exact"/>
              <w:ind w:right="190"/>
              <w:jc w:val="center"/>
              <w:rPr>
                <w:w w:val="99"/>
                <w:sz w:val="22"/>
              </w:rPr>
            </w:pPr>
            <w:r w:rsidRPr="00B57AE7">
              <w:rPr>
                <w:w w:val="99"/>
                <w:sz w:val="22"/>
              </w:rPr>
              <w:t>frekvencia neznáma</w:t>
            </w:r>
          </w:p>
        </w:tc>
      </w:tr>
      <w:tr w:rsidR="008D5BD2" w:rsidRPr="00B57AE7" w14:paraId="50DF13D9" w14:textId="77777777" w:rsidTr="009D1BC2">
        <w:tc>
          <w:tcPr>
            <w:tcW w:w="4605" w:type="dxa"/>
            <w:shd w:val="clear" w:color="auto" w:fill="auto"/>
            <w:vAlign w:val="bottom"/>
          </w:tcPr>
          <w:p w14:paraId="4C69D61E" w14:textId="77777777" w:rsidR="008D5BD2" w:rsidRPr="00B57AE7" w:rsidRDefault="00BD7E4F" w:rsidP="009D1BC2">
            <w:pPr>
              <w:spacing w:line="214" w:lineRule="exact"/>
              <w:ind w:left="120"/>
              <w:rPr>
                <w:sz w:val="22"/>
              </w:rPr>
            </w:pPr>
            <w:r w:rsidRPr="00B57AE7">
              <w:rPr>
                <w:sz w:val="22"/>
              </w:rPr>
              <w:t xml:space="preserve">fatálna a nefatálna </w:t>
            </w:r>
            <w:r w:rsidR="008D5BD2" w:rsidRPr="00B57AE7">
              <w:rPr>
                <w:sz w:val="22"/>
              </w:rPr>
              <w:t>hemoragická a nekrotizujúca pankreatitída</w:t>
            </w:r>
            <w:r w:rsidRPr="00B57AE7">
              <w:rPr>
                <w:sz w:val="22"/>
              </w:rPr>
              <w:t xml:space="preserve"> </w:t>
            </w:r>
            <w:r w:rsidRPr="00B57AE7">
              <w:rPr>
                <w:sz w:val="27"/>
                <w:vertAlign w:val="superscript"/>
              </w:rPr>
              <w:t>*,</w:t>
            </w:r>
            <w:r w:rsidRPr="00B57AE7">
              <w:rPr>
                <w:b/>
                <w:sz w:val="27"/>
                <w:vertAlign w:val="superscript"/>
              </w:rPr>
              <w:t>†</w:t>
            </w:r>
          </w:p>
        </w:tc>
        <w:tc>
          <w:tcPr>
            <w:tcW w:w="4606" w:type="dxa"/>
            <w:shd w:val="clear" w:color="auto" w:fill="auto"/>
            <w:vAlign w:val="bottom"/>
          </w:tcPr>
          <w:p w14:paraId="13481F22" w14:textId="77777777" w:rsidR="008D5BD2" w:rsidRPr="00B57AE7" w:rsidRDefault="008D5BD2" w:rsidP="009D1BC2">
            <w:pPr>
              <w:spacing w:line="214" w:lineRule="exact"/>
              <w:ind w:right="190"/>
              <w:jc w:val="center"/>
              <w:rPr>
                <w:w w:val="99"/>
                <w:sz w:val="22"/>
              </w:rPr>
            </w:pPr>
            <w:r w:rsidRPr="00B57AE7">
              <w:rPr>
                <w:w w:val="99"/>
                <w:sz w:val="22"/>
              </w:rPr>
              <w:t>frekvencia neznáma</w:t>
            </w:r>
          </w:p>
        </w:tc>
      </w:tr>
      <w:tr w:rsidR="008D5BD2" w:rsidRPr="00B57AE7" w14:paraId="33D32354" w14:textId="77777777" w:rsidTr="009D1BC2">
        <w:tc>
          <w:tcPr>
            <w:tcW w:w="4605" w:type="dxa"/>
            <w:shd w:val="clear" w:color="auto" w:fill="auto"/>
          </w:tcPr>
          <w:p w14:paraId="19094406" w14:textId="77777777" w:rsidR="008D5BD2" w:rsidRPr="00B57AE7" w:rsidRDefault="008D5BD2" w:rsidP="009D1BC2">
            <w:pPr>
              <w:widowControl w:val="0"/>
              <w:tabs>
                <w:tab w:val="left" w:pos="567"/>
              </w:tabs>
              <w:rPr>
                <w:sz w:val="22"/>
                <w:szCs w:val="22"/>
              </w:rPr>
            </w:pPr>
          </w:p>
        </w:tc>
        <w:tc>
          <w:tcPr>
            <w:tcW w:w="4606" w:type="dxa"/>
            <w:shd w:val="clear" w:color="auto" w:fill="auto"/>
          </w:tcPr>
          <w:p w14:paraId="13836C01" w14:textId="77777777" w:rsidR="008D5BD2" w:rsidRPr="00B57AE7" w:rsidRDefault="008D5BD2" w:rsidP="009D1BC2">
            <w:pPr>
              <w:widowControl w:val="0"/>
              <w:tabs>
                <w:tab w:val="left" w:pos="567"/>
              </w:tabs>
              <w:rPr>
                <w:sz w:val="22"/>
                <w:szCs w:val="22"/>
              </w:rPr>
            </w:pPr>
          </w:p>
        </w:tc>
      </w:tr>
      <w:tr w:rsidR="008D5BD2" w:rsidRPr="00B57AE7" w14:paraId="283A054D" w14:textId="77777777" w:rsidTr="009D1BC2">
        <w:tc>
          <w:tcPr>
            <w:tcW w:w="4605" w:type="dxa"/>
            <w:shd w:val="clear" w:color="auto" w:fill="auto"/>
            <w:vAlign w:val="bottom"/>
          </w:tcPr>
          <w:p w14:paraId="45FF1380" w14:textId="77777777" w:rsidR="008D5BD2" w:rsidRPr="002E1B04" w:rsidRDefault="008D5BD2" w:rsidP="009D1BC2">
            <w:pPr>
              <w:spacing w:line="249" w:lineRule="exact"/>
              <w:ind w:left="120"/>
              <w:rPr>
                <w:b/>
                <w:sz w:val="22"/>
                <w:szCs w:val="22"/>
              </w:rPr>
            </w:pPr>
            <w:r w:rsidRPr="002E1B04">
              <w:rPr>
                <w:b/>
                <w:sz w:val="22"/>
                <w:szCs w:val="22"/>
              </w:rPr>
              <w:t>Poruchy kože a podkožného tkaniva</w:t>
            </w:r>
          </w:p>
        </w:tc>
        <w:tc>
          <w:tcPr>
            <w:tcW w:w="4606" w:type="dxa"/>
            <w:shd w:val="clear" w:color="auto" w:fill="auto"/>
            <w:vAlign w:val="bottom"/>
          </w:tcPr>
          <w:p w14:paraId="659BE200" w14:textId="77777777" w:rsidR="008D5BD2" w:rsidRPr="002E1B04" w:rsidRDefault="008D5BD2" w:rsidP="009D1BC2">
            <w:pPr>
              <w:spacing w:line="0" w:lineRule="atLeast"/>
              <w:rPr>
                <w:sz w:val="22"/>
                <w:szCs w:val="22"/>
              </w:rPr>
            </w:pPr>
          </w:p>
        </w:tc>
      </w:tr>
      <w:tr w:rsidR="008D5BD2" w:rsidRPr="00B57AE7" w14:paraId="7478F60B" w14:textId="77777777" w:rsidTr="009D1BC2">
        <w:tc>
          <w:tcPr>
            <w:tcW w:w="4605" w:type="dxa"/>
            <w:shd w:val="clear" w:color="auto" w:fill="auto"/>
            <w:vAlign w:val="bottom"/>
          </w:tcPr>
          <w:p w14:paraId="54EA12A5" w14:textId="77777777" w:rsidR="008D5BD2" w:rsidRPr="002E1B04" w:rsidRDefault="008D5BD2" w:rsidP="009D1BC2">
            <w:pPr>
              <w:spacing w:line="249" w:lineRule="exact"/>
              <w:ind w:left="120"/>
              <w:rPr>
                <w:sz w:val="22"/>
                <w:szCs w:val="22"/>
                <w:vertAlign w:val="superscript"/>
              </w:rPr>
            </w:pPr>
            <w:r w:rsidRPr="002E1B04">
              <w:rPr>
                <w:sz w:val="22"/>
                <w:szCs w:val="22"/>
              </w:rPr>
              <w:t>pruritus</w:t>
            </w:r>
            <w:r w:rsidRPr="002E1B04">
              <w:rPr>
                <w:sz w:val="22"/>
                <w:szCs w:val="22"/>
                <w:vertAlign w:val="superscript"/>
              </w:rPr>
              <w:t>*</w:t>
            </w:r>
          </w:p>
        </w:tc>
        <w:tc>
          <w:tcPr>
            <w:tcW w:w="4606" w:type="dxa"/>
            <w:shd w:val="clear" w:color="auto" w:fill="auto"/>
            <w:vAlign w:val="bottom"/>
          </w:tcPr>
          <w:p w14:paraId="32DA1C35" w14:textId="77777777" w:rsidR="008D5BD2" w:rsidRPr="002E1B04" w:rsidRDefault="008D5BD2" w:rsidP="009D1BC2">
            <w:pPr>
              <w:spacing w:line="249" w:lineRule="exact"/>
              <w:ind w:right="190"/>
              <w:jc w:val="center"/>
              <w:rPr>
                <w:sz w:val="22"/>
                <w:szCs w:val="22"/>
              </w:rPr>
            </w:pPr>
            <w:r w:rsidRPr="002E1B04">
              <w:rPr>
                <w:sz w:val="22"/>
                <w:szCs w:val="22"/>
              </w:rPr>
              <w:t>menej časté</w:t>
            </w:r>
          </w:p>
        </w:tc>
      </w:tr>
      <w:tr w:rsidR="008D5BD2" w:rsidRPr="00B57AE7" w14:paraId="38306C3B" w14:textId="77777777" w:rsidTr="009D1BC2">
        <w:tc>
          <w:tcPr>
            <w:tcW w:w="4605" w:type="dxa"/>
            <w:shd w:val="clear" w:color="auto" w:fill="auto"/>
            <w:vAlign w:val="bottom"/>
          </w:tcPr>
          <w:p w14:paraId="5F83E733" w14:textId="77777777" w:rsidR="008D5BD2" w:rsidRPr="002E1B04" w:rsidRDefault="008D5BD2" w:rsidP="009D1BC2">
            <w:pPr>
              <w:spacing w:line="249" w:lineRule="exact"/>
              <w:ind w:left="120"/>
              <w:rPr>
                <w:b/>
                <w:sz w:val="22"/>
                <w:szCs w:val="22"/>
                <w:vertAlign w:val="superscript"/>
              </w:rPr>
            </w:pPr>
            <w:r w:rsidRPr="002E1B04">
              <w:rPr>
                <w:sz w:val="22"/>
                <w:szCs w:val="22"/>
              </w:rPr>
              <w:t>angioedém</w:t>
            </w:r>
            <w:r w:rsidRPr="002E1B04">
              <w:rPr>
                <w:sz w:val="22"/>
                <w:szCs w:val="22"/>
                <w:vertAlign w:val="superscript"/>
              </w:rPr>
              <w:t>*,</w:t>
            </w:r>
            <w:r w:rsidRPr="002E1B04">
              <w:rPr>
                <w:b/>
                <w:sz w:val="22"/>
                <w:szCs w:val="22"/>
                <w:vertAlign w:val="superscript"/>
              </w:rPr>
              <w:t>†</w:t>
            </w:r>
          </w:p>
        </w:tc>
        <w:tc>
          <w:tcPr>
            <w:tcW w:w="4606" w:type="dxa"/>
            <w:shd w:val="clear" w:color="auto" w:fill="auto"/>
            <w:vAlign w:val="bottom"/>
          </w:tcPr>
          <w:p w14:paraId="62497C3F" w14:textId="77777777" w:rsidR="008D5BD2" w:rsidRPr="002E1B04" w:rsidRDefault="008D5BD2" w:rsidP="009D1BC2">
            <w:pPr>
              <w:spacing w:line="249" w:lineRule="exact"/>
              <w:ind w:right="190"/>
              <w:jc w:val="center"/>
              <w:rPr>
                <w:w w:val="99"/>
                <w:sz w:val="22"/>
                <w:szCs w:val="22"/>
              </w:rPr>
            </w:pPr>
            <w:r w:rsidRPr="002E1B04">
              <w:rPr>
                <w:w w:val="99"/>
                <w:sz w:val="22"/>
                <w:szCs w:val="22"/>
              </w:rPr>
              <w:t>frekvencia neznáma</w:t>
            </w:r>
          </w:p>
        </w:tc>
      </w:tr>
      <w:tr w:rsidR="008D5BD2" w:rsidRPr="00B57AE7" w14:paraId="18BC276E" w14:textId="77777777" w:rsidTr="009D1BC2">
        <w:tc>
          <w:tcPr>
            <w:tcW w:w="4605" w:type="dxa"/>
            <w:shd w:val="clear" w:color="auto" w:fill="auto"/>
            <w:vAlign w:val="bottom"/>
          </w:tcPr>
          <w:p w14:paraId="34B4EA20" w14:textId="77777777" w:rsidR="008D5BD2" w:rsidRPr="002E1B04" w:rsidRDefault="008D5BD2" w:rsidP="009D1BC2">
            <w:pPr>
              <w:spacing w:line="249" w:lineRule="exact"/>
              <w:ind w:left="120"/>
              <w:rPr>
                <w:b/>
                <w:sz w:val="22"/>
                <w:szCs w:val="22"/>
                <w:vertAlign w:val="superscript"/>
              </w:rPr>
            </w:pPr>
            <w:r w:rsidRPr="002E1B04">
              <w:rPr>
                <w:sz w:val="22"/>
                <w:szCs w:val="22"/>
              </w:rPr>
              <w:t>vyrážka</w:t>
            </w:r>
            <w:r w:rsidRPr="002E1B04">
              <w:rPr>
                <w:sz w:val="22"/>
                <w:szCs w:val="22"/>
                <w:vertAlign w:val="superscript"/>
              </w:rPr>
              <w:t>*,</w:t>
            </w:r>
            <w:r w:rsidRPr="002E1B04">
              <w:rPr>
                <w:b/>
                <w:sz w:val="22"/>
                <w:szCs w:val="22"/>
                <w:vertAlign w:val="superscript"/>
              </w:rPr>
              <w:t>†</w:t>
            </w:r>
          </w:p>
        </w:tc>
        <w:tc>
          <w:tcPr>
            <w:tcW w:w="4606" w:type="dxa"/>
            <w:shd w:val="clear" w:color="auto" w:fill="auto"/>
            <w:vAlign w:val="bottom"/>
          </w:tcPr>
          <w:p w14:paraId="1B86AD89" w14:textId="77777777" w:rsidR="008D5BD2" w:rsidRPr="002E1B04" w:rsidRDefault="008D5BD2" w:rsidP="009D1BC2">
            <w:pPr>
              <w:spacing w:line="249" w:lineRule="exact"/>
              <w:ind w:right="190"/>
              <w:jc w:val="center"/>
              <w:rPr>
                <w:w w:val="99"/>
                <w:sz w:val="22"/>
                <w:szCs w:val="22"/>
              </w:rPr>
            </w:pPr>
            <w:r w:rsidRPr="002E1B04">
              <w:rPr>
                <w:w w:val="99"/>
                <w:sz w:val="22"/>
                <w:szCs w:val="22"/>
              </w:rPr>
              <w:t>frekvencia neznáma</w:t>
            </w:r>
          </w:p>
        </w:tc>
      </w:tr>
      <w:tr w:rsidR="008D5BD2" w:rsidRPr="00B57AE7" w14:paraId="31E80CBD" w14:textId="77777777" w:rsidTr="009D1BC2">
        <w:tc>
          <w:tcPr>
            <w:tcW w:w="4605" w:type="dxa"/>
            <w:shd w:val="clear" w:color="auto" w:fill="auto"/>
            <w:vAlign w:val="bottom"/>
          </w:tcPr>
          <w:p w14:paraId="05416574" w14:textId="77777777" w:rsidR="008D5BD2" w:rsidRPr="002E1B04" w:rsidRDefault="008D5BD2" w:rsidP="009D1BC2">
            <w:pPr>
              <w:spacing w:line="249" w:lineRule="exact"/>
              <w:ind w:left="120"/>
              <w:rPr>
                <w:b/>
                <w:sz w:val="22"/>
                <w:szCs w:val="22"/>
                <w:vertAlign w:val="superscript"/>
              </w:rPr>
            </w:pPr>
            <w:r w:rsidRPr="002E1B04">
              <w:rPr>
                <w:sz w:val="22"/>
                <w:szCs w:val="22"/>
              </w:rPr>
              <w:t>urtikária</w:t>
            </w:r>
            <w:r w:rsidRPr="002E1B04">
              <w:rPr>
                <w:sz w:val="22"/>
                <w:szCs w:val="22"/>
                <w:vertAlign w:val="superscript"/>
              </w:rPr>
              <w:t>*,</w:t>
            </w:r>
            <w:r w:rsidRPr="002E1B04">
              <w:rPr>
                <w:b/>
                <w:sz w:val="22"/>
                <w:szCs w:val="22"/>
                <w:vertAlign w:val="superscript"/>
              </w:rPr>
              <w:t>†</w:t>
            </w:r>
          </w:p>
        </w:tc>
        <w:tc>
          <w:tcPr>
            <w:tcW w:w="4606" w:type="dxa"/>
            <w:shd w:val="clear" w:color="auto" w:fill="auto"/>
            <w:vAlign w:val="bottom"/>
          </w:tcPr>
          <w:p w14:paraId="38DDD959" w14:textId="77777777" w:rsidR="008D5BD2" w:rsidRPr="002E1B04" w:rsidRDefault="008D5BD2" w:rsidP="009D1BC2">
            <w:pPr>
              <w:spacing w:line="249" w:lineRule="exact"/>
              <w:ind w:right="190"/>
              <w:jc w:val="center"/>
              <w:rPr>
                <w:w w:val="99"/>
                <w:sz w:val="22"/>
                <w:szCs w:val="22"/>
              </w:rPr>
            </w:pPr>
            <w:r w:rsidRPr="002E1B04">
              <w:rPr>
                <w:w w:val="99"/>
                <w:sz w:val="22"/>
                <w:szCs w:val="22"/>
              </w:rPr>
              <w:t>frekvencia neznáma</w:t>
            </w:r>
          </w:p>
        </w:tc>
      </w:tr>
      <w:tr w:rsidR="008D5BD2" w:rsidRPr="00B57AE7" w14:paraId="341F59F1" w14:textId="77777777" w:rsidTr="009D1BC2">
        <w:tc>
          <w:tcPr>
            <w:tcW w:w="4605" w:type="dxa"/>
            <w:shd w:val="clear" w:color="auto" w:fill="auto"/>
            <w:vAlign w:val="bottom"/>
          </w:tcPr>
          <w:p w14:paraId="2E3D8D99" w14:textId="77777777" w:rsidR="008D5BD2" w:rsidRPr="002E1B04" w:rsidRDefault="008D5BD2" w:rsidP="009D1BC2">
            <w:pPr>
              <w:spacing w:line="249" w:lineRule="exact"/>
              <w:ind w:left="120"/>
              <w:rPr>
                <w:b/>
                <w:sz w:val="22"/>
                <w:szCs w:val="22"/>
                <w:vertAlign w:val="superscript"/>
              </w:rPr>
            </w:pPr>
            <w:r w:rsidRPr="002E1B04">
              <w:rPr>
                <w:sz w:val="22"/>
                <w:szCs w:val="22"/>
              </w:rPr>
              <w:t>kožná vaskulitída</w:t>
            </w:r>
            <w:r w:rsidRPr="002E1B04">
              <w:rPr>
                <w:sz w:val="22"/>
                <w:szCs w:val="22"/>
                <w:vertAlign w:val="superscript"/>
              </w:rPr>
              <w:t>*,</w:t>
            </w:r>
            <w:r w:rsidRPr="002E1B04">
              <w:rPr>
                <w:b/>
                <w:sz w:val="22"/>
                <w:szCs w:val="22"/>
                <w:vertAlign w:val="superscript"/>
              </w:rPr>
              <w:t>†</w:t>
            </w:r>
          </w:p>
        </w:tc>
        <w:tc>
          <w:tcPr>
            <w:tcW w:w="4606" w:type="dxa"/>
            <w:shd w:val="clear" w:color="auto" w:fill="auto"/>
            <w:vAlign w:val="bottom"/>
          </w:tcPr>
          <w:p w14:paraId="0A6DDF62" w14:textId="77777777" w:rsidR="008D5BD2" w:rsidRPr="002E1B04" w:rsidRDefault="008D5BD2" w:rsidP="009D1BC2">
            <w:pPr>
              <w:spacing w:line="249" w:lineRule="exact"/>
              <w:ind w:right="190"/>
              <w:jc w:val="center"/>
              <w:rPr>
                <w:w w:val="99"/>
                <w:sz w:val="22"/>
                <w:szCs w:val="22"/>
              </w:rPr>
            </w:pPr>
            <w:r w:rsidRPr="002E1B04">
              <w:rPr>
                <w:w w:val="99"/>
                <w:sz w:val="22"/>
                <w:szCs w:val="22"/>
              </w:rPr>
              <w:t>frekvencia neznáma</w:t>
            </w:r>
          </w:p>
        </w:tc>
      </w:tr>
      <w:tr w:rsidR="008D5BD2" w:rsidRPr="00B57AE7" w14:paraId="5EBB1924" w14:textId="77777777" w:rsidTr="009D1BC2">
        <w:tc>
          <w:tcPr>
            <w:tcW w:w="4605" w:type="dxa"/>
            <w:shd w:val="clear" w:color="auto" w:fill="auto"/>
            <w:vAlign w:val="bottom"/>
          </w:tcPr>
          <w:p w14:paraId="31CA33E4" w14:textId="77777777" w:rsidR="008D5BD2" w:rsidRPr="002E1B04" w:rsidRDefault="008D5BD2" w:rsidP="009D1BC2">
            <w:pPr>
              <w:spacing w:line="214" w:lineRule="exact"/>
              <w:ind w:left="120"/>
              <w:rPr>
                <w:sz w:val="22"/>
                <w:szCs w:val="22"/>
              </w:rPr>
            </w:pPr>
            <w:r w:rsidRPr="002E1B04">
              <w:rPr>
                <w:sz w:val="22"/>
                <w:szCs w:val="22"/>
              </w:rPr>
              <w:t>exfoliatívne kožné ochorenia vrátane Stevensovho- Johnsonovho syndrómu</w:t>
            </w:r>
            <w:r w:rsidRPr="002E1B04">
              <w:rPr>
                <w:sz w:val="22"/>
                <w:szCs w:val="22"/>
                <w:vertAlign w:val="superscript"/>
              </w:rPr>
              <w:t>*,</w:t>
            </w:r>
            <w:r w:rsidRPr="002E1B04">
              <w:rPr>
                <w:b/>
                <w:sz w:val="22"/>
                <w:szCs w:val="22"/>
                <w:vertAlign w:val="superscript"/>
              </w:rPr>
              <w:t>†</w:t>
            </w:r>
          </w:p>
        </w:tc>
        <w:tc>
          <w:tcPr>
            <w:tcW w:w="4606" w:type="dxa"/>
            <w:shd w:val="clear" w:color="auto" w:fill="auto"/>
            <w:vAlign w:val="bottom"/>
          </w:tcPr>
          <w:p w14:paraId="3535744A" w14:textId="77777777" w:rsidR="008D5BD2" w:rsidRPr="002E1B04" w:rsidRDefault="008D5BD2" w:rsidP="009D1BC2">
            <w:pPr>
              <w:spacing w:line="0" w:lineRule="atLeast"/>
              <w:ind w:right="190"/>
              <w:jc w:val="center"/>
              <w:rPr>
                <w:w w:val="99"/>
                <w:sz w:val="22"/>
                <w:szCs w:val="22"/>
              </w:rPr>
            </w:pPr>
            <w:r w:rsidRPr="002E1B04">
              <w:rPr>
                <w:w w:val="99"/>
                <w:sz w:val="22"/>
                <w:szCs w:val="22"/>
              </w:rPr>
              <w:t>frekvencia neznáma</w:t>
            </w:r>
          </w:p>
        </w:tc>
      </w:tr>
      <w:tr w:rsidR="008D5BD2" w:rsidRPr="00B57AE7" w14:paraId="5B16A72D" w14:textId="77777777" w:rsidTr="009D1BC2">
        <w:tc>
          <w:tcPr>
            <w:tcW w:w="4605" w:type="dxa"/>
            <w:shd w:val="clear" w:color="auto" w:fill="auto"/>
            <w:vAlign w:val="bottom"/>
          </w:tcPr>
          <w:p w14:paraId="4AC06740" w14:textId="77777777" w:rsidR="008D5BD2" w:rsidRPr="002E1B04" w:rsidRDefault="008D5BD2" w:rsidP="009D1BC2">
            <w:pPr>
              <w:spacing w:line="249" w:lineRule="exact"/>
              <w:ind w:left="120"/>
              <w:rPr>
                <w:sz w:val="22"/>
                <w:szCs w:val="22"/>
                <w:vertAlign w:val="superscript"/>
              </w:rPr>
            </w:pPr>
            <w:r w:rsidRPr="002E1B04">
              <w:rPr>
                <w:sz w:val="22"/>
                <w:szCs w:val="22"/>
              </w:rPr>
              <w:t>bulózny pemfigoid</w:t>
            </w:r>
            <w:r w:rsidRPr="002E1B04">
              <w:rPr>
                <w:sz w:val="22"/>
                <w:szCs w:val="22"/>
                <w:vertAlign w:val="superscript"/>
              </w:rPr>
              <w:t>*</w:t>
            </w:r>
          </w:p>
        </w:tc>
        <w:tc>
          <w:tcPr>
            <w:tcW w:w="4606" w:type="dxa"/>
            <w:shd w:val="clear" w:color="auto" w:fill="auto"/>
            <w:vAlign w:val="bottom"/>
          </w:tcPr>
          <w:p w14:paraId="5245CEAD" w14:textId="77777777" w:rsidR="008D5BD2" w:rsidRPr="002E1B04" w:rsidRDefault="008D5BD2" w:rsidP="009D1BC2">
            <w:pPr>
              <w:spacing w:line="249" w:lineRule="exact"/>
              <w:ind w:right="190"/>
              <w:jc w:val="center"/>
              <w:rPr>
                <w:w w:val="99"/>
                <w:sz w:val="22"/>
                <w:szCs w:val="22"/>
              </w:rPr>
            </w:pPr>
            <w:r w:rsidRPr="002E1B04">
              <w:rPr>
                <w:w w:val="99"/>
                <w:sz w:val="22"/>
                <w:szCs w:val="22"/>
              </w:rPr>
              <w:t>frekvencia neznáma</w:t>
            </w:r>
          </w:p>
        </w:tc>
      </w:tr>
      <w:tr w:rsidR="008D5BD2" w:rsidRPr="00B57AE7" w14:paraId="7AD3A76C" w14:textId="77777777" w:rsidTr="009D1BC2">
        <w:tc>
          <w:tcPr>
            <w:tcW w:w="4605" w:type="dxa"/>
            <w:shd w:val="clear" w:color="auto" w:fill="auto"/>
          </w:tcPr>
          <w:p w14:paraId="0F184B82" w14:textId="77777777" w:rsidR="008D5BD2" w:rsidRPr="002E1B04" w:rsidRDefault="008D5BD2" w:rsidP="009D1BC2">
            <w:pPr>
              <w:widowControl w:val="0"/>
              <w:tabs>
                <w:tab w:val="left" w:pos="567"/>
              </w:tabs>
              <w:rPr>
                <w:sz w:val="22"/>
                <w:szCs w:val="22"/>
              </w:rPr>
            </w:pPr>
          </w:p>
        </w:tc>
        <w:tc>
          <w:tcPr>
            <w:tcW w:w="4606" w:type="dxa"/>
            <w:shd w:val="clear" w:color="auto" w:fill="auto"/>
          </w:tcPr>
          <w:p w14:paraId="32156BC1" w14:textId="77777777" w:rsidR="008D5BD2" w:rsidRPr="002E1B04" w:rsidRDefault="008D5BD2" w:rsidP="009D1BC2">
            <w:pPr>
              <w:widowControl w:val="0"/>
              <w:tabs>
                <w:tab w:val="left" w:pos="567"/>
              </w:tabs>
              <w:rPr>
                <w:sz w:val="22"/>
                <w:szCs w:val="22"/>
              </w:rPr>
            </w:pPr>
          </w:p>
        </w:tc>
      </w:tr>
      <w:tr w:rsidR="008D5BD2" w:rsidRPr="00B57AE7" w14:paraId="67234AED" w14:textId="77777777" w:rsidTr="009D1BC2">
        <w:tc>
          <w:tcPr>
            <w:tcW w:w="4605" w:type="dxa"/>
            <w:shd w:val="clear" w:color="auto" w:fill="auto"/>
            <w:vAlign w:val="bottom"/>
          </w:tcPr>
          <w:p w14:paraId="24CAD20C" w14:textId="77777777" w:rsidR="008D5BD2" w:rsidRPr="002E1B04" w:rsidRDefault="008D5BD2" w:rsidP="009D1BC2">
            <w:pPr>
              <w:spacing w:line="232" w:lineRule="exact"/>
              <w:ind w:left="120"/>
              <w:rPr>
                <w:b/>
                <w:sz w:val="22"/>
                <w:szCs w:val="22"/>
              </w:rPr>
            </w:pPr>
            <w:r w:rsidRPr="002E1B04">
              <w:rPr>
                <w:b/>
                <w:sz w:val="22"/>
                <w:szCs w:val="22"/>
              </w:rPr>
              <w:lastRenderedPageBreak/>
              <w:t>Poruchy kostrovej a svalovej sústavy a spojivového tkaniva</w:t>
            </w:r>
          </w:p>
        </w:tc>
        <w:tc>
          <w:tcPr>
            <w:tcW w:w="4606" w:type="dxa"/>
            <w:shd w:val="clear" w:color="auto" w:fill="auto"/>
            <w:vAlign w:val="bottom"/>
          </w:tcPr>
          <w:p w14:paraId="13E8DAEC" w14:textId="77777777" w:rsidR="008D5BD2" w:rsidRPr="002E1B04" w:rsidRDefault="008D5BD2" w:rsidP="009D1BC2">
            <w:pPr>
              <w:spacing w:line="0" w:lineRule="atLeast"/>
              <w:rPr>
                <w:sz w:val="22"/>
                <w:szCs w:val="22"/>
              </w:rPr>
            </w:pPr>
          </w:p>
        </w:tc>
      </w:tr>
      <w:tr w:rsidR="005C44CB" w:rsidRPr="00B57AE7" w14:paraId="2796008B" w14:textId="77777777" w:rsidTr="009D1BC2">
        <w:tc>
          <w:tcPr>
            <w:tcW w:w="4605" w:type="dxa"/>
            <w:shd w:val="clear" w:color="auto" w:fill="auto"/>
            <w:vAlign w:val="bottom"/>
          </w:tcPr>
          <w:p w14:paraId="4FFE52F8" w14:textId="77777777" w:rsidR="005C44CB" w:rsidRPr="002E1B04" w:rsidRDefault="005C44CB" w:rsidP="009D1BC2">
            <w:pPr>
              <w:spacing w:line="249" w:lineRule="exact"/>
              <w:ind w:left="120"/>
              <w:rPr>
                <w:sz w:val="22"/>
                <w:szCs w:val="22"/>
                <w:vertAlign w:val="superscript"/>
              </w:rPr>
            </w:pPr>
            <w:r w:rsidRPr="002E1B04">
              <w:rPr>
                <w:sz w:val="22"/>
                <w:szCs w:val="22"/>
              </w:rPr>
              <w:t>artralgia</w:t>
            </w:r>
            <w:r w:rsidRPr="002E1B04">
              <w:rPr>
                <w:sz w:val="22"/>
                <w:szCs w:val="22"/>
                <w:vertAlign w:val="superscript"/>
              </w:rPr>
              <w:t>*</w:t>
            </w:r>
          </w:p>
        </w:tc>
        <w:tc>
          <w:tcPr>
            <w:tcW w:w="4606" w:type="dxa"/>
            <w:shd w:val="clear" w:color="auto" w:fill="auto"/>
            <w:vAlign w:val="bottom"/>
          </w:tcPr>
          <w:p w14:paraId="6AC1CB02" w14:textId="77777777" w:rsidR="005C44CB" w:rsidRPr="002E1B04" w:rsidRDefault="005C44CB" w:rsidP="009D1BC2">
            <w:pPr>
              <w:spacing w:line="249" w:lineRule="exact"/>
              <w:ind w:right="190"/>
              <w:jc w:val="center"/>
              <w:rPr>
                <w:w w:val="99"/>
                <w:sz w:val="22"/>
                <w:szCs w:val="22"/>
              </w:rPr>
            </w:pPr>
            <w:r w:rsidRPr="002E1B04">
              <w:rPr>
                <w:w w:val="99"/>
                <w:sz w:val="22"/>
                <w:szCs w:val="22"/>
              </w:rPr>
              <w:t>frekvencia neznáma</w:t>
            </w:r>
          </w:p>
        </w:tc>
      </w:tr>
      <w:tr w:rsidR="005C44CB" w:rsidRPr="00B57AE7" w14:paraId="5D47C86D" w14:textId="77777777" w:rsidTr="009D1BC2">
        <w:tc>
          <w:tcPr>
            <w:tcW w:w="4605" w:type="dxa"/>
            <w:shd w:val="clear" w:color="auto" w:fill="auto"/>
            <w:vAlign w:val="bottom"/>
          </w:tcPr>
          <w:p w14:paraId="409F8ECA" w14:textId="77777777" w:rsidR="005C44CB" w:rsidRPr="002E1B04" w:rsidRDefault="005C44CB" w:rsidP="009D1BC2">
            <w:pPr>
              <w:spacing w:line="249" w:lineRule="exact"/>
              <w:ind w:left="120"/>
              <w:rPr>
                <w:sz w:val="22"/>
                <w:szCs w:val="22"/>
                <w:vertAlign w:val="superscript"/>
              </w:rPr>
            </w:pPr>
            <w:r w:rsidRPr="002E1B04">
              <w:rPr>
                <w:sz w:val="22"/>
                <w:szCs w:val="22"/>
              </w:rPr>
              <w:t>myalgia</w:t>
            </w:r>
            <w:r w:rsidRPr="002E1B04">
              <w:rPr>
                <w:sz w:val="22"/>
                <w:szCs w:val="22"/>
                <w:vertAlign w:val="superscript"/>
              </w:rPr>
              <w:t>*</w:t>
            </w:r>
          </w:p>
        </w:tc>
        <w:tc>
          <w:tcPr>
            <w:tcW w:w="4606" w:type="dxa"/>
            <w:shd w:val="clear" w:color="auto" w:fill="auto"/>
            <w:vAlign w:val="bottom"/>
          </w:tcPr>
          <w:p w14:paraId="4435C15C" w14:textId="77777777" w:rsidR="005C44CB" w:rsidRPr="002E1B04" w:rsidRDefault="005C44CB" w:rsidP="009D1BC2">
            <w:pPr>
              <w:spacing w:line="249" w:lineRule="exact"/>
              <w:ind w:right="190"/>
              <w:jc w:val="center"/>
              <w:rPr>
                <w:w w:val="99"/>
                <w:sz w:val="22"/>
                <w:szCs w:val="22"/>
              </w:rPr>
            </w:pPr>
            <w:r w:rsidRPr="002E1B04">
              <w:rPr>
                <w:w w:val="99"/>
                <w:sz w:val="22"/>
                <w:szCs w:val="22"/>
              </w:rPr>
              <w:t>frekvencia neznáma</w:t>
            </w:r>
          </w:p>
        </w:tc>
      </w:tr>
      <w:tr w:rsidR="005C44CB" w:rsidRPr="00B57AE7" w14:paraId="397F7B03" w14:textId="77777777" w:rsidTr="009D1BC2">
        <w:tc>
          <w:tcPr>
            <w:tcW w:w="4605" w:type="dxa"/>
            <w:shd w:val="clear" w:color="auto" w:fill="auto"/>
            <w:vAlign w:val="bottom"/>
          </w:tcPr>
          <w:p w14:paraId="25E0EDEB" w14:textId="77777777" w:rsidR="005C44CB" w:rsidRPr="002E1B04" w:rsidRDefault="005C44CB" w:rsidP="009D1BC2">
            <w:pPr>
              <w:spacing w:line="249" w:lineRule="exact"/>
              <w:ind w:left="120"/>
              <w:rPr>
                <w:sz w:val="22"/>
                <w:szCs w:val="22"/>
                <w:vertAlign w:val="superscript"/>
              </w:rPr>
            </w:pPr>
            <w:r w:rsidRPr="002E1B04">
              <w:rPr>
                <w:sz w:val="22"/>
                <w:szCs w:val="22"/>
              </w:rPr>
              <w:t>bolesť končatiny</w:t>
            </w:r>
            <w:r w:rsidRPr="002E1B04">
              <w:rPr>
                <w:sz w:val="22"/>
                <w:szCs w:val="22"/>
                <w:vertAlign w:val="superscript"/>
              </w:rPr>
              <w:t>*</w:t>
            </w:r>
          </w:p>
        </w:tc>
        <w:tc>
          <w:tcPr>
            <w:tcW w:w="4606" w:type="dxa"/>
            <w:shd w:val="clear" w:color="auto" w:fill="auto"/>
            <w:vAlign w:val="bottom"/>
          </w:tcPr>
          <w:p w14:paraId="41140E90" w14:textId="77777777" w:rsidR="005C44CB" w:rsidRPr="002E1B04" w:rsidRDefault="005C44CB" w:rsidP="009D1BC2">
            <w:pPr>
              <w:spacing w:line="249" w:lineRule="exact"/>
              <w:ind w:right="190"/>
              <w:jc w:val="center"/>
              <w:rPr>
                <w:w w:val="99"/>
                <w:sz w:val="22"/>
                <w:szCs w:val="22"/>
              </w:rPr>
            </w:pPr>
            <w:r w:rsidRPr="002E1B04">
              <w:rPr>
                <w:w w:val="99"/>
                <w:sz w:val="22"/>
                <w:szCs w:val="22"/>
              </w:rPr>
              <w:t>frekvencia neznáma</w:t>
            </w:r>
          </w:p>
        </w:tc>
      </w:tr>
      <w:tr w:rsidR="005C44CB" w:rsidRPr="00B57AE7" w14:paraId="42B00FA0" w14:textId="77777777" w:rsidTr="009D1BC2">
        <w:tc>
          <w:tcPr>
            <w:tcW w:w="4605" w:type="dxa"/>
            <w:shd w:val="clear" w:color="auto" w:fill="auto"/>
            <w:vAlign w:val="bottom"/>
          </w:tcPr>
          <w:p w14:paraId="6A9EED9E" w14:textId="77777777" w:rsidR="005C44CB" w:rsidRPr="002E1B04" w:rsidRDefault="005C44CB" w:rsidP="009D1BC2">
            <w:pPr>
              <w:spacing w:line="249" w:lineRule="exact"/>
              <w:ind w:left="120"/>
              <w:rPr>
                <w:sz w:val="22"/>
                <w:szCs w:val="22"/>
                <w:vertAlign w:val="superscript"/>
              </w:rPr>
            </w:pPr>
            <w:r w:rsidRPr="002E1B04">
              <w:rPr>
                <w:sz w:val="22"/>
                <w:szCs w:val="22"/>
              </w:rPr>
              <w:t>bolesť chrbta</w:t>
            </w:r>
            <w:r w:rsidRPr="002E1B04">
              <w:rPr>
                <w:sz w:val="22"/>
                <w:szCs w:val="22"/>
                <w:vertAlign w:val="superscript"/>
              </w:rPr>
              <w:t>*</w:t>
            </w:r>
          </w:p>
        </w:tc>
        <w:tc>
          <w:tcPr>
            <w:tcW w:w="4606" w:type="dxa"/>
            <w:shd w:val="clear" w:color="auto" w:fill="auto"/>
            <w:vAlign w:val="bottom"/>
          </w:tcPr>
          <w:p w14:paraId="6E0EA3D5" w14:textId="77777777" w:rsidR="005C44CB" w:rsidRPr="002E1B04" w:rsidRDefault="005C44CB" w:rsidP="009D1BC2">
            <w:pPr>
              <w:spacing w:line="249" w:lineRule="exact"/>
              <w:ind w:right="190"/>
              <w:jc w:val="center"/>
              <w:rPr>
                <w:w w:val="99"/>
                <w:sz w:val="22"/>
                <w:szCs w:val="22"/>
              </w:rPr>
            </w:pPr>
            <w:r w:rsidRPr="002E1B04">
              <w:rPr>
                <w:w w:val="99"/>
                <w:sz w:val="22"/>
                <w:szCs w:val="22"/>
              </w:rPr>
              <w:t>frekvencia neznáma</w:t>
            </w:r>
          </w:p>
        </w:tc>
      </w:tr>
      <w:tr w:rsidR="005C44CB" w:rsidRPr="00B57AE7" w14:paraId="5592E124" w14:textId="77777777" w:rsidTr="009D1BC2">
        <w:tc>
          <w:tcPr>
            <w:tcW w:w="4605" w:type="dxa"/>
            <w:shd w:val="clear" w:color="auto" w:fill="auto"/>
            <w:vAlign w:val="bottom"/>
          </w:tcPr>
          <w:p w14:paraId="775440AB" w14:textId="77777777" w:rsidR="005C44CB" w:rsidRPr="00B57AE7" w:rsidRDefault="005C44CB" w:rsidP="009D1BC2">
            <w:pPr>
              <w:spacing w:line="249" w:lineRule="exact"/>
              <w:ind w:left="120"/>
              <w:rPr>
                <w:sz w:val="27"/>
                <w:vertAlign w:val="superscript"/>
              </w:rPr>
            </w:pPr>
            <w:r w:rsidRPr="00B57AE7">
              <w:rPr>
                <w:sz w:val="22"/>
              </w:rPr>
              <w:t>artropatia</w:t>
            </w:r>
            <w:r w:rsidRPr="00B57AE7">
              <w:rPr>
                <w:sz w:val="27"/>
                <w:vertAlign w:val="superscript"/>
              </w:rPr>
              <w:t>*</w:t>
            </w:r>
          </w:p>
        </w:tc>
        <w:tc>
          <w:tcPr>
            <w:tcW w:w="4606" w:type="dxa"/>
            <w:shd w:val="clear" w:color="auto" w:fill="auto"/>
            <w:vAlign w:val="bottom"/>
          </w:tcPr>
          <w:p w14:paraId="7641CE43" w14:textId="77777777" w:rsidR="005C44CB" w:rsidRPr="00B57AE7" w:rsidRDefault="005C44CB" w:rsidP="009D1BC2">
            <w:pPr>
              <w:spacing w:line="249" w:lineRule="exact"/>
              <w:ind w:right="190"/>
              <w:jc w:val="center"/>
              <w:rPr>
                <w:w w:val="99"/>
                <w:sz w:val="22"/>
              </w:rPr>
            </w:pPr>
            <w:r w:rsidRPr="00B57AE7">
              <w:rPr>
                <w:w w:val="99"/>
                <w:sz w:val="22"/>
              </w:rPr>
              <w:t>frekvencia neznáma</w:t>
            </w:r>
          </w:p>
        </w:tc>
      </w:tr>
      <w:tr w:rsidR="008D5BD2" w:rsidRPr="00B57AE7" w14:paraId="60B221FA" w14:textId="77777777" w:rsidTr="009D1BC2">
        <w:tc>
          <w:tcPr>
            <w:tcW w:w="4605" w:type="dxa"/>
            <w:shd w:val="clear" w:color="auto" w:fill="auto"/>
            <w:vAlign w:val="bottom"/>
          </w:tcPr>
          <w:p w14:paraId="7ED40534" w14:textId="77777777" w:rsidR="008D5BD2" w:rsidRPr="00B57AE7" w:rsidRDefault="008D5BD2" w:rsidP="009D1BC2">
            <w:pPr>
              <w:spacing w:line="249" w:lineRule="exact"/>
              <w:ind w:left="120"/>
              <w:rPr>
                <w:sz w:val="27"/>
                <w:vertAlign w:val="superscript"/>
              </w:rPr>
            </w:pPr>
          </w:p>
        </w:tc>
        <w:tc>
          <w:tcPr>
            <w:tcW w:w="4606" w:type="dxa"/>
            <w:shd w:val="clear" w:color="auto" w:fill="auto"/>
            <w:vAlign w:val="bottom"/>
          </w:tcPr>
          <w:p w14:paraId="26D8A802" w14:textId="77777777" w:rsidR="008D5BD2" w:rsidRPr="00B57AE7" w:rsidRDefault="008D5BD2" w:rsidP="009D1BC2">
            <w:pPr>
              <w:spacing w:line="249" w:lineRule="exact"/>
              <w:ind w:right="190"/>
              <w:rPr>
                <w:w w:val="99"/>
                <w:sz w:val="22"/>
              </w:rPr>
            </w:pPr>
          </w:p>
        </w:tc>
      </w:tr>
      <w:tr w:rsidR="005C44CB" w:rsidRPr="00B57AE7" w14:paraId="7177CA5D" w14:textId="77777777" w:rsidTr="009D1BC2">
        <w:tc>
          <w:tcPr>
            <w:tcW w:w="4605" w:type="dxa"/>
            <w:shd w:val="clear" w:color="auto" w:fill="auto"/>
            <w:vAlign w:val="bottom"/>
          </w:tcPr>
          <w:p w14:paraId="2CCE5813" w14:textId="77777777" w:rsidR="005C44CB" w:rsidRPr="00B57AE7" w:rsidRDefault="005C44CB" w:rsidP="009D1BC2">
            <w:pPr>
              <w:spacing w:line="249" w:lineRule="exact"/>
              <w:ind w:left="120"/>
              <w:rPr>
                <w:b/>
                <w:sz w:val="22"/>
              </w:rPr>
            </w:pPr>
            <w:r w:rsidRPr="00B57AE7">
              <w:rPr>
                <w:b/>
                <w:sz w:val="22"/>
              </w:rPr>
              <w:t>Poruchy obličiek a močových ciest</w:t>
            </w:r>
          </w:p>
        </w:tc>
        <w:tc>
          <w:tcPr>
            <w:tcW w:w="4606" w:type="dxa"/>
            <w:shd w:val="clear" w:color="auto" w:fill="auto"/>
            <w:vAlign w:val="bottom"/>
          </w:tcPr>
          <w:p w14:paraId="0315AC18" w14:textId="77777777" w:rsidR="005C44CB" w:rsidRPr="00B57AE7" w:rsidRDefault="005C44CB" w:rsidP="009D1BC2">
            <w:pPr>
              <w:spacing w:line="0" w:lineRule="atLeast"/>
              <w:rPr>
                <w:sz w:val="21"/>
              </w:rPr>
            </w:pPr>
          </w:p>
        </w:tc>
      </w:tr>
      <w:tr w:rsidR="005C44CB" w:rsidRPr="00B57AE7" w14:paraId="5E38C2C1" w14:textId="77777777" w:rsidTr="009D1BC2">
        <w:tc>
          <w:tcPr>
            <w:tcW w:w="4605" w:type="dxa"/>
            <w:shd w:val="clear" w:color="auto" w:fill="auto"/>
            <w:vAlign w:val="bottom"/>
          </w:tcPr>
          <w:p w14:paraId="1B9B5417" w14:textId="77777777" w:rsidR="005C44CB" w:rsidRPr="00B57AE7" w:rsidRDefault="005C44CB" w:rsidP="009D1BC2">
            <w:pPr>
              <w:spacing w:line="249" w:lineRule="exact"/>
              <w:ind w:left="120"/>
              <w:rPr>
                <w:sz w:val="27"/>
                <w:vertAlign w:val="superscript"/>
              </w:rPr>
            </w:pPr>
            <w:r w:rsidRPr="00B57AE7">
              <w:rPr>
                <w:sz w:val="22"/>
              </w:rPr>
              <w:t>porucha funkcie obličiek</w:t>
            </w:r>
            <w:r w:rsidRPr="00B57AE7">
              <w:rPr>
                <w:sz w:val="27"/>
                <w:vertAlign w:val="superscript"/>
              </w:rPr>
              <w:t>*</w:t>
            </w:r>
          </w:p>
        </w:tc>
        <w:tc>
          <w:tcPr>
            <w:tcW w:w="4606" w:type="dxa"/>
            <w:shd w:val="clear" w:color="auto" w:fill="auto"/>
            <w:vAlign w:val="bottom"/>
          </w:tcPr>
          <w:p w14:paraId="30F5BBF7" w14:textId="77777777" w:rsidR="005C44CB" w:rsidRPr="00B57AE7" w:rsidRDefault="005C44CB" w:rsidP="009D1BC2">
            <w:pPr>
              <w:spacing w:line="249" w:lineRule="exact"/>
              <w:ind w:right="190"/>
              <w:jc w:val="center"/>
              <w:rPr>
                <w:w w:val="99"/>
                <w:sz w:val="22"/>
              </w:rPr>
            </w:pPr>
            <w:r w:rsidRPr="00B57AE7">
              <w:rPr>
                <w:w w:val="99"/>
                <w:sz w:val="22"/>
              </w:rPr>
              <w:t>frekvencia neznáma</w:t>
            </w:r>
          </w:p>
        </w:tc>
      </w:tr>
      <w:tr w:rsidR="005C44CB" w:rsidRPr="00B57AE7" w14:paraId="51643FE3" w14:textId="77777777" w:rsidTr="009D1BC2">
        <w:tc>
          <w:tcPr>
            <w:tcW w:w="4605" w:type="dxa"/>
            <w:shd w:val="clear" w:color="auto" w:fill="auto"/>
            <w:vAlign w:val="bottom"/>
          </w:tcPr>
          <w:p w14:paraId="42943FA7" w14:textId="77777777" w:rsidR="005C44CB" w:rsidRPr="00B57AE7" w:rsidRDefault="005C44CB" w:rsidP="009D1BC2">
            <w:pPr>
              <w:spacing w:line="240" w:lineRule="exact"/>
              <w:ind w:left="120"/>
              <w:rPr>
                <w:sz w:val="27"/>
                <w:vertAlign w:val="superscript"/>
              </w:rPr>
            </w:pPr>
            <w:r w:rsidRPr="00B57AE7">
              <w:rPr>
                <w:sz w:val="22"/>
              </w:rPr>
              <w:t>akútne zlyhanie obličiek</w:t>
            </w:r>
            <w:r w:rsidRPr="00B57AE7">
              <w:rPr>
                <w:sz w:val="27"/>
                <w:vertAlign w:val="superscript"/>
              </w:rPr>
              <w:t>*</w:t>
            </w:r>
          </w:p>
        </w:tc>
        <w:tc>
          <w:tcPr>
            <w:tcW w:w="4606" w:type="dxa"/>
            <w:shd w:val="clear" w:color="auto" w:fill="auto"/>
            <w:vAlign w:val="bottom"/>
          </w:tcPr>
          <w:p w14:paraId="4C5AC5D4" w14:textId="77777777" w:rsidR="005C44CB" w:rsidRPr="002E1B04" w:rsidRDefault="005C44CB" w:rsidP="009D1BC2">
            <w:pPr>
              <w:spacing w:line="240" w:lineRule="exact"/>
              <w:ind w:right="190"/>
              <w:jc w:val="center"/>
              <w:rPr>
                <w:w w:val="99"/>
                <w:sz w:val="22"/>
              </w:rPr>
            </w:pPr>
            <w:r w:rsidRPr="002E1B04">
              <w:rPr>
                <w:w w:val="99"/>
                <w:sz w:val="22"/>
              </w:rPr>
              <w:t>frekvencia neznáma</w:t>
            </w:r>
          </w:p>
        </w:tc>
      </w:tr>
    </w:tbl>
    <w:p w14:paraId="0DF3DA8F" w14:textId="77777777" w:rsidR="005C44CB" w:rsidRPr="00B57AE7" w:rsidRDefault="005C44CB" w:rsidP="005C44CB">
      <w:pPr>
        <w:numPr>
          <w:ilvl w:val="0"/>
          <w:numId w:val="48"/>
        </w:numPr>
        <w:tabs>
          <w:tab w:val="left" w:pos="200"/>
        </w:tabs>
        <w:spacing w:line="208" w:lineRule="auto"/>
        <w:ind w:left="200" w:hanging="82"/>
        <w:rPr>
          <w:sz w:val="22"/>
          <w:szCs w:val="22"/>
          <w:vertAlign w:val="superscript"/>
        </w:rPr>
      </w:pPr>
      <w:r w:rsidRPr="00B57AE7">
        <w:rPr>
          <w:sz w:val="22"/>
          <w:szCs w:val="22"/>
        </w:rPr>
        <w:t>Nežiaduce reakcie boli identifikované počas dohľadu po uvedení lieku na trh.</w:t>
      </w:r>
    </w:p>
    <w:p w14:paraId="5F14536C" w14:textId="77777777" w:rsidR="005C44CB" w:rsidRPr="00B57AE7" w:rsidRDefault="005C44CB" w:rsidP="005C44CB">
      <w:pPr>
        <w:spacing w:line="2" w:lineRule="exact"/>
        <w:rPr>
          <w:sz w:val="22"/>
          <w:szCs w:val="22"/>
          <w:vertAlign w:val="superscript"/>
        </w:rPr>
      </w:pPr>
    </w:p>
    <w:p w14:paraId="29D14E45" w14:textId="77777777" w:rsidR="005C44CB" w:rsidRPr="00B57AE7" w:rsidRDefault="005C44CB" w:rsidP="005C44CB">
      <w:pPr>
        <w:spacing w:line="187" w:lineRule="auto"/>
        <w:ind w:left="120"/>
        <w:rPr>
          <w:sz w:val="22"/>
          <w:szCs w:val="22"/>
        </w:rPr>
      </w:pPr>
      <w:r w:rsidRPr="00B57AE7">
        <w:rPr>
          <w:b/>
          <w:sz w:val="22"/>
          <w:szCs w:val="22"/>
          <w:vertAlign w:val="superscript"/>
        </w:rPr>
        <w:t>†</w:t>
      </w:r>
      <w:r w:rsidRPr="00B57AE7">
        <w:rPr>
          <w:b/>
          <w:sz w:val="22"/>
          <w:szCs w:val="22"/>
        </w:rPr>
        <w:t xml:space="preserve"> </w:t>
      </w:r>
      <w:r w:rsidRPr="00B57AE7">
        <w:rPr>
          <w:sz w:val="22"/>
          <w:szCs w:val="22"/>
        </w:rPr>
        <w:t>Pozri časť 4.4.</w:t>
      </w:r>
    </w:p>
    <w:p w14:paraId="5DB48674" w14:textId="77777777" w:rsidR="005C44CB" w:rsidRPr="00B57AE7" w:rsidRDefault="005C44CB" w:rsidP="005C44CB">
      <w:pPr>
        <w:spacing w:line="0" w:lineRule="atLeast"/>
        <w:ind w:left="120"/>
        <w:rPr>
          <w:i/>
          <w:sz w:val="22"/>
          <w:szCs w:val="22"/>
        </w:rPr>
      </w:pPr>
      <w:r w:rsidRPr="00B57AE7">
        <w:rPr>
          <w:sz w:val="22"/>
          <w:szCs w:val="22"/>
          <w:vertAlign w:val="superscript"/>
        </w:rPr>
        <w:t>‡</w:t>
      </w:r>
      <w:r w:rsidRPr="00B57AE7">
        <w:rPr>
          <w:sz w:val="22"/>
          <w:szCs w:val="22"/>
        </w:rPr>
        <w:t xml:space="preserve"> Pozri nižšie </w:t>
      </w:r>
      <w:r w:rsidRPr="00B57AE7">
        <w:rPr>
          <w:i/>
          <w:sz w:val="22"/>
          <w:szCs w:val="22"/>
        </w:rPr>
        <w:t>štúdiu kardiovaskulárnej bezpečnosti TECOS.</w:t>
      </w:r>
    </w:p>
    <w:p w14:paraId="719704BA" w14:textId="77777777" w:rsidR="00E314F3" w:rsidRPr="00B57AE7" w:rsidRDefault="00E314F3" w:rsidP="00AD6F14">
      <w:pPr>
        <w:widowControl w:val="0"/>
        <w:tabs>
          <w:tab w:val="left" w:pos="567"/>
        </w:tabs>
        <w:rPr>
          <w:sz w:val="22"/>
          <w:szCs w:val="22"/>
        </w:rPr>
      </w:pPr>
    </w:p>
    <w:p w14:paraId="499D45B0" w14:textId="77777777" w:rsidR="005545DC" w:rsidRPr="00B57AE7" w:rsidRDefault="00900B16" w:rsidP="00900B16">
      <w:pPr>
        <w:autoSpaceDE w:val="0"/>
        <w:autoSpaceDN w:val="0"/>
        <w:adjustRightInd w:val="0"/>
        <w:rPr>
          <w:sz w:val="22"/>
          <w:szCs w:val="22"/>
          <w:u w:val="single"/>
        </w:rPr>
      </w:pPr>
      <w:r w:rsidRPr="00B57AE7">
        <w:rPr>
          <w:sz w:val="22"/>
          <w:szCs w:val="22"/>
          <w:u w:val="single"/>
        </w:rPr>
        <w:t>Popis vybraných nežiaducich reakcií</w:t>
      </w:r>
    </w:p>
    <w:p w14:paraId="31873CFE" w14:textId="77777777" w:rsidR="005545DC" w:rsidRPr="00B57AE7" w:rsidRDefault="00900B16" w:rsidP="00900B16">
      <w:pPr>
        <w:autoSpaceDE w:val="0"/>
        <w:autoSpaceDN w:val="0"/>
        <w:adjustRightInd w:val="0"/>
        <w:rPr>
          <w:sz w:val="22"/>
          <w:szCs w:val="22"/>
        </w:rPr>
      </w:pPr>
      <w:r w:rsidRPr="00B57AE7">
        <w:rPr>
          <w:sz w:val="22"/>
          <w:szCs w:val="22"/>
        </w:rPr>
        <w:t xml:space="preserve">Niektoré nežiaduce reakcie boli pozorované častejšie v štúdiách kombinovaného používania sitagliptínu a metformínu s inými antidiabetickými liekmi v porovnaní so štúdiami samotného sitagliptínu a metformínu. Tieto reakcie zahŕňali hypoglykémiu (frekvencia veľmi časté s </w:t>
      </w:r>
      <w:r w:rsidR="00FA5C1C">
        <w:rPr>
          <w:sz w:val="22"/>
          <w:szCs w:val="22"/>
        </w:rPr>
        <w:t xml:space="preserve">derivátom </w:t>
      </w:r>
      <w:r w:rsidRPr="00B57AE7">
        <w:rPr>
          <w:sz w:val="22"/>
          <w:szCs w:val="22"/>
        </w:rPr>
        <w:t>sulfonyl</w:t>
      </w:r>
      <w:r w:rsidR="00FA5C1C">
        <w:rPr>
          <w:sz w:val="22"/>
          <w:szCs w:val="22"/>
        </w:rPr>
        <w:t>močoviny</w:t>
      </w:r>
      <w:r w:rsidRPr="00B57AE7">
        <w:rPr>
          <w:sz w:val="22"/>
          <w:szCs w:val="22"/>
        </w:rPr>
        <w:t xml:space="preserve"> alebo inzulínom), zápchu (časté s </w:t>
      </w:r>
      <w:r w:rsidR="00FA5C1C">
        <w:rPr>
          <w:sz w:val="22"/>
          <w:szCs w:val="22"/>
        </w:rPr>
        <w:t xml:space="preserve">derivátom </w:t>
      </w:r>
      <w:r w:rsidRPr="00B57AE7">
        <w:rPr>
          <w:sz w:val="22"/>
          <w:szCs w:val="22"/>
        </w:rPr>
        <w:t>sulfonyl</w:t>
      </w:r>
      <w:r w:rsidR="00FA5C1C">
        <w:rPr>
          <w:sz w:val="22"/>
          <w:szCs w:val="22"/>
        </w:rPr>
        <w:t>močoviny</w:t>
      </w:r>
      <w:r w:rsidRPr="00B57AE7">
        <w:rPr>
          <w:sz w:val="22"/>
          <w:szCs w:val="22"/>
        </w:rPr>
        <w:t>), periférny edém (časté s pioglitazónom) a bolesť hlavy a sucho v ústach (menej časté s inzulínom).</w:t>
      </w:r>
    </w:p>
    <w:p w14:paraId="2C3B9DC3" w14:textId="77777777" w:rsidR="005545DC" w:rsidRPr="00B57AE7" w:rsidRDefault="005545DC" w:rsidP="00900B16">
      <w:pPr>
        <w:autoSpaceDE w:val="0"/>
        <w:autoSpaceDN w:val="0"/>
        <w:adjustRightInd w:val="0"/>
        <w:rPr>
          <w:sz w:val="22"/>
          <w:szCs w:val="22"/>
        </w:rPr>
      </w:pPr>
    </w:p>
    <w:p w14:paraId="0620123E" w14:textId="77777777" w:rsidR="005545DC" w:rsidRPr="00B57AE7" w:rsidRDefault="00900B16" w:rsidP="00900B16">
      <w:pPr>
        <w:autoSpaceDE w:val="0"/>
        <w:autoSpaceDN w:val="0"/>
        <w:adjustRightInd w:val="0"/>
        <w:rPr>
          <w:i/>
          <w:sz w:val="22"/>
          <w:szCs w:val="22"/>
        </w:rPr>
      </w:pPr>
      <w:r w:rsidRPr="00B57AE7">
        <w:rPr>
          <w:i/>
          <w:sz w:val="22"/>
          <w:szCs w:val="22"/>
        </w:rPr>
        <w:t xml:space="preserve">Sitagliptín </w:t>
      </w:r>
    </w:p>
    <w:p w14:paraId="1768842E" w14:textId="77777777" w:rsidR="00900B16" w:rsidRPr="00B57AE7" w:rsidRDefault="00900B16" w:rsidP="00900B16">
      <w:pPr>
        <w:autoSpaceDE w:val="0"/>
        <w:autoSpaceDN w:val="0"/>
        <w:adjustRightInd w:val="0"/>
        <w:rPr>
          <w:sz w:val="22"/>
          <w:szCs w:val="22"/>
        </w:rPr>
      </w:pPr>
      <w:r w:rsidRPr="00B57AE7">
        <w:rPr>
          <w:sz w:val="22"/>
          <w:szCs w:val="22"/>
        </w:rPr>
        <w:t>V štúdiách monoterapie so 100 mg samotného sitagliptínu raz denne v porovnaní s placebom boli ako nežiaduce reakcie hlásené bolesť hlavy, hypoglykémia, zápcha a závrat.</w:t>
      </w:r>
    </w:p>
    <w:p w14:paraId="1FA3A045" w14:textId="77777777" w:rsidR="00900B16" w:rsidRPr="00B57AE7" w:rsidRDefault="00900B16" w:rsidP="00900B16">
      <w:pPr>
        <w:autoSpaceDE w:val="0"/>
        <w:autoSpaceDN w:val="0"/>
        <w:adjustRightInd w:val="0"/>
        <w:rPr>
          <w:sz w:val="22"/>
          <w:szCs w:val="22"/>
        </w:rPr>
      </w:pPr>
    </w:p>
    <w:p w14:paraId="63483C73" w14:textId="77777777" w:rsidR="005545DC" w:rsidRPr="00B57AE7" w:rsidRDefault="00900B16" w:rsidP="00900B16">
      <w:pPr>
        <w:autoSpaceDE w:val="0"/>
        <w:autoSpaceDN w:val="0"/>
        <w:adjustRightInd w:val="0"/>
        <w:rPr>
          <w:sz w:val="22"/>
          <w:szCs w:val="22"/>
        </w:rPr>
      </w:pPr>
      <w:r w:rsidRPr="00B57AE7">
        <w:rPr>
          <w:sz w:val="22"/>
          <w:szCs w:val="22"/>
        </w:rPr>
        <w:t>Nežiaduce udalosti hlásené bez ohľadu na kauzálnu súvislosť s liekom vyskytujúce sa medzi týmito pacientmi najmenej v 5 % zahŕňali infekciu horných dýchacích ciest a nazofaryngitídu. Okrem toho, s</w:t>
      </w:r>
      <w:r w:rsidR="006B2E74" w:rsidRPr="00B57AE7">
        <w:rPr>
          <w:sz w:val="22"/>
          <w:szCs w:val="22"/>
        </w:rPr>
        <w:t> </w:t>
      </w:r>
      <w:r w:rsidRPr="00B57AE7">
        <w:rPr>
          <w:sz w:val="22"/>
          <w:szCs w:val="22"/>
        </w:rPr>
        <w:t xml:space="preserve">frekvenciou výskytu menej časté boli hlásené osteoartritída a bolesť v končatine (&gt; 0,5 % vyššia medzi pacientmi užívajúcimi sitagliptín ako u pacientov v kontrolnej skupine). </w:t>
      </w:r>
    </w:p>
    <w:p w14:paraId="6543E942" w14:textId="77777777" w:rsidR="005545DC" w:rsidRPr="00B57AE7" w:rsidRDefault="005545DC" w:rsidP="00900B16">
      <w:pPr>
        <w:autoSpaceDE w:val="0"/>
        <w:autoSpaceDN w:val="0"/>
        <w:adjustRightInd w:val="0"/>
        <w:rPr>
          <w:sz w:val="22"/>
          <w:szCs w:val="22"/>
        </w:rPr>
      </w:pPr>
    </w:p>
    <w:p w14:paraId="79586EE0" w14:textId="77777777" w:rsidR="005545DC" w:rsidRPr="00B57AE7" w:rsidRDefault="00900B16" w:rsidP="00900B16">
      <w:pPr>
        <w:autoSpaceDE w:val="0"/>
        <w:autoSpaceDN w:val="0"/>
        <w:adjustRightInd w:val="0"/>
        <w:rPr>
          <w:i/>
          <w:sz w:val="22"/>
          <w:szCs w:val="22"/>
        </w:rPr>
      </w:pPr>
      <w:r w:rsidRPr="00B57AE7">
        <w:rPr>
          <w:i/>
          <w:sz w:val="22"/>
          <w:szCs w:val="22"/>
        </w:rPr>
        <w:t xml:space="preserve">Metformín </w:t>
      </w:r>
    </w:p>
    <w:p w14:paraId="50A288C7" w14:textId="74BB7BD3" w:rsidR="005545DC" w:rsidRPr="00B57AE7" w:rsidRDefault="00900B16" w:rsidP="00900B16">
      <w:pPr>
        <w:autoSpaceDE w:val="0"/>
        <w:autoSpaceDN w:val="0"/>
        <w:adjustRightInd w:val="0"/>
        <w:rPr>
          <w:sz w:val="22"/>
          <w:szCs w:val="22"/>
        </w:rPr>
      </w:pPr>
      <w:r w:rsidRPr="00B57AE7">
        <w:rPr>
          <w:sz w:val="22"/>
          <w:szCs w:val="22"/>
        </w:rPr>
        <w:t xml:space="preserve">V klinických štúdiách a pri používaní metformínu po jeho uvedení na trh boli veľmi často hlásené gastrointestinálne príznaky. Gastrointestinálne príznaky, ako sú nauzea, vracanie, hnačka, bolesť brucha a strata chuti do jedla sa najčastejšie vyskytujú na začiatku liečby a vo väčšine prípadov samovoľne vymiznú. Medzi ďalšie nežiaduce reakcie spojené s metformínom patrí kovová pachuť (časté); laktátová acidóza, poruchy funkcie pečene, hepatitída, urtikária, erytém a pruritus (veľmi zriedkavé). Kategórie frekvencie vychádzajú z informácií, ktoré sú k dispozícii v súhrne charakteristických vlastností lieku pre metformín dostupnom v EÚ. </w:t>
      </w:r>
    </w:p>
    <w:p w14:paraId="06660872" w14:textId="77777777" w:rsidR="005545DC" w:rsidRPr="00B57AE7" w:rsidRDefault="005545DC" w:rsidP="00900B16">
      <w:pPr>
        <w:autoSpaceDE w:val="0"/>
        <w:autoSpaceDN w:val="0"/>
        <w:adjustRightInd w:val="0"/>
        <w:rPr>
          <w:sz w:val="22"/>
          <w:szCs w:val="22"/>
        </w:rPr>
      </w:pPr>
    </w:p>
    <w:p w14:paraId="135EC234" w14:textId="77777777" w:rsidR="00987B82" w:rsidRPr="00B57AE7" w:rsidRDefault="00987B82" w:rsidP="00987B82">
      <w:pPr>
        <w:autoSpaceDE w:val="0"/>
        <w:autoSpaceDN w:val="0"/>
        <w:adjustRightInd w:val="0"/>
        <w:rPr>
          <w:sz w:val="22"/>
          <w:szCs w:val="22"/>
          <w:u w:val="single"/>
        </w:rPr>
      </w:pPr>
      <w:r w:rsidRPr="00B57AE7">
        <w:rPr>
          <w:sz w:val="22"/>
          <w:szCs w:val="22"/>
          <w:u w:val="single"/>
        </w:rPr>
        <w:t>Pediatrická populácia</w:t>
      </w:r>
    </w:p>
    <w:p w14:paraId="354CEEA0" w14:textId="77777777" w:rsidR="00987B82" w:rsidRPr="00B57AE7" w:rsidRDefault="00987B82" w:rsidP="00987B82">
      <w:pPr>
        <w:autoSpaceDE w:val="0"/>
        <w:autoSpaceDN w:val="0"/>
        <w:adjustRightInd w:val="0"/>
        <w:rPr>
          <w:sz w:val="22"/>
          <w:szCs w:val="22"/>
        </w:rPr>
      </w:pPr>
      <w:r w:rsidRPr="00B57AE7">
        <w:rPr>
          <w:sz w:val="22"/>
          <w:szCs w:val="22"/>
        </w:rPr>
        <w:t>V klinických štúdiách s kombináciou sitagliptínu a metformínu u pediatrických pacientov s diabetes mellitus 2. typu vo veku 10 až 17 rokov bol profil nežiaducich reakcií všeobecne porovnateľný s profilom pozorovaným u dospelých. U pediatrických pacientov, ktorí používali alebo nepoužívali inzulín, bol sitagliptín spojený so zvýšeným rizikom hypoglykémie.</w:t>
      </w:r>
    </w:p>
    <w:p w14:paraId="636B50A1" w14:textId="77777777" w:rsidR="00987B82" w:rsidRPr="00B57AE7" w:rsidRDefault="00987B82" w:rsidP="00987B82">
      <w:pPr>
        <w:autoSpaceDE w:val="0"/>
        <w:autoSpaceDN w:val="0"/>
        <w:adjustRightInd w:val="0"/>
        <w:rPr>
          <w:sz w:val="22"/>
          <w:szCs w:val="22"/>
        </w:rPr>
      </w:pPr>
    </w:p>
    <w:p w14:paraId="27012EE5" w14:textId="77777777" w:rsidR="005545DC" w:rsidRPr="00B57AE7" w:rsidRDefault="00900B16" w:rsidP="00987B82">
      <w:pPr>
        <w:autoSpaceDE w:val="0"/>
        <w:autoSpaceDN w:val="0"/>
        <w:adjustRightInd w:val="0"/>
        <w:rPr>
          <w:i/>
          <w:sz w:val="22"/>
          <w:szCs w:val="22"/>
        </w:rPr>
      </w:pPr>
      <w:r w:rsidRPr="00B57AE7">
        <w:rPr>
          <w:i/>
          <w:sz w:val="22"/>
          <w:szCs w:val="22"/>
        </w:rPr>
        <w:t xml:space="preserve">Štúdia kardiovaskulárnej bezpečnosti TECOS </w:t>
      </w:r>
    </w:p>
    <w:p w14:paraId="7370CB13" w14:textId="77777777" w:rsidR="005545DC" w:rsidRPr="00B57AE7" w:rsidRDefault="00900B16" w:rsidP="00900B16">
      <w:pPr>
        <w:autoSpaceDE w:val="0"/>
        <w:autoSpaceDN w:val="0"/>
        <w:adjustRightInd w:val="0"/>
        <w:rPr>
          <w:sz w:val="22"/>
          <w:szCs w:val="22"/>
        </w:rPr>
      </w:pPr>
      <w:r w:rsidRPr="00B57AE7">
        <w:rPr>
          <w:sz w:val="22"/>
          <w:szCs w:val="22"/>
        </w:rPr>
        <w:t>Skúšanie hodnotiace kardiovaskulárne výsledky pri sitagliptíne (The Trial Evaluating Cardiovascular Outcomes with Sitagliptin, TECOS) zahŕňalo 7 332 pacientov liečených sitagliptínom, 100 mg denne (alebo 50 mg denne ak východisková eGFR bola ≥ 30 a &lt; 50 ml/min/1,73 m</w:t>
      </w:r>
      <w:r w:rsidRPr="00B57AE7">
        <w:rPr>
          <w:sz w:val="22"/>
          <w:szCs w:val="22"/>
          <w:vertAlign w:val="superscript"/>
        </w:rPr>
        <w:t>2</w:t>
      </w:r>
      <w:r w:rsidRPr="00B57AE7">
        <w:rPr>
          <w:sz w:val="22"/>
          <w:szCs w:val="22"/>
        </w:rPr>
        <w:t xml:space="preserve"> ) a 7 339 pacientov, ktorí užívali placebo v populácii podľa liečebného zámeru (intention-to-treat). Obidve liečby sa pridali k bežnej starostlivosti zameranej na regionálne štandardy pre HbA1c a KV rizikové faktory. Celkový výskyt závažných nežiaducich udalostí u pacientov užívajúcich sitagliptín bol podobný ako u</w:t>
      </w:r>
      <w:r w:rsidR="006B2E74" w:rsidRPr="00B57AE7">
        <w:rPr>
          <w:sz w:val="22"/>
          <w:szCs w:val="22"/>
        </w:rPr>
        <w:t> </w:t>
      </w:r>
      <w:r w:rsidRPr="00B57AE7">
        <w:rPr>
          <w:sz w:val="22"/>
          <w:szCs w:val="22"/>
        </w:rPr>
        <w:t xml:space="preserve">pacientov užívajúcich placebo. </w:t>
      </w:r>
    </w:p>
    <w:p w14:paraId="492B8778" w14:textId="77777777" w:rsidR="005545DC" w:rsidRPr="00B57AE7" w:rsidRDefault="005545DC" w:rsidP="00900B16">
      <w:pPr>
        <w:autoSpaceDE w:val="0"/>
        <w:autoSpaceDN w:val="0"/>
        <w:adjustRightInd w:val="0"/>
        <w:rPr>
          <w:sz w:val="22"/>
          <w:szCs w:val="22"/>
        </w:rPr>
      </w:pPr>
    </w:p>
    <w:p w14:paraId="25F8F245" w14:textId="77777777" w:rsidR="00900B16" w:rsidRPr="00B57AE7" w:rsidRDefault="00900B16" w:rsidP="00900B16">
      <w:pPr>
        <w:autoSpaceDE w:val="0"/>
        <w:autoSpaceDN w:val="0"/>
        <w:adjustRightInd w:val="0"/>
        <w:rPr>
          <w:sz w:val="22"/>
          <w:szCs w:val="22"/>
        </w:rPr>
      </w:pPr>
      <w:r w:rsidRPr="00B57AE7">
        <w:rPr>
          <w:sz w:val="22"/>
          <w:szCs w:val="22"/>
        </w:rPr>
        <w:lastRenderedPageBreak/>
        <w:t xml:space="preserve">V populácii podľa liečebného zámeru (intention-to-treat) bol medzi pacientmi, ktorí na začiatku používali inzulín a/alebo </w:t>
      </w:r>
      <w:r w:rsidR="00FA5C1C">
        <w:rPr>
          <w:sz w:val="22"/>
          <w:szCs w:val="22"/>
        </w:rPr>
        <w:t xml:space="preserve">derivát </w:t>
      </w:r>
      <w:r w:rsidRPr="00B57AE7">
        <w:rPr>
          <w:sz w:val="22"/>
          <w:szCs w:val="22"/>
        </w:rPr>
        <w:t>sulfonyl</w:t>
      </w:r>
      <w:r w:rsidR="00FA5C1C">
        <w:rPr>
          <w:sz w:val="22"/>
          <w:szCs w:val="22"/>
        </w:rPr>
        <w:t>močoviny</w:t>
      </w:r>
      <w:r w:rsidRPr="00B57AE7">
        <w:rPr>
          <w:sz w:val="22"/>
          <w:szCs w:val="22"/>
        </w:rPr>
        <w:t xml:space="preserve">, výskyt ťažkej hypoglykémie u pacientov užívajúcich sitagliptín 2,7 % a u pacientov užívajúcich placebo 2,5 %; medzi pacientmi, ktorí na začiatku nepoužívali inzulín a/alebo </w:t>
      </w:r>
      <w:r w:rsidR="00FA5C1C">
        <w:rPr>
          <w:sz w:val="22"/>
          <w:szCs w:val="22"/>
        </w:rPr>
        <w:t xml:space="preserve">derivát </w:t>
      </w:r>
      <w:r w:rsidRPr="00B57AE7">
        <w:rPr>
          <w:sz w:val="22"/>
          <w:szCs w:val="22"/>
        </w:rPr>
        <w:t>sulfonyl</w:t>
      </w:r>
      <w:r w:rsidR="00FA5C1C">
        <w:rPr>
          <w:sz w:val="22"/>
          <w:szCs w:val="22"/>
        </w:rPr>
        <w:t>močoviny</w:t>
      </w:r>
      <w:r w:rsidRPr="00B57AE7">
        <w:rPr>
          <w:sz w:val="22"/>
          <w:szCs w:val="22"/>
        </w:rPr>
        <w:t xml:space="preserve"> bol výskyt ťažkej hypoglykémie u pacientov užívajúcich sitagliptín 1,0 % a u pacientov užívajúcich placebo 0,7 %. Výskyt potvrdených udalostí pankreatitídy bol u pacientov užívajúcich sitagliptín 0,3 % a u pacientov užívajúcich placebo 0,2 %.</w:t>
      </w:r>
    </w:p>
    <w:p w14:paraId="5A72F537" w14:textId="77777777" w:rsidR="00900B16" w:rsidRPr="00B57AE7" w:rsidRDefault="00900B16" w:rsidP="00900B16">
      <w:pPr>
        <w:autoSpaceDE w:val="0"/>
        <w:autoSpaceDN w:val="0"/>
        <w:adjustRightInd w:val="0"/>
        <w:rPr>
          <w:sz w:val="22"/>
          <w:szCs w:val="22"/>
        </w:rPr>
      </w:pPr>
    </w:p>
    <w:p w14:paraId="07362902" w14:textId="77777777" w:rsidR="00900B16" w:rsidRPr="00B57AE7" w:rsidRDefault="00900B16" w:rsidP="00900B16">
      <w:pPr>
        <w:autoSpaceDE w:val="0"/>
        <w:autoSpaceDN w:val="0"/>
        <w:adjustRightInd w:val="0"/>
        <w:rPr>
          <w:sz w:val="22"/>
          <w:szCs w:val="22"/>
          <w:u w:val="single"/>
          <w:lang w:eastAsia="en-US"/>
        </w:rPr>
      </w:pPr>
      <w:r w:rsidRPr="00B57AE7">
        <w:rPr>
          <w:sz w:val="22"/>
          <w:szCs w:val="22"/>
          <w:u w:val="single"/>
        </w:rPr>
        <w:t>H</w:t>
      </w:r>
      <w:r w:rsidRPr="00B57AE7">
        <w:rPr>
          <w:sz w:val="22"/>
          <w:szCs w:val="22"/>
          <w:u w:val="single"/>
          <w:lang w:eastAsia="en-US"/>
        </w:rPr>
        <w:t>lásenie podozrení na nežiaduce reakcie</w:t>
      </w:r>
    </w:p>
    <w:p w14:paraId="43CFE607" w14:textId="77777777" w:rsidR="00900B16" w:rsidRPr="00B57AE7" w:rsidRDefault="00900B16" w:rsidP="00900B16">
      <w:pPr>
        <w:autoSpaceDE w:val="0"/>
        <w:autoSpaceDN w:val="0"/>
        <w:adjustRightInd w:val="0"/>
        <w:rPr>
          <w:sz w:val="22"/>
          <w:szCs w:val="22"/>
          <w:lang w:eastAsia="en-US"/>
        </w:rPr>
      </w:pPr>
      <w:r w:rsidRPr="00B57AE7">
        <w:rPr>
          <w:sz w:val="22"/>
          <w:szCs w:val="22"/>
          <w:lang w:eastAsia="en-US"/>
        </w:rPr>
        <w:t xml:space="preserve">Hlásenie podozrení na nežiaduce reakcie po registrácii lieku je dôležité. Umožňuje priebežné monitorovanie pomeru prínosu a rizika lieku. Od zdravotníckych pracovníkov sa vyžaduje, aby hlásili akékoľvek podozrenia na nežiaduce reakcie na </w:t>
      </w:r>
      <w:r w:rsidRPr="00271DCF">
        <w:rPr>
          <w:sz w:val="22"/>
          <w:szCs w:val="22"/>
          <w:highlight w:val="lightGray"/>
          <w:lang w:eastAsia="en-US"/>
        </w:rPr>
        <w:t xml:space="preserve">národné centrum hlásenia uvedené v </w:t>
      </w:r>
      <w:hyperlink r:id="rId11" w:history="1">
        <w:r w:rsidRPr="00271DCF">
          <w:rPr>
            <w:color w:val="0000FF"/>
            <w:sz w:val="22"/>
            <w:szCs w:val="22"/>
            <w:highlight w:val="lightGray"/>
            <w:u w:val="single"/>
            <w:lang w:eastAsia="en-US"/>
          </w:rPr>
          <w:t>Prílohe V</w:t>
        </w:r>
      </w:hyperlink>
      <w:r w:rsidRPr="00271DCF">
        <w:rPr>
          <w:sz w:val="22"/>
          <w:szCs w:val="22"/>
          <w:highlight w:val="lightGray"/>
          <w:lang w:eastAsia="en-US"/>
        </w:rPr>
        <w:t>.</w:t>
      </w:r>
    </w:p>
    <w:p w14:paraId="19B86C24" w14:textId="77777777" w:rsidR="00900B16" w:rsidRPr="00B57AE7" w:rsidRDefault="00900B16" w:rsidP="00900B16">
      <w:pPr>
        <w:autoSpaceDE w:val="0"/>
        <w:autoSpaceDN w:val="0"/>
        <w:adjustRightInd w:val="0"/>
        <w:rPr>
          <w:sz w:val="22"/>
          <w:szCs w:val="22"/>
          <w:lang w:eastAsia="en-US"/>
        </w:rPr>
      </w:pPr>
    </w:p>
    <w:p w14:paraId="53197380" w14:textId="77777777" w:rsidR="00900B16" w:rsidRPr="00B57AE7" w:rsidRDefault="00900B16" w:rsidP="00900B16">
      <w:pPr>
        <w:widowControl w:val="0"/>
        <w:tabs>
          <w:tab w:val="left" w:pos="567"/>
        </w:tabs>
        <w:rPr>
          <w:b/>
          <w:sz w:val="22"/>
          <w:szCs w:val="22"/>
          <w:lang w:eastAsia="en-US"/>
        </w:rPr>
      </w:pPr>
      <w:r w:rsidRPr="00B57AE7">
        <w:rPr>
          <w:b/>
          <w:sz w:val="22"/>
          <w:szCs w:val="22"/>
          <w:lang w:eastAsia="en-US"/>
        </w:rPr>
        <w:t>4.9</w:t>
      </w:r>
      <w:r w:rsidRPr="00B57AE7">
        <w:rPr>
          <w:b/>
          <w:sz w:val="22"/>
          <w:szCs w:val="22"/>
          <w:lang w:eastAsia="en-US"/>
        </w:rPr>
        <w:tab/>
        <w:t>Predávkovanie</w:t>
      </w:r>
    </w:p>
    <w:p w14:paraId="1270C7D9" w14:textId="77777777" w:rsidR="00900B16" w:rsidRPr="00B57AE7" w:rsidRDefault="00900B16" w:rsidP="00900B16">
      <w:pPr>
        <w:widowControl w:val="0"/>
        <w:tabs>
          <w:tab w:val="left" w:pos="567"/>
        </w:tabs>
        <w:rPr>
          <w:bCs/>
          <w:sz w:val="22"/>
          <w:szCs w:val="22"/>
          <w:lang w:eastAsia="en-US"/>
        </w:rPr>
      </w:pPr>
    </w:p>
    <w:p w14:paraId="0BAF9B37" w14:textId="578A43AA" w:rsidR="00B32DC8" w:rsidRPr="00B57AE7" w:rsidRDefault="00900B16" w:rsidP="00900B16">
      <w:pPr>
        <w:widowControl w:val="0"/>
        <w:tabs>
          <w:tab w:val="left" w:pos="567"/>
        </w:tabs>
        <w:rPr>
          <w:sz w:val="22"/>
          <w:szCs w:val="22"/>
        </w:rPr>
      </w:pPr>
      <w:r w:rsidRPr="00B57AE7">
        <w:rPr>
          <w:sz w:val="22"/>
          <w:szCs w:val="22"/>
        </w:rPr>
        <w:t xml:space="preserve">Počas kontrolovaných klinických </w:t>
      </w:r>
      <w:r w:rsidR="00DA3CDE">
        <w:rPr>
          <w:sz w:val="22"/>
          <w:szCs w:val="22"/>
        </w:rPr>
        <w:t>štúdií</w:t>
      </w:r>
      <w:r w:rsidRPr="00B57AE7">
        <w:rPr>
          <w:sz w:val="22"/>
          <w:szCs w:val="22"/>
        </w:rPr>
        <w:t xml:space="preserve"> u zdravých osôb sa podávali jednorazové dávky sitagliptínu až do 800 mg. V jednej štúdii pri dávke 800 mg sitagliptínu sa pozorovalo minimálne predĺženie QTc, ktoré sa nepovažovalo za klinicky významné. V klinických štúdiách nie sú žiadne skúsenosti s dávkami vyššími ako 800 mg. V štúdiách I. fázy s viacerými dávkami sa pri sitagliptíne v dávkach do 600 mg denne počas obdobia do 10 dní, ani 400 mg denne počas obdobia do 28 dní nepozorovali žiadne s dávkou súvisiace klinické nežiaduce reakcie. </w:t>
      </w:r>
    </w:p>
    <w:p w14:paraId="6AE2361D" w14:textId="77777777" w:rsidR="00B32DC8" w:rsidRPr="00B57AE7" w:rsidRDefault="00B32DC8" w:rsidP="00900B16">
      <w:pPr>
        <w:widowControl w:val="0"/>
        <w:tabs>
          <w:tab w:val="left" w:pos="567"/>
        </w:tabs>
        <w:rPr>
          <w:sz w:val="22"/>
          <w:szCs w:val="22"/>
        </w:rPr>
      </w:pPr>
    </w:p>
    <w:p w14:paraId="0342EC07" w14:textId="77777777" w:rsidR="00B32DC8" w:rsidRPr="00B57AE7" w:rsidRDefault="00900B16" w:rsidP="00900B16">
      <w:pPr>
        <w:widowControl w:val="0"/>
        <w:tabs>
          <w:tab w:val="left" w:pos="567"/>
        </w:tabs>
        <w:rPr>
          <w:sz w:val="22"/>
          <w:szCs w:val="22"/>
        </w:rPr>
      </w:pPr>
      <w:r w:rsidRPr="00B57AE7">
        <w:rPr>
          <w:sz w:val="22"/>
          <w:szCs w:val="22"/>
        </w:rPr>
        <w:t xml:space="preserve">Závažné predávkovanie metformínom (alebo koexistujúce riziká laktátovej acidózy) môže viesť k laktátovej acidóze, čo je akútny stav, ktorý sa musí liečiť v nemocnici. Najúčinnejší spôsob odstránenia laktátu a metformínu je hemodialýza. </w:t>
      </w:r>
    </w:p>
    <w:p w14:paraId="396574D4" w14:textId="77777777" w:rsidR="00B32DC8" w:rsidRPr="00B57AE7" w:rsidRDefault="00B32DC8" w:rsidP="00900B16">
      <w:pPr>
        <w:widowControl w:val="0"/>
        <w:tabs>
          <w:tab w:val="left" w:pos="567"/>
        </w:tabs>
        <w:rPr>
          <w:sz w:val="22"/>
          <w:szCs w:val="22"/>
        </w:rPr>
      </w:pPr>
    </w:p>
    <w:p w14:paraId="043FA9E9" w14:textId="77777777" w:rsidR="00900B16" w:rsidRPr="00B57AE7" w:rsidRDefault="00900B16" w:rsidP="00900B16">
      <w:pPr>
        <w:widowControl w:val="0"/>
        <w:tabs>
          <w:tab w:val="left" w:pos="567"/>
        </w:tabs>
        <w:rPr>
          <w:sz w:val="22"/>
          <w:szCs w:val="22"/>
          <w:lang w:eastAsia="en-US"/>
        </w:rPr>
      </w:pPr>
      <w:r w:rsidRPr="00B57AE7">
        <w:rPr>
          <w:sz w:val="22"/>
          <w:szCs w:val="22"/>
        </w:rPr>
        <w:t>V klinických štúdiách bolo približne 13,5 % dávky odstránenej po 3- až 4-hodinovej hemodialýze. Ak je to klinicky vhodné, môže sa zvážiť predĺženie hemodialýzy. Nie je známe, či je sitagliptín dialyzovateľný peritoneálnou dialýzou.</w:t>
      </w:r>
    </w:p>
    <w:p w14:paraId="1965FF4D" w14:textId="77777777" w:rsidR="00900B16" w:rsidRPr="00B57AE7" w:rsidRDefault="00900B16" w:rsidP="00900B16">
      <w:pPr>
        <w:autoSpaceDE w:val="0"/>
        <w:autoSpaceDN w:val="0"/>
        <w:adjustRightInd w:val="0"/>
        <w:rPr>
          <w:sz w:val="22"/>
          <w:szCs w:val="22"/>
        </w:rPr>
      </w:pPr>
    </w:p>
    <w:p w14:paraId="78FFF487" w14:textId="77777777" w:rsidR="005C5AB1" w:rsidRPr="00B57AE7" w:rsidRDefault="00900B16" w:rsidP="00900B16">
      <w:pPr>
        <w:autoSpaceDE w:val="0"/>
        <w:autoSpaceDN w:val="0"/>
        <w:adjustRightInd w:val="0"/>
        <w:rPr>
          <w:sz w:val="22"/>
          <w:szCs w:val="22"/>
        </w:rPr>
      </w:pPr>
      <w:r w:rsidRPr="00B57AE7">
        <w:rPr>
          <w:sz w:val="22"/>
          <w:szCs w:val="22"/>
        </w:rPr>
        <w:t>V prípade predávkovania sa odporúča vykonať zvyčajné podporné opatrenia, napr. odstrániť neabsorbovaný liek z gastrointestinálneho traktu, zaviesť klinické monitorovanie (vrátane EKG) a ak je to potrebné, nasadiť podpornú liečbu.</w:t>
      </w:r>
    </w:p>
    <w:p w14:paraId="0E54CACB" w14:textId="77777777" w:rsidR="005F619A" w:rsidRPr="00B57AE7" w:rsidRDefault="005F619A" w:rsidP="00900B16">
      <w:pPr>
        <w:autoSpaceDE w:val="0"/>
        <w:autoSpaceDN w:val="0"/>
        <w:adjustRightInd w:val="0"/>
        <w:rPr>
          <w:sz w:val="22"/>
          <w:szCs w:val="22"/>
          <w:lang w:eastAsia="en-US"/>
        </w:rPr>
      </w:pPr>
    </w:p>
    <w:p w14:paraId="65F48903" w14:textId="77777777" w:rsidR="006B2E74" w:rsidRPr="00B57AE7" w:rsidRDefault="006B2E74" w:rsidP="00900B16">
      <w:pPr>
        <w:autoSpaceDE w:val="0"/>
        <w:autoSpaceDN w:val="0"/>
        <w:adjustRightInd w:val="0"/>
        <w:rPr>
          <w:sz w:val="22"/>
          <w:szCs w:val="22"/>
          <w:lang w:eastAsia="en-US"/>
        </w:rPr>
      </w:pPr>
    </w:p>
    <w:p w14:paraId="71392BED" w14:textId="77777777" w:rsidR="005C5AB1" w:rsidRPr="00B57AE7" w:rsidRDefault="00ED5296" w:rsidP="00AD6F14">
      <w:pPr>
        <w:widowControl w:val="0"/>
        <w:tabs>
          <w:tab w:val="left" w:pos="567"/>
        </w:tabs>
        <w:rPr>
          <w:sz w:val="22"/>
          <w:szCs w:val="22"/>
          <w:lang w:eastAsia="en-US"/>
        </w:rPr>
      </w:pPr>
      <w:r w:rsidRPr="00B57AE7">
        <w:rPr>
          <w:b/>
          <w:sz w:val="22"/>
          <w:szCs w:val="22"/>
          <w:lang w:eastAsia="en-US"/>
        </w:rPr>
        <w:t>5.</w:t>
      </w:r>
      <w:r w:rsidRPr="00B57AE7">
        <w:rPr>
          <w:b/>
          <w:sz w:val="22"/>
          <w:szCs w:val="22"/>
          <w:lang w:eastAsia="en-US"/>
        </w:rPr>
        <w:tab/>
        <w:t>FARMAKOLOGICKÉ VLASTNOSTI</w:t>
      </w:r>
    </w:p>
    <w:p w14:paraId="39571C42" w14:textId="77777777" w:rsidR="005C5AB1" w:rsidRPr="00B57AE7" w:rsidRDefault="005C5AB1" w:rsidP="00AD6F14">
      <w:pPr>
        <w:widowControl w:val="0"/>
        <w:tabs>
          <w:tab w:val="left" w:pos="567"/>
        </w:tabs>
        <w:rPr>
          <w:bCs/>
          <w:sz w:val="22"/>
          <w:szCs w:val="22"/>
          <w:lang w:eastAsia="en-US"/>
        </w:rPr>
      </w:pPr>
    </w:p>
    <w:p w14:paraId="5DE3DEE0" w14:textId="77777777" w:rsidR="005C5AB1" w:rsidRPr="00B57AE7" w:rsidRDefault="00ED5296" w:rsidP="00AD6F14">
      <w:pPr>
        <w:widowControl w:val="0"/>
        <w:tabs>
          <w:tab w:val="left" w:pos="567"/>
        </w:tabs>
        <w:rPr>
          <w:sz w:val="22"/>
          <w:szCs w:val="22"/>
          <w:lang w:eastAsia="en-US"/>
        </w:rPr>
      </w:pPr>
      <w:r w:rsidRPr="00B57AE7">
        <w:rPr>
          <w:b/>
          <w:sz w:val="22"/>
          <w:szCs w:val="22"/>
          <w:lang w:eastAsia="en-US"/>
        </w:rPr>
        <w:t>5.1</w:t>
      </w:r>
      <w:r w:rsidRPr="00B57AE7">
        <w:rPr>
          <w:b/>
          <w:sz w:val="22"/>
          <w:szCs w:val="22"/>
          <w:lang w:eastAsia="en-US"/>
        </w:rPr>
        <w:tab/>
        <w:t>Farmakodynamické vlastnosti</w:t>
      </w:r>
    </w:p>
    <w:p w14:paraId="09EA1B7C" w14:textId="77777777" w:rsidR="005C5AB1" w:rsidRPr="00B57AE7" w:rsidRDefault="005C5AB1" w:rsidP="00AD6F14">
      <w:pPr>
        <w:widowControl w:val="0"/>
        <w:tabs>
          <w:tab w:val="left" w:pos="567"/>
        </w:tabs>
        <w:rPr>
          <w:sz w:val="22"/>
          <w:szCs w:val="22"/>
          <w:lang w:eastAsia="en-US"/>
        </w:rPr>
      </w:pPr>
    </w:p>
    <w:p w14:paraId="752D0AEF" w14:textId="77777777" w:rsidR="009B58C4" w:rsidRPr="00B57AE7" w:rsidRDefault="00ED5296" w:rsidP="00AD6F14">
      <w:pPr>
        <w:widowControl w:val="0"/>
        <w:tabs>
          <w:tab w:val="left" w:pos="567"/>
        </w:tabs>
        <w:rPr>
          <w:sz w:val="22"/>
          <w:szCs w:val="22"/>
          <w:lang w:eastAsia="en-US"/>
        </w:rPr>
      </w:pPr>
      <w:r w:rsidRPr="00B57AE7">
        <w:rPr>
          <w:sz w:val="22"/>
          <w:szCs w:val="22"/>
          <w:lang w:eastAsia="en-US"/>
        </w:rPr>
        <w:t xml:space="preserve">Farmakoterapeutická skupina: </w:t>
      </w:r>
      <w:r w:rsidR="00B32DC8" w:rsidRPr="00B57AE7">
        <w:rPr>
          <w:sz w:val="22"/>
        </w:rPr>
        <w:t>Antidiabetiká, kombinácia perorálnych antidiabetík</w:t>
      </w:r>
      <w:r w:rsidR="006B2E74" w:rsidRPr="00B57AE7">
        <w:rPr>
          <w:sz w:val="22"/>
        </w:rPr>
        <w:t>,</w:t>
      </w:r>
    </w:p>
    <w:p w14:paraId="5C095714" w14:textId="77777777" w:rsidR="00ED5296" w:rsidRPr="00B57AE7" w:rsidRDefault="00ED5296" w:rsidP="00AD6F14">
      <w:pPr>
        <w:widowControl w:val="0"/>
        <w:tabs>
          <w:tab w:val="left" w:pos="567"/>
        </w:tabs>
        <w:rPr>
          <w:sz w:val="22"/>
          <w:szCs w:val="22"/>
          <w:lang w:eastAsia="en-US"/>
        </w:rPr>
      </w:pPr>
      <w:r w:rsidRPr="00B57AE7">
        <w:rPr>
          <w:sz w:val="22"/>
          <w:szCs w:val="22"/>
          <w:lang w:eastAsia="en-US"/>
        </w:rPr>
        <w:t>ATC kód:</w:t>
      </w:r>
      <w:r w:rsidR="009A61A0" w:rsidRPr="00B57AE7">
        <w:rPr>
          <w:sz w:val="22"/>
          <w:szCs w:val="22"/>
          <w:lang w:eastAsia="en-US"/>
        </w:rPr>
        <w:t xml:space="preserve"> </w:t>
      </w:r>
      <w:r w:rsidR="00B32DC8" w:rsidRPr="00B57AE7">
        <w:rPr>
          <w:sz w:val="22"/>
          <w:szCs w:val="22"/>
          <w:lang w:eastAsia="en-US"/>
        </w:rPr>
        <w:t>A10BD07</w:t>
      </w:r>
    </w:p>
    <w:p w14:paraId="6D5E759A" w14:textId="77777777" w:rsidR="00ED5296" w:rsidRPr="00B57AE7" w:rsidRDefault="00ED5296" w:rsidP="00AD6F14">
      <w:pPr>
        <w:widowControl w:val="0"/>
        <w:rPr>
          <w:sz w:val="22"/>
          <w:szCs w:val="22"/>
          <w:lang w:eastAsia="en-US"/>
        </w:rPr>
      </w:pPr>
    </w:p>
    <w:p w14:paraId="5BD27EE4" w14:textId="6C49DC7E" w:rsidR="00B32DC8" w:rsidRPr="00B57AE7" w:rsidRDefault="008D6F86" w:rsidP="00AD6F14">
      <w:pPr>
        <w:widowControl w:val="0"/>
        <w:autoSpaceDE w:val="0"/>
        <w:autoSpaceDN w:val="0"/>
        <w:adjustRightInd w:val="0"/>
        <w:rPr>
          <w:sz w:val="22"/>
          <w:szCs w:val="22"/>
        </w:rPr>
      </w:pPr>
      <w:r>
        <w:rPr>
          <w:sz w:val="22"/>
          <w:szCs w:val="22"/>
        </w:rPr>
        <w:t>JUZIMETTE</w:t>
      </w:r>
      <w:r w:rsidR="005F619A" w:rsidRPr="00B57AE7">
        <w:rPr>
          <w:sz w:val="22"/>
          <w:szCs w:val="22"/>
        </w:rPr>
        <w:t xml:space="preserve"> kombinuje dve antihyperglykemické liečivá s komplementárnym mechanizmom účinku na zlepšenie kontroly glykémie u pacientov s diabetom 2. typu: </w:t>
      </w:r>
      <w:proofErr w:type="spellStart"/>
      <w:r w:rsidR="005F619A" w:rsidRPr="00B57AE7">
        <w:rPr>
          <w:sz w:val="22"/>
          <w:szCs w:val="22"/>
        </w:rPr>
        <w:t>sitagliptín</w:t>
      </w:r>
      <w:proofErr w:type="spellEnd"/>
      <w:r w:rsidR="005F619A" w:rsidRPr="00B57AE7">
        <w:rPr>
          <w:sz w:val="22"/>
          <w:szCs w:val="22"/>
        </w:rPr>
        <w:t>,</w:t>
      </w:r>
      <w:r w:rsidR="00C8523F" w:rsidRPr="00B57AE7">
        <w:rPr>
          <w:sz w:val="22"/>
          <w:szCs w:val="22"/>
        </w:rPr>
        <w:t xml:space="preserve"> </w:t>
      </w:r>
      <w:r w:rsidR="005F619A" w:rsidRPr="00B57AE7">
        <w:rPr>
          <w:sz w:val="22"/>
          <w:szCs w:val="22"/>
        </w:rPr>
        <w:t xml:space="preserve">inhibítor </w:t>
      </w:r>
      <w:proofErr w:type="spellStart"/>
      <w:r w:rsidR="005F619A" w:rsidRPr="00B57AE7">
        <w:rPr>
          <w:sz w:val="22"/>
          <w:szCs w:val="22"/>
        </w:rPr>
        <w:t>dipeptidyl</w:t>
      </w:r>
      <w:proofErr w:type="spellEnd"/>
      <w:r w:rsidR="005F619A" w:rsidRPr="00B57AE7">
        <w:rPr>
          <w:sz w:val="22"/>
          <w:szCs w:val="22"/>
        </w:rPr>
        <w:t xml:space="preserve"> </w:t>
      </w:r>
      <w:proofErr w:type="spellStart"/>
      <w:r w:rsidR="005F619A" w:rsidRPr="00B57AE7">
        <w:rPr>
          <w:sz w:val="22"/>
          <w:szCs w:val="22"/>
        </w:rPr>
        <w:t>peptidázy</w:t>
      </w:r>
      <w:proofErr w:type="spellEnd"/>
      <w:r w:rsidR="005F619A" w:rsidRPr="00B57AE7">
        <w:rPr>
          <w:sz w:val="22"/>
          <w:szCs w:val="22"/>
        </w:rPr>
        <w:t xml:space="preserve"> 4 (DPP-4) a</w:t>
      </w:r>
      <w:r w:rsidR="00AC6069" w:rsidRPr="00B57AE7">
        <w:rPr>
          <w:sz w:val="22"/>
          <w:szCs w:val="22"/>
        </w:rPr>
        <w:t> </w:t>
      </w:r>
      <w:r w:rsidR="005F619A" w:rsidRPr="00B57AE7">
        <w:rPr>
          <w:sz w:val="22"/>
          <w:szCs w:val="22"/>
        </w:rPr>
        <w:t>metformínium</w:t>
      </w:r>
      <w:r w:rsidR="00AC6069" w:rsidRPr="00B57AE7">
        <w:rPr>
          <w:sz w:val="22"/>
          <w:szCs w:val="22"/>
        </w:rPr>
        <w:t>-</w:t>
      </w:r>
      <w:r w:rsidR="005F619A" w:rsidRPr="00B57AE7">
        <w:rPr>
          <w:sz w:val="22"/>
          <w:szCs w:val="22"/>
        </w:rPr>
        <w:t>chlorid, člen skupiny biguanidov.</w:t>
      </w:r>
    </w:p>
    <w:p w14:paraId="355AEB0A" w14:textId="77777777" w:rsidR="00B32DC8" w:rsidRPr="00B57AE7" w:rsidRDefault="00B32DC8" w:rsidP="00AD6F14">
      <w:pPr>
        <w:widowControl w:val="0"/>
        <w:autoSpaceDE w:val="0"/>
        <w:autoSpaceDN w:val="0"/>
        <w:adjustRightInd w:val="0"/>
        <w:rPr>
          <w:sz w:val="22"/>
          <w:szCs w:val="22"/>
        </w:rPr>
      </w:pPr>
    </w:p>
    <w:p w14:paraId="7BF79BEC" w14:textId="77777777" w:rsidR="00B32DC8" w:rsidRPr="00B57AE7" w:rsidRDefault="00B32DC8" w:rsidP="00AD6F14">
      <w:pPr>
        <w:widowControl w:val="0"/>
        <w:autoSpaceDE w:val="0"/>
        <w:autoSpaceDN w:val="0"/>
        <w:adjustRightInd w:val="0"/>
        <w:rPr>
          <w:sz w:val="22"/>
          <w:szCs w:val="22"/>
          <w:u w:val="single"/>
        </w:rPr>
      </w:pPr>
      <w:r w:rsidRPr="00B57AE7">
        <w:rPr>
          <w:sz w:val="22"/>
          <w:szCs w:val="22"/>
          <w:u w:val="single"/>
        </w:rPr>
        <w:t>S</w:t>
      </w:r>
      <w:r w:rsidR="005F619A" w:rsidRPr="00B57AE7">
        <w:rPr>
          <w:sz w:val="22"/>
          <w:szCs w:val="22"/>
          <w:u w:val="single"/>
        </w:rPr>
        <w:t>itagliptín</w:t>
      </w:r>
    </w:p>
    <w:p w14:paraId="65259CE6" w14:textId="77777777" w:rsidR="00B32DC8" w:rsidRPr="00B57AE7" w:rsidRDefault="005F619A" w:rsidP="00AD6F14">
      <w:pPr>
        <w:widowControl w:val="0"/>
        <w:autoSpaceDE w:val="0"/>
        <w:autoSpaceDN w:val="0"/>
        <w:adjustRightInd w:val="0"/>
        <w:rPr>
          <w:i/>
          <w:sz w:val="22"/>
          <w:szCs w:val="22"/>
        </w:rPr>
      </w:pPr>
      <w:r w:rsidRPr="00B57AE7">
        <w:rPr>
          <w:i/>
          <w:sz w:val="22"/>
          <w:szCs w:val="22"/>
        </w:rPr>
        <w:t>Mechanizmus účinku</w:t>
      </w:r>
    </w:p>
    <w:p w14:paraId="6F01209C" w14:textId="49907343" w:rsidR="009B58C4" w:rsidRPr="00B57AE7" w:rsidRDefault="005F619A" w:rsidP="00AD6F14">
      <w:pPr>
        <w:widowControl w:val="0"/>
        <w:autoSpaceDE w:val="0"/>
        <w:autoSpaceDN w:val="0"/>
        <w:adjustRightInd w:val="0"/>
      </w:pPr>
      <w:proofErr w:type="spellStart"/>
      <w:r w:rsidRPr="00B57AE7">
        <w:rPr>
          <w:sz w:val="22"/>
          <w:szCs w:val="22"/>
        </w:rPr>
        <w:t>Sitagliptín</w:t>
      </w:r>
      <w:proofErr w:type="spellEnd"/>
      <w:r w:rsidRPr="00B57AE7">
        <w:rPr>
          <w:sz w:val="22"/>
          <w:szCs w:val="22"/>
        </w:rPr>
        <w:t xml:space="preserve"> je perorálne účinný, silný a vysoko selektívny inhibítor enzýmu dipeptidyl peptidázy 4 (DPP-4) určený na liečbu diabetu 2. typu. Inhibítory DPP-4 sú skupinou liečiv, ktoré pôsobia zvyšovaním inkretínov. Inhibíciou enzýmu DPP-4 sitagliptín zvyšuje hladiny dvoch známych aktívnych inkretínových hormónov, glukagónu podobného peptidu 1 (GLP-1) a glukózo-dependentného inzulínotropného polypeptidu (GIP). Inkretíny sú súčasťou endogénneho systému zapojeného do fyziologickej regulácie homeostázy glukózy. Keď sú koncentrácie glukózy v krvi normálne alebo zvýšené, GLP-1 a GIP zvyšujú syntézu a uvoľňovanie inzulínu z pankreatických beta buniek. Okrem toho GLP-1 znižuje sekréciu glukagónu z pankreatických alfa buniek, čo vedie k </w:t>
      </w:r>
      <w:r w:rsidRPr="00B57AE7">
        <w:rPr>
          <w:sz w:val="22"/>
          <w:szCs w:val="22"/>
        </w:rPr>
        <w:lastRenderedPageBreak/>
        <w:t>zníženiu tvorby hepatálnej glukózy. Keď sú hladiny glukózy v krvi nízke, uvoľňovanie inzulínu sa nezvyšuje a sekrécia glukagónu sa nepotláča. Sitagliptín je silný a vysoko selektívny inhibítor enzýmu DPP-4 a pri terapeutických koncentráciách neinhibuje blízko príbuzné enzýmy DPP-8 alebo DPP-9. Sitagliptín sa chemickou štruktúrou a farmakologickým účinkom líši od analógov GLP-1, inzulínu, derivátov sulfonyl</w:t>
      </w:r>
      <w:r w:rsidR="00FA5C1C">
        <w:rPr>
          <w:sz w:val="22"/>
          <w:szCs w:val="22"/>
        </w:rPr>
        <w:t>močoviny</w:t>
      </w:r>
      <w:r w:rsidRPr="00B57AE7">
        <w:rPr>
          <w:sz w:val="22"/>
          <w:szCs w:val="22"/>
        </w:rPr>
        <w:t xml:space="preserve"> alebo meglitinidov, biguanidov, agonistov peroxyzómového proliferátorom</w:t>
      </w:r>
      <w:r w:rsidRPr="00B57AE7">
        <w:t xml:space="preserve"> aktivovaného receptora gama (PPAR</w:t>
      </w:r>
      <w:r w:rsidRPr="00B57AE7">
        <w:sym w:font="Symbol" w:char="F067"/>
      </w:r>
      <w:r w:rsidRPr="00B57AE7">
        <w:t>), inhibítorov alfa-glukozidázy a analógov amylínu.</w:t>
      </w:r>
    </w:p>
    <w:p w14:paraId="194CE095" w14:textId="77777777" w:rsidR="005F619A" w:rsidRPr="00B57AE7" w:rsidRDefault="005F619A" w:rsidP="00AD6F14">
      <w:pPr>
        <w:widowControl w:val="0"/>
        <w:autoSpaceDE w:val="0"/>
        <w:autoSpaceDN w:val="0"/>
        <w:adjustRightInd w:val="0"/>
      </w:pPr>
    </w:p>
    <w:p w14:paraId="35507ACA" w14:textId="77777777" w:rsidR="00B32DC8" w:rsidRPr="00B57AE7" w:rsidRDefault="005F619A" w:rsidP="00AD6F14">
      <w:pPr>
        <w:widowControl w:val="0"/>
        <w:autoSpaceDE w:val="0"/>
        <w:autoSpaceDN w:val="0"/>
        <w:adjustRightInd w:val="0"/>
        <w:rPr>
          <w:sz w:val="22"/>
          <w:szCs w:val="22"/>
        </w:rPr>
      </w:pPr>
      <w:r w:rsidRPr="00B57AE7">
        <w:rPr>
          <w:sz w:val="22"/>
          <w:szCs w:val="22"/>
        </w:rPr>
        <w:t xml:space="preserve">V dvojdňovej štúdii u zdravých jedincov zvýšil samotný sitagliptín koncentrácie aktívneho GLP-1, kým samotný metformín zvýšil koncentrácie aktívneho a celkového GLP-1 v podobnom rozsahu. Súbežné podanie sitagliptínu a metformínu malo aditívny účinok na koncentrácie aktívneho GLP-1. Sitagliptín, ale nie metformín, zvýšil koncentrácie aktívneho GIP. </w:t>
      </w:r>
    </w:p>
    <w:p w14:paraId="6B8355DF" w14:textId="77777777" w:rsidR="00B32DC8" w:rsidRPr="00B57AE7" w:rsidRDefault="00B32DC8" w:rsidP="00AD6F14">
      <w:pPr>
        <w:widowControl w:val="0"/>
        <w:autoSpaceDE w:val="0"/>
        <w:autoSpaceDN w:val="0"/>
        <w:adjustRightInd w:val="0"/>
        <w:rPr>
          <w:sz w:val="22"/>
          <w:szCs w:val="22"/>
        </w:rPr>
      </w:pPr>
    </w:p>
    <w:p w14:paraId="28823896" w14:textId="77777777" w:rsidR="00B32DC8" w:rsidRPr="00B57AE7" w:rsidRDefault="005F619A" w:rsidP="00AD6F14">
      <w:pPr>
        <w:widowControl w:val="0"/>
        <w:autoSpaceDE w:val="0"/>
        <w:autoSpaceDN w:val="0"/>
        <w:adjustRightInd w:val="0"/>
        <w:rPr>
          <w:i/>
          <w:sz w:val="22"/>
          <w:szCs w:val="22"/>
        </w:rPr>
      </w:pPr>
      <w:r w:rsidRPr="00B57AE7">
        <w:rPr>
          <w:i/>
          <w:sz w:val="22"/>
          <w:szCs w:val="22"/>
        </w:rPr>
        <w:t xml:space="preserve">Klinická účinnosť a bezpečnosť </w:t>
      </w:r>
    </w:p>
    <w:p w14:paraId="26C18D9D" w14:textId="77777777" w:rsidR="00B32DC8" w:rsidRPr="00B57AE7" w:rsidRDefault="005F619A" w:rsidP="00AD6F14">
      <w:pPr>
        <w:widowControl w:val="0"/>
        <w:autoSpaceDE w:val="0"/>
        <w:autoSpaceDN w:val="0"/>
        <w:adjustRightInd w:val="0"/>
        <w:rPr>
          <w:sz w:val="22"/>
          <w:szCs w:val="22"/>
        </w:rPr>
      </w:pPr>
      <w:r w:rsidRPr="00B57AE7">
        <w:rPr>
          <w:sz w:val="22"/>
          <w:szCs w:val="22"/>
        </w:rPr>
        <w:t>Sitagliptín celkovo zlepšil kontrolu glykémie, keď sa použil ako monoterapia alebo v kombinovanej liečbe</w:t>
      </w:r>
      <w:r w:rsidR="008D6F86">
        <w:rPr>
          <w:sz w:val="22"/>
          <w:szCs w:val="22"/>
        </w:rPr>
        <w:t xml:space="preserve"> u dospelých pacientov s</w:t>
      </w:r>
      <w:r w:rsidR="008855B1">
        <w:rPr>
          <w:sz w:val="22"/>
          <w:szCs w:val="22"/>
        </w:rPr>
        <w:t xml:space="preserve"> diabetom </w:t>
      </w:r>
      <w:r w:rsidR="008D6F86">
        <w:rPr>
          <w:sz w:val="22"/>
          <w:szCs w:val="22"/>
        </w:rPr>
        <w:t>2. typ</w:t>
      </w:r>
      <w:r w:rsidR="008855B1">
        <w:rPr>
          <w:sz w:val="22"/>
          <w:szCs w:val="22"/>
        </w:rPr>
        <w:t>u</w:t>
      </w:r>
      <w:r w:rsidRPr="00B57AE7">
        <w:rPr>
          <w:sz w:val="22"/>
          <w:szCs w:val="22"/>
        </w:rPr>
        <w:t>.</w:t>
      </w:r>
    </w:p>
    <w:p w14:paraId="6A627F92" w14:textId="77777777" w:rsidR="00B32DC8" w:rsidRPr="00B57AE7" w:rsidRDefault="00B32DC8" w:rsidP="00AD6F14">
      <w:pPr>
        <w:widowControl w:val="0"/>
        <w:autoSpaceDE w:val="0"/>
        <w:autoSpaceDN w:val="0"/>
        <w:adjustRightInd w:val="0"/>
        <w:rPr>
          <w:sz w:val="22"/>
          <w:szCs w:val="22"/>
        </w:rPr>
      </w:pPr>
    </w:p>
    <w:p w14:paraId="5FC50570" w14:textId="45A2B73E" w:rsidR="00B32DC8" w:rsidRPr="00B57AE7" w:rsidRDefault="005F619A" w:rsidP="00AD6F14">
      <w:pPr>
        <w:widowControl w:val="0"/>
        <w:autoSpaceDE w:val="0"/>
        <w:autoSpaceDN w:val="0"/>
        <w:adjustRightInd w:val="0"/>
        <w:rPr>
          <w:sz w:val="22"/>
          <w:szCs w:val="22"/>
        </w:rPr>
      </w:pPr>
      <w:r w:rsidRPr="00B57AE7">
        <w:rPr>
          <w:sz w:val="22"/>
          <w:szCs w:val="22"/>
        </w:rPr>
        <w:t xml:space="preserve">V klinických </w:t>
      </w:r>
      <w:r w:rsidR="00DA3CDE">
        <w:rPr>
          <w:sz w:val="22"/>
          <w:szCs w:val="22"/>
        </w:rPr>
        <w:t>štúdiách</w:t>
      </w:r>
      <w:r w:rsidRPr="00B57AE7">
        <w:rPr>
          <w:sz w:val="22"/>
          <w:szCs w:val="22"/>
        </w:rPr>
        <w:t xml:space="preserve"> zlepšil </w:t>
      </w:r>
      <w:proofErr w:type="spellStart"/>
      <w:r w:rsidRPr="00B57AE7">
        <w:rPr>
          <w:sz w:val="22"/>
          <w:szCs w:val="22"/>
        </w:rPr>
        <w:t>sitagliptín</w:t>
      </w:r>
      <w:proofErr w:type="spellEnd"/>
      <w:r w:rsidRPr="00B57AE7">
        <w:rPr>
          <w:sz w:val="22"/>
          <w:szCs w:val="22"/>
        </w:rPr>
        <w:t xml:space="preserve"> v monoterapii kontrolu glykémie a signifikantne znížil hemoglobín A1c (HbA1c) a glukózu nalačno a po jedle. Zníženie plazmatickej glukózy nalačno (FPG) sa pozorovalo po 3 týždňoch, kedy sa FPG merala po prvýkrát. Incidencia hypoglykémie pozorovaná u pacientov liečených sitagliptínom bola podobná ako pri placebe. Telesná hmotnosť sa oproti východiskovému stavu pri liečbe sitagliptínom nezvýšila. Pozorovalo sa zlepšenie zástupných markerov funkcie beta buniek zahŕňajúcich HOMA-β (Homeostasis Model Assessment-β), pomer proinzulínu k inzulínu a miery odpovede beta buniek z tolerančného testu častých vzoriek jedla.</w:t>
      </w:r>
    </w:p>
    <w:p w14:paraId="246E8E21" w14:textId="77777777" w:rsidR="00B32DC8" w:rsidRPr="00B57AE7" w:rsidRDefault="00B32DC8" w:rsidP="00AD6F14">
      <w:pPr>
        <w:widowControl w:val="0"/>
        <w:autoSpaceDE w:val="0"/>
        <w:autoSpaceDN w:val="0"/>
        <w:adjustRightInd w:val="0"/>
        <w:rPr>
          <w:sz w:val="22"/>
          <w:szCs w:val="22"/>
        </w:rPr>
      </w:pPr>
    </w:p>
    <w:p w14:paraId="404F45CE" w14:textId="77777777" w:rsidR="00B32DC8" w:rsidRPr="00B57AE7" w:rsidRDefault="005F619A" w:rsidP="00AD6F14">
      <w:pPr>
        <w:widowControl w:val="0"/>
        <w:autoSpaceDE w:val="0"/>
        <w:autoSpaceDN w:val="0"/>
        <w:adjustRightInd w:val="0"/>
        <w:rPr>
          <w:sz w:val="22"/>
          <w:szCs w:val="22"/>
          <w:u w:val="single"/>
        </w:rPr>
      </w:pPr>
      <w:r w:rsidRPr="00B57AE7">
        <w:rPr>
          <w:sz w:val="22"/>
          <w:szCs w:val="22"/>
          <w:u w:val="single"/>
        </w:rPr>
        <w:t>Štúdie sitagliptínu v kombinácii s metformínom</w:t>
      </w:r>
    </w:p>
    <w:p w14:paraId="3C35C40E" w14:textId="77777777" w:rsidR="00B32DC8" w:rsidRPr="00B57AE7" w:rsidRDefault="005F619A" w:rsidP="00AD6F14">
      <w:pPr>
        <w:widowControl w:val="0"/>
        <w:autoSpaceDE w:val="0"/>
        <w:autoSpaceDN w:val="0"/>
        <w:adjustRightInd w:val="0"/>
        <w:rPr>
          <w:sz w:val="22"/>
          <w:szCs w:val="22"/>
        </w:rPr>
      </w:pPr>
      <w:r w:rsidRPr="00B57AE7">
        <w:rPr>
          <w:sz w:val="22"/>
          <w:szCs w:val="22"/>
        </w:rPr>
        <w:t>V 24-týždňovej placebom kontrolovanej klinickej štúdii, ktorá hodnotila účinnosť a bezpečnosť pridania 100 mg sitagliptínu raz denne k prebiehajúcej liečbe metformínom, zaistil sitagliptín v porovnaní s placebom signifikantné zlepšenia glykemických parametrov. Zmena telesnej hmotnosti oproti východiskovej hodnote bola u pacientov liečených sitagliptínom podobná placebu. V tejto štúdii bola incidencia hypoglykémie hlásenej u pacientov liečených sitagliptínom alebo placebom podobná.</w:t>
      </w:r>
    </w:p>
    <w:p w14:paraId="75AF2D37" w14:textId="77777777" w:rsidR="00B32DC8" w:rsidRPr="00B57AE7" w:rsidRDefault="00B32DC8" w:rsidP="00AD6F14">
      <w:pPr>
        <w:widowControl w:val="0"/>
        <w:autoSpaceDE w:val="0"/>
        <w:autoSpaceDN w:val="0"/>
        <w:adjustRightInd w:val="0"/>
        <w:rPr>
          <w:sz w:val="22"/>
          <w:szCs w:val="22"/>
        </w:rPr>
      </w:pPr>
    </w:p>
    <w:p w14:paraId="5C6698E8" w14:textId="77777777" w:rsidR="00B32DC8" w:rsidRPr="00B57AE7" w:rsidRDefault="005F619A" w:rsidP="00AD6F14">
      <w:pPr>
        <w:widowControl w:val="0"/>
        <w:autoSpaceDE w:val="0"/>
        <w:autoSpaceDN w:val="0"/>
        <w:adjustRightInd w:val="0"/>
        <w:rPr>
          <w:sz w:val="22"/>
          <w:szCs w:val="22"/>
        </w:rPr>
      </w:pPr>
      <w:r w:rsidRPr="00B57AE7">
        <w:rPr>
          <w:sz w:val="22"/>
          <w:szCs w:val="22"/>
        </w:rPr>
        <w:t>V 24-týždňovej placebom kontrolovanej faktoriálovej štúdii počiatočnej liečby zaistil sitagliptín 50</w:t>
      </w:r>
      <w:r w:rsidR="006B2E74" w:rsidRPr="00B57AE7">
        <w:rPr>
          <w:sz w:val="22"/>
          <w:szCs w:val="22"/>
        </w:rPr>
        <w:t> </w:t>
      </w:r>
      <w:r w:rsidRPr="00B57AE7">
        <w:rPr>
          <w:sz w:val="22"/>
          <w:szCs w:val="22"/>
        </w:rPr>
        <w:t>mg dvakrát denne v kombinácii s metformínom (500 mg alebo 1 000 mg dvakrát denne) v porovnaní s monoterapiou každým z liečiv signifikantné zlepšenia glykemických parametrov. Pokles telesnej hmotnosti bol pri kombinácii sitagliptínu a metformínu podobný ako pokles pozorovaný pri samotnom metformíne alebo placebe; u pacientov liečených samotným sitagliptínom nedošlo oproti východiskovej hodnote k zmene. Incidencia hypoglykémie bola v liečebných skupinách podobná.</w:t>
      </w:r>
    </w:p>
    <w:p w14:paraId="6704D4EB" w14:textId="77777777" w:rsidR="00B32DC8" w:rsidRPr="00B57AE7" w:rsidRDefault="00B32DC8" w:rsidP="00AD6F14">
      <w:pPr>
        <w:widowControl w:val="0"/>
        <w:autoSpaceDE w:val="0"/>
        <w:autoSpaceDN w:val="0"/>
        <w:adjustRightInd w:val="0"/>
        <w:rPr>
          <w:sz w:val="22"/>
          <w:szCs w:val="22"/>
        </w:rPr>
      </w:pPr>
    </w:p>
    <w:p w14:paraId="3F693701" w14:textId="77777777" w:rsidR="00B32DC8" w:rsidRPr="00B57AE7" w:rsidRDefault="005F619A" w:rsidP="00AD6F14">
      <w:pPr>
        <w:widowControl w:val="0"/>
        <w:autoSpaceDE w:val="0"/>
        <w:autoSpaceDN w:val="0"/>
        <w:adjustRightInd w:val="0"/>
        <w:rPr>
          <w:sz w:val="22"/>
          <w:szCs w:val="22"/>
          <w:u w:val="single"/>
        </w:rPr>
      </w:pPr>
      <w:r w:rsidRPr="00B57AE7">
        <w:rPr>
          <w:sz w:val="22"/>
          <w:szCs w:val="22"/>
          <w:u w:val="single"/>
        </w:rPr>
        <w:t>Štúdia sitagliptínu v</w:t>
      </w:r>
      <w:r w:rsidRPr="00B57AE7">
        <w:rPr>
          <w:u w:val="single"/>
        </w:rPr>
        <w:t xml:space="preserve"> </w:t>
      </w:r>
      <w:r w:rsidRPr="00B57AE7">
        <w:rPr>
          <w:sz w:val="22"/>
          <w:szCs w:val="22"/>
          <w:u w:val="single"/>
        </w:rPr>
        <w:t>kombinácii s metformínom a</w:t>
      </w:r>
      <w:r w:rsidR="00FA5C1C">
        <w:rPr>
          <w:sz w:val="22"/>
          <w:szCs w:val="22"/>
          <w:u w:val="single"/>
        </w:rPr>
        <w:t xml:space="preserve"> derivátom </w:t>
      </w:r>
      <w:r w:rsidRPr="00B57AE7">
        <w:rPr>
          <w:sz w:val="22"/>
          <w:szCs w:val="22"/>
          <w:u w:val="single"/>
        </w:rPr>
        <w:t>sulfonyl</w:t>
      </w:r>
      <w:r w:rsidR="00FA5C1C">
        <w:rPr>
          <w:sz w:val="22"/>
          <w:szCs w:val="22"/>
          <w:u w:val="single"/>
        </w:rPr>
        <w:t>močoviny</w:t>
      </w:r>
    </w:p>
    <w:p w14:paraId="426FEFF7" w14:textId="77777777" w:rsidR="00B32DC8" w:rsidRPr="00B57AE7" w:rsidRDefault="005F619A" w:rsidP="00AD6F14">
      <w:pPr>
        <w:widowControl w:val="0"/>
        <w:autoSpaceDE w:val="0"/>
        <w:autoSpaceDN w:val="0"/>
        <w:adjustRightInd w:val="0"/>
        <w:rPr>
          <w:sz w:val="22"/>
          <w:szCs w:val="22"/>
        </w:rPr>
      </w:pPr>
      <w:r w:rsidRPr="00B57AE7">
        <w:rPr>
          <w:sz w:val="22"/>
          <w:szCs w:val="22"/>
        </w:rPr>
        <w:t xml:space="preserve">24-týždňová placebom kontrolovaná štúdia bola navrhnutá tak, aby vyhodnotila účinnosť a bezpečnosť sitagliptínu (100 mg raz denne) pridaného ku glimepiridu (samotného alebo v kombinácii s metformínom). Pridanie sitagliptínu ku glimepiridu a metformínu zabezpečilo signifikantné zlepšenia glykemických parametrov. U pacientov liečených sitagliptínom došlo v porovnaní s pacientmi, ktorí dostávali placebo, k miernemu nárastu telesnej hmotnosti (+1,1 kg). </w:t>
      </w:r>
    </w:p>
    <w:p w14:paraId="5B559EF6" w14:textId="77777777" w:rsidR="00B32DC8" w:rsidRPr="00B57AE7" w:rsidRDefault="00B32DC8" w:rsidP="00AD6F14">
      <w:pPr>
        <w:widowControl w:val="0"/>
        <w:autoSpaceDE w:val="0"/>
        <w:autoSpaceDN w:val="0"/>
        <w:adjustRightInd w:val="0"/>
        <w:rPr>
          <w:sz w:val="22"/>
          <w:szCs w:val="22"/>
        </w:rPr>
      </w:pPr>
    </w:p>
    <w:p w14:paraId="7EC02119" w14:textId="77777777" w:rsidR="00B32DC8" w:rsidRPr="00B57AE7" w:rsidRDefault="005F619A" w:rsidP="00AD6F14">
      <w:pPr>
        <w:widowControl w:val="0"/>
        <w:autoSpaceDE w:val="0"/>
        <w:autoSpaceDN w:val="0"/>
        <w:adjustRightInd w:val="0"/>
        <w:rPr>
          <w:sz w:val="22"/>
          <w:szCs w:val="22"/>
          <w:u w:val="single"/>
        </w:rPr>
      </w:pPr>
      <w:r w:rsidRPr="00B57AE7">
        <w:rPr>
          <w:sz w:val="22"/>
          <w:szCs w:val="22"/>
          <w:u w:val="single"/>
        </w:rPr>
        <w:t>Štúdia sitagliptínu v kombinácii s metformínom a PPAR</w:t>
      </w:r>
      <w:r w:rsidRPr="00B57AE7">
        <w:rPr>
          <w:sz w:val="22"/>
          <w:szCs w:val="22"/>
          <w:u w:val="single"/>
        </w:rPr>
        <w:sym w:font="Symbol" w:char="F067"/>
      </w:r>
      <w:r w:rsidRPr="00B57AE7">
        <w:rPr>
          <w:sz w:val="22"/>
          <w:szCs w:val="22"/>
          <w:u w:val="single"/>
        </w:rPr>
        <w:t xml:space="preserve"> agonistom </w:t>
      </w:r>
    </w:p>
    <w:p w14:paraId="2BC2C534" w14:textId="77777777" w:rsidR="005F619A" w:rsidRPr="00B57AE7" w:rsidRDefault="005F619A" w:rsidP="00AD6F14">
      <w:pPr>
        <w:widowControl w:val="0"/>
        <w:autoSpaceDE w:val="0"/>
        <w:autoSpaceDN w:val="0"/>
        <w:adjustRightInd w:val="0"/>
        <w:rPr>
          <w:sz w:val="22"/>
          <w:szCs w:val="22"/>
        </w:rPr>
      </w:pPr>
      <w:r w:rsidRPr="00B57AE7">
        <w:rPr>
          <w:sz w:val="22"/>
          <w:szCs w:val="22"/>
        </w:rPr>
        <w:t>26-týždňová placebom kontrolovaná štúdia bola navrhnutá tak, aby vyhodnotila účinnosť a</w:t>
      </w:r>
      <w:r w:rsidR="006B2E74" w:rsidRPr="00B57AE7">
        <w:rPr>
          <w:sz w:val="22"/>
          <w:szCs w:val="22"/>
        </w:rPr>
        <w:t> </w:t>
      </w:r>
      <w:r w:rsidRPr="00B57AE7">
        <w:rPr>
          <w:sz w:val="22"/>
          <w:szCs w:val="22"/>
        </w:rPr>
        <w:t>bezpečnosť sitagliptínu (100 mg raz denne) pridaného ku kombinácii pioglitazónu a metformínu. Pridanie sitagliptínu k pioglitazónu a metformínu zabezpečilo signifikantné zlepšenia glykemických parametrov. Zmena telesnej hmotnosti oproti východiskovej hodnote bola u pacientov liečených sitagliptínom podobná ako pri placebe. Aj výskyt hypoglykémie bol u pacientov liečených sitagliptínom podobný ako pri placebe.</w:t>
      </w:r>
    </w:p>
    <w:p w14:paraId="6A141EF3" w14:textId="77777777" w:rsidR="005F619A" w:rsidRPr="00B57AE7" w:rsidRDefault="005F619A" w:rsidP="00AD6F14">
      <w:pPr>
        <w:widowControl w:val="0"/>
        <w:autoSpaceDE w:val="0"/>
        <w:autoSpaceDN w:val="0"/>
        <w:adjustRightInd w:val="0"/>
      </w:pPr>
    </w:p>
    <w:p w14:paraId="20F43FEC" w14:textId="77777777" w:rsidR="00835A30" w:rsidRPr="00B57AE7" w:rsidRDefault="005F619A" w:rsidP="004C72E1">
      <w:pPr>
        <w:keepNext/>
        <w:autoSpaceDE w:val="0"/>
        <w:autoSpaceDN w:val="0"/>
        <w:adjustRightInd w:val="0"/>
        <w:rPr>
          <w:sz w:val="22"/>
          <w:szCs w:val="22"/>
          <w:u w:val="single"/>
        </w:rPr>
      </w:pPr>
      <w:r w:rsidRPr="00B57AE7">
        <w:rPr>
          <w:sz w:val="22"/>
          <w:szCs w:val="22"/>
          <w:u w:val="single"/>
        </w:rPr>
        <w:lastRenderedPageBreak/>
        <w:t xml:space="preserve">Štúdia sitagliptínu v kombinácii s metformínom a inzulínom </w:t>
      </w:r>
    </w:p>
    <w:p w14:paraId="55450CEF" w14:textId="77777777" w:rsidR="005F619A" w:rsidRPr="00B57AE7" w:rsidRDefault="005F619A" w:rsidP="004C72E1">
      <w:pPr>
        <w:keepNext/>
        <w:autoSpaceDE w:val="0"/>
        <w:autoSpaceDN w:val="0"/>
        <w:adjustRightInd w:val="0"/>
        <w:rPr>
          <w:sz w:val="22"/>
          <w:szCs w:val="22"/>
        </w:rPr>
      </w:pPr>
      <w:r w:rsidRPr="00B57AE7">
        <w:rPr>
          <w:sz w:val="22"/>
          <w:szCs w:val="22"/>
        </w:rPr>
        <w:t>24-týždňová placebom kontrolovaná štúdia bola navrhnutá tak, aby vyhodnotila účinnosť a bezpečnosť sitagliptínu (100 mg raz denne) pridaného k inzulínu (stabilná dávka počas minimálne 10</w:t>
      </w:r>
      <w:r w:rsidR="006B2E74" w:rsidRPr="00B57AE7">
        <w:rPr>
          <w:sz w:val="22"/>
          <w:szCs w:val="22"/>
        </w:rPr>
        <w:t> </w:t>
      </w:r>
      <w:r w:rsidRPr="00B57AE7">
        <w:rPr>
          <w:sz w:val="22"/>
          <w:szCs w:val="22"/>
        </w:rPr>
        <w:t xml:space="preserve">týždňov) s metformínom (minimálne 1 500 mg) alebo bez metformínu. U pacientov užívajúcich premixovaný inzulín bola priemerná denná dávka 70,9 U/deň. U pacientov užívajúcich nepremixovaný (intermediárny/dlhodobý) inzulín bola priemerná denná dávka 44,3 U/deň. Údaje od 73 % pacientov, ktorí užívali metformín, sú uvedené v tabuľke 2. Pridanie sitagliptínu k inzulínu zaistilo významné zlepšenia glykemických parametrov. V žiadnej zo skupín nedošlo k významnej zmene telesnej hmotnosti oproti východiskovým hodnotám. </w:t>
      </w:r>
    </w:p>
    <w:p w14:paraId="550E229C" w14:textId="77777777" w:rsidR="005F619A" w:rsidRPr="00B57AE7" w:rsidRDefault="005F619A" w:rsidP="00AD6F14">
      <w:pPr>
        <w:widowControl w:val="0"/>
        <w:autoSpaceDE w:val="0"/>
        <w:autoSpaceDN w:val="0"/>
        <w:adjustRightInd w:val="0"/>
        <w:rPr>
          <w:sz w:val="22"/>
          <w:szCs w:val="22"/>
        </w:rPr>
      </w:pPr>
    </w:p>
    <w:p w14:paraId="1A52A932" w14:textId="77777777" w:rsidR="005F619A" w:rsidRPr="00B57AE7" w:rsidRDefault="005F619A" w:rsidP="00AD6F14">
      <w:pPr>
        <w:widowControl w:val="0"/>
        <w:autoSpaceDE w:val="0"/>
        <w:autoSpaceDN w:val="0"/>
        <w:adjustRightInd w:val="0"/>
        <w:rPr>
          <w:b/>
          <w:sz w:val="22"/>
          <w:szCs w:val="22"/>
        </w:rPr>
      </w:pPr>
      <w:r w:rsidRPr="00B57AE7">
        <w:rPr>
          <w:b/>
          <w:sz w:val="22"/>
          <w:szCs w:val="22"/>
        </w:rPr>
        <w:t>Tabuľka 2: Výsledky HbA1c v placebom kontrolovaných štúdiách kombinovanej liečby sitagliptínom a metformínom*</w:t>
      </w:r>
    </w:p>
    <w:p w14:paraId="70319391" w14:textId="77777777" w:rsidR="00F80D26" w:rsidRPr="00B57AE7" w:rsidRDefault="00F80D26" w:rsidP="00AD6F14">
      <w:pPr>
        <w:widowControl w:val="0"/>
        <w:autoSpaceDE w:val="0"/>
        <w:autoSpaceDN w:val="0"/>
        <w:adjustRightInd w:val="0"/>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2265"/>
        <w:gridCol w:w="2268"/>
        <w:gridCol w:w="2255"/>
      </w:tblGrid>
      <w:tr w:rsidR="009D1BC2" w:rsidRPr="00B57AE7" w14:paraId="2E920F4D" w14:textId="77777777" w:rsidTr="009D1BC2">
        <w:tc>
          <w:tcPr>
            <w:tcW w:w="2302" w:type="dxa"/>
            <w:shd w:val="clear" w:color="auto" w:fill="auto"/>
          </w:tcPr>
          <w:p w14:paraId="38F7088E" w14:textId="77777777" w:rsidR="00F9292A" w:rsidRPr="00B57AE7" w:rsidRDefault="00F9292A" w:rsidP="009D1BC2">
            <w:pPr>
              <w:widowControl w:val="0"/>
              <w:autoSpaceDE w:val="0"/>
              <w:autoSpaceDN w:val="0"/>
              <w:adjustRightInd w:val="0"/>
              <w:rPr>
                <w:b/>
                <w:bCs/>
                <w:color w:val="000000"/>
                <w:sz w:val="22"/>
                <w:szCs w:val="22"/>
              </w:rPr>
            </w:pPr>
            <w:r w:rsidRPr="00B57AE7">
              <w:rPr>
                <w:b/>
                <w:bCs/>
                <w:color w:val="000000"/>
                <w:sz w:val="22"/>
                <w:szCs w:val="22"/>
              </w:rPr>
              <w:t>Štúdia</w:t>
            </w:r>
          </w:p>
        </w:tc>
        <w:tc>
          <w:tcPr>
            <w:tcW w:w="2303" w:type="dxa"/>
            <w:shd w:val="clear" w:color="auto" w:fill="auto"/>
          </w:tcPr>
          <w:p w14:paraId="780FF232" w14:textId="77777777" w:rsidR="00F9292A" w:rsidRPr="00B57AE7" w:rsidRDefault="00F9292A" w:rsidP="009D1BC2">
            <w:pPr>
              <w:widowControl w:val="0"/>
              <w:autoSpaceDE w:val="0"/>
              <w:autoSpaceDN w:val="0"/>
              <w:adjustRightInd w:val="0"/>
              <w:rPr>
                <w:b/>
                <w:bCs/>
                <w:color w:val="000000"/>
                <w:sz w:val="22"/>
                <w:szCs w:val="22"/>
              </w:rPr>
            </w:pPr>
            <w:r w:rsidRPr="00B57AE7">
              <w:rPr>
                <w:b/>
                <w:bCs/>
                <w:sz w:val="22"/>
                <w:szCs w:val="22"/>
              </w:rPr>
              <w:t>Priemerná východisková hodnota HbA</w:t>
            </w:r>
            <w:r w:rsidRPr="00B57AE7">
              <w:rPr>
                <w:b/>
                <w:bCs/>
                <w:sz w:val="22"/>
                <w:szCs w:val="22"/>
                <w:vertAlign w:val="subscript"/>
              </w:rPr>
              <w:t>1c</w:t>
            </w:r>
            <w:r w:rsidRPr="00B57AE7">
              <w:rPr>
                <w:b/>
                <w:bCs/>
                <w:sz w:val="22"/>
                <w:szCs w:val="22"/>
              </w:rPr>
              <w:t xml:space="preserve"> (%)</w:t>
            </w:r>
          </w:p>
          <w:p w14:paraId="16CB545D" w14:textId="77777777" w:rsidR="00F9292A" w:rsidRPr="00B57AE7" w:rsidRDefault="00F9292A" w:rsidP="009D1BC2">
            <w:pPr>
              <w:widowControl w:val="0"/>
              <w:autoSpaceDE w:val="0"/>
              <w:autoSpaceDN w:val="0"/>
              <w:adjustRightInd w:val="0"/>
              <w:rPr>
                <w:b/>
                <w:bCs/>
                <w:color w:val="000000"/>
                <w:sz w:val="22"/>
                <w:szCs w:val="22"/>
              </w:rPr>
            </w:pPr>
          </w:p>
        </w:tc>
        <w:tc>
          <w:tcPr>
            <w:tcW w:w="2303" w:type="dxa"/>
            <w:shd w:val="clear" w:color="auto" w:fill="auto"/>
          </w:tcPr>
          <w:p w14:paraId="1170325A" w14:textId="77777777" w:rsidR="00F9292A" w:rsidRPr="00B57AE7" w:rsidRDefault="00F9292A" w:rsidP="009D1BC2">
            <w:pPr>
              <w:widowControl w:val="0"/>
              <w:autoSpaceDE w:val="0"/>
              <w:autoSpaceDN w:val="0"/>
              <w:adjustRightInd w:val="0"/>
              <w:rPr>
                <w:b/>
                <w:bCs/>
                <w:color w:val="000000"/>
                <w:sz w:val="22"/>
                <w:szCs w:val="22"/>
              </w:rPr>
            </w:pPr>
            <w:r w:rsidRPr="00B57AE7">
              <w:rPr>
                <w:b/>
                <w:bCs/>
                <w:sz w:val="22"/>
                <w:szCs w:val="22"/>
              </w:rPr>
              <w:t>Priemerná zmena HbA</w:t>
            </w:r>
            <w:r w:rsidRPr="00B57AE7">
              <w:rPr>
                <w:b/>
                <w:bCs/>
                <w:sz w:val="22"/>
                <w:szCs w:val="22"/>
                <w:vertAlign w:val="subscript"/>
              </w:rPr>
              <w:t xml:space="preserve">1c </w:t>
            </w:r>
            <w:r w:rsidRPr="00B57AE7">
              <w:rPr>
                <w:b/>
                <w:bCs/>
                <w:sz w:val="22"/>
                <w:szCs w:val="22"/>
              </w:rPr>
              <w:t>(%) oproti východiskovej hodnote</w:t>
            </w:r>
          </w:p>
        </w:tc>
        <w:tc>
          <w:tcPr>
            <w:tcW w:w="2303" w:type="dxa"/>
            <w:shd w:val="clear" w:color="auto" w:fill="auto"/>
          </w:tcPr>
          <w:p w14:paraId="184873E0" w14:textId="77777777" w:rsidR="00F9292A" w:rsidRPr="00B57AE7" w:rsidRDefault="00F9292A" w:rsidP="009D1BC2">
            <w:pPr>
              <w:widowControl w:val="0"/>
              <w:autoSpaceDE w:val="0"/>
              <w:autoSpaceDN w:val="0"/>
              <w:adjustRightInd w:val="0"/>
              <w:rPr>
                <w:b/>
                <w:bCs/>
                <w:color w:val="000000"/>
                <w:sz w:val="22"/>
                <w:szCs w:val="22"/>
              </w:rPr>
            </w:pPr>
            <w:r w:rsidRPr="00B57AE7">
              <w:rPr>
                <w:b/>
                <w:bCs/>
                <w:sz w:val="22"/>
                <w:szCs w:val="22"/>
              </w:rPr>
              <w:t>Placebom korigovaná priemerná zmena HbA</w:t>
            </w:r>
            <w:r w:rsidRPr="00B57AE7">
              <w:rPr>
                <w:b/>
                <w:bCs/>
                <w:sz w:val="22"/>
                <w:szCs w:val="22"/>
                <w:vertAlign w:val="subscript"/>
              </w:rPr>
              <w:t>1c</w:t>
            </w:r>
            <w:r w:rsidRPr="00B57AE7">
              <w:rPr>
                <w:b/>
                <w:bCs/>
                <w:sz w:val="22"/>
                <w:szCs w:val="22"/>
              </w:rPr>
              <w:t xml:space="preserve"> (%) (95 % IS)</w:t>
            </w:r>
          </w:p>
        </w:tc>
      </w:tr>
      <w:tr w:rsidR="009D1BC2" w:rsidRPr="00B57AE7" w14:paraId="5FB6B795" w14:textId="77777777" w:rsidTr="009D1BC2">
        <w:tc>
          <w:tcPr>
            <w:tcW w:w="2302" w:type="dxa"/>
            <w:shd w:val="clear" w:color="auto" w:fill="auto"/>
          </w:tcPr>
          <w:p w14:paraId="3461B5EB" w14:textId="77777777" w:rsidR="00F9292A" w:rsidRPr="00B57AE7" w:rsidRDefault="00F9292A" w:rsidP="009D1BC2">
            <w:pPr>
              <w:widowControl w:val="0"/>
              <w:autoSpaceDE w:val="0"/>
              <w:autoSpaceDN w:val="0"/>
              <w:adjustRightInd w:val="0"/>
              <w:rPr>
                <w:color w:val="000000"/>
                <w:sz w:val="22"/>
                <w:szCs w:val="22"/>
              </w:rPr>
            </w:pPr>
            <w:r w:rsidRPr="00B57AE7">
              <w:rPr>
                <w:sz w:val="22"/>
                <w:szCs w:val="22"/>
              </w:rPr>
              <w:t>Sitagliptín 100 mg raz denne pridaný k prebiehajúcej liečbe metformínom</w:t>
            </w:r>
            <w:r w:rsidR="006B2E74" w:rsidRPr="00B57AE7">
              <w:rPr>
                <w:sz w:val="22"/>
                <w:szCs w:val="22"/>
                <w:vertAlign w:val="superscript"/>
              </w:rPr>
              <w:t xml:space="preserve"> II</w:t>
            </w:r>
            <w:r w:rsidRPr="00B57AE7">
              <w:rPr>
                <w:sz w:val="22"/>
                <w:szCs w:val="22"/>
              </w:rPr>
              <w:t xml:space="preserve"> (N</w:t>
            </w:r>
            <w:r w:rsidR="006B2E74" w:rsidRPr="00B57AE7">
              <w:rPr>
                <w:sz w:val="22"/>
                <w:szCs w:val="22"/>
              </w:rPr>
              <w:t> </w:t>
            </w:r>
            <w:r w:rsidRPr="00B57AE7">
              <w:rPr>
                <w:sz w:val="22"/>
                <w:szCs w:val="22"/>
              </w:rPr>
              <w:t>=</w:t>
            </w:r>
            <w:r w:rsidR="006B2E74" w:rsidRPr="00B57AE7">
              <w:rPr>
                <w:sz w:val="22"/>
                <w:szCs w:val="22"/>
              </w:rPr>
              <w:t> </w:t>
            </w:r>
            <w:r w:rsidRPr="00B57AE7">
              <w:rPr>
                <w:sz w:val="22"/>
                <w:szCs w:val="22"/>
              </w:rPr>
              <w:t>453)</w:t>
            </w:r>
          </w:p>
        </w:tc>
        <w:tc>
          <w:tcPr>
            <w:tcW w:w="2303" w:type="dxa"/>
            <w:shd w:val="clear" w:color="auto" w:fill="auto"/>
          </w:tcPr>
          <w:p w14:paraId="238CD403" w14:textId="77777777" w:rsidR="00F9292A" w:rsidRPr="00B57AE7" w:rsidRDefault="00F9292A" w:rsidP="009D1BC2">
            <w:pPr>
              <w:widowControl w:val="0"/>
              <w:autoSpaceDE w:val="0"/>
              <w:autoSpaceDN w:val="0"/>
              <w:adjustRightInd w:val="0"/>
              <w:jc w:val="center"/>
              <w:rPr>
                <w:color w:val="000000"/>
                <w:sz w:val="22"/>
                <w:szCs w:val="22"/>
              </w:rPr>
            </w:pPr>
            <w:r w:rsidRPr="00B57AE7">
              <w:rPr>
                <w:sz w:val="22"/>
                <w:szCs w:val="22"/>
              </w:rPr>
              <w:t>8,0</w:t>
            </w:r>
          </w:p>
        </w:tc>
        <w:tc>
          <w:tcPr>
            <w:tcW w:w="2303" w:type="dxa"/>
            <w:shd w:val="clear" w:color="auto" w:fill="auto"/>
          </w:tcPr>
          <w:p w14:paraId="6CAE302F" w14:textId="77777777" w:rsidR="00F9292A" w:rsidRPr="00B57AE7" w:rsidRDefault="00F9292A" w:rsidP="009D1BC2">
            <w:pPr>
              <w:widowControl w:val="0"/>
              <w:autoSpaceDE w:val="0"/>
              <w:autoSpaceDN w:val="0"/>
              <w:adjustRightInd w:val="0"/>
              <w:jc w:val="center"/>
              <w:rPr>
                <w:color w:val="000000"/>
                <w:sz w:val="22"/>
                <w:szCs w:val="22"/>
              </w:rPr>
            </w:pPr>
            <w:r w:rsidRPr="00B57AE7">
              <w:rPr>
                <w:sz w:val="22"/>
                <w:szCs w:val="22"/>
              </w:rPr>
              <w:t xml:space="preserve">-0,7 </w:t>
            </w:r>
            <w:r w:rsidRPr="00B57AE7">
              <w:rPr>
                <w:sz w:val="22"/>
                <w:szCs w:val="22"/>
                <w:vertAlign w:val="superscript"/>
              </w:rPr>
              <w:t>†</w:t>
            </w:r>
          </w:p>
        </w:tc>
        <w:tc>
          <w:tcPr>
            <w:tcW w:w="2303" w:type="dxa"/>
            <w:shd w:val="clear" w:color="auto" w:fill="auto"/>
          </w:tcPr>
          <w:p w14:paraId="717B64A5" w14:textId="77777777" w:rsidR="00F9292A" w:rsidRPr="00B57AE7" w:rsidRDefault="00F9292A" w:rsidP="009D1BC2">
            <w:pPr>
              <w:widowControl w:val="0"/>
              <w:autoSpaceDE w:val="0"/>
              <w:autoSpaceDN w:val="0"/>
              <w:adjustRightInd w:val="0"/>
              <w:jc w:val="center"/>
              <w:rPr>
                <w:sz w:val="22"/>
                <w:szCs w:val="22"/>
              </w:rPr>
            </w:pPr>
            <w:r w:rsidRPr="00B57AE7">
              <w:rPr>
                <w:sz w:val="22"/>
                <w:szCs w:val="22"/>
              </w:rPr>
              <w:t xml:space="preserve">-0,7 </w:t>
            </w:r>
            <w:r w:rsidRPr="00B57AE7">
              <w:rPr>
                <w:sz w:val="22"/>
                <w:szCs w:val="22"/>
                <w:vertAlign w:val="superscript"/>
              </w:rPr>
              <w:t>†,‡</w:t>
            </w:r>
          </w:p>
          <w:p w14:paraId="25D10B99" w14:textId="77777777" w:rsidR="00F9292A" w:rsidRPr="00B57AE7" w:rsidRDefault="00F9292A" w:rsidP="009D1BC2">
            <w:pPr>
              <w:widowControl w:val="0"/>
              <w:autoSpaceDE w:val="0"/>
              <w:autoSpaceDN w:val="0"/>
              <w:adjustRightInd w:val="0"/>
              <w:jc w:val="center"/>
              <w:rPr>
                <w:color w:val="000000"/>
                <w:sz w:val="22"/>
                <w:szCs w:val="22"/>
              </w:rPr>
            </w:pPr>
            <w:r w:rsidRPr="00B57AE7">
              <w:rPr>
                <w:sz w:val="22"/>
                <w:szCs w:val="22"/>
              </w:rPr>
              <w:t>(-0,8, -0,5)</w:t>
            </w:r>
          </w:p>
        </w:tc>
      </w:tr>
      <w:tr w:rsidR="009D1BC2" w:rsidRPr="00B57AE7" w14:paraId="7D3FDA69" w14:textId="77777777" w:rsidTr="009D1BC2">
        <w:tc>
          <w:tcPr>
            <w:tcW w:w="2302" w:type="dxa"/>
            <w:shd w:val="clear" w:color="auto" w:fill="auto"/>
          </w:tcPr>
          <w:p w14:paraId="7FADC882" w14:textId="77777777" w:rsidR="00F9292A" w:rsidRPr="00B57AE7" w:rsidRDefault="00F9292A" w:rsidP="009D1BC2">
            <w:pPr>
              <w:widowControl w:val="0"/>
              <w:autoSpaceDE w:val="0"/>
              <w:autoSpaceDN w:val="0"/>
              <w:adjustRightInd w:val="0"/>
              <w:rPr>
                <w:color w:val="000000"/>
                <w:sz w:val="22"/>
                <w:szCs w:val="22"/>
              </w:rPr>
            </w:pPr>
            <w:r w:rsidRPr="00B57AE7">
              <w:rPr>
                <w:sz w:val="22"/>
                <w:szCs w:val="22"/>
              </w:rPr>
              <w:t>Sitagliptín 100 mg raz denne pridaný k prebiehajúcej liečbe glimepiridom +</w:t>
            </w:r>
            <w:r w:rsidR="006B2E74" w:rsidRPr="00B57AE7">
              <w:rPr>
                <w:sz w:val="22"/>
                <w:szCs w:val="22"/>
              </w:rPr>
              <w:t> </w:t>
            </w:r>
            <w:r w:rsidRPr="00B57AE7">
              <w:rPr>
                <w:sz w:val="22"/>
                <w:szCs w:val="22"/>
              </w:rPr>
              <w:t>metformínom</w:t>
            </w:r>
            <w:r w:rsidR="006B2E74" w:rsidRPr="00B57AE7">
              <w:rPr>
                <w:sz w:val="22"/>
                <w:szCs w:val="22"/>
                <w:vertAlign w:val="superscript"/>
              </w:rPr>
              <w:t xml:space="preserve"> II</w:t>
            </w:r>
            <w:r w:rsidRPr="00B57AE7">
              <w:rPr>
                <w:sz w:val="22"/>
                <w:szCs w:val="22"/>
              </w:rPr>
              <w:t xml:space="preserve"> (N</w:t>
            </w:r>
            <w:r w:rsidR="006B2E74" w:rsidRPr="00B57AE7">
              <w:rPr>
                <w:sz w:val="22"/>
                <w:szCs w:val="22"/>
              </w:rPr>
              <w:t> </w:t>
            </w:r>
            <w:r w:rsidRPr="00B57AE7">
              <w:rPr>
                <w:sz w:val="22"/>
                <w:szCs w:val="22"/>
              </w:rPr>
              <w:t>=</w:t>
            </w:r>
            <w:r w:rsidR="006B2E74" w:rsidRPr="00B57AE7">
              <w:rPr>
                <w:sz w:val="22"/>
                <w:szCs w:val="22"/>
              </w:rPr>
              <w:t> </w:t>
            </w:r>
            <w:r w:rsidRPr="00B57AE7">
              <w:rPr>
                <w:sz w:val="22"/>
                <w:szCs w:val="22"/>
              </w:rPr>
              <w:t>115)</w:t>
            </w:r>
            <w:r w:rsidR="00ED5600" w:rsidRPr="00B57AE7">
              <w:rPr>
                <w:sz w:val="22"/>
                <w:szCs w:val="22"/>
                <w:vertAlign w:val="superscript"/>
              </w:rPr>
              <w:t xml:space="preserve"> II</w:t>
            </w:r>
          </w:p>
        </w:tc>
        <w:tc>
          <w:tcPr>
            <w:tcW w:w="2303" w:type="dxa"/>
            <w:shd w:val="clear" w:color="auto" w:fill="auto"/>
          </w:tcPr>
          <w:p w14:paraId="48F22D52" w14:textId="77777777" w:rsidR="00F9292A" w:rsidRPr="00B57AE7" w:rsidRDefault="00F9292A" w:rsidP="009D1BC2">
            <w:pPr>
              <w:widowControl w:val="0"/>
              <w:autoSpaceDE w:val="0"/>
              <w:autoSpaceDN w:val="0"/>
              <w:adjustRightInd w:val="0"/>
              <w:jc w:val="center"/>
              <w:rPr>
                <w:color w:val="000000"/>
                <w:sz w:val="22"/>
                <w:szCs w:val="22"/>
              </w:rPr>
            </w:pPr>
            <w:r w:rsidRPr="00B57AE7">
              <w:rPr>
                <w:sz w:val="22"/>
                <w:szCs w:val="22"/>
              </w:rPr>
              <w:t>8,3</w:t>
            </w:r>
          </w:p>
        </w:tc>
        <w:tc>
          <w:tcPr>
            <w:tcW w:w="2303" w:type="dxa"/>
            <w:shd w:val="clear" w:color="auto" w:fill="auto"/>
          </w:tcPr>
          <w:p w14:paraId="0DC173A4" w14:textId="77777777" w:rsidR="00F9292A" w:rsidRPr="00B57AE7" w:rsidRDefault="00F9292A" w:rsidP="009D1BC2">
            <w:pPr>
              <w:widowControl w:val="0"/>
              <w:autoSpaceDE w:val="0"/>
              <w:autoSpaceDN w:val="0"/>
              <w:adjustRightInd w:val="0"/>
              <w:jc w:val="center"/>
              <w:rPr>
                <w:color w:val="000000"/>
                <w:sz w:val="22"/>
                <w:szCs w:val="22"/>
              </w:rPr>
            </w:pPr>
            <w:r w:rsidRPr="00B57AE7">
              <w:rPr>
                <w:sz w:val="22"/>
                <w:szCs w:val="22"/>
              </w:rPr>
              <w:t xml:space="preserve">-0,6 </w:t>
            </w:r>
            <w:r w:rsidRPr="00B57AE7">
              <w:rPr>
                <w:sz w:val="22"/>
                <w:szCs w:val="22"/>
                <w:vertAlign w:val="superscript"/>
              </w:rPr>
              <w:t>†</w:t>
            </w:r>
          </w:p>
        </w:tc>
        <w:tc>
          <w:tcPr>
            <w:tcW w:w="2303" w:type="dxa"/>
            <w:shd w:val="clear" w:color="auto" w:fill="auto"/>
          </w:tcPr>
          <w:p w14:paraId="517E0DAE" w14:textId="77777777" w:rsidR="00D26B9D" w:rsidRPr="00B57AE7" w:rsidRDefault="00F9292A" w:rsidP="009D1BC2">
            <w:pPr>
              <w:widowControl w:val="0"/>
              <w:autoSpaceDE w:val="0"/>
              <w:autoSpaceDN w:val="0"/>
              <w:adjustRightInd w:val="0"/>
              <w:jc w:val="center"/>
              <w:rPr>
                <w:sz w:val="22"/>
                <w:szCs w:val="22"/>
              </w:rPr>
            </w:pPr>
            <w:r w:rsidRPr="00B57AE7">
              <w:rPr>
                <w:sz w:val="22"/>
                <w:szCs w:val="22"/>
              </w:rPr>
              <w:t xml:space="preserve">-0,9 </w:t>
            </w:r>
            <w:r w:rsidRPr="00B57AE7">
              <w:rPr>
                <w:sz w:val="22"/>
                <w:szCs w:val="22"/>
                <w:vertAlign w:val="superscript"/>
              </w:rPr>
              <w:t>†,‡</w:t>
            </w:r>
          </w:p>
          <w:p w14:paraId="6BDFA167" w14:textId="77777777" w:rsidR="00F9292A" w:rsidRPr="00B57AE7" w:rsidRDefault="00F9292A" w:rsidP="009D1BC2">
            <w:pPr>
              <w:widowControl w:val="0"/>
              <w:autoSpaceDE w:val="0"/>
              <w:autoSpaceDN w:val="0"/>
              <w:adjustRightInd w:val="0"/>
              <w:jc w:val="center"/>
              <w:rPr>
                <w:color w:val="000000"/>
                <w:sz w:val="22"/>
                <w:szCs w:val="22"/>
              </w:rPr>
            </w:pPr>
            <w:r w:rsidRPr="00B57AE7">
              <w:rPr>
                <w:sz w:val="22"/>
                <w:szCs w:val="22"/>
              </w:rPr>
              <w:t>(-1,1, -0,7)</w:t>
            </w:r>
          </w:p>
        </w:tc>
      </w:tr>
      <w:tr w:rsidR="009D1BC2" w:rsidRPr="00B57AE7" w14:paraId="2BDBC59C" w14:textId="77777777" w:rsidTr="009D1BC2">
        <w:tc>
          <w:tcPr>
            <w:tcW w:w="2302" w:type="dxa"/>
            <w:shd w:val="clear" w:color="auto" w:fill="auto"/>
          </w:tcPr>
          <w:p w14:paraId="15AAE0DD" w14:textId="77777777" w:rsidR="00F9292A" w:rsidRPr="00B57AE7" w:rsidRDefault="00F9292A" w:rsidP="009D1BC2">
            <w:pPr>
              <w:widowControl w:val="0"/>
              <w:autoSpaceDE w:val="0"/>
              <w:autoSpaceDN w:val="0"/>
              <w:adjustRightInd w:val="0"/>
              <w:rPr>
                <w:sz w:val="22"/>
                <w:szCs w:val="22"/>
              </w:rPr>
            </w:pPr>
            <w:r w:rsidRPr="00B57AE7">
              <w:rPr>
                <w:sz w:val="22"/>
                <w:szCs w:val="22"/>
              </w:rPr>
              <w:t>Sitagliptín 100 mg raz denne pridaný k prebiehajúcej liečbe pioglitazónom +</w:t>
            </w:r>
            <w:r w:rsidR="006B2E74" w:rsidRPr="00B57AE7">
              <w:rPr>
                <w:sz w:val="22"/>
                <w:szCs w:val="22"/>
              </w:rPr>
              <w:t> </w:t>
            </w:r>
            <w:r w:rsidRPr="00B57AE7">
              <w:rPr>
                <w:sz w:val="22"/>
                <w:szCs w:val="22"/>
              </w:rPr>
              <w:t>metformínom</w:t>
            </w:r>
            <w:r w:rsidR="006B2E74" w:rsidRPr="00B57AE7">
              <w:rPr>
                <w:b/>
                <w:bCs/>
                <w:sz w:val="18"/>
                <w:szCs w:val="18"/>
                <w:vertAlign w:val="superscript"/>
              </w:rPr>
              <w:t>¶</w:t>
            </w:r>
            <w:r w:rsidRPr="00B57AE7">
              <w:rPr>
                <w:sz w:val="22"/>
                <w:szCs w:val="22"/>
              </w:rPr>
              <w:t xml:space="preserve"> (N</w:t>
            </w:r>
            <w:r w:rsidR="006B2E74" w:rsidRPr="00B57AE7">
              <w:rPr>
                <w:sz w:val="22"/>
                <w:szCs w:val="22"/>
              </w:rPr>
              <w:t> </w:t>
            </w:r>
            <w:r w:rsidRPr="00B57AE7">
              <w:rPr>
                <w:sz w:val="22"/>
                <w:szCs w:val="22"/>
              </w:rPr>
              <w:t>=</w:t>
            </w:r>
            <w:r w:rsidR="006B2E74" w:rsidRPr="00B57AE7">
              <w:rPr>
                <w:sz w:val="22"/>
                <w:szCs w:val="22"/>
              </w:rPr>
              <w:t> </w:t>
            </w:r>
            <w:r w:rsidRPr="00B57AE7">
              <w:rPr>
                <w:sz w:val="22"/>
                <w:szCs w:val="22"/>
              </w:rPr>
              <w:t>152)</w:t>
            </w:r>
            <w:r w:rsidR="00ED5600" w:rsidRPr="00B57AE7">
              <w:rPr>
                <w:sz w:val="22"/>
                <w:szCs w:val="22"/>
                <w:vertAlign w:val="superscript"/>
              </w:rPr>
              <w:t xml:space="preserve"> </w:t>
            </w:r>
          </w:p>
        </w:tc>
        <w:tc>
          <w:tcPr>
            <w:tcW w:w="2303" w:type="dxa"/>
            <w:shd w:val="clear" w:color="auto" w:fill="auto"/>
          </w:tcPr>
          <w:p w14:paraId="5781355B" w14:textId="77777777" w:rsidR="00F9292A" w:rsidRPr="00B57AE7" w:rsidRDefault="00F9292A" w:rsidP="009D1BC2">
            <w:pPr>
              <w:widowControl w:val="0"/>
              <w:autoSpaceDE w:val="0"/>
              <w:autoSpaceDN w:val="0"/>
              <w:adjustRightInd w:val="0"/>
              <w:jc w:val="center"/>
              <w:rPr>
                <w:color w:val="000000"/>
                <w:sz w:val="22"/>
                <w:szCs w:val="22"/>
              </w:rPr>
            </w:pPr>
            <w:r w:rsidRPr="00B57AE7">
              <w:rPr>
                <w:sz w:val="22"/>
                <w:szCs w:val="22"/>
              </w:rPr>
              <w:t>8,8</w:t>
            </w:r>
          </w:p>
        </w:tc>
        <w:tc>
          <w:tcPr>
            <w:tcW w:w="2303" w:type="dxa"/>
            <w:shd w:val="clear" w:color="auto" w:fill="auto"/>
          </w:tcPr>
          <w:p w14:paraId="12E8D14F" w14:textId="77777777" w:rsidR="00F9292A" w:rsidRPr="00B57AE7" w:rsidRDefault="00D26B9D" w:rsidP="009D1BC2">
            <w:pPr>
              <w:widowControl w:val="0"/>
              <w:autoSpaceDE w:val="0"/>
              <w:autoSpaceDN w:val="0"/>
              <w:adjustRightInd w:val="0"/>
              <w:jc w:val="center"/>
              <w:rPr>
                <w:color w:val="000000"/>
                <w:sz w:val="22"/>
                <w:szCs w:val="22"/>
              </w:rPr>
            </w:pPr>
            <w:r w:rsidRPr="00B57AE7">
              <w:rPr>
                <w:sz w:val="22"/>
                <w:szCs w:val="22"/>
              </w:rPr>
              <w:t xml:space="preserve">-1,2 </w:t>
            </w:r>
            <w:r w:rsidRPr="00B57AE7">
              <w:rPr>
                <w:sz w:val="22"/>
                <w:szCs w:val="22"/>
                <w:vertAlign w:val="superscript"/>
              </w:rPr>
              <w:t>†</w:t>
            </w:r>
          </w:p>
        </w:tc>
        <w:tc>
          <w:tcPr>
            <w:tcW w:w="2303" w:type="dxa"/>
            <w:shd w:val="clear" w:color="auto" w:fill="auto"/>
          </w:tcPr>
          <w:p w14:paraId="08B270BC" w14:textId="77777777" w:rsidR="00D26B9D" w:rsidRPr="00B57AE7" w:rsidRDefault="00D26B9D" w:rsidP="009D1BC2">
            <w:pPr>
              <w:widowControl w:val="0"/>
              <w:autoSpaceDE w:val="0"/>
              <w:autoSpaceDN w:val="0"/>
              <w:adjustRightInd w:val="0"/>
              <w:jc w:val="center"/>
              <w:rPr>
                <w:sz w:val="22"/>
                <w:szCs w:val="22"/>
              </w:rPr>
            </w:pPr>
            <w:r w:rsidRPr="00B57AE7">
              <w:rPr>
                <w:sz w:val="22"/>
                <w:szCs w:val="22"/>
              </w:rPr>
              <w:t xml:space="preserve">-0,7 </w:t>
            </w:r>
            <w:r w:rsidRPr="00B57AE7">
              <w:rPr>
                <w:sz w:val="22"/>
                <w:szCs w:val="22"/>
                <w:vertAlign w:val="superscript"/>
              </w:rPr>
              <w:t>†,‡</w:t>
            </w:r>
          </w:p>
          <w:p w14:paraId="409B9624" w14:textId="77777777" w:rsidR="00F9292A" w:rsidRPr="00B57AE7" w:rsidRDefault="00D26B9D" w:rsidP="009D1BC2">
            <w:pPr>
              <w:widowControl w:val="0"/>
              <w:autoSpaceDE w:val="0"/>
              <w:autoSpaceDN w:val="0"/>
              <w:adjustRightInd w:val="0"/>
              <w:jc w:val="center"/>
              <w:rPr>
                <w:color w:val="000000"/>
                <w:sz w:val="22"/>
                <w:szCs w:val="22"/>
              </w:rPr>
            </w:pPr>
            <w:r w:rsidRPr="00B57AE7">
              <w:rPr>
                <w:sz w:val="22"/>
                <w:szCs w:val="22"/>
              </w:rPr>
              <w:t>(-1,0, -0,5)</w:t>
            </w:r>
          </w:p>
        </w:tc>
      </w:tr>
      <w:tr w:rsidR="009D1BC2" w:rsidRPr="00B57AE7" w14:paraId="30B7F57C" w14:textId="77777777" w:rsidTr="009D1BC2">
        <w:tc>
          <w:tcPr>
            <w:tcW w:w="2302" w:type="dxa"/>
            <w:shd w:val="clear" w:color="auto" w:fill="auto"/>
          </w:tcPr>
          <w:p w14:paraId="2938C60B" w14:textId="77777777" w:rsidR="00F9292A" w:rsidRPr="00B57AE7" w:rsidRDefault="00D26B9D" w:rsidP="009D1BC2">
            <w:pPr>
              <w:widowControl w:val="0"/>
              <w:autoSpaceDE w:val="0"/>
              <w:autoSpaceDN w:val="0"/>
              <w:adjustRightInd w:val="0"/>
              <w:rPr>
                <w:color w:val="000000"/>
                <w:sz w:val="22"/>
                <w:szCs w:val="22"/>
              </w:rPr>
            </w:pPr>
            <w:r w:rsidRPr="00B57AE7">
              <w:rPr>
                <w:sz w:val="22"/>
                <w:szCs w:val="22"/>
              </w:rPr>
              <w:t>Sitagliptín 100 mg raz denne pridaný k prebiehajúcej liečbe inzulínom + metformínom</w:t>
            </w:r>
            <w:r w:rsidR="006B2E74" w:rsidRPr="00B57AE7">
              <w:rPr>
                <w:sz w:val="22"/>
                <w:szCs w:val="22"/>
                <w:vertAlign w:val="superscript"/>
              </w:rPr>
              <w:t xml:space="preserve"> II</w:t>
            </w:r>
            <w:r w:rsidRPr="00B57AE7">
              <w:rPr>
                <w:sz w:val="22"/>
                <w:szCs w:val="22"/>
              </w:rPr>
              <w:t xml:space="preserve"> (N</w:t>
            </w:r>
            <w:r w:rsidR="006B2E74" w:rsidRPr="00B57AE7">
              <w:rPr>
                <w:sz w:val="22"/>
                <w:szCs w:val="22"/>
              </w:rPr>
              <w:t> </w:t>
            </w:r>
            <w:r w:rsidRPr="00B57AE7">
              <w:rPr>
                <w:sz w:val="22"/>
                <w:szCs w:val="22"/>
              </w:rPr>
              <w:t>=</w:t>
            </w:r>
            <w:r w:rsidR="006B2E74" w:rsidRPr="00B57AE7">
              <w:rPr>
                <w:sz w:val="22"/>
                <w:szCs w:val="22"/>
              </w:rPr>
              <w:t> </w:t>
            </w:r>
            <w:r w:rsidRPr="00B57AE7">
              <w:rPr>
                <w:sz w:val="22"/>
                <w:szCs w:val="22"/>
              </w:rPr>
              <w:t>223)</w:t>
            </w:r>
          </w:p>
        </w:tc>
        <w:tc>
          <w:tcPr>
            <w:tcW w:w="2303" w:type="dxa"/>
            <w:shd w:val="clear" w:color="auto" w:fill="auto"/>
          </w:tcPr>
          <w:p w14:paraId="02125BB5" w14:textId="77777777" w:rsidR="00F9292A" w:rsidRPr="00B57AE7" w:rsidRDefault="00D26B9D" w:rsidP="009D1BC2">
            <w:pPr>
              <w:widowControl w:val="0"/>
              <w:autoSpaceDE w:val="0"/>
              <w:autoSpaceDN w:val="0"/>
              <w:adjustRightInd w:val="0"/>
              <w:jc w:val="center"/>
              <w:rPr>
                <w:color w:val="000000"/>
                <w:sz w:val="22"/>
                <w:szCs w:val="22"/>
              </w:rPr>
            </w:pPr>
            <w:r w:rsidRPr="00B57AE7">
              <w:rPr>
                <w:sz w:val="22"/>
                <w:szCs w:val="22"/>
              </w:rPr>
              <w:t>8,7</w:t>
            </w:r>
          </w:p>
        </w:tc>
        <w:tc>
          <w:tcPr>
            <w:tcW w:w="2303" w:type="dxa"/>
            <w:shd w:val="clear" w:color="auto" w:fill="auto"/>
          </w:tcPr>
          <w:p w14:paraId="1554DBB7" w14:textId="77777777" w:rsidR="00F9292A" w:rsidRPr="00B57AE7" w:rsidRDefault="00D26B9D" w:rsidP="009D1BC2">
            <w:pPr>
              <w:widowControl w:val="0"/>
              <w:autoSpaceDE w:val="0"/>
              <w:autoSpaceDN w:val="0"/>
              <w:adjustRightInd w:val="0"/>
              <w:jc w:val="center"/>
              <w:rPr>
                <w:color w:val="000000"/>
                <w:sz w:val="22"/>
                <w:szCs w:val="22"/>
              </w:rPr>
            </w:pPr>
            <w:r w:rsidRPr="00B57AE7">
              <w:rPr>
                <w:sz w:val="22"/>
                <w:szCs w:val="22"/>
              </w:rPr>
              <w:t xml:space="preserve">-0,7 </w:t>
            </w:r>
            <w:r w:rsidRPr="00B57AE7">
              <w:rPr>
                <w:sz w:val="22"/>
                <w:szCs w:val="22"/>
                <w:vertAlign w:val="superscript"/>
              </w:rPr>
              <w:t>§</w:t>
            </w:r>
          </w:p>
        </w:tc>
        <w:tc>
          <w:tcPr>
            <w:tcW w:w="2303" w:type="dxa"/>
            <w:shd w:val="clear" w:color="auto" w:fill="auto"/>
          </w:tcPr>
          <w:p w14:paraId="737DAE5B" w14:textId="77777777" w:rsidR="00D26B9D" w:rsidRPr="00B57AE7" w:rsidRDefault="00D26B9D" w:rsidP="009D1BC2">
            <w:pPr>
              <w:widowControl w:val="0"/>
              <w:autoSpaceDE w:val="0"/>
              <w:autoSpaceDN w:val="0"/>
              <w:adjustRightInd w:val="0"/>
              <w:jc w:val="center"/>
              <w:rPr>
                <w:sz w:val="22"/>
                <w:szCs w:val="22"/>
              </w:rPr>
            </w:pPr>
            <w:r w:rsidRPr="00B57AE7">
              <w:rPr>
                <w:sz w:val="22"/>
                <w:szCs w:val="22"/>
              </w:rPr>
              <w:t xml:space="preserve">-0,5 </w:t>
            </w:r>
            <w:r w:rsidRPr="00B57AE7">
              <w:rPr>
                <w:sz w:val="22"/>
                <w:szCs w:val="22"/>
                <w:vertAlign w:val="superscript"/>
              </w:rPr>
              <w:t>§,‡</w:t>
            </w:r>
          </w:p>
          <w:p w14:paraId="3796D6B7" w14:textId="77777777" w:rsidR="00F9292A" w:rsidRPr="00B57AE7" w:rsidRDefault="00D26B9D" w:rsidP="009D1BC2">
            <w:pPr>
              <w:widowControl w:val="0"/>
              <w:autoSpaceDE w:val="0"/>
              <w:autoSpaceDN w:val="0"/>
              <w:adjustRightInd w:val="0"/>
              <w:jc w:val="center"/>
              <w:rPr>
                <w:color w:val="000000"/>
                <w:sz w:val="22"/>
                <w:szCs w:val="22"/>
              </w:rPr>
            </w:pPr>
            <w:r w:rsidRPr="00B57AE7">
              <w:rPr>
                <w:sz w:val="22"/>
                <w:szCs w:val="22"/>
              </w:rPr>
              <w:t>(-0,7, -0,4)</w:t>
            </w:r>
          </w:p>
        </w:tc>
      </w:tr>
      <w:tr w:rsidR="009D1BC2" w:rsidRPr="00B57AE7" w14:paraId="32684974" w14:textId="77777777" w:rsidTr="009D1BC2">
        <w:tc>
          <w:tcPr>
            <w:tcW w:w="2302" w:type="dxa"/>
            <w:shd w:val="clear" w:color="auto" w:fill="auto"/>
          </w:tcPr>
          <w:p w14:paraId="1C516912" w14:textId="77777777" w:rsidR="00D26B9D" w:rsidRPr="00B57AE7" w:rsidRDefault="00D26B9D" w:rsidP="009D1BC2">
            <w:pPr>
              <w:widowControl w:val="0"/>
              <w:autoSpaceDE w:val="0"/>
              <w:autoSpaceDN w:val="0"/>
              <w:adjustRightInd w:val="0"/>
              <w:rPr>
                <w:sz w:val="22"/>
                <w:szCs w:val="22"/>
              </w:rPr>
            </w:pPr>
            <w:r w:rsidRPr="00B57AE7">
              <w:rPr>
                <w:sz w:val="22"/>
                <w:szCs w:val="22"/>
              </w:rPr>
              <w:t xml:space="preserve">Počiatočná liečba (dvakrát denne) </w:t>
            </w:r>
            <w:r w:rsidR="006B2E74" w:rsidRPr="00B57AE7">
              <w:rPr>
                <w:sz w:val="22"/>
                <w:szCs w:val="22"/>
                <w:vertAlign w:val="superscript"/>
              </w:rPr>
              <w:t>II</w:t>
            </w:r>
            <w:r w:rsidRPr="00B57AE7">
              <w:rPr>
                <w:sz w:val="22"/>
                <w:szCs w:val="22"/>
              </w:rPr>
              <w:t xml:space="preserve"> sitagliptín 50 mg +</w:t>
            </w:r>
            <w:r w:rsidR="006B2E74" w:rsidRPr="00B57AE7">
              <w:rPr>
                <w:sz w:val="22"/>
                <w:szCs w:val="22"/>
              </w:rPr>
              <w:t> </w:t>
            </w:r>
            <w:r w:rsidRPr="00B57AE7">
              <w:rPr>
                <w:sz w:val="22"/>
                <w:szCs w:val="22"/>
              </w:rPr>
              <w:t>metformín 500 mg (N = 183)</w:t>
            </w:r>
            <w:r w:rsidR="00ED5600" w:rsidRPr="00B57AE7">
              <w:rPr>
                <w:sz w:val="22"/>
                <w:szCs w:val="22"/>
                <w:vertAlign w:val="superscript"/>
              </w:rPr>
              <w:t xml:space="preserve"> </w:t>
            </w:r>
          </w:p>
        </w:tc>
        <w:tc>
          <w:tcPr>
            <w:tcW w:w="2303" w:type="dxa"/>
            <w:shd w:val="clear" w:color="auto" w:fill="auto"/>
          </w:tcPr>
          <w:p w14:paraId="7A3894E7" w14:textId="77777777" w:rsidR="00F9292A" w:rsidRPr="00B57AE7" w:rsidRDefault="00D26B9D" w:rsidP="009D1BC2">
            <w:pPr>
              <w:widowControl w:val="0"/>
              <w:autoSpaceDE w:val="0"/>
              <w:autoSpaceDN w:val="0"/>
              <w:adjustRightInd w:val="0"/>
              <w:jc w:val="center"/>
              <w:rPr>
                <w:color w:val="000000"/>
                <w:sz w:val="22"/>
                <w:szCs w:val="22"/>
              </w:rPr>
            </w:pPr>
            <w:r w:rsidRPr="00B57AE7">
              <w:rPr>
                <w:sz w:val="22"/>
                <w:szCs w:val="22"/>
              </w:rPr>
              <w:t>8,8</w:t>
            </w:r>
          </w:p>
        </w:tc>
        <w:tc>
          <w:tcPr>
            <w:tcW w:w="2303" w:type="dxa"/>
            <w:shd w:val="clear" w:color="auto" w:fill="auto"/>
          </w:tcPr>
          <w:p w14:paraId="67B5590D" w14:textId="77777777" w:rsidR="00F9292A" w:rsidRPr="00B57AE7" w:rsidRDefault="00D26B9D" w:rsidP="009D1BC2">
            <w:pPr>
              <w:widowControl w:val="0"/>
              <w:autoSpaceDE w:val="0"/>
              <w:autoSpaceDN w:val="0"/>
              <w:adjustRightInd w:val="0"/>
              <w:jc w:val="center"/>
              <w:rPr>
                <w:color w:val="000000"/>
                <w:sz w:val="22"/>
                <w:szCs w:val="22"/>
              </w:rPr>
            </w:pPr>
            <w:r w:rsidRPr="00B57AE7">
              <w:rPr>
                <w:sz w:val="22"/>
                <w:szCs w:val="22"/>
              </w:rPr>
              <w:t xml:space="preserve">-1,4 </w:t>
            </w:r>
            <w:r w:rsidRPr="00B57AE7">
              <w:rPr>
                <w:sz w:val="22"/>
                <w:szCs w:val="22"/>
                <w:vertAlign w:val="superscript"/>
              </w:rPr>
              <w:t>†</w:t>
            </w:r>
          </w:p>
        </w:tc>
        <w:tc>
          <w:tcPr>
            <w:tcW w:w="2303" w:type="dxa"/>
            <w:shd w:val="clear" w:color="auto" w:fill="auto"/>
          </w:tcPr>
          <w:p w14:paraId="332640BC" w14:textId="77777777" w:rsidR="00D26B9D" w:rsidRPr="00B57AE7" w:rsidRDefault="00D26B9D" w:rsidP="009D1BC2">
            <w:pPr>
              <w:widowControl w:val="0"/>
              <w:autoSpaceDE w:val="0"/>
              <w:autoSpaceDN w:val="0"/>
              <w:adjustRightInd w:val="0"/>
              <w:jc w:val="center"/>
              <w:rPr>
                <w:sz w:val="22"/>
                <w:szCs w:val="22"/>
              </w:rPr>
            </w:pPr>
            <w:r w:rsidRPr="00B57AE7">
              <w:rPr>
                <w:sz w:val="22"/>
                <w:szCs w:val="22"/>
              </w:rPr>
              <w:t xml:space="preserve">1,6 </w:t>
            </w:r>
            <w:r w:rsidRPr="00B57AE7">
              <w:rPr>
                <w:sz w:val="22"/>
                <w:szCs w:val="22"/>
                <w:vertAlign w:val="superscript"/>
              </w:rPr>
              <w:t>†,‡</w:t>
            </w:r>
          </w:p>
          <w:p w14:paraId="5D8E2D2F" w14:textId="77777777" w:rsidR="00F9292A" w:rsidRPr="00B57AE7" w:rsidRDefault="00D26B9D" w:rsidP="009D1BC2">
            <w:pPr>
              <w:widowControl w:val="0"/>
              <w:autoSpaceDE w:val="0"/>
              <w:autoSpaceDN w:val="0"/>
              <w:adjustRightInd w:val="0"/>
              <w:jc w:val="center"/>
              <w:rPr>
                <w:color w:val="000000"/>
                <w:sz w:val="22"/>
                <w:szCs w:val="22"/>
              </w:rPr>
            </w:pPr>
            <w:r w:rsidRPr="00B57AE7">
              <w:rPr>
                <w:sz w:val="22"/>
                <w:szCs w:val="22"/>
              </w:rPr>
              <w:t>(-1,8, -1,3)</w:t>
            </w:r>
          </w:p>
        </w:tc>
      </w:tr>
      <w:tr w:rsidR="009D1BC2" w:rsidRPr="00B57AE7" w14:paraId="53E99FAA" w14:textId="77777777" w:rsidTr="009D1BC2">
        <w:tc>
          <w:tcPr>
            <w:tcW w:w="2302" w:type="dxa"/>
            <w:shd w:val="clear" w:color="auto" w:fill="auto"/>
          </w:tcPr>
          <w:p w14:paraId="65D6B7C3" w14:textId="77777777" w:rsidR="00F9292A" w:rsidRPr="00B57AE7" w:rsidRDefault="00D26B9D" w:rsidP="009D1BC2">
            <w:pPr>
              <w:widowControl w:val="0"/>
              <w:autoSpaceDE w:val="0"/>
              <w:autoSpaceDN w:val="0"/>
              <w:adjustRightInd w:val="0"/>
              <w:rPr>
                <w:color w:val="000000"/>
                <w:sz w:val="22"/>
                <w:szCs w:val="22"/>
              </w:rPr>
            </w:pPr>
            <w:r w:rsidRPr="00B57AE7">
              <w:rPr>
                <w:sz w:val="22"/>
                <w:szCs w:val="22"/>
              </w:rPr>
              <w:t>Počiatočná liečba (dvakrát denne)</w:t>
            </w:r>
            <w:r w:rsidR="006B2E74" w:rsidRPr="00B57AE7">
              <w:rPr>
                <w:sz w:val="22"/>
                <w:szCs w:val="22"/>
                <w:vertAlign w:val="superscript"/>
              </w:rPr>
              <w:t xml:space="preserve"> II</w:t>
            </w:r>
            <w:r w:rsidRPr="00B57AE7">
              <w:rPr>
                <w:sz w:val="22"/>
                <w:szCs w:val="22"/>
              </w:rPr>
              <w:t>: sitagliptín 50 mg +</w:t>
            </w:r>
            <w:r w:rsidR="000657F0" w:rsidRPr="00B57AE7">
              <w:rPr>
                <w:sz w:val="22"/>
                <w:szCs w:val="22"/>
              </w:rPr>
              <w:t> </w:t>
            </w:r>
            <w:r w:rsidRPr="00B57AE7">
              <w:rPr>
                <w:sz w:val="22"/>
                <w:szCs w:val="22"/>
              </w:rPr>
              <w:t>metformín 1 000 mg (N = 178)</w:t>
            </w:r>
            <w:r w:rsidR="00ED5600" w:rsidRPr="00B57AE7">
              <w:rPr>
                <w:sz w:val="22"/>
                <w:szCs w:val="22"/>
                <w:vertAlign w:val="superscript"/>
              </w:rPr>
              <w:t xml:space="preserve"> </w:t>
            </w:r>
          </w:p>
        </w:tc>
        <w:tc>
          <w:tcPr>
            <w:tcW w:w="2303" w:type="dxa"/>
            <w:shd w:val="clear" w:color="auto" w:fill="auto"/>
          </w:tcPr>
          <w:p w14:paraId="79549EC2" w14:textId="77777777" w:rsidR="00F9292A" w:rsidRPr="00B57AE7" w:rsidRDefault="00D26B9D" w:rsidP="009D1BC2">
            <w:pPr>
              <w:widowControl w:val="0"/>
              <w:autoSpaceDE w:val="0"/>
              <w:autoSpaceDN w:val="0"/>
              <w:adjustRightInd w:val="0"/>
              <w:jc w:val="center"/>
              <w:rPr>
                <w:color w:val="000000"/>
                <w:sz w:val="22"/>
                <w:szCs w:val="22"/>
              </w:rPr>
            </w:pPr>
            <w:r w:rsidRPr="00B57AE7">
              <w:rPr>
                <w:sz w:val="22"/>
                <w:szCs w:val="22"/>
              </w:rPr>
              <w:t>8,8</w:t>
            </w:r>
          </w:p>
        </w:tc>
        <w:tc>
          <w:tcPr>
            <w:tcW w:w="2303" w:type="dxa"/>
            <w:shd w:val="clear" w:color="auto" w:fill="auto"/>
          </w:tcPr>
          <w:p w14:paraId="3E5B8066" w14:textId="77777777" w:rsidR="00F9292A" w:rsidRPr="00B57AE7" w:rsidRDefault="00D26B9D" w:rsidP="009D1BC2">
            <w:pPr>
              <w:widowControl w:val="0"/>
              <w:autoSpaceDE w:val="0"/>
              <w:autoSpaceDN w:val="0"/>
              <w:adjustRightInd w:val="0"/>
              <w:jc w:val="center"/>
              <w:rPr>
                <w:color w:val="000000"/>
                <w:sz w:val="22"/>
                <w:szCs w:val="22"/>
              </w:rPr>
            </w:pPr>
            <w:r w:rsidRPr="00B57AE7">
              <w:rPr>
                <w:sz w:val="22"/>
                <w:szCs w:val="22"/>
              </w:rPr>
              <w:t xml:space="preserve">-1,9 </w:t>
            </w:r>
            <w:r w:rsidRPr="00B57AE7">
              <w:rPr>
                <w:sz w:val="22"/>
                <w:szCs w:val="22"/>
                <w:vertAlign w:val="superscript"/>
              </w:rPr>
              <w:t>†</w:t>
            </w:r>
          </w:p>
        </w:tc>
        <w:tc>
          <w:tcPr>
            <w:tcW w:w="2303" w:type="dxa"/>
            <w:shd w:val="clear" w:color="auto" w:fill="auto"/>
          </w:tcPr>
          <w:p w14:paraId="57598FB6" w14:textId="77777777" w:rsidR="00D26B9D" w:rsidRPr="00B57AE7" w:rsidRDefault="00D26B9D" w:rsidP="009D1BC2">
            <w:pPr>
              <w:widowControl w:val="0"/>
              <w:autoSpaceDE w:val="0"/>
              <w:autoSpaceDN w:val="0"/>
              <w:adjustRightInd w:val="0"/>
              <w:jc w:val="center"/>
              <w:rPr>
                <w:sz w:val="22"/>
                <w:szCs w:val="22"/>
              </w:rPr>
            </w:pPr>
            <w:r w:rsidRPr="00B57AE7">
              <w:rPr>
                <w:sz w:val="22"/>
                <w:szCs w:val="22"/>
              </w:rPr>
              <w:t xml:space="preserve">2,1 </w:t>
            </w:r>
            <w:r w:rsidRPr="00B57AE7">
              <w:rPr>
                <w:sz w:val="22"/>
                <w:szCs w:val="22"/>
                <w:vertAlign w:val="superscript"/>
              </w:rPr>
              <w:t>†,‡</w:t>
            </w:r>
          </w:p>
          <w:p w14:paraId="21EB1DF9" w14:textId="77777777" w:rsidR="00F9292A" w:rsidRPr="00B57AE7" w:rsidRDefault="00D26B9D" w:rsidP="009D1BC2">
            <w:pPr>
              <w:widowControl w:val="0"/>
              <w:autoSpaceDE w:val="0"/>
              <w:autoSpaceDN w:val="0"/>
              <w:adjustRightInd w:val="0"/>
              <w:jc w:val="center"/>
              <w:rPr>
                <w:color w:val="000000"/>
                <w:sz w:val="22"/>
                <w:szCs w:val="22"/>
              </w:rPr>
            </w:pPr>
            <w:r w:rsidRPr="00B57AE7">
              <w:rPr>
                <w:sz w:val="22"/>
                <w:szCs w:val="22"/>
              </w:rPr>
              <w:t>(-2,3, -1,8)</w:t>
            </w:r>
          </w:p>
        </w:tc>
      </w:tr>
    </w:tbl>
    <w:p w14:paraId="449F1E2A" w14:textId="77777777" w:rsidR="00ED5600" w:rsidRPr="00B57AE7" w:rsidRDefault="00D26B9D" w:rsidP="00AD6F14">
      <w:pPr>
        <w:widowControl w:val="0"/>
        <w:autoSpaceDE w:val="0"/>
        <w:autoSpaceDN w:val="0"/>
        <w:adjustRightInd w:val="0"/>
        <w:rPr>
          <w:sz w:val="22"/>
          <w:szCs w:val="22"/>
        </w:rPr>
      </w:pPr>
      <w:r w:rsidRPr="00B57AE7">
        <w:rPr>
          <w:sz w:val="22"/>
          <w:szCs w:val="22"/>
        </w:rPr>
        <w:t xml:space="preserve">* Populácia všetkých liečených pacientov (analýza podľa liečebného zámeru). </w:t>
      </w:r>
    </w:p>
    <w:p w14:paraId="27551032" w14:textId="77777777" w:rsidR="00ED5600" w:rsidRPr="00B57AE7" w:rsidRDefault="00D26B9D" w:rsidP="00AD6F14">
      <w:pPr>
        <w:widowControl w:val="0"/>
        <w:autoSpaceDE w:val="0"/>
        <w:autoSpaceDN w:val="0"/>
        <w:adjustRightInd w:val="0"/>
        <w:rPr>
          <w:sz w:val="22"/>
          <w:szCs w:val="22"/>
        </w:rPr>
      </w:pPr>
      <w:r w:rsidRPr="00B57AE7">
        <w:rPr>
          <w:sz w:val="22"/>
          <w:szCs w:val="22"/>
        </w:rPr>
        <w:t xml:space="preserve">† Priemery najmenších štvorcov upravené na stav predchádzajúcej antihyperglykemickej liečby a východiskovú hodnotu. </w:t>
      </w:r>
    </w:p>
    <w:p w14:paraId="055B06F7" w14:textId="77777777" w:rsidR="00ED5600" w:rsidRPr="00B57AE7" w:rsidRDefault="00D26B9D" w:rsidP="00AD6F14">
      <w:pPr>
        <w:widowControl w:val="0"/>
        <w:autoSpaceDE w:val="0"/>
        <w:autoSpaceDN w:val="0"/>
        <w:adjustRightInd w:val="0"/>
        <w:rPr>
          <w:sz w:val="22"/>
          <w:szCs w:val="22"/>
        </w:rPr>
      </w:pPr>
      <w:r w:rsidRPr="00B57AE7">
        <w:rPr>
          <w:sz w:val="22"/>
          <w:szCs w:val="22"/>
        </w:rPr>
        <w:t xml:space="preserve">‡ p &lt; 0,001 v porovnaní s placebom alebo placebom + kombinovanou liečbou. </w:t>
      </w:r>
    </w:p>
    <w:p w14:paraId="1026D912" w14:textId="77777777" w:rsidR="00ED5600" w:rsidRPr="00B57AE7" w:rsidRDefault="00ED5600" w:rsidP="00AD6F14">
      <w:pPr>
        <w:widowControl w:val="0"/>
        <w:autoSpaceDE w:val="0"/>
        <w:autoSpaceDN w:val="0"/>
        <w:adjustRightInd w:val="0"/>
        <w:rPr>
          <w:sz w:val="22"/>
          <w:szCs w:val="22"/>
        </w:rPr>
      </w:pPr>
      <w:r w:rsidRPr="00B57AE7">
        <w:rPr>
          <w:sz w:val="22"/>
          <w:szCs w:val="22"/>
          <w:vertAlign w:val="superscript"/>
        </w:rPr>
        <w:t>II</w:t>
      </w:r>
      <w:r w:rsidR="00D26B9D" w:rsidRPr="00B57AE7">
        <w:rPr>
          <w:sz w:val="22"/>
          <w:szCs w:val="22"/>
        </w:rPr>
        <w:t xml:space="preserve"> HbA</w:t>
      </w:r>
      <w:r w:rsidR="00D26B9D" w:rsidRPr="00B57AE7">
        <w:rPr>
          <w:sz w:val="22"/>
          <w:szCs w:val="22"/>
          <w:vertAlign w:val="subscript"/>
        </w:rPr>
        <w:t>1c</w:t>
      </w:r>
      <w:r w:rsidR="00D26B9D" w:rsidRPr="00B57AE7">
        <w:rPr>
          <w:sz w:val="22"/>
          <w:szCs w:val="22"/>
        </w:rPr>
        <w:t xml:space="preserve"> (%) v 24. týždni. </w:t>
      </w:r>
    </w:p>
    <w:p w14:paraId="3D6248E1" w14:textId="77777777" w:rsidR="00ED5600" w:rsidRPr="00B57AE7" w:rsidRDefault="00D26B9D" w:rsidP="00AD6F14">
      <w:pPr>
        <w:widowControl w:val="0"/>
        <w:autoSpaceDE w:val="0"/>
        <w:autoSpaceDN w:val="0"/>
        <w:adjustRightInd w:val="0"/>
        <w:rPr>
          <w:sz w:val="22"/>
          <w:szCs w:val="22"/>
        </w:rPr>
      </w:pPr>
      <w:r w:rsidRPr="00B57AE7">
        <w:rPr>
          <w:sz w:val="22"/>
          <w:szCs w:val="22"/>
        </w:rPr>
        <w:lastRenderedPageBreak/>
        <w:t>¶ HbA</w:t>
      </w:r>
      <w:r w:rsidRPr="00B57AE7">
        <w:rPr>
          <w:sz w:val="22"/>
          <w:szCs w:val="22"/>
          <w:vertAlign w:val="subscript"/>
        </w:rPr>
        <w:t>1c</w:t>
      </w:r>
      <w:r w:rsidRPr="00B57AE7">
        <w:rPr>
          <w:sz w:val="22"/>
          <w:szCs w:val="22"/>
        </w:rPr>
        <w:t xml:space="preserve"> (%) v 26. týždni. </w:t>
      </w:r>
    </w:p>
    <w:p w14:paraId="7E92A232" w14:textId="77777777" w:rsidR="00F9292A" w:rsidRPr="00B57AE7" w:rsidRDefault="00D26B9D" w:rsidP="00AD6F14">
      <w:pPr>
        <w:widowControl w:val="0"/>
        <w:autoSpaceDE w:val="0"/>
        <w:autoSpaceDN w:val="0"/>
        <w:adjustRightInd w:val="0"/>
        <w:rPr>
          <w:sz w:val="22"/>
          <w:szCs w:val="22"/>
        </w:rPr>
      </w:pPr>
      <w:r w:rsidRPr="00B57AE7">
        <w:rPr>
          <w:sz w:val="22"/>
          <w:szCs w:val="22"/>
        </w:rPr>
        <w:t>§ Priemer najmenších štvorcov upravený na použitie inzulínu pri kontrole 1 (premixovaný vs nepremixovaný [intermediárny alebo dlhodobý]) a na východiskovú hodnotu.</w:t>
      </w:r>
    </w:p>
    <w:p w14:paraId="5A655CC9" w14:textId="77777777" w:rsidR="00D26B9D" w:rsidRPr="00B57AE7" w:rsidRDefault="00D26B9D" w:rsidP="00AD6F14">
      <w:pPr>
        <w:widowControl w:val="0"/>
        <w:autoSpaceDE w:val="0"/>
        <w:autoSpaceDN w:val="0"/>
        <w:adjustRightInd w:val="0"/>
        <w:rPr>
          <w:color w:val="000000"/>
          <w:sz w:val="22"/>
          <w:szCs w:val="22"/>
        </w:rPr>
      </w:pPr>
    </w:p>
    <w:p w14:paraId="7DA57856" w14:textId="77777777" w:rsidR="00D26B9D" w:rsidRPr="00B57AE7" w:rsidRDefault="00D26B9D" w:rsidP="00AD6F14">
      <w:pPr>
        <w:widowControl w:val="0"/>
        <w:autoSpaceDE w:val="0"/>
        <w:autoSpaceDN w:val="0"/>
        <w:adjustRightInd w:val="0"/>
        <w:rPr>
          <w:sz w:val="22"/>
          <w:szCs w:val="22"/>
        </w:rPr>
      </w:pPr>
      <w:r w:rsidRPr="00B57AE7">
        <w:rPr>
          <w:sz w:val="22"/>
          <w:szCs w:val="22"/>
        </w:rPr>
        <w:t>V 52-týždňovej štúdii porovnávajúcej účinnosť a bezpečnosť pridania 100 mg sitagliptínu raz denne alebo glipizidu (derivát sulfonyl</w:t>
      </w:r>
      <w:r w:rsidR="00FA5C1C">
        <w:rPr>
          <w:sz w:val="22"/>
          <w:szCs w:val="22"/>
        </w:rPr>
        <w:t>močoviny</w:t>
      </w:r>
      <w:r w:rsidRPr="00B57AE7">
        <w:rPr>
          <w:sz w:val="22"/>
          <w:szCs w:val="22"/>
        </w:rPr>
        <w:t>) u pacientov s nedostatočnou kontrolou glykémie pri monoterapii metformínom bol sitagliptín v redukovaní HbA</w:t>
      </w:r>
      <w:r w:rsidRPr="00B57AE7">
        <w:rPr>
          <w:sz w:val="22"/>
          <w:szCs w:val="22"/>
          <w:vertAlign w:val="subscript"/>
        </w:rPr>
        <w:t>1c</w:t>
      </w:r>
      <w:r w:rsidRPr="00B57AE7">
        <w:rPr>
          <w:sz w:val="22"/>
          <w:szCs w:val="22"/>
        </w:rPr>
        <w:t xml:space="preserve"> podobný glipizidu (-0,7 % priemerná zmena oproti východiskovým hodnotám v 52. týždni, pričom východisková hodnota HbA</w:t>
      </w:r>
      <w:r w:rsidRPr="00B57AE7">
        <w:rPr>
          <w:sz w:val="22"/>
          <w:szCs w:val="22"/>
          <w:vertAlign w:val="subscript"/>
        </w:rPr>
        <w:t>1c</w:t>
      </w:r>
      <w:r w:rsidRPr="00B57AE7">
        <w:rPr>
          <w:sz w:val="22"/>
          <w:szCs w:val="22"/>
        </w:rPr>
        <w:t xml:space="preserve"> bola v oboch skupinách približne 7,5 %). Priemerná dávka glipizidu použitá v porovnávacej skupine bola 10 mg denne s približne 40 % pacientov vyžadujúcich glipizid v dávke ≤5 mg/deň počas štúdie. V skupine so sitagliptínom však viac pacientov prerušilo liečbu z dôvodu nedostatočnej účinnosti ako v skupine s glipizidom. Pacienti liečení sitagliptínom mali signifikantný priemerný úbytok telesnej hmotnosti (</w:t>
      </w:r>
      <w:r w:rsidR="006B2E74" w:rsidRPr="00B57AE7">
        <w:rPr>
          <w:sz w:val="22"/>
          <w:szCs w:val="22"/>
        </w:rPr>
        <w:t> </w:t>
      </w:r>
      <w:r w:rsidR="006B2E74" w:rsidRPr="00B57AE7">
        <w:rPr>
          <w:sz w:val="22"/>
          <w:szCs w:val="22"/>
        </w:rPr>
        <w:noBreakHyphen/>
      </w:r>
      <w:r w:rsidRPr="00B57AE7">
        <w:rPr>
          <w:sz w:val="22"/>
          <w:szCs w:val="22"/>
        </w:rPr>
        <w:t>1,5</w:t>
      </w:r>
      <w:r w:rsidR="006B2E74" w:rsidRPr="00B57AE7">
        <w:rPr>
          <w:sz w:val="22"/>
          <w:szCs w:val="22"/>
        </w:rPr>
        <w:t> </w:t>
      </w:r>
      <w:r w:rsidRPr="00B57AE7">
        <w:rPr>
          <w:sz w:val="22"/>
          <w:szCs w:val="22"/>
        </w:rPr>
        <w:t>kg) oproti východiskovej hodnote v porovnaní so signifikantným nárastom hmotnosti (+1,1 kg) u pacientov, ktorým bol podávaný glipizid. V tejto štúdii bol pomer proinzulínu k inzulínu, marker efektivity syntézy a uvoľňovania inzulínu, zlepšený pri liečbe sitagliptínom a zhoršený pri liečbe glipizidom. Výskyt hypoglykémie v skupine so sitagliptínom (4,9 %) bol signifikantne nižší ako v</w:t>
      </w:r>
      <w:r w:rsidR="006B2E74" w:rsidRPr="00B57AE7">
        <w:rPr>
          <w:sz w:val="22"/>
          <w:szCs w:val="22"/>
        </w:rPr>
        <w:t> </w:t>
      </w:r>
      <w:r w:rsidRPr="00B57AE7">
        <w:rPr>
          <w:sz w:val="22"/>
          <w:szCs w:val="22"/>
        </w:rPr>
        <w:t>skupine s glipizidom (32,0 %).</w:t>
      </w:r>
    </w:p>
    <w:p w14:paraId="50067BF8" w14:textId="77777777" w:rsidR="00D26B9D" w:rsidRPr="00B57AE7" w:rsidRDefault="00D26B9D" w:rsidP="00AD6F14">
      <w:pPr>
        <w:widowControl w:val="0"/>
        <w:autoSpaceDE w:val="0"/>
        <w:autoSpaceDN w:val="0"/>
        <w:adjustRightInd w:val="0"/>
        <w:rPr>
          <w:sz w:val="22"/>
          <w:szCs w:val="22"/>
        </w:rPr>
      </w:pPr>
    </w:p>
    <w:p w14:paraId="23CEB555" w14:textId="77777777" w:rsidR="00D26B9D" w:rsidRPr="00B57AE7" w:rsidRDefault="00D26B9D" w:rsidP="00AD6F14">
      <w:pPr>
        <w:widowControl w:val="0"/>
        <w:autoSpaceDE w:val="0"/>
        <w:autoSpaceDN w:val="0"/>
        <w:adjustRightInd w:val="0"/>
        <w:rPr>
          <w:sz w:val="22"/>
          <w:szCs w:val="22"/>
        </w:rPr>
      </w:pPr>
      <w:r w:rsidRPr="00B57AE7">
        <w:rPr>
          <w:sz w:val="22"/>
          <w:szCs w:val="22"/>
        </w:rPr>
        <w:t>24-týždňová placebom kontrolovaná štúdia zahŕňajúca 660 pacientov bola navrhnutá tak, aby vyhodnotila inzulín šetriacu účinnosť a bezpečnosť sitagliptínu (100 mg raz denne) pridaného k inzulín glargínu s metformínom (najmenej 1 500 mg) alebo bez metformínu počas intenzifikácie liečby inzulínom. Medzi pacientmi užívajúcimi metformín bola východisková hodnota HbA</w:t>
      </w:r>
      <w:r w:rsidRPr="00B57AE7">
        <w:rPr>
          <w:sz w:val="22"/>
          <w:szCs w:val="22"/>
          <w:vertAlign w:val="subscript"/>
        </w:rPr>
        <w:t>1c</w:t>
      </w:r>
      <w:r w:rsidRPr="00B57AE7">
        <w:rPr>
          <w:sz w:val="22"/>
          <w:szCs w:val="22"/>
        </w:rPr>
        <w:t xml:space="preserve"> 8,70 % a východisková dávka inzulínu bola 37 IU/deň. Pacienti boli poučení, aby titrovali dávku inzulín glargínu na základe hodnôt glukózy nameraných nalačno z kvapky krvi z prsta. V skupine pacientov, ktorí užívali metformín, bolo v 24. týždni u pacientov liečených sitagliptínom zvýšenie dennej dávky inzulínu 19 IU/deň a u pacientov liečených placebom 24 IU/deň. Zníženie HbA</w:t>
      </w:r>
      <w:r w:rsidRPr="00B57AE7">
        <w:rPr>
          <w:sz w:val="22"/>
          <w:szCs w:val="22"/>
          <w:vertAlign w:val="subscript"/>
        </w:rPr>
        <w:t>1c</w:t>
      </w:r>
      <w:r w:rsidRPr="00B57AE7">
        <w:rPr>
          <w:sz w:val="22"/>
          <w:szCs w:val="22"/>
        </w:rPr>
        <w:t xml:space="preserve"> u pacientov liečených sitagliptínom, metformínom a inzulínom bolo -1,35 % v porovnaní s -0,90 % u pacientov liečených placebom, metformínom a inzulínom, s rozdielom -0,45 % [95 % IS: -0,62, -0,29]. U</w:t>
      </w:r>
      <w:r w:rsidR="006B2E74" w:rsidRPr="00B57AE7">
        <w:rPr>
          <w:sz w:val="22"/>
          <w:szCs w:val="22"/>
        </w:rPr>
        <w:t> </w:t>
      </w:r>
      <w:r w:rsidRPr="00B57AE7">
        <w:rPr>
          <w:sz w:val="22"/>
          <w:szCs w:val="22"/>
        </w:rPr>
        <w:t>pacientov liečených sitagliptínom, metformínom a inzulínom bol výskyt hypoglykémie 24,9 % a</w:t>
      </w:r>
      <w:r w:rsidR="006B2E74" w:rsidRPr="00B57AE7">
        <w:rPr>
          <w:sz w:val="22"/>
          <w:szCs w:val="22"/>
        </w:rPr>
        <w:t> </w:t>
      </w:r>
      <w:r w:rsidRPr="00B57AE7">
        <w:rPr>
          <w:sz w:val="22"/>
          <w:szCs w:val="22"/>
        </w:rPr>
        <w:t>u</w:t>
      </w:r>
      <w:r w:rsidR="006B2E74" w:rsidRPr="00B57AE7">
        <w:rPr>
          <w:sz w:val="22"/>
          <w:szCs w:val="22"/>
        </w:rPr>
        <w:t> </w:t>
      </w:r>
      <w:r w:rsidRPr="00B57AE7">
        <w:rPr>
          <w:sz w:val="22"/>
          <w:szCs w:val="22"/>
        </w:rPr>
        <w:t>pacientov liečených placebom, metformínom a inzulínom 37,8 %. Rozdiel bol spôsobený predovšetkým vyšším percentom pacientov v skupine užívajúcej placebo, ktorí zažili 3 alebo viac epizód hypoglykémie (9,1 oproti 19,8 %). Nebol zistený žiadny rozdiel vo výskyte ťažkej hypoglykémie.</w:t>
      </w:r>
    </w:p>
    <w:p w14:paraId="4C0F485B" w14:textId="77777777" w:rsidR="00D26B9D" w:rsidRPr="00B57AE7" w:rsidRDefault="00D26B9D" w:rsidP="00AD6F14">
      <w:pPr>
        <w:widowControl w:val="0"/>
        <w:autoSpaceDE w:val="0"/>
        <w:autoSpaceDN w:val="0"/>
        <w:adjustRightInd w:val="0"/>
        <w:rPr>
          <w:sz w:val="22"/>
          <w:szCs w:val="22"/>
        </w:rPr>
      </w:pPr>
    </w:p>
    <w:p w14:paraId="0157BA08" w14:textId="77777777" w:rsidR="00ED5600" w:rsidRPr="00B57AE7" w:rsidRDefault="00D26B9D" w:rsidP="00AD6F14">
      <w:pPr>
        <w:widowControl w:val="0"/>
        <w:autoSpaceDE w:val="0"/>
        <w:autoSpaceDN w:val="0"/>
        <w:adjustRightInd w:val="0"/>
        <w:rPr>
          <w:sz w:val="22"/>
          <w:szCs w:val="22"/>
        </w:rPr>
      </w:pPr>
      <w:r w:rsidRPr="00B57AE7">
        <w:rPr>
          <w:sz w:val="22"/>
          <w:szCs w:val="22"/>
          <w:u w:val="single"/>
        </w:rPr>
        <w:t xml:space="preserve">Metformín </w:t>
      </w:r>
    </w:p>
    <w:p w14:paraId="1D8878C2" w14:textId="77777777" w:rsidR="00ED5600" w:rsidRPr="00B57AE7" w:rsidRDefault="00D26B9D" w:rsidP="00AD6F14">
      <w:pPr>
        <w:widowControl w:val="0"/>
        <w:autoSpaceDE w:val="0"/>
        <w:autoSpaceDN w:val="0"/>
        <w:adjustRightInd w:val="0"/>
        <w:rPr>
          <w:i/>
          <w:sz w:val="22"/>
          <w:szCs w:val="22"/>
        </w:rPr>
      </w:pPr>
      <w:r w:rsidRPr="00B57AE7">
        <w:rPr>
          <w:i/>
          <w:sz w:val="22"/>
          <w:szCs w:val="22"/>
        </w:rPr>
        <w:t xml:space="preserve">Mechanizmus účinku </w:t>
      </w:r>
    </w:p>
    <w:p w14:paraId="178D78A1" w14:textId="77777777" w:rsidR="00ED5600" w:rsidRPr="00B57AE7" w:rsidRDefault="00D26B9D" w:rsidP="00AD6F14">
      <w:pPr>
        <w:widowControl w:val="0"/>
        <w:autoSpaceDE w:val="0"/>
        <w:autoSpaceDN w:val="0"/>
        <w:adjustRightInd w:val="0"/>
        <w:rPr>
          <w:sz w:val="22"/>
          <w:szCs w:val="22"/>
        </w:rPr>
      </w:pPr>
      <w:r w:rsidRPr="00B57AE7">
        <w:rPr>
          <w:sz w:val="22"/>
          <w:szCs w:val="22"/>
        </w:rPr>
        <w:t xml:space="preserve">Metformín je biguanid s antihyperglykemickými účinkami, ktorý znižuje bazálnu aj postprandiálnu plazmatickú glukózu. Nestimuluje sekréciu inzulínu a preto nespôsobuje hypoglykémiu. </w:t>
      </w:r>
    </w:p>
    <w:p w14:paraId="295988C7" w14:textId="77777777" w:rsidR="00ED5600" w:rsidRPr="00B57AE7" w:rsidRDefault="00ED5600" w:rsidP="00AD6F14">
      <w:pPr>
        <w:widowControl w:val="0"/>
        <w:autoSpaceDE w:val="0"/>
        <w:autoSpaceDN w:val="0"/>
        <w:adjustRightInd w:val="0"/>
        <w:rPr>
          <w:sz w:val="22"/>
          <w:szCs w:val="22"/>
        </w:rPr>
      </w:pPr>
    </w:p>
    <w:p w14:paraId="6AE0F2AD" w14:textId="77777777" w:rsidR="00ED5600" w:rsidRPr="00B57AE7" w:rsidRDefault="00D26B9D" w:rsidP="00AD6F14">
      <w:pPr>
        <w:widowControl w:val="0"/>
        <w:autoSpaceDE w:val="0"/>
        <w:autoSpaceDN w:val="0"/>
        <w:adjustRightInd w:val="0"/>
        <w:rPr>
          <w:sz w:val="22"/>
          <w:szCs w:val="22"/>
        </w:rPr>
      </w:pPr>
      <w:r w:rsidRPr="00B57AE7">
        <w:rPr>
          <w:sz w:val="22"/>
          <w:szCs w:val="22"/>
        </w:rPr>
        <w:t xml:space="preserve">Metformín môže </w:t>
      </w:r>
      <w:r w:rsidR="00ED5600" w:rsidRPr="00B57AE7">
        <w:rPr>
          <w:sz w:val="22"/>
          <w:szCs w:val="22"/>
        </w:rPr>
        <w:t xml:space="preserve">účinkovať troma mechanizmami: </w:t>
      </w:r>
    </w:p>
    <w:p w14:paraId="52CAB7C4" w14:textId="77777777" w:rsidR="00ED5600" w:rsidRPr="00B57AE7" w:rsidRDefault="00ED5600" w:rsidP="00AD6F14">
      <w:pPr>
        <w:widowControl w:val="0"/>
        <w:autoSpaceDE w:val="0"/>
        <w:autoSpaceDN w:val="0"/>
        <w:adjustRightInd w:val="0"/>
        <w:rPr>
          <w:sz w:val="22"/>
          <w:szCs w:val="22"/>
        </w:rPr>
      </w:pPr>
      <w:r w:rsidRPr="00B57AE7">
        <w:rPr>
          <w:sz w:val="22"/>
          <w:szCs w:val="22"/>
        </w:rPr>
        <w:t>-</w:t>
      </w:r>
      <w:r w:rsidRPr="00B57AE7">
        <w:rPr>
          <w:sz w:val="22"/>
          <w:szCs w:val="22"/>
        </w:rPr>
        <w:tab/>
      </w:r>
      <w:r w:rsidR="00D26B9D" w:rsidRPr="00B57AE7">
        <w:rPr>
          <w:sz w:val="22"/>
          <w:szCs w:val="22"/>
        </w:rPr>
        <w:t>znížením tvorby hepatálnej glukózy inhibíciou gl</w:t>
      </w:r>
      <w:r w:rsidRPr="00B57AE7">
        <w:rPr>
          <w:sz w:val="22"/>
          <w:szCs w:val="22"/>
        </w:rPr>
        <w:t xml:space="preserve">ukoneogenézy a glykogenolýzy, </w:t>
      </w:r>
    </w:p>
    <w:p w14:paraId="45F8C56D" w14:textId="77777777" w:rsidR="00ED5600" w:rsidRPr="00B57AE7" w:rsidRDefault="00ED5600" w:rsidP="00ED5600">
      <w:pPr>
        <w:widowControl w:val="0"/>
        <w:autoSpaceDE w:val="0"/>
        <w:autoSpaceDN w:val="0"/>
        <w:adjustRightInd w:val="0"/>
        <w:ind w:left="720" w:hanging="720"/>
        <w:rPr>
          <w:sz w:val="22"/>
          <w:szCs w:val="22"/>
        </w:rPr>
      </w:pPr>
      <w:r w:rsidRPr="00B57AE7">
        <w:rPr>
          <w:sz w:val="22"/>
          <w:szCs w:val="22"/>
        </w:rPr>
        <w:t>-</w:t>
      </w:r>
      <w:r w:rsidRPr="00B57AE7">
        <w:rPr>
          <w:sz w:val="22"/>
          <w:szCs w:val="22"/>
        </w:rPr>
        <w:tab/>
      </w:r>
      <w:r w:rsidR="00D26B9D" w:rsidRPr="00B57AE7">
        <w:rPr>
          <w:sz w:val="22"/>
          <w:szCs w:val="22"/>
        </w:rPr>
        <w:t xml:space="preserve">zlepšením periférneho vychytávania a využitia glukózy vo svaloch miernym zvýšením </w:t>
      </w:r>
      <w:r w:rsidRPr="00B57AE7">
        <w:rPr>
          <w:sz w:val="22"/>
          <w:szCs w:val="22"/>
        </w:rPr>
        <w:t xml:space="preserve">citlivosti na inzulín, </w:t>
      </w:r>
    </w:p>
    <w:p w14:paraId="73BABDA9" w14:textId="77777777" w:rsidR="00ED5600" w:rsidRPr="00B57AE7" w:rsidRDefault="00ED5600" w:rsidP="00ED5600">
      <w:pPr>
        <w:widowControl w:val="0"/>
        <w:autoSpaceDE w:val="0"/>
        <w:autoSpaceDN w:val="0"/>
        <w:adjustRightInd w:val="0"/>
        <w:ind w:left="720" w:hanging="720"/>
        <w:rPr>
          <w:sz w:val="22"/>
          <w:szCs w:val="22"/>
        </w:rPr>
      </w:pPr>
      <w:r w:rsidRPr="00B57AE7">
        <w:rPr>
          <w:sz w:val="22"/>
          <w:szCs w:val="22"/>
        </w:rPr>
        <w:t>-</w:t>
      </w:r>
      <w:r w:rsidRPr="00B57AE7">
        <w:rPr>
          <w:sz w:val="22"/>
          <w:szCs w:val="22"/>
        </w:rPr>
        <w:tab/>
      </w:r>
      <w:r w:rsidR="00D26B9D" w:rsidRPr="00B57AE7">
        <w:rPr>
          <w:sz w:val="22"/>
          <w:szCs w:val="22"/>
        </w:rPr>
        <w:t xml:space="preserve">spomalením absorpcie glukózy v črevách. </w:t>
      </w:r>
    </w:p>
    <w:p w14:paraId="5E0AFF25" w14:textId="77777777" w:rsidR="00ED5600" w:rsidRPr="00B57AE7" w:rsidRDefault="00ED5600" w:rsidP="00ED5600">
      <w:pPr>
        <w:widowControl w:val="0"/>
        <w:autoSpaceDE w:val="0"/>
        <w:autoSpaceDN w:val="0"/>
        <w:adjustRightInd w:val="0"/>
        <w:ind w:left="720" w:hanging="720"/>
        <w:rPr>
          <w:sz w:val="22"/>
          <w:szCs w:val="22"/>
        </w:rPr>
      </w:pPr>
    </w:p>
    <w:p w14:paraId="66EB06EE" w14:textId="77777777" w:rsidR="00D26B9D" w:rsidRPr="00B57AE7" w:rsidRDefault="00D26B9D" w:rsidP="006B2E74">
      <w:pPr>
        <w:widowControl w:val="0"/>
        <w:autoSpaceDE w:val="0"/>
        <w:autoSpaceDN w:val="0"/>
        <w:adjustRightInd w:val="0"/>
        <w:rPr>
          <w:sz w:val="22"/>
          <w:szCs w:val="22"/>
        </w:rPr>
      </w:pPr>
      <w:r w:rsidRPr="00B57AE7">
        <w:rPr>
          <w:sz w:val="22"/>
          <w:szCs w:val="22"/>
        </w:rPr>
        <w:t>Metformín stimuluje intracelulárnu syntézu glykogénu pôsobení</w:t>
      </w:r>
      <w:r w:rsidR="00ED5600" w:rsidRPr="00B57AE7">
        <w:rPr>
          <w:sz w:val="22"/>
          <w:szCs w:val="22"/>
        </w:rPr>
        <w:t>m na glykogénsyntázu. Metformín</w:t>
      </w:r>
      <w:r w:rsidR="006B2E74" w:rsidRPr="00B57AE7">
        <w:rPr>
          <w:sz w:val="22"/>
          <w:szCs w:val="22"/>
        </w:rPr>
        <w:t xml:space="preserve"> </w:t>
      </w:r>
      <w:r w:rsidRPr="00B57AE7">
        <w:rPr>
          <w:sz w:val="22"/>
          <w:szCs w:val="22"/>
        </w:rPr>
        <w:t>zvyšuje transportnú kapacitu špecifických typov membránových transportérov glukózy (GLUT-1 a</w:t>
      </w:r>
      <w:r w:rsidR="006B2E74" w:rsidRPr="00B57AE7">
        <w:rPr>
          <w:sz w:val="22"/>
          <w:szCs w:val="22"/>
        </w:rPr>
        <w:t> </w:t>
      </w:r>
      <w:r w:rsidRPr="00B57AE7">
        <w:rPr>
          <w:sz w:val="22"/>
          <w:szCs w:val="22"/>
        </w:rPr>
        <w:t>GLUT-4).</w:t>
      </w:r>
    </w:p>
    <w:p w14:paraId="6175C627" w14:textId="77777777" w:rsidR="00D26B9D" w:rsidRPr="00B57AE7" w:rsidRDefault="00D26B9D" w:rsidP="00AD6F14">
      <w:pPr>
        <w:widowControl w:val="0"/>
        <w:autoSpaceDE w:val="0"/>
        <w:autoSpaceDN w:val="0"/>
        <w:adjustRightInd w:val="0"/>
        <w:rPr>
          <w:sz w:val="22"/>
          <w:szCs w:val="22"/>
        </w:rPr>
      </w:pPr>
    </w:p>
    <w:p w14:paraId="7E3FC35F" w14:textId="77777777" w:rsidR="00ED5600" w:rsidRPr="00B57AE7" w:rsidRDefault="00D26B9D" w:rsidP="00812F31">
      <w:pPr>
        <w:widowControl w:val="0"/>
        <w:autoSpaceDE w:val="0"/>
        <w:autoSpaceDN w:val="0"/>
        <w:adjustRightInd w:val="0"/>
        <w:ind w:left="720" w:hanging="720"/>
        <w:rPr>
          <w:i/>
          <w:sz w:val="22"/>
          <w:szCs w:val="22"/>
        </w:rPr>
      </w:pPr>
      <w:r w:rsidRPr="00B57AE7">
        <w:rPr>
          <w:i/>
          <w:sz w:val="22"/>
          <w:szCs w:val="22"/>
        </w:rPr>
        <w:t xml:space="preserve">Klinická účinnosť a bezpečnosť </w:t>
      </w:r>
    </w:p>
    <w:p w14:paraId="6F37015B" w14:textId="77777777" w:rsidR="00ED5600" w:rsidRPr="00B57AE7" w:rsidRDefault="00D26B9D" w:rsidP="006B2E74">
      <w:pPr>
        <w:widowControl w:val="0"/>
        <w:autoSpaceDE w:val="0"/>
        <w:autoSpaceDN w:val="0"/>
        <w:adjustRightInd w:val="0"/>
        <w:rPr>
          <w:sz w:val="22"/>
          <w:szCs w:val="22"/>
        </w:rPr>
      </w:pPr>
      <w:r w:rsidRPr="00B57AE7">
        <w:rPr>
          <w:sz w:val="22"/>
          <w:szCs w:val="22"/>
        </w:rPr>
        <w:t xml:space="preserve">U ľudí má metformín, nezávisle od jeho účinku na glykémiu, priaznivé účinky na metabolizmus lipidov. Tieto účinky sa preukázali pri terapeutických dávkach v kontrolovaných strednodobých alebo dlhodobých klinických štúdiách: metformín znižuje hladiny celkového cholesterolu, LDL cholesterolu a triglyceridov. </w:t>
      </w:r>
    </w:p>
    <w:p w14:paraId="2C3BE4FD" w14:textId="77777777" w:rsidR="00ED5600" w:rsidRPr="00B57AE7" w:rsidRDefault="00ED5600" w:rsidP="00812F31">
      <w:pPr>
        <w:widowControl w:val="0"/>
        <w:autoSpaceDE w:val="0"/>
        <w:autoSpaceDN w:val="0"/>
        <w:adjustRightInd w:val="0"/>
        <w:ind w:left="720" w:hanging="720"/>
        <w:rPr>
          <w:sz w:val="22"/>
          <w:szCs w:val="22"/>
        </w:rPr>
      </w:pPr>
    </w:p>
    <w:p w14:paraId="10CC8B2A" w14:textId="77777777" w:rsidR="003458AB" w:rsidRPr="00B57AE7" w:rsidRDefault="00D26B9D" w:rsidP="006B2E74">
      <w:pPr>
        <w:widowControl w:val="0"/>
        <w:autoSpaceDE w:val="0"/>
        <w:autoSpaceDN w:val="0"/>
        <w:adjustRightInd w:val="0"/>
        <w:rPr>
          <w:sz w:val="22"/>
          <w:szCs w:val="22"/>
        </w:rPr>
      </w:pPr>
      <w:r w:rsidRPr="00B57AE7">
        <w:rPr>
          <w:sz w:val="22"/>
          <w:szCs w:val="22"/>
        </w:rPr>
        <w:t xml:space="preserve">Prospektívna randomizovaná štúdia (UKPDS) preukázala dlhodobý prínos intenzívnej kontroly </w:t>
      </w:r>
      <w:r w:rsidRPr="00B57AE7">
        <w:rPr>
          <w:sz w:val="22"/>
          <w:szCs w:val="22"/>
        </w:rPr>
        <w:lastRenderedPageBreak/>
        <w:t>glukózy pri diabete 2. typu. Analýza výsledkov u pacientov s nadváhou liečených metformínom po zlyhaní liečb</w:t>
      </w:r>
      <w:r w:rsidR="00ED5600" w:rsidRPr="00B57AE7">
        <w:rPr>
          <w:sz w:val="22"/>
          <w:szCs w:val="22"/>
        </w:rPr>
        <w:t xml:space="preserve">y samotnou diétou preukázala: </w:t>
      </w:r>
    </w:p>
    <w:p w14:paraId="12038827" w14:textId="77777777" w:rsidR="003458AB" w:rsidRPr="00B57AE7" w:rsidRDefault="00ED5600" w:rsidP="00B016F1">
      <w:pPr>
        <w:widowControl w:val="0"/>
        <w:autoSpaceDE w:val="0"/>
        <w:autoSpaceDN w:val="0"/>
        <w:adjustRightInd w:val="0"/>
        <w:ind w:left="720" w:hanging="720"/>
        <w:rPr>
          <w:sz w:val="22"/>
          <w:szCs w:val="22"/>
        </w:rPr>
      </w:pPr>
      <w:r w:rsidRPr="00B57AE7">
        <w:rPr>
          <w:sz w:val="22"/>
          <w:szCs w:val="22"/>
        </w:rPr>
        <w:t>-</w:t>
      </w:r>
      <w:r w:rsidRPr="00B57AE7">
        <w:rPr>
          <w:sz w:val="22"/>
          <w:szCs w:val="22"/>
        </w:rPr>
        <w:tab/>
      </w:r>
      <w:r w:rsidR="00D26B9D" w:rsidRPr="00B57AE7">
        <w:rPr>
          <w:sz w:val="22"/>
          <w:szCs w:val="22"/>
        </w:rPr>
        <w:t xml:space="preserve">signifikantné zníženie absolútneho rizika akejkoľvek komplikácie súvisiacej s diabetom v skupine s metformínom (29,8 prípadov/1 000 pacientorokov) oproti skupine so samotnou diétou (43,3 prípadov/1 000 pacientorokov), p = 0,0023 a oproti skupinám s kombinovanou terapiou </w:t>
      </w:r>
      <w:r w:rsidR="00FA5C1C">
        <w:rPr>
          <w:sz w:val="22"/>
          <w:szCs w:val="22"/>
        </w:rPr>
        <w:t xml:space="preserve">s derivátom </w:t>
      </w:r>
      <w:r w:rsidR="00D26B9D" w:rsidRPr="00B57AE7">
        <w:rPr>
          <w:sz w:val="22"/>
          <w:szCs w:val="22"/>
        </w:rPr>
        <w:t>sulfonyl</w:t>
      </w:r>
      <w:r w:rsidR="00FA5C1C">
        <w:rPr>
          <w:sz w:val="22"/>
          <w:szCs w:val="22"/>
        </w:rPr>
        <w:t>močoviny</w:t>
      </w:r>
      <w:r w:rsidR="00D26B9D" w:rsidRPr="00B57AE7">
        <w:rPr>
          <w:sz w:val="22"/>
          <w:szCs w:val="22"/>
        </w:rPr>
        <w:t xml:space="preserve"> a monoterapiou inzulínom (40,1 prípadov/1 0</w:t>
      </w:r>
      <w:r w:rsidRPr="00B57AE7">
        <w:rPr>
          <w:sz w:val="22"/>
          <w:szCs w:val="22"/>
        </w:rPr>
        <w:t>00 pacientorokov), p = 0,0034</w:t>
      </w:r>
    </w:p>
    <w:p w14:paraId="2C8AF4FE" w14:textId="77777777" w:rsidR="003458AB" w:rsidRPr="00B57AE7" w:rsidRDefault="00ED5600" w:rsidP="00B016F1">
      <w:pPr>
        <w:widowControl w:val="0"/>
        <w:autoSpaceDE w:val="0"/>
        <w:autoSpaceDN w:val="0"/>
        <w:adjustRightInd w:val="0"/>
        <w:ind w:left="720" w:hanging="720"/>
        <w:rPr>
          <w:sz w:val="22"/>
          <w:szCs w:val="22"/>
        </w:rPr>
      </w:pPr>
      <w:r w:rsidRPr="00B57AE7">
        <w:rPr>
          <w:sz w:val="22"/>
          <w:szCs w:val="22"/>
        </w:rPr>
        <w:t>-</w:t>
      </w:r>
      <w:r w:rsidRPr="00B57AE7">
        <w:rPr>
          <w:sz w:val="22"/>
          <w:szCs w:val="22"/>
        </w:rPr>
        <w:tab/>
      </w:r>
      <w:r w:rsidR="00D26B9D" w:rsidRPr="00B57AE7">
        <w:rPr>
          <w:sz w:val="22"/>
          <w:szCs w:val="22"/>
        </w:rPr>
        <w:t>signifikantné zníženie absolútneho rizika akejkoľvek mortality súvisiacej s diabetom: metformín 7,5 prípadov/1 000 pacientorokov, samotná diéta 12,7 prípadov/1</w:t>
      </w:r>
      <w:r w:rsidRPr="00B57AE7">
        <w:rPr>
          <w:sz w:val="22"/>
          <w:szCs w:val="22"/>
        </w:rPr>
        <w:t xml:space="preserve"> 000 pacientorokov, p = 0,017</w:t>
      </w:r>
    </w:p>
    <w:p w14:paraId="69E59048" w14:textId="77777777" w:rsidR="003458AB" w:rsidRPr="00B57AE7" w:rsidRDefault="00ED5600" w:rsidP="00B016F1">
      <w:pPr>
        <w:widowControl w:val="0"/>
        <w:autoSpaceDE w:val="0"/>
        <w:autoSpaceDN w:val="0"/>
        <w:adjustRightInd w:val="0"/>
        <w:ind w:left="720" w:hanging="720"/>
        <w:rPr>
          <w:sz w:val="22"/>
          <w:szCs w:val="22"/>
        </w:rPr>
      </w:pPr>
      <w:r w:rsidRPr="00B57AE7">
        <w:rPr>
          <w:sz w:val="22"/>
          <w:szCs w:val="22"/>
        </w:rPr>
        <w:t>-</w:t>
      </w:r>
      <w:r w:rsidRPr="00B57AE7">
        <w:rPr>
          <w:sz w:val="22"/>
          <w:szCs w:val="22"/>
        </w:rPr>
        <w:tab/>
      </w:r>
      <w:r w:rsidR="00D26B9D" w:rsidRPr="00B57AE7">
        <w:rPr>
          <w:sz w:val="22"/>
          <w:szCs w:val="22"/>
        </w:rPr>
        <w:t xml:space="preserve">signifikantné zníženie absolútneho rizika celkovej mortality: metformín 13,5 prípadov/1 000 pacientorokov oproti samotnej diéte 20,6 prípadov/1 000 pacientorokov, (p = 0,011) a oproti skupinám s kombinovanou terapiou </w:t>
      </w:r>
      <w:r w:rsidR="00FA5C1C">
        <w:rPr>
          <w:sz w:val="22"/>
          <w:szCs w:val="22"/>
        </w:rPr>
        <w:t xml:space="preserve">derivátom </w:t>
      </w:r>
      <w:r w:rsidR="00D26B9D" w:rsidRPr="00B57AE7">
        <w:rPr>
          <w:sz w:val="22"/>
          <w:szCs w:val="22"/>
        </w:rPr>
        <w:t>sulfonyl</w:t>
      </w:r>
      <w:r w:rsidR="00FA5C1C">
        <w:rPr>
          <w:sz w:val="22"/>
          <w:szCs w:val="22"/>
        </w:rPr>
        <w:t>močoviny</w:t>
      </w:r>
      <w:r w:rsidR="00D26B9D" w:rsidRPr="00B57AE7">
        <w:rPr>
          <w:sz w:val="22"/>
          <w:szCs w:val="22"/>
        </w:rPr>
        <w:t xml:space="preserve"> a monoterapiou inzulínom 18,9 prípadov/1 0</w:t>
      </w:r>
      <w:r w:rsidRPr="00B57AE7">
        <w:rPr>
          <w:sz w:val="22"/>
          <w:szCs w:val="22"/>
        </w:rPr>
        <w:t>00 pacientorokov (p = 0,021)</w:t>
      </w:r>
    </w:p>
    <w:p w14:paraId="26DD1C75" w14:textId="77777777" w:rsidR="00D26B9D" w:rsidRPr="00B57AE7" w:rsidRDefault="00ED5600" w:rsidP="00812F31">
      <w:pPr>
        <w:widowControl w:val="0"/>
        <w:autoSpaceDE w:val="0"/>
        <w:autoSpaceDN w:val="0"/>
        <w:adjustRightInd w:val="0"/>
        <w:ind w:left="720" w:hanging="720"/>
        <w:rPr>
          <w:sz w:val="22"/>
          <w:szCs w:val="22"/>
        </w:rPr>
      </w:pPr>
      <w:r w:rsidRPr="00B57AE7">
        <w:rPr>
          <w:sz w:val="22"/>
          <w:szCs w:val="22"/>
        </w:rPr>
        <w:t>-</w:t>
      </w:r>
      <w:r w:rsidRPr="00B57AE7">
        <w:rPr>
          <w:sz w:val="22"/>
          <w:szCs w:val="22"/>
        </w:rPr>
        <w:tab/>
      </w:r>
      <w:r w:rsidR="00D26B9D" w:rsidRPr="00B57AE7">
        <w:rPr>
          <w:sz w:val="22"/>
          <w:szCs w:val="22"/>
        </w:rPr>
        <w:t>signifikantné zníženie absolútneho rizika infarktu myokardu: metformín 11 prípadov/1 000 pacientorokov, samotná diéta 18 prípadov/1 000 pacientorokov, (p = 0,01).</w:t>
      </w:r>
    </w:p>
    <w:p w14:paraId="0B99897A" w14:textId="77777777" w:rsidR="00D26B9D" w:rsidRPr="00B57AE7" w:rsidRDefault="00D26B9D" w:rsidP="00AD6F14">
      <w:pPr>
        <w:widowControl w:val="0"/>
        <w:autoSpaceDE w:val="0"/>
        <w:autoSpaceDN w:val="0"/>
        <w:adjustRightInd w:val="0"/>
        <w:rPr>
          <w:sz w:val="22"/>
          <w:szCs w:val="22"/>
        </w:rPr>
      </w:pPr>
    </w:p>
    <w:p w14:paraId="1C3BC00D" w14:textId="77777777" w:rsidR="00ED5600" w:rsidRPr="00B57AE7" w:rsidRDefault="00D26B9D" w:rsidP="00AD6F14">
      <w:pPr>
        <w:widowControl w:val="0"/>
        <w:autoSpaceDE w:val="0"/>
        <w:autoSpaceDN w:val="0"/>
        <w:adjustRightInd w:val="0"/>
        <w:rPr>
          <w:sz w:val="22"/>
          <w:szCs w:val="22"/>
        </w:rPr>
      </w:pPr>
      <w:r w:rsidRPr="00B57AE7">
        <w:rPr>
          <w:sz w:val="22"/>
          <w:szCs w:val="22"/>
        </w:rPr>
        <w:t>TECOS bola randomizovaná štúdia u 14 671 pacientov v populácii podľa liečebného zámeru (intention-to-treat) s HbA</w:t>
      </w:r>
      <w:r w:rsidRPr="00B57AE7">
        <w:rPr>
          <w:sz w:val="22"/>
          <w:szCs w:val="22"/>
          <w:vertAlign w:val="subscript"/>
        </w:rPr>
        <w:t>1c</w:t>
      </w:r>
      <w:r w:rsidRPr="00B57AE7">
        <w:rPr>
          <w:sz w:val="22"/>
          <w:szCs w:val="22"/>
        </w:rPr>
        <w:t xml:space="preserve"> ≥ 6,5 až 8,0 % so stanoveným KV ochorením, ktorí dostávali sitagliptín (7</w:t>
      </w:r>
      <w:r w:rsidR="006B2E74" w:rsidRPr="00B57AE7">
        <w:rPr>
          <w:sz w:val="22"/>
          <w:szCs w:val="22"/>
        </w:rPr>
        <w:t> </w:t>
      </w:r>
      <w:r w:rsidRPr="00B57AE7">
        <w:rPr>
          <w:sz w:val="22"/>
          <w:szCs w:val="22"/>
        </w:rPr>
        <w:t>332) 100 mg denne (alebo 50 mg denne ak východisková eGFR bola ≥ 30 a &lt; 50 ml/min/1,73 m</w:t>
      </w:r>
      <w:r w:rsidRPr="00B57AE7">
        <w:rPr>
          <w:sz w:val="22"/>
          <w:szCs w:val="22"/>
          <w:vertAlign w:val="superscript"/>
        </w:rPr>
        <w:t>2</w:t>
      </w:r>
      <w:r w:rsidRPr="00B57AE7">
        <w:rPr>
          <w:sz w:val="22"/>
          <w:szCs w:val="22"/>
        </w:rPr>
        <w:t>) alebo placebo (7 339) pridané k bežnej starostlivosti zameranej na regionálne štandardy pre HbA</w:t>
      </w:r>
      <w:r w:rsidRPr="00B57AE7">
        <w:rPr>
          <w:sz w:val="22"/>
          <w:szCs w:val="22"/>
          <w:vertAlign w:val="subscript"/>
        </w:rPr>
        <w:t>1c</w:t>
      </w:r>
      <w:r w:rsidRPr="00B57AE7">
        <w:rPr>
          <w:sz w:val="22"/>
          <w:szCs w:val="22"/>
        </w:rPr>
        <w:t xml:space="preserve"> a</w:t>
      </w:r>
      <w:r w:rsidR="003458AB" w:rsidRPr="00B57AE7">
        <w:rPr>
          <w:sz w:val="22"/>
          <w:szCs w:val="22"/>
        </w:rPr>
        <w:t> </w:t>
      </w:r>
      <w:r w:rsidRPr="00B57AE7">
        <w:rPr>
          <w:sz w:val="22"/>
          <w:szCs w:val="22"/>
        </w:rPr>
        <w:t>KV rizikové faktory. Do štúdie neboli zaradení pacienti s eGFR &lt; 30 ml/min/1,73 m</w:t>
      </w:r>
      <w:r w:rsidRPr="00B57AE7">
        <w:rPr>
          <w:sz w:val="22"/>
          <w:szCs w:val="22"/>
          <w:vertAlign w:val="superscript"/>
        </w:rPr>
        <w:t xml:space="preserve">2 </w:t>
      </w:r>
      <w:r w:rsidRPr="00B57AE7">
        <w:rPr>
          <w:sz w:val="22"/>
          <w:szCs w:val="22"/>
        </w:rPr>
        <w:t>. Populácia štúdie zahŕňala 2 004 pacientov vo veku ≥ 75 rokov a 3 324 pacientov s poruchou funkcie obličiek (eGFR &lt; 60 ml/min/1,73 m</w:t>
      </w:r>
      <w:r w:rsidRPr="00B57AE7">
        <w:rPr>
          <w:sz w:val="22"/>
          <w:szCs w:val="22"/>
          <w:vertAlign w:val="superscript"/>
        </w:rPr>
        <w:t>2</w:t>
      </w:r>
      <w:r w:rsidRPr="00B57AE7">
        <w:rPr>
          <w:sz w:val="22"/>
          <w:szCs w:val="22"/>
        </w:rPr>
        <w:t>).</w:t>
      </w:r>
    </w:p>
    <w:p w14:paraId="3B436513" w14:textId="77777777" w:rsidR="00ED5600" w:rsidRPr="00B57AE7" w:rsidRDefault="00ED5600" w:rsidP="00AD6F14">
      <w:pPr>
        <w:widowControl w:val="0"/>
        <w:autoSpaceDE w:val="0"/>
        <w:autoSpaceDN w:val="0"/>
        <w:adjustRightInd w:val="0"/>
        <w:rPr>
          <w:sz w:val="22"/>
          <w:szCs w:val="22"/>
        </w:rPr>
      </w:pPr>
    </w:p>
    <w:p w14:paraId="23896624" w14:textId="77777777" w:rsidR="00ED5600" w:rsidRPr="00B57AE7" w:rsidRDefault="00D26B9D" w:rsidP="00AD6F14">
      <w:pPr>
        <w:widowControl w:val="0"/>
        <w:autoSpaceDE w:val="0"/>
        <w:autoSpaceDN w:val="0"/>
        <w:adjustRightInd w:val="0"/>
        <w:rPr>
          <w:sz w:val="22"/>
          <w:szCs w:val="22"/>
        </w:rPr>
      </w:pPr>
      <w:r w:rsidRPr="00B57AE7">
        <w:rPr>
          <w:sz w:val="22"/>
          <w:szCs w:val="22"/>
        </w:rPr>
        <w:t>Počas trvania štúdie bol celkový odhadovaný priemerný (SD) rozdiel v HbA</w:t>
      </w:r>
      <w:r w:rsidRPr="00B57AE7">
        <w:rPr>
          <w:sz w:val="22"/>
          <w:szCs w:val="22"/>
          <w:vertAlign w:val="subscript"/>
        </w:rPr>
        <w:t>1c</w:t>
      </w:r>
      <w:r w:rsidRPr="00B57AE7">
        <w:rPr>
          <w:sz w:val="22"/>
          <w:szCs w:val="22"/>
        </w:rPr>
        <w:t xml:space="preserve"> medzi skupinou užívajúcou sitagliptín a skupinou užívajúcou placebo 0,29 % (0,01), 95 % IS (−0,32; −0,27); p</w:t>
      </w:r>
      <w:r w:rsidR="003458AB" w:rsidRPr="00B57AE7">
        <w:rPr>
          <w:sz w:val="22"/>
          <w:szCs w:val="22"/>
        </w:rPr>
        <w:t> </w:t>
      </w:r>
      <w:r w:rsidRPr="00B57AE7">
        <w:rPr>
          <w:sz w:val="22"/>
          <w:szCs w:val="22"/>
        </w:rPr>
        <w:t>&lt;</w:t>
      </w:r>
      <w:r w:rsidR="003458AB" w:rsidRPr="00B57AE7">
        <w:rPr>
          <w:sz w:val="22"/>
          <w:szCs w:val="22"/>
        </w:rPr>
        <w:t> </w:t>
      </w:r>
      <w:r w:rsidRPr="00B57AE7">
        <w:rPr>
          <w:sz w:val="22"/>
          <w:szCs w:val="22"/>
        </w:rPr>
        <w:t>0,001.</w:t>
      </w:r>
    </w:p>
    <w:p w14:paraId="69203D8E" w14:textId="77777777" w:rsidR="00ED5600" w:rsidRPr="00B57AE7" w:rsidRDefault="00ED5600" w:rsidP="00AD6F14">
      <w:pPr>
        <w:widowControl w:val="0"/>
        <w:autoSpaceDE w:val="0"/>
        <w:autoSpaceDN w:val="0"/>
        <w:adjustRightInd w:val="0"/>
        <w:rPr>
          <w:sz w:val="22"/>
          <w:szCs w:val="22"/>
        </w:rPr>
      </w:pPr>
    </w:p>
    <w:p w14:paraId="14E65F8F" w14:textId="77777777" w:rsidR="00ED5600" w:rsidRPr="00B57AE7" w:rsidRDefault="00D26B9D" w:rsidP="00AD6F14">
      <w:pPr>
        <w:widowControl w:val="0"/>
        <w:autoSpaceDE w:val="0"/>
        <w:autoSpaceDN w:val="0"/>
        <w:adjustRightInd w:val="0"/>
        <w:rPr>
          <w:sz w:val="22"/>
          <w:szCs w:val="22"/>
        </w:rPr>
      </w:pPr>
      <w:r w:rsidRPr="00B57AE7">
        <w:rPr>
          <w:sz w:val="22"/>
          <w:szCs w:val="22"/>
        </w:rPr>
        <w:t xml:space="preserve">Primárny kardiovaskulárny cieľový ukazovateľ bol zložený z prvého výskytu kardiovaskulárneho úmrtia, nefatálneho infarktu myokardu, nefatálnej cievnej mozgovej príhody alebo hospitalizácie z dôvodu nestabilnej angíny pectoris. Sekundárne kardiovaskulárne cieľové ukazovatele zahŕňali prvý výskyt kardiovaskulárneho úmrtia, nefatálneho infarktu myokardu alebo nefatálnej cievnej mozgovej príhody; prvý výskyt jednotlivých zložiek primárnej kombinácie; úmrtnosť z akejkoľvek príčiny; a hospitalizáciu z dôvodu kongestívneho zlyhania srdca. </w:t>
      </w:r>
    </w:p>
    <w:p w14:paraId="64ECA4CC" w14:textId="77777777" w:rsidR="00ED5600" w:rsidRPr="00B57AE7" w:rsidRDefault="00ED5600" w:rsidP="00AD6F14">
      <w:pPr>
        <w:widowControl w:val="0"/>
        <w:autoSpaceDE w:val="0"/>
        <w:autoSpaceDN w:val="0"/>
        <w:adjustRightInd w:val="0"/>
        <w:rPr>
          <w:sz w:val="22"/>
          <w:szCs w:val="22"/>
        </w:rPr>
      </w:pPr>
    </w:p>
    <w:p w14:paraId="657B1A9F" w14:textId="77777777" w:rsidR="004756CE" w:rsidRPr="00B57AE7" w:rsidRDefault="00D26B9D" w:rsidP="00AD6F14">
      <w:pPr>
        <w:widowControl w:val="0"/>
        <w:autoSpaceDE w:val="0"/>
        <w:autoSpaceDN w:val="0"/>
        <w:adjustRightInd w:val="0"/>
        <w:rPr>
          <w:sz w:val="22"/>
          <w:szCs w:val="22"/>
        </w:rPr>
      </w:pPr>
      <w:r w:rsidRPr="00B57AE7">
        <w:rPr>
          <w:sz w:val="22"/>
          <w:szCs w:val="22"/>
        </w:rPr>
        <w:t xml:space="preserve">Po mediáne sledovania 3 roky, sitagliptín pridaný k bežnej starostlivosti, nezvýšil riziko hlavných kardiovaskulárnych nežiaducich udalostí alebo riziko hospitalizácie z dôvodu zlyhania srdca v porovnaní s bežnou starostlivosťou bez sitagliptínu u pacientov s diabetom 2. typu (tabuľka 3). </w:t>
      </w:r>
    </w:p>
    <w:p w14:paraId="3EB930E9" w14:textId="77777777" w:rsidR="004756CE" w:rsidRPr="00B57AE7" w:rsidRDefault="004756CE" w:rsidP="00AD6F14">
      <w:pPr>
        <w:widowControl w:val="0"/>
        <w:autoSpaceDE w:val="0"/>
        <w:autoSpaceDN w:val="0"/>
        <w:adjustRightInd w:val="0"/>
        <w:rPr>
          <w:sz w:val="22"/>
          <w:szCs w:val="22"/>
        </w:rPr>
      </w:pPr>
    </w:p>
    <w:p w14:paraId="61962ABE" w14:textId="77777777" w:rsidR="00D26B9D" w:rsidRPr="00B57AE7" w:rsidRDefault="00D26B9D" w:rsidP="004C72E1">
      <w:pPr>
        <w:keepNext/>
        <w:autoSpaceDE w:val="0"/>
        <w:autoSpaceDN w:val="0"/>
        <w:adjustRightInd w:val="0"/>
        <w:rPr>
          <w:b/>
          <w:sz w:val="22"/>
          <w:szCs w:val="22"/>
        </w:rPr>
      </w:pPr>
      <w:r w:rsidRPr="00B57AE7">
        <w:rPr>
          <w:b/>
          <w:sz w:val="22"/>
          <w:szCs w:val="22"/>
        </w:rPr>
        <w:t>Tabuľka 3: Hodnoty zložených kardiovaskulárnych výsledkov a kľúčových sekundárnych výsledkov</w:t>
      </w:r>
    </w:p>
    <w:p w14:paraId="58F29B88" w14:textId="77777777" w:rsidR="004756CE" w:rsidRPr="00B57AE7" w:rsidRDefault="004756CE" w:rsidP="004C72E1">
      <w:pPr>
        <w:keepNext/>
        <w:spacing w:line="179" w:lineRule="exact"/>
      </w:pPr>
    </w:p>
    <w:tbl>
      <w:tblPr>
        <w:tblW w:w="9320" w:type="dxa"/>
        <w:tblInd w:w="10" w:type="dxa"/>
        <w:tblLayout w:type="fixed"/>
        <w:tblCellMar>
          <w:left w:w="0" w:type="dxa"/>
          <w:right w:w="0" w:type="dxa"/>
        </w:tblCellMar>
        <w:tblLook w:val="0000" w:firstRow="0" w:lastRow="0" w:firstColumn="0" w:lastColumn="0" w:noHBand="0" w:noVBand="0"/>
      </w:tblPr>
      <w:tblGrid>
        <w:gridCol w:w="2960"/>
        <w:gridCol w:w="980"/>
        <w:gridCol w:w="1000"/>
        <w:gridCol w:w="980"/>
        <w:gridCol w:w="1000"/>
        <w:gridCol w:w="1500"/>
        <w:gridCol w:w="900"/>
      </w:tblGrid>
      <w:tr w:rsidR="004756CE" w:rsidRPr="00B57AE7" w14:paraId="265DF9DF" w14:textId="77777777" w:rsidTr="004756CE">
        <w:trPr>
          <w:trHeight w:val="226"/>
        </w:trPr>
        <w:tc>
          <w:tcPr>
            <w:tcW w:w="2960" w:type="dxa"/>
            <w:tcBorders>
              <w:top w:val="single" w:sz="8" w:space="0" w:color="auto"/>
              <w:left w:val="single" w:sz="8" w:space="0" w:color="auto"/>
              <w:right w:val="single" w:sz="8" w:space="0" w:color="auto"/>
            </w:tcBorders>
            <w:shd w:val="clear" w:color="auto" w:fill="auto"/>
            <w:vAlign w:val="bottom"/>
          </w:tcPr>
          <w:p w14:paraId="6E458872" w14:textId="77777777" w:rsidR="004756CE" w:rsidRPr="00B57AE7" w:rsidRDefault="004756CE" w:rsidP="004C72E1">
            <w:pPr>
              <w:keepNext/>
              <w:spacing w:line="0" w:lineRule="atLeast"/>
              <w:rPr>
                <w:sz w:val="22"/>
                <w:szCs w:val="22"/>
              </w:rPr>
            </w:pPr>
          </w:p>
        </w:tc>
        <w:tc>
          <w:tcPr>
            <w:tcW w:w="1980" w:type="dxa"/>
            <w:gridSpan w:val="2"/>
            <w:tcBorders>
              <w:top w:val="single" w:sz="8" w:space="0" w:color="auto"/>
              <w:bottom w:val="single" w:sz="8" w:space="0" w:color="auto"/>
              <w:right w:val="single" w:sz="8" w:space="0" w:color="auto"/>
            </w:tcBorders>
            <w:shd w:val="clear" w:color="auto" w:fill="auto"/>
            <w:vAlign w:val="bottom"/>
          </w:tcPr>
          <w:p w14:paraId="7C9067A9" w14:textId="77777777" w:rsidR="004756CE" w:rsidRPr="00B57AE7" w:rsidRDefault="004756CE" w:rsidP="004C72E1">
            <w:pPr>
              <w:keepNext/>
              <w:spacing w:line="0" w:lineRule="atLeast"/>
              <w:jc w:val="center"/>
              <w:rPr>
                <w:b/>
                <w:w w:val="99"/>
                <w:sz w:val="22"/>
                <w:szCs w:val="22"/>
              </w:rPr>
            </w:pPr>
            <w:r w:rsidRPr="00B57AE7">
              <w:rPr>
                <w:b/>
                <w:w w:val="99"/>
                <w:sz w:val="22"/>
                <w:szCs w:val="22"/>
              </w:rPr>
              <w:t>Sitagliptín 100 mg</w:t>
            </w:r>
          </w:p>
        </w:tc>
        <w:tc>
          <w:tcPr>
            <w:tcW w:w="1980" w:type="dxa"/>
            <w:gridSpan w:val="2"/>
            <w:tcBorders>
              <w:top w:val="single" w:sz="8" w:space="0" w:color="auto"/>
              <w:bottom w:val="single" w:sz="8" w:space="0" w:color="auto"/>
              <w:right w:val="single" w:sz="8" w:space="0" w:color="auto"/>
            </w:tcBorders>
            <w:shd w:val="clear" w:color="auto" w:fill="auto"/>
            <w:vAlign w:val="bottom"/>
          </w:tcPr>
          <w:p w14:paraId="4AE5AE1D" w14:textId="77777777" w:rsidR="004756CE" w:rsidRPr="00B57AE7" w:rsidRDefault="004756CE" w:rsidP="004C72E1">
            <w:pPr>
              <w:keepNext/>
              <w:spacing w:line="0" w:lineRule="atLeast"/>
              <w:jc w:val="center"/>
              <w:rPr>
                <w:b/>
                <w:w w:val="96"/>
                <w:sz w:val="22"/>
                <w:szCs w:val="22"/>
              </w:rPr>
            </w:pPr>
            <w:r w:rsidRPr="00B57AE7">
              <w:rPr>
                <w:b/>
                <w:w w:val="96"/>
                <w:sz w:val="22"/>
                <w:szCs w:val="22"/>
              </w:rPr>
              <w:t>Placebo</w:t>
            </w:r>
          </w:p>
        </w:tc>
        <w:tc>
          <w:tcPr>
            <w:tcW w:w="1500" w:type="dxa"/>
            <w:tcBorders>
              <w:top w:val="single" w:sz="8" w:space="0" w:color="auto"/>
              <w:right w:val="single" w:sz="8" w:space="0" w:color="auto"/>
            </w:tcBorders>
            <w:shd w:val="clear" w:color="auto" w:fill="auto"/>
            <w:vAlign w:val="bottom"/>
          </w:tcPr>
          <w:p w14:paraId="685561C7" w14:textId="77777777" w:rsidR="004756CE" w:rsidRPr="00B57AE7" w:rsidRDefault="004756CE" w:rsidP="004C72E1">
            <w:pPr>
              <w:keepNext/>
              <w:spacing w:line="0" w:lineRule="atLeast"/>
              <w:rPr>
                <w:sz w:val="22"/>
                <w:szCs w:val="22"/>
              </w:rPr>
            </w:pPr>
          </w:p>
        </w:tc>
        <w:tc>
          <w:tcPr>
            <w:tcW w:w="900" w:type="dxa"/>
            <w:tcBorders>
              <w:top w:val="single" w:sz="8" w:space="0" w:color="auto"/>
              <w:right w:val="single" w:sz="8" w:space="0" w:color="auto"/>
            </w:tcBorders>
            <w:shd w:val="clear" w:color="auto" w:fill="auto"/>
            <w:vAlign w:val="bottom"/>
          </w:tcPr>
          <w:p w14:paraId="2E9507EE" w14:textId="77777777" w:rsidR="004756CE" w:rsidRPr="00B57AE7" w:rsidRDefault="004756CE" w:rsidP="004C72E1">
            <w:pPr>
              <w:keepNext/>
              <w:spacing w:line="0" w:lineRule="atLeast"/>
              <w:rPr>
                <w:sz w:val="22"/>
                <w:szCs w:val="22"/>
              </w:rPr>
            </w:pPr>
          </w:p>
        </w:tc>
      </w:tr>
      <w:tr w:rsidR="004756CE" w:rsidRPr="00B57AE7" w14:paraId="217DE494" w14:textId="77777777" w:rsidTr="004756CE">
        <w:trPr>
          <w:trHeight w:val="235"/>
        </w:trPr>
        <w:tc>
          <w:tcPr>
            <w:tcW w:w="2960" w:type="dxa"/>
            <w:tcBorders>
              <w:left w:val="single" w:sz="8" w:space="0" w:color="auto"/>
              <w:right w:val="single" w:sz="8" w:space="0" w:color="auto"/>
            </w:tcBorders>
            <w:shd w:val="clear" w:color="auto" w:fill="auto"/>
            <w:vAlign w:val="bottom"/>
          </w:tcPr>
          <w:p w14:paraId="7E47B3A1" w14:textId="77777777" w:rsidR="004756CE" w:rsidRPr="00B57AE7" w:rsidRDefault="004756CE" w:rsidP="003458AB">
            <w:pPr>
              <w:keepNext/>
              <w:spacing w:line="0" w:lineRule="atLeast"/>
              <w:rPr>
                <w:sz w:val="22"/>
                <w:szCs w:val="22"/>
              </w:rPr>
            </w:pPr>
          </w:p>
        </w:tc>
        <w:tc>
          <w:tcPr>
            <w:tcW w:w="980" w:type="dxa"/>
            <w:tcBorders>
              <w:right w:val="single" w:sz="8" w:space="0" w:color="auto"/>
            </w:tcBorders>
            <w:shd w:val="clear" w:color="auto" w:fill="auto"/>
            <w:vAlign w:val="bottom"/>
          </w:tcPr>
          <w:p w14:paraId="1FC31C9A" w14:textId="77777777" w:rsidR="004756CE" w:rsidRPr="00B57AE7" w:rsidRDefault="004756CE" w:rsidP="003458AB">
            <w:pPr>
              <w:keepNext/>
              <w:spacing w:line="0" w:lineRule="atLeast"/>
              <w:rPr>
                <w:sz w:val="22"/>
                <w:szCs w:val="22"/>
              </w:rPr>
            </w:pPr>
          </w:p>
        </w:tc>
        <w:tc>
          <w:tcPr>
            <w:tcW w:w="1000" w:type="dxa"/>
            <w:tcBorders>
              <w:right w:val="single" w:sz="8" w:space="0" w:color="auto"/>
            </w:tcBorders>
            <w:shd w:val="clear" w:color="auto" w:fill="auto"/>
            <w:vAlign w:val="bottom"/>
          </w:tcPr>
          <w:p w14:paraId="1B2D1631" w14:textId="77777777" w:rsidR="004756CE" w:rsidRPr="00B57AE7" w:rsidRDefault="004756CE" w:rsidP="003458AB">
            <w:pPr>
              <w:keepNext/>
              <w:spacing w:line="0" w:lineRule="atLeast"/>
              <w:jc w:val="center"/>
              <w:rPr>
                <w:b/>
                <w:sz w:val="22"/>
                <w:szCs w:val="22"/>
              </w:rPr>
            </w:pPr>
            <w:r w:rsidRPr="00B57AE7">
              <w:rPr>
                <w:b/>
                <w:sz w:val="22"/>
                <w:szCs w:val="22"/>
              </w:rPr>
              <w:t>Výskyt na</w:t>
            </w:r>
          </w:p>
        </w:tc>
        <w:tc>
          <w:tcPr>
            <w:tcW w:w="980" w:type="dxa"/>
            <w:tcBorders>
              <w:right w:val="single" w:sz="8" w:space="0" w:color="auto"/>
            </w:tcBorders>
            <w:shd w:val="clear" w:color="auto" w:fill="auto"/>
            <w:vAlign w:val="bottom"/>
          </w:tcPr>
          <w:p w14:paraId="2BB90BE7" w14:textId="77777777" w:rsidR="004756CE" w:rsidRPr="00B57AE7" w:rsidRDefault="004756CE" w:rsidP="003458AB">
            <w:pPr>
              <w:keepNext/>
              <w:spacing w:line="0" w:lineRule="atLeast"/>
              <w:rPr>
                <w:sz w:val="22"/>
                <w:szCs w:val="22"/>
              </w:rPr>
            </w:pPr>
          </w:p>
        </w:tc>
        <w:tc>
          <w:tcPr>
            <w:tcW w:w="1000" w:type="dxa"/>
            <w:tcBorders>
              <w:right w:val="single" w:sz="8" w:space="0" w:color="auto"/>
            </w:tcBorders>
            <w:shd w:val="clear" w:color="auto" w:fill="auto"/>
            <w:vAlign w:val="bottom"/>
          </w:tcPr>
          <w:p w14:paraId="750A55EF" w14:textId="77777777" w:rsidR="004756CE" w:rsidRPr="00B57AE7" w:rsidRDefault="004756CE" w:rsidP="003458AB">
            <w:pPr>
              <w:keepNext/>
              <w:spacing w:line="0" w:lineRule="atLeast"/>
              <w:jc w:val="center"/>
              <w:rPr>
                <w:b/>
                <w:sz w:val="22"/>
                <w:szCs w:val="22"/>
              </w:rPr>
            </w:pPr>
            <w:r w:rsidRPr="00B57AE7">
              <w:rPr>
                <w:b/>
                <w:sz w:val="22"/>
                <w:szCs w:val="22"/>
              </w:rPr>
              <w:t>Výskyt na</w:t>
            </w:r>
          </w:p>
        </w:tc>
        <w:tc>
          <w:tcPr>
            <w:tcW w:w="1500" w:type="dxa"/>
            <w:tcBorders>
              <w:right w:val="single" w:sz="8" w:space="0" w:color="auto"/>
            </w:tcBorders>
            <w:shd w:val="clear" w:color="auto" w:fill="auto"/>
            <w:vAlign w:val="bottom"/>
          </w:tcPr>
          <w:p w14:paraId="288FBACB" w14:textId="77777777" w:rsidR="004756CE" w:rsidRPr="00B57AE7" w:rsidRDefault="004756CE" w:rsidP="003458AB">
            <w:pPr>
              <w:keepNext/>
              <w:spacing w:line="0" w:lineRule="atLeast"/>
              <w:rPr>
                <w:sz w:val="22"/>
                <w:szCs w:val="22"/>
              </w:rPr>
            </w:pPr>
          </w:p>
        </w:tc>
        <w:tc>
          <w:tcPr>
            <w:tcW w:w="900" w:type="dxa"/>
            <w:tcBorders>
              <w:right w:val="single" w:sz="8" w:space="0" w:color="auto"/>
            </w:tcBorders>
            <w:shd w:val="clear" w:color="auto" w:fill="auto"/>
            <w:vAlign w:val="bottom"/>
          </w:tcPr>
          <w:p w14:paraId="2CFDD916" w14:textId="77777777" w:rsidR="004756CE" w:rsidRPr="00B57AE7" w:rsidRDefault="004756CE" w:rsidP="003458AB">
            <w:pPr>
              <w:keepNext/>
              <w:spacing w:line="0" w:lineRule="atLeast"/>
              <w:rPr>
                <w:sz w:val="22"/>
                <w:szCs w:val="22"/>
              </w:rPr>
            </w:pPr>
          </w:p>
        </w:tc>
      </w:tr>
      <w:tr w:rsidR="004756CE" w:rsidRPr="00B57AE7" w14:paraId="79B6B08B" w14:textId="77777777" w:rsidTr="004756CE">
        <w:trPr>
          <w:trHeight w:val="211"/>
        </w:trPr>
        <w:tc>
          <w:tcPr>
            <w:tcW w:w="2960" w:type="dxa"/>
            <w:tcBorders>
              <w:left w:val="single" w:sz="8" w:space="0" w:color="auto"/>
              <w:right w:val="single" w:sz="8" w:space="0" w:color="auto"/>
            </w:tcBorders>
            <w:shd w:val="clear" w:color="auto" w:fill="auto"/>
            <w:vAlign w:val="bottom"/>
          </w:tcPr>
          <w:p w14:paraId="75B6D575" w14:textId="77777777" w:rsidR="004756CE" w:rsidRPr="00B57AE7" w:rsidRDefault="004756CE" w:rsidP="003458AB">
            <w:pPr>
              <w:keepNext/>
              <w:spacing w:line="0" w:lineRule="atLeast"/>
              <w:rPr>
                <w:sz w:val="22"/>
                <w:szCs w:val="22"/>
              </w:rPr>
            </w:pPr>
          </w:p>
        </w:tc>
        <w:tc>
          <w:tcPr>
            <w:tcW w:w="980" w:type="dxa"/>
            <w:tcBorders>
              <w:right w:val="single" w:sz="8" w:space="0" w:color="auto"/>
            </w:tcBorders>
            <w:shd w:val="clear" w:color="auto" w:fill="auto"/>
            <w:vAlign w:val="bottom"/>
          </w:tcPr>
          <w:p w14:paraId="0227E597" w14:textId="77777777" w:rsidR="004756CE" w:rsidRPr="00B57AE7" w:rsidRDefault="004756CE" w:rsidP="003458AB">
            <w:pPr>
              <w:keepNext/>
              <w:spacing w:line="0" w:lineRule="atLeast"/>
              <w:rPr>
                <w:sz w:val="22"/>
                <w:szCs w:val="22"/>
              </w:rPr>
            </w:pPr>
          </w:p>
        </w:tc>
        <w:tc>
          <w:tcPr>
            <w:tcW w:w="1000" w:type="dxa"/>
            <w:tcBorders>
              <w:right w:val="single" w:sz="8" w:space="0" w:color="auto"/>
            </w:tcBorders>
            <w:shd w:val="clear" w:color="auto" w:fill="auto"/>
            <w:vAlign w:val="bottom"/>
          </w:tcPr>
          <w:p w14:paraId="4F9F7D8A" w14:textId="77777777" w:rsidR="004756CE" w:rsidRPr="00B57AE7" w:rsidRDefault="004756CE" w:rsidP="003458AB">
            <w:pPr>
              <w:keepNext/>
              <w:spacing w:line="0" w:lineRule="atLeast"/>
              <w:jc w:val="center"/>
              <w:rPr>
                <w:b/>
                <w:sz w:val="22"/>
                <w:szCs w:val="22"/>
              </w:rPr>
            </w:pPr>
            <w:r w:rsidRPr="00B57AE7">
              <w:rPr>
                <w:b/>
                <w:sz w:val="22"/>
                <w:szCs w:val="22"/>
              </w:rPr>
              <w:t>100</w:t>
            </w:r>
          </w:p>
        </w:tc>
        <w:tc>
          <w:tcPr>
            <w:tcW w:w="980" w:type="dxa"/>
            <w:tcBorders>
              <w:right w:val="single" w:sz="8" w:space="0" w:color="auto"/>
            </w:tcBorders>
            <w:shd w:val="clear" w:color="auto" w:fill="auto"/>
            <w:vAlign w:val="bottom"/>
          </w:tcPr>
          <w:p w14:paraId="349FED01" w14:textId="77777777" w:rsidR="004756CE" w:rsidRPr="00B57AE7" w:rsidRDefault="004756CE" w:rsidP="003458AB">
            <w:pPr>
              <w:keepNext/>
              <w:spacing w:line="0" w:lineRule="atLeast"/>
              <w:rPr>
                <w:sz w:val="22"/>
                <w:szCs w:val="22"/>
              </w:rPr>
            </w:pPr>
          </w:p>
        </w:tc>
        <w:tc>
          <w:tcPr>
            <w:tcW w:w="1000" w:type="dxa"/>
            <w:tcBorders>
              <w:right w:val="single" w:sz="8" w:space="0" w:color="auto"/>
            </w:tcBorders>
            <w:shd w:val="clear" w:color="auto" w:fill="auto"/>
            <w:vAlign w:val="bottom"/>
          </w:tcPr>
          <w:p w14:paraId="76540FFC" w14:textId="77777777" w:rsidR="004756CE" w:rsidRPr="00B57AE7" w:rsidRDefault="004756CE" w:rsidP="003458AB">
            <w:pPr>
              <w:keepNext/>
              <w:spacing w:line="0" w:lineRule="atLeast"/>
              <w:jc w:val="center"/>
              <w:rPr>
                <w:b/>
                <w:sz w:val="22"/>
                <w:szCs w:val="22"/>
              </w:rPr>
            </w:pPr>
            <w:r w:rsidRPr="00B57AE7">
              <w:rPr>
                <w:b/>
                <w:sz w:val="22"/>
                <w:szCs w:val="22"/>
              </w:rPr>
              <w:t>100</w:t>
            </w:r>
          </w:p>
        </w:tc>
        <w:tc>
          <w:tcPr>
            <w:tcW w:w="1500" w:type="dxa"/>
            <w:vMerge w:val="restart"/>
            <w:tcBorders>
              <w:right w:val="single" w:sz="8" w:space="0" w:color="auto"/>
            </w:tcBorders>
            <w:shd w:val="clear" w:color="auto" w:fill="auto"/>
            <w:vAlign w:val="bottom"/>
          </w:tcPr>
          <w:p w14:paraId="11F62179" w14:textId="77777777" w:rsidR="004756CE" w:rsidRPr="00B57AE7" w:rsidRDefault="004756CE" w:rsidP="003458AB">
            <w:pPr>
              <w:keepNext/>
              <w:spacing w:line="0" w:lineRule="atLeast"/>
              <w:jc w:val="center"/>
              <w:rPr>
                <w:b/>
                <w:w w:val="99"/>
                <w:sz w:val="22"/>
                <w:szCs w:val="22"/>
              </w:rPr>
            </w:pPr>
            <w:r w:rsidRPr="00B57AE7">
              <w:rPr>
                <w:b/>
                <w:w w:val="99"/>
                <w:sz w:val="22"/>
                <w:szCs w:val="22"/>
              </w:rPr>
              <w:t>Pomer rizika</w:t>
            </w:r>
          </w:p>
        </w:tc>
        <w:tc>
          <w:tcPr>
            <w:tcW w:w="900" w:type="dxa"/>
            <w:tcBorders>
              <w:right w:val="single" w:sz="8" w:space="0" w:color="auto"/>
            </w:tcBorders>
            <w:shd w:val="clear" w:color="auto" w:fill="auto"/>
            <w:vAlign w:val="bottom"/>
          </w:tcPr>
          <w:p w14:paraId="2A6EDA3A" w14:textId="77777777" w:rsidR="004756CE" w:rsidRPr="00B57AE7" w:rsidRDefault="004756CE" w:rsidP="003458AB">
            <w:pPr>
              <w:keepNext/>
              <w:spacing w:line="0" w:lineRule="atLeast"/>
              <w:rPr>
                <w:sz w:val="22"/>
                <w:szCs w:val="22"/>
              </w:rPr>
            </w:pPr>
          </w:p>
        </w:tc>
      </w:tr>
      <w:tr w:rsidR="004756CE" w:rsidRPr="00B57AE7" w14:paraId="1CF81162" w14:textId="77777777" w:rsidTr="004756CE">
        <w:trPr>
          <w:trHeight w:val="197"/>
        </w:trPr>
        <w:tc>
          <w:tcPr>
            <w:tcW w:w="2960" w:type="dxa"/>
            <w:tcBorders>
              <w:left w:val="single" w:sz="8" w:space="0" w:color="auto"/>
              <w:right w:val="single" w:sz="8" w:space="0" w:color="auto"/>
            </w:tcBorders>
            <w:shd w:val="clear" w:color="auto" w:fill="auto"/>
            <w:vAlign w:val="bottom"/>
          </w:tcPr>
          <w:p w14:paraId="709FBDA7" w14:textId="77777777" w:rsidR="004756CE" w:rsidRPr="00B57AE7" w:rsidRDefault="004756CE" w:rsidP="003458AB">
            <w:pPr>
              <w:keepNext/>
              <w:spacing w:line="0" w:lineRule="atLeast"/>
              <w:rPr>
                <w:sz w:val="22"/>
                <w:szCs w:val="22"/>
              </w:rPr>
            </w:pPr>
          </w:p>
        </w:tc>
        <w:tc>
          <w:tcPr>
            <w:tcW w:w="980" w:type="dxa"/>
            <w:tcBorders>
              <w:right w:val="single" w:sz="8" w:space="0" w:color="auto"/>
            </w:tcBorders>
            <w:shd w:val="clear" w:color="auto" w:fill="auto"/>
            <w:vAlign w:val="bottom"/>
          </w:tcPr>
          <w:p w14:paraId="3B3BA4EE" w14:textId="77777777" w:rsidR="004756CE" w:rsidRPr="00B57AE7" w:rsidRDefault="004756CE" w:rsidP="003458AB">
            <w:pPr>
              <w:keepNext/>
              <w:spacing w:line="0" w:lineRule="atLeast"/>
              <w:rPr>
                <w:sz w:val="22"/>
                <w:szCs w:val="22"/>
              </w:rPr>
            </w:pPr>
          </w:p>
        </w:tc>
        <w:tc>
          <w:tcPr>
            <w:tcW w:w="1000" w:type="dxa"/>
            <w:tcBorders>
              <w:right w:val="single" w:sz="8" w:space="0" w:color="auto"/>
            </w:tcBorders>
            <w:shd w:val="clear" w:color="auto" w:fill="auto"/>
            <w:vAlign w:val="bottom"/>
          </w:tcPr>
          <w:p w14:paraId="7A3322A3" w14:textId="77777777" w:rsidR="004756CE" w:rsidRPr="00B57AE7" w:rsidRDefault="004756CE" w:rsidP="003458AB">
            <w:pPr>
              <w:keepNext/>
              <w:spacing w:line="197" w:lineRule="exact"/>
              <w:jc w:val="center"/>
              <w:rPr>
                <w:b/>
                <w:w w:val="98"/>
                <w:sz w:val="22"/>
                <w:szCs w:val="22"/>
              </w:rPr>
            </w:pPr>
            <w:r w:rsidRPr="00B57AE7">
              <w:rPr>
                <w:b/>
                <w:w w:val="98"/>
                <w:sz w:val="22"/>
                <w:szCs w:val="22"/>
              </w:rPr>
              <w:t>paciento-</w:t>
            </w:r>
          </w:p>
        </w:tc>
        <w:tc>
          <w:tcPr>
            <w:tcW w:w="980" w:type="dxa"/>
            <w:tcBorders>
              <w:right w:val="single" w:sz="8" w:space="0" w:color="auto"/>
            </w:tcBorders>
            <w:shd w:val="clear" w:color="auto" w:fill="auto"/>
            <w:vAlign w:val="bottom"/>
          </w:tcPr>
          <w:p w14:paraId="16C4C1CD" w14:textId="77777777" w:rsidR="004756CE" w:rsidRPr="00B57AE7" w:rsidRDefault="004756CE" w:rsidP="003458AB">
            <w:pPr>
              <w:keepNext/>
              <w:spacing w:line="0" w:lineRule="atLeast"/>
              <w:rPr>
                <w:sz w:val="22"/>
                <w:szCs w:val="22"/>
              </w:rPr>
            </w:pPr>
          </w:p>
        </w:tc>
        <w:tc>
          <w:tcPr>
            <w:tcW w:w="1000" w:type="dxa"/>
            <w:tcBorders>
              <w:right w:val="single" w:sz="8" w:space="0" w:color="auto"/>
            </w:tcBorders>
            <w:shd w:val="clear" w:color="auto" w:fill="auto"/>
            <w:vAlign w:val="bottom"/>
          </w:tcPr>
          <w:p w14:paraId="154B8F3F" w14:textId="77777777" w:rsidR="004756CE" w:rsidRPr="00B57AE7" w:rsidRDefault="004756CE" w:rsidP="003458AB">
            <w:pPr>
              <w:keepNext/>
              <w:spacing w:line="197" w:lineRule="exact"/>
              <w:jc w:val="center"/>
              <w:rPr>
                <w:b/>
                <w:w w:val="98"/>
                <w:sz w:val="22"/>
                <w:szCs w:val="22"/>
              </w:rPr>
            </w:pPr>
            <w:r w:rsidRPr="00B57AE7">
              <w:rPr>
                <w:b/>
                <w:w w:val="98"/>
                <w:sz w:val="22"/>
                <w:szCs w:val="22"/>
              </w:rPr>
              <w:t>paciento-</w:t>
            </w:r>
          </w:p>
        </w:tc>
        <w:tc>
          <w:tcPr>
            <w:tcW w:w="1500" w:type="dxa"/>
            <w:vMerge/>
            <w:tcBorders>
              <w:right w:val="single" w:sz="8" w:space="0" w:color="auto"/>
            </w:tcBorders>
            <w:shd w:val="clear" w:color="auto" w:fill="auto"/>
            <w:vAlign w:val="bottom"/>
          </w:tcPr>
          <w:p w14:paraId="0EC31917" w14:textId="77777777" w:rsidR="004756CE" w:rsidRPr="00B57AE7" w:rsidRDefault="004756CE" w:rsidP="003458AB">
            <w:pPr>
              <w:keepNext/>
              <w:spacing w:line="0" w:lineRule="atLeast"/>
              <w:rPr>
                <w:sz w:val="22"/>
                <w:szCs w:val="22"/>
              </w:rPr>
            </w:pPr>
          </w:p>
        </w:tc>
        <w:tc>
          <w:tcPr>
            <w:tcW w:w="900" w:type="dxa"/>
            <w:tcBorders>
              <w:right w:val="single" w:sz="8" w:space="0" w:color="auto"/>
            </w:tcBorders>
            <w:shd w:val="clear" w:color="auto" w:fill="auto"/>
            <w:vAlign w:val="bottom"/>
          </w:tcPr>
          <w:p w14:paraId="6DA6397B" w14:textId="77777777" w:rsidR="004756CE" w:rsidRPr="00B57AE7" w:rsidRDefault="004756CE" w:rsidP="003458AB">
            <w:pPr>
              <w:keepNext/>
              <w:spacing w:line="197" w:lineRule="exact"/>
              <w:jc w:val="center"/>
              <w:rPr>
                <w:b/>
                <w:w w:val="98"/>
                <w:sz w:val="22"/>
                <w:szCs w:val="22"/>
              </w:rPr>
            </w:pPr>
            <w:r w:rsidRPr="00B57AE7">
              <w:rPr>
                <w:b/>
                <w:w w:val="98"/>
                <w:sz w:val="22"/>
                <w:szCs w:val="22"/>
              </w:rPr>
              <w:t>Hodnota</w:t>
            </w:r>
          </w:p>
        </w:tc>
      </w:tr>
      <w:tr w:rsidR="004756CE" w:rsidRPr="00B57AE7" w14:paraId="78BFF5C5" w14:textId="77777777" w:rsidTr="004756CE">
        <w:trPr>
          <w:trHeight w:val="241"/>
        </w:trPr>
        <w:tc>
          <w:tcPr>
            <w:tcW w:w="2960" w:type="dxa"/>
            <w:tcBorders>
              <w:left w:val="single" w:sz="8" w:space="0" w:color="auto"/>
              <w:bottom w:val="single" w:sz="8" w:space="0" w:color="auto"/>
              <w:right w:val="single" w:sz="8" w:space="0" w:color="auto"/>
            </w:tcBorders>
            <w:shd w:val="clear" w:color="auto" w:fill="auto"/>
            <w:vAlign w:val="bottom"/>
          </w:tcPr>
          <w:p w14:paraId="73BF8D14" w14:textId="77777777" w:rsidR="004756CE" w:rsidRPr="00B57AE7" w:rsidRDefault="004756CE" w:rsidP="003458AB">
            <w:pPr>
              <w:keepNext/>
              <w:spacing w:line="0" w:lineRule="atLeast"/>
              <w:rPr>
                <w:sz w:val="22"/>
                <w:szCs w:val="22"/>
              </w:rPr>
            </w:pPr>
          </w:p>
        </w:tc>
        <w:tc>
          <w:tcPr>
            <w:tcW w:w="980" w:type="dxa"/>
            <w:tcBorders>
              <w:bottom w:val="single" w:sz="8" w:space="0" w:color="auto"/>
              <w:right w:val="single" w:sz="8" w:space="0" w:color="auto"/>
            </w:tcBorders>
            <w:shd w:val="clear" w:color="auto" w:fill="auto"/>
            <w:vAlign w:val="bottom"/>
          </w:tcPr>
          <w:p w14:paraId="1694261D" w14:textId="77777777" w:rsidR="004756CE" w:rsidRPr="00B57AE7" w:rsidRDefault="004756CE" w:rsidP="003458AB">
            <w:pPr>
              <w:keepNext/>
              <w:spacing w:line="0" w:lineRule="atLeast"/>
              <w:ind w:left="240"/>
              <w:rPr>
                <w:b/>
                <w:sz w:val="22"/>
                <w:szCs w:val="22"/>
              </w:rPr>
            </w:pPr>
            <w:r w:rsidRPr="00B57AE7">
              <w:rPr>
                <w:b/>
                <w:sz w:val="22"/>
                <w:szCs w:val="22"/>
              </w:rPr>
              <w:t>N (%)</w:t>
            </w:r>
          </w:p>
        </w:tc>
        <w:tc>
          <w:tcPr>
            <w:tcW w:w="1000" w:type="dxa"/>
            <w:tcBorders>
              <w:bottom w:val="single" w:sz="8" w:space="0" w:color="auto"/>
              <w:right w:val="single" w:sz="8" w:space="0" w:color="auto"/>
            </w:tcBorders>
            <w:shd w:val="clear" w:color="auto" w:fill="auto"/>
            <w:vAlign w:val="bottom"/>
          </w:tcPr>
          <w:p w14:paraId="4C86E51A" w14:textId="77777777" w:rsidR="004756CE" w:rsidRPr="00B57AE7" w:rsidRDefault="004756CE" w:rsidP="003458AB">
            <w:pPr>
              <w:keepNext/>
              <w:spacing w:line="0" w:lineRule="atLeast"/>
              <w:jc w:val="center"/>
              <w:rPr>
                <w:w w:val="99"/>
                <w:sz w:val="22"/>
                <w:szCs w:val="22"/>
              </w:rPr>
            </w:pPr>
            <w:r w:rsidRPr="00B57AE7">
              <w:rPr>
                <w:b/>
                <w:w w:val="99"/>
                <w:sz w:val="22"/>
                <w:szCs w:val="22"/>
              </w:rPr>
              <w:t>rokov</w:t>
            </w:r>
            <w:r w:rsidRPr="00B57AE7">
              <w:rPr>
                <w:w w:val="99"/>
                <w:sz w:val="22"/>
                <w:szCs w:val="22"/>
              </w:rPr>
              <w:t>*</w:t>
            </w:r>
          </w:p>
        </w:tc>
        <w:tc>
          <w:tcPr>
            <w:tcW w:w="980" w:type="dxa"/>
            <w:tcBorders>
              <w:bottom w:val="single" w:sz="8" w:space="0" w:color="auto"/>
              <w:right w:val="single" w:sz="8" w:space="0" w:color="auto"/>
            </w:tcBorders>
            <w:shd w:val="clear" w:color="auto" w:fill="auto"/>
            <w:vAlign w:val="bottom"/>
          </w:tcPr>
          <w:p w14:paraId="6E0FE39E" w14:textId="77777777" w:rsidR="004756CE" w:rsidRPr="00B57AE7" w:rsidRDefault="004756CE" w:rsidP="003458AB">
            <w:pPr>
              <w:keepNext/>
              <w:spacing w:line="0" w:lineRule="atLeast"/>
              <w:ind w:left="240"/>
              <w:rPr>
                <w:b/>
                <w:sz w:val="22"/>
                <w:szCs w:val="22"/>
              </w:rPr>
            </w:pPr>
            <w:r w:rsidRPr="00B57AE7">
              <w:rPr>
                <w:b/>
                <w:sz w:val="22"/>
                <w:szCs w:val="22"/>
              </w:rPr>
              <w:t>N (%)</w:t>
            </w:r>
          </w:p>
        </w:tc>
        <w:tc>
          <w:tcPr>
            <w:tcW w:w="1000" w:type="dxa"/>
            <w:tcBorders>
              <w:bottom w:val="single" w:sz="8" w:space="0" w:color="auto"/>
              <w:right w:val="single" w:sz="8" w:space="0" w:color="auto"/>
            </w:tcBorders>
            <w:shd w:val="clear" w:color="auto" w:fill="auto"/>
            <w:vAlign w:val="bottom"/>
          </w:tcPr>
          <w:p w14:paraId="729C280B" w14:textId="77777777" w:rsidR="004756CE" w:rsidRPr="00B57AE7" w:rsidRDefault="004756CE" w:rsidP="003458AB">
            <w:pPr>
              <w:keepNext/>
              <w:spacing w:line="0" w:lineRule="atLeast"/>
              <w:jc w:val="center"/>
              <w:rPr>
                <w:w w:val="99"/>
                <w:sz w:val="22"/>
                <w:szCs w:val="22"/>
              </w:rPr>
            </w:pPr>
            <w:r w:rsidRPr="00B57AE7">
              <w:rPr>
                <w:b/>
                <w:w w:val="99"/>
                <w:sz w:val="22"/>
                <w:szCs w:val="22"/>
              </w:rPr>
              <w:t>rokov</w:t>
            </w:r>
            <w:r w:rsidRPr="00B57AE7">
              <w:rPr>
                <w:w w:val="99"/>
                <w:sz w:val="22"/>
                <w:szCs w:val="22"/>
              </w:rPr>
              <w:t>*</w:t>
            </w:r>
          </w:p>
        </w:tc>
        <w:tc>
          <w:tcPr>
            <w:tcW w:w="1500" w:type="dxa"/>
            <w:tcBorders>
              <w:bottom w:val="single" w:sz="8" w:space="0" w:color="auto"/>
              <w:right w:val="single" w:sz="8" w:space="0" w:color="auto"/>
            </w:tcBorders>
            <w:shd w:val="clear" w:color="auto" w:fill="auto"/>
            <w:vAlign w:val="bottom"/>
          </w:tcPr>
          <w:p w14:paraId="6BB933BE" w14:textId="77777777" w:rsidR="004756CE" w:rsidRPr="00B57AE7" w:rsidRDefault="004756CE" w:rsidP="003458AB">
            <w:pPr>
              <w:keepNext/>
              <w:spacing w:line="0" w:lineRule="atLeast"/>
              <w:jc w:val="center"/>
              <w:rPr>
                <w:b/>
                <w:w w:val="99"/>
                <w:sz w:val="22"/>
                <w:szCs w:val="22"/>
              </w:rPr>
            </w:pPr>
            <w:r w:rsidRPr="00B57AE7">
              <w:rPr>
                <w:b/>
                <w:w w:val="99"/>
                <w:sz w:val="22"/>
                <w:szCs w:val="22"/>
              </w:rPr>
              <w:t>(95 % IS)</w:t>
            </w:r>
          </w:p>
        </w:tc>
        <w:tc>
          <w:tcPr>
            <w:tcW w:w="900" w:type="dxa"/>
            <w:tcBorders>
              <w:bottom w:val="single" w:sz="8" w:space="0" w:color="auto"/>
              <w:right w:val="single" w:sz="8" w:space="0" w:color="auto"/>
            </w:tcBorders>
            <w:shd w:val="clear" w:color="auto" w:fill="auto"/>
            <w:vAlign w:val="bottom"/>
          </w:tcPr>
          <w:p w14:paraId="3B02E2B4" w14:textId="77777777" w:rsidR="004756CE" w:rsidRPr="00B57AE7" w:rsidRDefault="004756CE" w:rsidP="003458AB">
            <w:pPr>
              <w:keepNext/>
              <w:spacing w:line="241" w:lineRule="exact"/>
              <w:jc w:val="center"/>
              <w:rPr>
                <w:sz w:val="22"/>
                <w:szCs w:val="22"/>
              </w:rPr>
            </w:pPr>
            <w:r w:rsidRPr="00B57AE7">
              <w:rPr>
                <w:b/>
                <w:sz w:val="22"/>
                <w:szCs w:val="22"/>
              </w:rPr>
              <w:t>p</w:t>
            </w:r>
            <w:r w:rsidRPr="00B57AE7">
              <w:rPr>
                <w:sz w:val="22"/>
                <w:szCs w:val="22"/>
              </w:rPr>
              <w:t>†</w:t>
            </w:r>
          </w:p>
        </w:tc>
      </w:tr>
      <w:tr w:rsidR="004756CE" w:rsidRPr="00B57AE7" w14:paraId="7D8204D1" w14:textId="77777777" w:rsidTr="00870D7A">
        <w:trPr>
          <w:trHeight w:val="246"/>
        </w:trPr>
        <w:tc>
          <w:tcPr>
            <w:tcW w:w="5920" w:type="dxa"/>
            <w:gridSpan w:val="4"/>
            <w:tcBorders>
              <w:left w:val="single" w:sz="8" w:space="0" w:color="auto"/>
              <w:bottom w:val="single" w:sz="8" w:space="0" w:color="auto"/>
            </w:tcBorders>
            <w:shd w:val="clear" w:color="auto" w:fill="auto"/>
            <w:vAlign w:val="bottom"/>
          </w:tcPr>
          <w:p w14:paraId="7744735C" w14:textId="77777777" w:rsidR="00D6542B" w:rsidRPr="00B57AE7" w:rsidRDefault="004756CE" w:rsidP="003458AB">
            <w:pPr>
              <w:keepNext/>
              <w:spacing w:line="0" w:lineRule="atLeast"/>
              <w:ind w:left="120"/>
              <w:rPr>
                <w:b/>
                <w:sz w:val="22"/>
                <w:szCs w:val="22"/>
              </w:rPr>
            </w:pPr>
            <w:r w:rsidRPr="00B57AE7">
              <w:rPr>
                <w:b/>
                <w:sz w:val="22"/>
                <w:szCs w:val="22"/>
              </w:rPr>
              <w:t xml:space="preserve">Analýza v populácii podľa </w:t>
            </w:r>
            <w:r w:rsidR="00D6542B" w:rsidRPr="00B57AE7">
              <w:rPr>
                <w:b/>
                <w:sz w:val="22"/>
                <w:szCs w:val="22"/>
              </w:rPr>
              <w:t>liečebného zámeru (intention-to</w:t>
            </w:r>
          </w:p>
          <w:p w14:paraId="180A86BD" w14:textId="77777777" w:rsidR="004756CE" w:rsidRPr="00B57AE7" w:rsidRDefault="004756CE" w:rsidP="003458AB">
            <w:pPr>
              <w:keepNext/>
              <w:spacing w:line="0" w:lineRule="atLeast"/>
              <w:ind w:left="120"/>
              <w:rPr>
                <w:b/>
                <w:sz w:val="22"/>
                <w:szCs w:val="22"/>
              </w:rPr>
            </w:pPr>
            <w:r w:rsidRPr="00B57AE7">
              <w:rPr>
                <w:b/>
                <w:sz w:val="22"/>
                <w:szCs w:val="22"/>
              </w:rPr>
              <w:t>treat)</w:t>
            </w:r>
          </w:p>
        </w:tc>
        <w:tc>
          <w:tcPr>
            <w:tcW w:w="1000" w:type="dxa"/>
            <w:tcBorders>
              <w:bottom w:val="single" w:sz="8" w:space="0" w:color="auto"/>
            </w:tcBorders>
            <w:shd w:val="clear" w:color="auto" w:fill="auto"/>
            <w:vAlign w:val="bottom"/>
          </w:tcPr>
          <w:p w14:paraId="66DFACF1" w14:textId="77777777" w:rsidR="004756CE" w:rsidRPr="00B57AE7" w:rsidRDefault="004756CE" w:rsidP="003458AB">
            <w:pPr>
              <w:keepNext/>
              <w:spacing w:line="0" w:lineRule="atLeast"/>
              <w:rPr>
                <w:sz w:val="22"/>
                <w:szCs w:val="22"/>
              </w:rPr>
            </w:pPr>
          </w:p>
        </w:tc>
        <w:tc>
          <w:tcPr>
            <w:tcW w:w="1500" w:type="dxa"/>
            <w:tcBorders>
              <w:bottom w:val="single" w:sz="4" w:space="0" w:color="auto"/>
            </w:tcBorders>
            <w:shd w:val="clear" w:color="auto" w:fill="auto"/>
            <w:vAlign w:val="bottom"/>
          </w:tcPr>
          <w:p w14:paraId="2DFA80CE" w14:textId="77777777" w:rsidR="004756CE" w:rsidRPr="00B57AE7" w:rsidRDefault="004756CE" w:rsidP="003458AB">
            <w:pPr>
              <w:keepNext/>
              <w:spacing w:line="0" w:lineRule="atLeast"/>
              <w:rPr>
                <w:sz w:val="22"/>
                <w:szCs w:val="22"/>
              </w:rPr>
            </w:pPr>
          </w:p>
        </w:tc>
        <w:tc>
          <w:tcPr>
            <w:tcW w:w="900" w:type="dxa"/>
            <w:tcBorders>
              <w:bottom w:val="single" w:sz="4" w:space="0" w:color="auto"/>
              <w:right w:val="single" w:sz="8" w:space="0" w:color="auto"/>
            </w:tcBorders>
            <w:shd w:val="clear" w:color="auto" w:fill="auto"/>
            <w:vAlign w:val="bottom"/>
          </w:tcPr>
          <w:p w14:paraId="7E2C1DD9" w14:textId="77777777" w:rsidR="004756CE" w:rsidRPr="00B57AE7" w:rsidRDefault="004756CE" w:rsidP="003458AB">
            <w:pPr>
              <w:keepNext/>
              <w:spacing w:line="0" w:lineRule="atLeast"/>
              <w:rPr>
                <w:sz w:val="22"/>
                <w:szCs w:val="22"/>
              </w:rPr>
            </w:pPr>
          </w:p>
        </w:tc>
      </w:tr>
      <w:tr w:rsidR="003458AB" w:rsidRPr="00B57AE7" w14:paraId="768F8BB2" w14:textId="77777777" w:rsidTr="00870D7A">
        <w:trPr>
          <w:trHeight w:val="246"/>
        </w:trPr>
        <w:tc>
          <w:tcPr>
            <w:tcW w:w="2960" w:type="dxa"/>
            <w:tcBorders>
              <w:left w:val="single" w:sz="8" w:space="0" w:color="auto"/>
              <w:bottom w:val="single" w:sz="8" w:space="0" w:color="auto"/>
              <w:right w:val="single" w:sz="8" w:space="0" w:color="auto"/>
            </w:tcBorders>
            <w:shd w:val="clear" w:color="auto" w:fill="auto"/>
            <w:vAlign w:val="bottom"/>
          </w:tcPr>
          <w:p w14:paraId="7FFFB0D8" w14:textId="77777777" w:rsidR="003458AB" w:rsidRPr="00B57AE7" w:rsidRDefault="003458AB" w:rsidP="00BD7E4F">
            <w:pPr>
              <w:spacing w:line="0" w:lineRule="atLeast"/>
              <w:ind w:left="280"/>
              <w:rPr>
                <w:b/>
                <w:sz w:val="22"/>
                <w:szCs w:val="22"/>
              </w:rPr>
            </w:pPr>
            <w:r w:rsidRPr="00B57AE7">
              <w:rPr>
                <w:b/>
                <w:sz w:val="22"/>
                <w:szCs w:val="22"/>
              </w:rPr>
              <w:t>Počet pacientov</w:t>
            </w:r>
          </w:p>
        </w:tc>
        <w:tc>
          <w:tcPr>
            <w:tcW w:w="1980" w:type="dxa"/>
            <w:gridSpan w:val="2"/>
            <w:tcBorders>
              <w:bottom w:val="single" w:sz="8" w:space="0" w:color="auto"/>
              <w:right w:val="single" w:sz="4" w:space="0" w:color="auto"/>
            </w:tcBorders>
            <w:shd w:val="clear" w:color="auto" w:fill="auto"/>
            <w:vAlign w:val="bottom"/>
          </w:tcPr>
          <w:p w14:paraId="0F305678" w14:textId="77777777" w:rsidR="003458AB" w:rsidRPr="00B57AE7" w:rsidRDefault="003458AB" w:rsidP="00BD7E4F">
            <w:pPr>
              <w:spacing w:line="0" w:lineRule="atLeast"/>
              <w:ind w:right="710"/>
              <w:jc w:val="right"/>
              <w:rPr>
                <w:b/>
                <w:sz w:val="22"/>
                <w:szCs w:val="22"/>
              </w:rPr>
            </w:pPr>
            <w:r w:rsidRPr="00B57AE7">
              <w:rPr>
                <w:b/>
                <w:sz w:val="22"/>
                <w:szCs w:val="22"/>
              </w:rPr>
              <w:t>7 332</w:t>
            </w:r>
          </w:p>
        </w:tc>
        <w:tc>
          <w:tcPr>
            <w:tcW w:w="1980" w:type="dxa"/>
            <w:gridSpan w:val="2"/>
            <w:tcBorders>
              <w:left w:val="single" w:sz="4" w:space="0" w:color="auto"/>
              <w:bottom w:val="single" w:sz="8" w:space="0" w:color="auto"/>
              <w:right w:val="single" w:sz="4" w:space="0" w:color="auto"/>
            </w:tcBorders>
            <w:shd w:val="clear" w:color="auto" w:fill="auto"/>
            <w:vAlign w:val="bottom"/>
          </w:tcPr>
          <w:p w14:paraId="4C71E0C8" w14:textId="77777777" w:rsidR="003458AB" w:rsidRPr="00B57AE7" w:rsidRDefault="003458AB" w:rsidP="00BD7E4F">
            <w:pPr>
              <w:spacing w:line="0" w:lineRule="atLeast"/>
              <w:ind w:right="710"/>
              <w:jc w:val="right"/>
              <w:rPr>
                <w:b/>
                <w:sz w:val="22"/>
                <w:szCs w:val="22"/>
              </w:rPr>
            </w:pPr>
            <w:r w:rsidRPr="00B57AE7">
              <w:rPr>
                <w:b/>
                <w:sz w:val="22"/>
                <w:szCs w:val="22"/>
              </w:rPr>
              <w:t>7 339</w:t>
            </w:r>
          </w:p>
        </w:tc>
        <w:tc>
          <w:tcPr>
            <w:tcW w:w="1500" w:type="dxa"/>
            <w:vMerge w:val="restart"/>
            <w:tcBorders>
              <w:top w:val="single" w:sz="4" w:space="0" w:color="auto"/>
              <w:left w:val="single" w:sz="4" w:space="0" w:color="auto"/>
              <w:right w:val="single" w:sz="4" w:space="0" w:color="auto"/>
            </w:tcBorders>
            <w:shd w:val="clear" w:color="auto" w:fill="auto"/>
            <w:vAlign w:val="bottom"/>
          </w:tcPr>
          <w:p w14:paraId="47C9326C" w14:textId="77777777" w:rsidR="003458AB" w:rsidRPr="00B57AE7" w:rsidRDefault="003458AB" w:rsidP="00D6542B">
            <w:pPr>
              <w:spacing w:line="0" w:lineRule="atLeast"/>
              <w:jc w:val="center"/>
              <w:rPr>
                <w:b/>
                <w:sz w:val="22"/>
                <w:szCs w:val="22"/>
              </w:rPr>
            </w:pPr>
          </w:p>
        </w:tc>
        <w:tc>
          <w:tcPr>
            <w:tcW w:w="900" w:type="dxa"/>
            <w:vMerge w:val="restart"/>
            <w:tcBorders>
              <w:top w:val="single" w:sz="4" w:space="0" w:color="auto"/>
              <w:left w:val="single" w:sz="4" w:space="0" w:color="auto"/>
              <w:right w:val="single" w:sz="4" w:space="0" w:color="auto"/>
            </w:tcBorders>
            <w:shd w:val="clear" w:color="auto" w:fill="auto"/>
            <w:vAlign w:val="bottom"/>
          </w:tcPr>
          <w:p w14:paraId="0CA023F1" w14:textId="77777777" w:rsidR="003458AB" w:rsidRPr="00B57AE7" w:rsidRDefault="003458AB" w:rsidP="00D6542B">
            <w:pPr>
              <w:spacing w:line="0" w:lineRule="atLeast"/>
              <w:jc w:val="center"/>
              <w:rPr>
                <w:b/>
                <w:sz w:val="22"/>
                <w:szCs w:val="22"/>
              </w:rPr>
            </w:pPr>
          </w:p>
        </w:tc>
      </w:tr>
      <w:tr w:rsidR="003458AB" w:rsidRPr="00B57AE7" w14:paraId="29C737FC" w14:textId="77777777" w:rsidTr="00684598">
        <w:trPr>
          <w:trHeight w:val="194"/>
        </w:trPr>
        <w:tc>
          <w:tcPr>
            <w:tcW w:w="2960" w:type="dxa"/>
            <w:tcBorders>
              <w:left w:val="single" w:sz="8" w:space="0" w:color="auto"/>
              <w:right w:val="single" w:sz="8" w:space="0" w:color="auto"/>
            </w:tcBorders>
            <w:shd w:val="clear" w:color="auto" w:fill="auto"/>
            <w:vAlign w:val="bottom"/>
          </w:tcPr>
          <w:p w14:paraId="7BEF1FE0" w14:textId="77777777" w:rsidR="003458AB" w:rsidRPr="00B57AE7" w:rsidRDefault="003458AB" w:rsidP="00BD7E4F">
            <w:pPr>
              <w:spacing w:line="194" w:lineRule="exact"/>
              <w:ind w:left="280"/>
              <w:rPr>
                <w:b/>
                <w:sz w:val="22"/>
                <w:szCs w:val="22"/>
              </w:rPr>
            </w:pPr>
            <w:r w:rsidRPr="00B57AE7">
              <w:rPr>
                <w:b/>
                <w:sz w:val="22"/>
                <w:szCs w:val="22"/>
              </w:rPr>
              <w:t>Primárny zložený cieľový</w:t>
            </w:r>
          </w:p>
        </w:tc>
        <w:tc>
          <w:tcPr>
            <w:tcW w:w="980" w:type="dxa"/>
            <w:tcBorders>
              <w:right w:val="single" w:sz="8" w:space="0" w:color="auto"/>
            </w:tcBorders>
            <w:shd w:val="clear" w:color="auto" w:fill="auto"/>
            <w:vAlign w:val="bottom"/>
          </w:tcPr>
          <w:p w14:paraId="1FA6CA17" w14:textId="77777777" w:rsidR="003458AB" w:rsidRPr="00B57AE7" w:rsidRDefault="003458AB" w:rsidP="00BD7E4F">
            <w:pPr>
              <w:spacing w:line="0" w:lineRule="atLeast"/>
              <w:rPr>
                <w:sz w:val="22"/>
                <w:szCs w:val="22"/>
              </w:rPr>
            </w:pPr>
          </w:p>
        </w:tc>
        <w:tc>
          <w:tcPr>
            <w:tcW w:w="1000" w:type="dxa"/>
            <w:tcBorders>
              <w:right w:val="single" w:sz="8" w:space="0" w:color="auto"/>
            </w:tcBorders>
            <w:shd w:val="clear" w:color="auto" w:fill="auto"/>
            <w:vAlign w:val="bottom"/>
          </w:tcPr>
          <w:p w14:paraId="5CA3959E" w14:textId="77777777" w:rsidR="003458AB" w:rsidRPr="00B57AE7" w:rsidRDefault="003458AB" w:rsidP="00BD7E4F">
            <w:pPr>
              <w:spacing w:line="0" w:lineRule="atLeast"/>
              <w:rPr>
                <w:sz w:val="22"/>
                <w:szCs w:val="22"/>
              </w:rPr>
            </w:pPr>
          </w:p>
        </w:tc>
        <w:tc>
          <w:tcPr>
            <w:tcW w:w="980" w:type="dxa"/>
            <w:tcBorders>
              <w:top w:val="single" w:sz="4" w:space="0" w:color="auto"/>
              <w:right w:val="single" w:sz="8" w:space="0" w:color="auto"/>
            </w:tcBorders>
            <w:shd w:val="clear" w:color="auto" w:fill="auto"/>
            <w:vAlign w:val="bottom"/>
          </w:tcPr>
          <w:p w14:paraId="0AAFB042" w14:textId="77777777" w:rsidR="003458AB" w:rsidRPr="00B57AE7" w:rsidRDefault="003458AB" w:rsidP="00BD7E4F">
            <w:pPr>
              <w:spacing w:line="0" w:lineRule="atLeast"/>
              <w:rPr>
                <w:sz w:val="22"/>
                <w:szCs w:val="22"/>
              </w:rPr>
            </w:pPr>
          </w:p>
        </w:tc>
        <w:tc>
          <w:tcPr>
            <w:tcW w:w="1000" w:type="dxa"/>
            <w:tcBorders>
              <w:top w:val="single" w:sz="4" w:space="0" w:color="auto"/>
              <w:right w:val="single" w:sz="4" w:space="0" w:color="auto"/>
            </w:tcBorders>
            <w:shd w:val="clear" w:color="auto" w:fill="auto"/>
            <w:vAlign w:val="bottom"/>
          </w:tcPr>
          <w:p w14:paraId="11098FFF" w14:textId="77777777" w:rsidR="003458AB" w:rsidRPr="00B57AE7" w:rsidRDefault="003458AB" w:rsidP="00BD7E4F">
            <w:pPr>
              <w:spacing w:line="0" w:lineRule="atLeast"/>
              <w:rPr>
                <w:sz w:val="22"/>
                <w:szCs w:val="22"/>
              </w:rPr>
            </w:pPr>
          </w:p>
        </w:tc>
        <w:tc>
          <w:tcPr>
            <w:tcW w:w="1500" w:type="dxa"/>
            <w:vMerge/>
            <w:tcBorders>
              <w:left w:val="single" w:sz="4" w:space="0" w:color="auto"/>
              <w:right w:val="single" w:sz="4" w:space="0" w:color="auto"/>
            </w:tcBorders>
            <w:shd w:val="clear" w:color="auto" w:fill="auto"/>
            <w:vAlign w:val="bottom"/>
          </w:tcPr>
          <w:p w14:paraId="36E5F012" w14:textId="77777777" w:rsidR="003458AB" w:rsidRPr="00B57AE7" w:rsidRDefault="003458AB" w:rsidP="003458AB">
            <w:pPr>
              <w:spacing w:line="0" w:lineRule="atLeast"/>
              <w:rPr>
                <w:sz w:val="22"/>
                <w:szCs w:val="22"/>
              </w:rPr>
            </w:pPr>
          </w:p>
        </w:tc>
        <w:tc>
          <w:tcPr>
            <w:tcW w:w="900" w:type="dxa"/>
            <w:vMerge/>
            <w:tcBorders>
              <w:left w:val="single" w:sz="4" w:space="0" w:color="auto"/>
              <w:right w:val="single" w:sz="4" w:space="0" w:color="auto"/>
            </w:tcBorders>
            <w:shd w:val="clear" w:color="auto" w:fill="auto"/>
            <w:vAlign w:val="bottom"/>
          </w:tcPr>
          <w:p w14:paraId="2E37B27D" w14:textId="77777777" w:rsidR="003458AB" w:rsidRPr="00B57AE7" w:rsidRDefault="003458AB" w:rsidP="00BD7E4F">
            <w:pPr>
              <w:spacing w:line="0" w:lineRule="atLeast"/>
              <w:rPr>
                <w:sz w:val="22"/>
                <w:szCs w:val="22"/>
              </w:rPr>
            </w:pPr>
          </w:p>
        </w:tc>
      </w:tr>
      <w:tr w:rsidR="004756CE" w:rsidRPr="00B57AE7" w14:paraId="420AE32D" w14:textId="77777777" w:rsidTr="004756CE">
        <w:trPr>
          <w:trHeight w:val="210"/>
        </w:trPr>
        <w:tc>
          <w:tcPr>
            <w:tcW w:w="2960" w:type="dxa"/>
            <w:tcBorders>
              <w:left w:val="single" w:sz="8" w:space="0" w:color="auto"/>
              <w:right w:val="single" w:sz="8" w:space="0" w:color="auto"/>
            </w:tcBorders>
            <w:shd w:val="clear" w:color="auto" w:fill="auto"/>
            <w:vAlign w:val="bottom"/>
          </w:tcPr>
          <w:p w14:paraId="5ABB7877" w14:textId="77777777" w:rsidR="004756CE" w:rsidRPr="00B57AE7" w:rsidRDefault="004756CE" w:rsidP="00BD7E4F">
            <w:pPr>
              <w:spacing w:line="0" w:lineRule="atLeast"/>
              <w:ind w:left="280"/>
              <w:rPr>
                <w:b/>
                <w:sz w:val="22"/>
                <w:szCs w:val="22"/>
              </w:rPr>
            </w:pPr>
            <w:r w:rsidRPr="00B57AE7">
              <w:rPr>
                <w:b/>
                <w:sz w:val="22"/>
                <w:szCs w:val="22"/>
              </w:rPr>
              <w:t>ukazovateľ</w:t>
            </w:r>
          </w:p>
        </w:tc>
        <w:tc>
          <w:tcPr>
            <w:tcW w:w="980" w:type="dxa"/>
            <w:tcBorders>
              <w:right w:val="single" w:sz="8" w:space="0" w:color="auto"/>
            </w:tcBorders>
            <w:shd w:val="clear" w:color="auto" w:fill="auto"/>
            <w:vAlign w:val="bottom"/>
          </w:tcPr>
          <w:p w14:paraId="650956BA" w14:textId="77777777" w:rsidR="004756CE" w:rsidRPr="00B57AE7" w:rsidRDefault="004756CE" w:rsidP="00BD7E4F">
            <w:pPr>
              <w:spacing w:line="0" w:lineRule="atLeast"/>
              <w:rPr>
                <w:sz w:val="22"/>
                <w:szCs w:val="22"/>
              </w:rPr>
            </w:pPr>
          </w:p>
        </w:tc>
        <w:tc>
          <w:tcPr>
            <w:tcW w:w="1000" w:type="dxa"/>
            <w:tcBorders>
              <w:right w:val="single" w:sz="8" w:space="0" w:color="auto"/>
            </w:tcBorders>
            <w:shd w:val="clear" w:color="auto" w:fill="auto"/>
            <w:vAlign w:val="bottom"/>
          </w:tcPr>
          <w:p w14:paraId="3251142F" w14:textId="77777777" w:rsidR="004756CE" w:rsidRPr="00B57AE7" w:rsidRDefault="004756CE" w:rsidP="00BD7E4F">
            <w:pPr>
              <w:spacing w:line="0" w:lineRule="atLeast"/>
              <w:rPr>
                <w:sz w:val="22"/>
                <w:szCs w:val="22"/>
              </w:rPr>
            </w:pPr>
          </w:p>
        </w:tc>
        <w:tc>
          <w:tcPr>
            <w:tcW w:w="980" w:type="dxa"/>
            <w:tcBorders>
              <w:right w:val="single" w:sz="8" w:space="0" w:color="auto"/>
            </w:tcBorders>
            <w:shd w:val="clear" w:color="auto" w:fill="auto"/>
            <w:vAlign w:val="bottom"/>
          </w:tcPr>
          <w:p w14:paraId="6B801727" w14:textId="77777777" w:rsidR="004756CE" w:rsidRPr="00B57AE7" w:rsidRDefault="004756CE" w:rsidP="00BD7E4F">
            <w:pPr>
              <w:spacing w:line="0" w:lineRule="atLeast"/>
              <w:rPr>
                <w:sz w:val="22"/>
                <w:szCs w:val="22"/>
              </w:rPr>
            </w:pPr>
          </w:p>
        </w:tc>
        <w:tc>
          <w:tcPr>
            <w:tcW w:w="1000" w:type="dxa"/>
            <w:tcBorders>
              <w:right w:val="single" w:sz="8" w:space="0" w:color="auto"/>
            </w:tcBorders>
            <w:shd w:val="clear" w:color="auto" w:fill="auto"/>
            <w:vAlign w:val="bottom"/>
          </w:tcPr>
          <w:p w14:paraId="2C052955" w14:textId="77777777" w:rsidR="004756CE" w:rsidRPr="00B57AE7" w:rsidRDefault="004756CE" w:rsidP="00BD7E4F">
            <w:pPr>
              <w:spacing w:line="0" w:lineRule="atLeast"/>
              <w:rPr>
                <w:sz w:val="22"/>
                <w:szCs w:val="22"/>
              </w:rPr>
            </w:pPr>
          </w:p>
        </w:tc>
        <w:tc>
          <w:tcPr>
            <w:tcW w:w="1500" w:type="dxa"/>
            <w:tcBorders>
              <w:right w:val="single" w:sz="8" w:space="0" w:color="auto"/>
            </w:tcBorders>
            <w:shd w:val="clear" w:color="auto" w:fill="auto"/>
            <w:vAlign w:val="bottom"/>
          </w:tcPr>
          <w:p w14:paraId="5D0F6696" w14:textId="77777777" w:rsidR="004756CE" w:rsidRPr="00B57AE7" w:rsidRDefault="004756CE" w:rsidP="00BD7E4F">
            <w:pPr>
              <w:spacing w:line="0" w:lineRule="atLeast"/>
              <w:rPr>
                <w:sz w:val="22"/>
                <w:szCs w:val="22"/>
              </w:rPr>
            </w:pPr>
          </w:p>
        </w:tc>
        <w:tc>
          <w:tcPr>
            <w:tcW w:w="900" w:type="dxa"/>
            <w:tcBorders>
              <w:right w:val="single" w:sz="8" w:space="0" w:color="auto"/>
            </w:tcBorders>
            <w:shd w:val="clear" w:color="auto" w:fill="auto"/>
            <w:vAlign w:val="bottom"/>
          </w:tcPr>
          <w:p w14:paraId="32DF77FD" w14:textId="77777777" w:rsidR="004756CE" w:rsidRPr="00B57AE7" w:rsidRDefault="004756CE" w:rsidP="00BD7E4F">
            <w:pPr>
              <w:spacing w:line="0" w:lineRule="atLeast"/>
              <w:rPr>
                <w:sz w:val="22"/>
                <w:szCs w:val="22"/>
              </w:rPr>
            </w:pPr>
          </w:p>
        </w:tc>
      </w:tr>
      <w:tr w:rsidR="004756CE" w:rsidRPr="00B57AE7" w14:paraId="0C68F5DB" w14:textId="77777777" w:rsidTr="004756CE">
        <w:trPr>
          <w:trHeight w:val="211"/>
        </w:trPr>
        <w:tc>
          <w:tcPr>
            <w:tcW w:w="2960" w:type="dxa"/>
            <w:tcBorders>
              <w:left w:val="single" w:sz="8" w:space="0" w:color="auto"/>
              <w:right w:val="single" w:sz="8" w:space="0" w:color="auto"/>
            </w:tcBorders>
            <w:shd w:val="clear" w:color="auto" w:fill="auto"/>
            <w:vAlign w:val="bottom"/>
          </w:tcPr>
          <w:p w14:paraId="36BA0D04" w14:textId="77777777" w:rsidR="004756CE" w:rsidRPr="00B57AE7" w:rsidRDefault="004756CE" w:rsidP="00BD7E4F">
            <w:pPr>
              <w:spacing w:line="0" w:lineRule="atLeast"/>
              <w:ind w:left="540"/>
              <w:rPr>
                <w:sz w:val="22"/>
                <w:szCs w:val="22"/>
              </w:rPr>
            </w:pPr>
            <w:r w:rsidRPr="00B57AE7">
              <w:rPr>
                <w:sz w:val="22"/>
                <w:szCs w:val="22"/>
              </w:rPr>
              <w:t>(Kardiovaskulárne úmrtie,</w:t>
            </w:r>
          </w:p>
        </w:tc>
        <w:tc>
          <w:tcPr>
            <w:tcW w:w="980" w:type="dxa"/>
            <w:tcBorders>
              <w:right w:val="single" w:sz="8" w:space="0" w:color="auto"/>
            </w:tcBorders>
            <w:shd w:val="clear" w:color="auto" w:fill="auto"/>
            <w:vAlign w:val="bottom"/>
          </w:tcPr>
          <w:p w14:paraId="1A9219DD" w14:textId="77777777" w:rsidR="004756CE" w:rsidRPr="00B57AE7" w:rsidRDefault="004756CE" w:rsidP="00BD7E4F">
            <w:pPr>
              <w:spacing w:line="0" w:lineRule="atLeast"/>
              <w:rPr>
                <w:sz w:val="22"/>
                <w:szCs w:val="22"/>
              </w:rPr>
            </w:pPr>
          </w:p>
        </w:tc>
        <w:tc>
          <w:tcPr>
            <w:tcW w:w="1000" w:type="dxa"/>
            <w:tcBorders>
              <w:right w:val="single" w:sz="8" w:space="0" w:color="auto"/>
            </w:tcBorders>
            <w:shd w:val="clear" w:color="auto" w:fill="auto"/>
            <w:vAlign w:val="bottom"/>
          </w:tcPr>
          <w:p w14:paraId="71F6EABB" w14:textId="77777777" w:rsidR="004756CE" w:rsidRPr="00B57AE7" w:rsidRDefault="004756CE" w:rsidP="00BD7E4F">
            <w:pPr>
              <w:spacing w:line="0" w:lineRule="atLeast"/>
              <w:rPr>
                <w:sz w:val="22"/>
                <w:szCs w:val="22"/>
              </w:rPr>
            </w:pPr>
          </w:p>
        </w:tc>
        <w:tc>
          <w:tcPr>
            <w:tcW w:w="980" w:type="dxa"/>
            <w:tcBorders>
              <w:right w:val="single" w:sz="8" w:space="0" w:color="auto"/>
            </w:tcBorders>
            <w:shd w:val="clear" w:color="auto" w:fill="auto"/>
            <w:vAlign w:val="bottom"/>
          </w:tcPr>
          <w:p w14:paraId="2897F1A9" w14:textId="77777777" w:rsidR="004756CE" w:rsidRPr="00B57AE7" w:rsidRDefault="004756CE" w:rsidP="00BD7E4F">
            <w:pPr>
              <w:spacing w:line="0" w:lineRule="atLeast"/>
              <w:rPr>
                <w:sz w:val="22"/>
                <w:szCs w:val="22"/>
              </w:rPr>
            </w:pPr>
          </w:p>
        </w:tc>
        <w:tc>
          <w:tcPr>
            <w:tcW w:w="1000" w:type="dxa"/>
            <w:tcBorders>
              <w:right w:val="single" w:sz="8" w:space="0" w:color="auto"/>
            </w:tcBorders>
            <w:shd w:val="clear" w:color="auto" w:fill="auto"/>
            <w:vAlign w:val="bottom"/>
          </w:tcPr>
          <w:p w14:paraId="681E9F42" w14:textId="77777777" w:rsidR="004756CE" w:rsidRPr="00B57AE7" w:rsidRDefault="004756CE" w:rsidP="00BD7E4F">
            <w:pPr>
              <w:spacing w:line="0" w:lineRule="atLeast"/>
              <w:rPr>
                <w:sz w:val="22"/>
                <w:szCs w:val="22"/>
              </w:rPr>
            </w:pPr>
          </w:p>
        </w:tc>
        <w:tc>
          <w:tcPr>
            <w:tcW w:w="1500" w:type="dxa"/>
            <w:tcBorders>
              <w:right w:val="single" w:sz="8" w:space="0" w:color="auto"/>
            </w:tcBorders>
            <w:shd w:val="clear" w:color="auto" w:fill="auto"/>
            <w:vAlign w:val="bottom"/>
          </w:tcPr>
          <w:p w14:paraId="79D09006" w14:textId="77777777" w:rsidR="004756CE" w:rsidRPr="00B57AE7" w:rsidRDefault="004756CE" w:rsidP="00BD7E4F">
            <w:pPr>
              <w:spacing w:line="0" w:lineRule="atLeast"/>
              <w:rPr>
                <w:sz w:val="22"/>
                <w:szCs w:val="22"/>
              </w:rPr>
            </w:pPr>
          </w:p>
        </w:tc>
        <w:tc>
          <w:tcPr>
            <w:tcW w:w="900" w:type="dxa"/>
            <w:tcBorders>
              <w:right w:val="single" w:sz="8" w:space="0" w:color="auto"/>
            </w:tcBorders>
            <w:shd w:val="clear" w:color="auto" w:fill="auto"/>
            <w:vAlign w:val="bottom"/>
          </w:tcPr>
          <w:p w14:paraId="51322958" w14:textId="77777777" w:rsidR="004756CE" w:rsidRPr="00B57AE7" w:rsidRDefault="004756CE" w:rsidP="00BD7E4F">
            <w:pPr>
              <w:spacing w:line="0" w:lineRule="atLeast"/>
              <w:rPr>
                <w:sz w:val="22"/>
                <w:szCs w:val="22"/>
              </w:rPr>
            </w:pPr>
          </w:p>
        </w:tc>
      </w:tr>
      <w:tr w:rsidR="004756CE" w:rsidRPr="00B57AE7" w14:paraId="4E9AFD9A" w14:textId="77777777" w:rsidTr="004756CE">
        <w:trPr>
          <w:trHeight w:val="211"/>
        </w:trPr>
        <w:tc>
          <w:tcPr>
            <w:tcW w:w="2960" w:type="dxa"/>
            <w:tcBorders>
              <w:left w:val="single" w:sz="8" w:space="0" w:color="auto"/>
              <w:right w:val="single" w:sz="8" w:space="0" w:color="auto"/>
            </w:tcBorders>
            <w:shd w:val="clear" w:color="auto" w:fill="auto"/>
            <w:vAlign w:val="bottom"/>
          </w:tcPr>
          <w:p w14:paraId="31AC80B7" w14:textId="77777777" w:rsidR="004756CE" w:rsidRPr="00B57AE7" w:rsidRDefault="004756CE" w:rsidP="00BD7E4F">
            <w:pPr>
              <w:spacing w:line="0" w:lineRule="atLeast"/>
              <w:ind w:left="540"/>
              <w:rPr>
                <w:sz w:val="22"/>
                <w:szCs w:val="22"/>
              </w:rPr>
            </w:pPr>
            <w:r w:rsidRPr="00B57AE7">
              <w:rPr>
                <w:sz w:val="22"/>
                <w:szCs w:val="22"/>
              </w:rPr>
              <w:t>nefatálny infarkt myokardu,</w:t>
            </w:r>
          </w:p>
        </w:tc>
        <w:tc>
          <w:tcPr>
            <w:tcW w:w="980" w:type="dxa"/>
            <w:tcBorders>
              <w:right w:val="single" w:sz="8" w:space="0" w:color="auto"/>
            </w:tcBorders>
            <w:shd w:val="clear" w:color="auto" w:fill="auto"/>
            <w:vAlign w:val="bottom"/>
          </w:tcPr>
          <w:p w14:paraId="41D2C220" w14:textId="77777777" w:rsidR="004756CE" w:rsidRPr="00B57AE7" w:rsidRDefault="004756CE" w:rsidP="00BD7E4F">
            <w:pPr>
              <w:spacing w:line="0" w:lineRule="atLeast"/>
              <w:rPr>
                <w:sz w:val="22"/>
                <w:szCs w:val="22"/>
              </w:rPr>
            </w:pPr>
          </w:p>
        </w:tc>
        <w:tc>
          <w:tcPr>
            <w:tcW w:w="1000" w:type="dxa"/>
            <w:tcBorders>
              <w:right w:val="single" w:sz="8" w:space="0" w:color="auto"/>
            </w:tcBorders>
            <w:shd w:val="clear" w:color="auto" w:fill="auto"/>
            <w:vAlign w:val="bottom"/>
          </w:tcPr>
          <w:p w14:paraId="4D6E10B4" w14:textId="77777777" w:rsidR="004756CE" w:rsidRPr="00B57AE7" w:rsidRDefault="004756CE" w:rsidP="00BD7E4F">
            <w:pPr>
              <w:spacing w:line="0" w:lineRule="atLeast"/>
              <w:rPr>
                <w:sz w:val="22"/>
                <w:szCs w:val="22"/>
              </w:rPr>
            </w:pPr>
          </w:p>
        </w:tc>
        <w:tc>
          <w:tcPr>
            <w:tcW w:w="980" w:type="dxa"/>
            <w:tcBorders>
              <w:right w:val="single" w:sz="8" w:space="0" w:color="auto"/>
            </w:tcBorders>
            <w:shd w:val="clear" w:color="auto" w:fill="auto"/>
            <w:vAlign w:val="bottom"/>
          </w:tcPr>
          <w:p w14:paraId="1283A362" w14:textId="77777777" w:rsidR="004756CE" w:rsidRPr="00B57AE7" w:rsidRDefault="004756CE" w:rsidP="00BD7E4F">
            <w:pPr>
              <w:spacing w:line="0" w:lineRule="atLeast"/>
              <w:rPr>
                <w:sz w:val="22"/>
                <w:szCs w:val="22"/>
              </w:rPr>
            </w:pPr>
          </w:p>
        </w:tc>
        <w:tc>
          <w:tcPr>
            <w:tcW w:w="1000" w:type="dxa"/>
            <w:tcBorders>
              <w:right w:val="single" w:sz="8" w:space="0" w:color="auto"/>
            </w:tcBorders>
            <w:shd w:val="clear" w:color="auto" w:fill="auto"/>
            <w:vAlign w:val="bottom"/>
          </w:tcPr>
          <w:p w14:paraId="5F1F9FD8" w14:textId="77777777" w:rsidR="004756CE" w:rsidRPr="00B57AE7" w:rsidRDefault="004756CE" w:rsidP="00BD7E4F">
            <w:pPr>
              <w:spacing w:line="0" w:lineRule="atLeast"/>
              <w:rPr>
                <w:sz w:val="22"/>
                <w:szCs w:val="22"/>
              </w:rPr>
            </w:pPr>
          </w:p>
        </w:tc>
        <w:tc>
          <w:tcPr>
            <w:tcW w:w="1500" w:type="dxa"/>
            <w:tcBorders>
              <w:right w:val="single" w:sz="8" w:space="0" w:color="auto"/>
            </w:tcBorders>
            <w:shd w:val="clear" w:color="auto" w:fill="auto"/>
            <w:vAlign w:val="bottom"/>
          </w:tcPr>
          <w:p w14:paraId="5B4418FA" w14:textId="77777777" w:rsidR="004756CE" w:rsidRPr="00B57AE7" w:rsidRDefault="004756CE" w:rsidP="00BD7E4F">
            <w:pPr>
              <w:spacing w:line="0" w:lineRule="atLeast"/>
              <w:rPr>
                <w:sz w:val="22"/>
                <w:szCs w:val="22"/>
              </w:rPr>
            </w:pPr>
          </w:p>
        </w:tc>
        <w:tc>
          <w:tcPr>
            <w:tcW w:w="900" w:type="dxa"/>
            <w:tcBorders>
              <w:right w:val="single" w:sz="8" w:space="0" w:color="auto"/>
            </w:tcBorders>
            <w:shd w:val="clear" w:color="auto" w:fill="auto"/>
            <w:vAlign w:val="bottom"/>
          </w:tcPr>
          <w:p w14:paraId="5E7F2428" w14:textId="77777777" w:rsidR="004756CE" w:rsidRPr="00B57AE7" w:rsidRDefault="004756CE" w:rsidP="00BD7E4F">
            <w:pPr>
              <w:spacing w:line="0" w:lineRule="atLeast"/>
              <w:rPr>
                <w:sz w:val="22"/>
                <w:szCs w:val="22"/>
              </w:rPr>
            </w:pPr>
          </w:p>
        </w:tc>
      </w:tr>
      <w:tr w:rsidR="004756CE" w:rsidRPr="00B57AE7" w14:paraId="266709AC" w14:textId="77777777" w:rsidTr="004756CE">
        <w:trPr>
          <w:trHeight w:val="211"/>
        </w:trPr>
        <w:tc>
          <w:tcPr>
            <w:tcW w:w="2960" w:type="dxa"/>
            <w:tcBorders>
              <w:left w:val="single" w:sz="8" w:space="0" w:color="auto"/>
              <w:right w:val="single" w:sz="8" w:space="0" w:color="auto"/>
            </w:tcBorders>
            <w:shd w:val="clear" w:color="auto" w:fill="auto"/>
            <w:vAlign w:val="bottom"/>
          </w:tcPr>
          <w:p w14:paraId="2AFFEC71" w14:textId="77777777" w:rsidR="004756CE" w:rsidRPr="00B57AE7" w:rsidRDefault="004756CE" w:rsidP="00BD7E4F">
            <w:pPr>
              <w:spacing w:line="0" w:lineRule="atLeast"/>
              <w:ind w:left="540"/>
              <w:rPr>
                <w:sz w:val="22"/>
                <w:szCs w:val="22"/>
              </w:rPr>
            </w:pPr>
            <w:r w:rsidRPr="00B57AE7">
              <w:rPr>
                <w:sz w:val="22"/>
                <w:szCs w:val="22"/>
              </w:rPr>
              <w:lastRenderedPageBreak/>
              <w:t>nefatálna cievna mozgová</w:t>
            </w:r>
          </w:p>
        </w:tc>
        <w:tc>
          <w:tcPr>
            <w:tcW w:w="980" w:type="dxa"/>
            <w:tcBorders>
              <w:right w:val="single" w:sz="8" w:space="0" w:color="auto"/>
            </w:tcBorders>
            <w:shd w:val="clear" w:color="auto" w:fill="auto"/>
            <w:vAlign w:val="bottom"/>
          </w:tcPr>
          <w:p w14:paraId="371E6951" w14:textId="77777777" w:rsidR="004756CE" w:rsidRPr="00B57AE7" w:rsidRDefault="004756CE" w:rsidP="00BD7E4F">
            <w:pPr>
              <w:spacing w:line="0" w:lineRule="atLeast"/>
              <w:rPr>
                <w:sz w:val="22"/>
                <w:szCs w:val="22"/>
              </w:rPr>
            </w:pPr>
          </w:p>
        </w:tc>
        <w:tc>
          <w:tcPr>
            <w:tcW w:w="1000" w:type="dxa"/>
            <w:tcBorders>
              <w:right w:val="single" w:sz="8" w:space="0" w:color="auto"/>
            </w:tcBorders>
            <w:shd w:val="clear" w:color="auto" w:fill="auto"/>
            <w:vAlign w:val="bottom"/>
          </w:tcPr>
          <w:p w14:paraId="24BB2018" w14:textId="77777777" w:rsidR="004756CE" w:rsidRPr="00B57AE7" w:rsidRDefault="004756CE" w:rsidP="00BD7E4F">
            <w:pPr>
              <w:spacing w:line="0" w:lineRule="atLeast"/>
              <w:rPr>
                <w:sz w:val="22"/>
                <w:szCs w:val="22"/>
              </w:rPr>
            </w:pPr>
          </w:p>
        </w:tc>
        <w:tc>
          <w:tcPr>
            <w:tcW w:w="980" w:type="dxa"/>
            <w:tcBorders>
              <w:right w:val="single" w:sz="8" w:space="0" w:color="auto"/>
            </w:tcBorders>
            <w:shd w:val="clear" w:color="auto" w:fill="auto"/>
            <w:vAlign w:val="bottom"/>
          </w:tcPr>
          <w:p w14:paraId="39CB0020" w14:textId="77777777" w:rsidR="004756CE" w:rsidRPr="00B57AE7" w:rsidRDefault="004756CE" w:rsidP="00BD7E4F">
            <w:pPr>
              <w:spacing w:line="0" w:lineRule="atLeast"/>
              <w:rPr>
                <w:sz w:val="22"/>
                <w:szCs w:val="22"/>
              </w:rPr>
            </w:pPr>
          </w:p>
        </w:tc>
        <w:tc>
          <w:tcPr>
            <w:tcW w:w="1000" w:type="dxa"/>
            <w:tcBorders>
              <w:right w:val="single" w:sz="8" w:space="0" w:color="auto"/>
            </w:tcBorders>
            <w:shd w:val="clear" w:color="auto" w:fill="auto"/>
            <w:vAlign w:val="bottom"/>
          </w:tcPr>
          <w:p w14:paraId="3BD0A970" w14:textId="77777777" w:rsidR="004756CE" w:rsidRPr="00B57AE7" w:rsidRDefault="004756CE" w:rsidP="00BD7E4F">
            <w:pPr>
              <w:spacing w:line="0" w:lineRule="atLeast"/>
              <w:rPr>
                <w:sz w:val="22"/>
                <w:szCs w:val="22"/>
              </w:rPr>
            </w:pPr>
          </w:p>
        </w:tc>
        <w:tc>
          <w:tcPr>
            <w:tcW w:w="1500" w:type="dxa"/>
            <w:tcBorders>
              <w:right w:val="single" w:sz="8" w:space="0" w:color="auto"/>
            </w:tcBorders>
            <w:shd w:val="clear" w:color="auto" w:fill="auto"/>
            <w:vAlign w:val="bottom"/>
          </w:tcPr>
          <w:p w14:paraId="4F00F10C" w14:textId="77777777" w:rsidR="004756CE" w:rsidRPr="00B57AE7" w:rsidRDefault="004756CE" w:rsidP="00BD7E4F">
            <w:pPr>
              <w:spacing w:line="0" w:lineRule="atLeast"/>
              <w:rPr>
                <w:sz w:val="22"/>
                <w:szCs w:val="22"/>
              </w:rPr>
            </w:pPr>
          </w:p>
        </w:tc>
        <w:tc>
          <w:tcPr>
            <w:tcW w:w="900" w:type="dxa"/>
            <w:tcBorders>
              <w:right w:val="single" w:sz="8" w:space="0" w:color="auto"/>
            </w:tcBorders>
            <w:shd w:val="clear" w:color="auto" w:fill="auto"/>
            <w:vAlign w:val="bottom"/>
          </w:tcPr>
          <w:p w14:paraId="722C3E83" w14:textId="77777777" w:rsidR="004756CE" w:rsidRPr="00B57AE7" w:rsidRDefault="004756CE" w:rsidP="00BD7E4F">
            <w:pPr>
              <w:spacing w:line="0" w:lineRule="atLeast"/>
              <w:rPr>
                <w:sz w:val="22"/>
                <w:szCs w:val="22"/>
              </w:rPr>
            </w:pPr>
          </w:p>
        </w:tc>
      </w:tr>
      <w:tr w:rsidR="004756CE" w:rsidRPr="00B57AE7" w14:paraId="00864F2F" w14:textId="77777777" w:rsidTr="004756CE">
        <w:trPr>
          <w:trHeight w:val="211"/>
        </w:trPr>
        <w:tc>
          <w:tcPr>
            <w:tcW w:w="2960" w:type="dxa"/>
            <w:tcBorders>
              <w:left w:val="single" w:sz="8" w:space="0" w:color="auto"/>
              <w:right w:val="single" w:sz="8" w:space="0" w:color="auto"/>
            </w:tcBorders>
            <w:shd w:val="clear" w:color="auto" w:fill="auto"/>
            <w:vAlign w:val="bottom"/>
          </w:tcPr>
          <w:p w14:paraId="59EADC7B" w14:textId="77777777" w:rsidR="004756CE" w:rsidRPr="00B57AE7" w:rsidRDefault="004756CE" w:rsidP="00BD7E4F">
            <w:pPr>
              <w:spacing w:line="0" w:lineRule="atLeast"/>
              <w:ind w:left="540"/>
              <w:rPr>
                <w:sz w:val="22"/>
                <w:szCs w:val="22"/>
              </w:rPr>
            </w:pPr>
            <w:r w:rsidRPr="00B57AE7">
              <w:rPr>
                <w:sz w:val="22"/>
                <w:szCs w:val="22"/>
              </w:rPr>
              <w:t>príhoda alebo hospitalizácia</w:t>
            </w:r>
          </w:p>
        </w:tc>
        <w:tc>
          <w:tcPr>
            <w:tcW w:w="980" w:type="dxa"/>
            <w:tcBorders>
              <w:right w:val="single" w:sz="8" w:space="0" w:color="auto"/>
            </w:tcBorders>
            <w:shd w:val="clear" w:color="auto" w:fill="auto"/>
            <w:vAlign w:val="bottom"/>
          </w:tcPr>
          <w:p w14:paraId="22194216" w14:textId="77777777" w:rsidR="004756CE" w:rsidRPr="00B57AE7" w:rsidRDefault="004756CE" w:rsidP="00BD7E4F">
            <w:pPr>
              <w:spacing w:line="0" w:lineRule="atLeast"/>
              <w:rPr>
                <w:sz w:val="22"/>
                <w:szCs w:val="22"/>
              </w:rPr>
            </w:pPr>
          </w:p>
        </w:tc>
        <w:tc>
          <w:tcPr>
            <w:tcW w:w="1000" w:type="dxa"/>
            <w:tcBorders>
              <w:right w:val="single" w:sz="8" w:space="0" w:color="auto"/>
            </w:tcBorders>
            <w:shd w:val="clear" w:color="auto" w:fill="auto"/>
            <w:vAlign w:val="bottom"/>
          </w:tcPr>
          <w:p w14:paraId="3E0912F2" w14:textId="77777777" w:rsidR="004756CE" w:rsidRPr="00B57AE7" w:rsidRDefault="004756CE" w:rsidP="00BD7E4F">
            <w:pPr>
              <w:spacing w:line="0" w:lineRule="atLeast"/>
              <w:rPr>
                <w:sz w:val="22"/>
                <w:szCs w:val="22"/>
              </w:rPr>
            </w:pPr>
          </w:p>
        </w:tc>
        <w:tc>
          <w:tcPr>
            <w:tcW w:w="980" w:type="dxa"/>
            <w:tcBorders>
              <w:right w:val="single" w:sz="8" w:space="0" w:color="auto"/>
            </w:tcBorders>
            <w:shd w:val="clear" w:color="auto" w:fill="auto"/>
            <w:vAlign w:val="bottom"/>
          </w:tcPr>
          <w:p w14:paraId="7D28964B" w14:textId="77777777" w:rsidR="004756CE" w:rsidRPr="00B57AE7" w:rsidRDefault="004756CE" w:rsidP="00BD7E4F">
            <w:pPr>
              <w:spacing w:line="0" w:lineRule="atLeast"/>
              <w:rPr>
                <w:sz w:val="22"/>
                <w:szCs w:val="22"/>
              </w:rPr>
            </w:pPr>
          </w:p>
        </w:tc>
        <w:tc>
          <w:tcPr>
            <w:tcW w:w="1000" w:type="dxa"/>
            <w:tcBorders>
              <w:right w:val="single" w:sz="8" w:space="0" w:color="auto"/>
            </w:tcBorders>
            <w:shd w:val="clear" w:color="auto" w:fill="auto"/>
            <w:vAlign w:val="bottom"/>
          </w:tcPr>
          <w:p w14:paraId="191AA6EC" w14:textId="77777777" w:rsidR="004756CE" w:rsidRPr="00B57AE7" w:rsidRDefault="004756CE" w:rsidP="00BD7E4F">
            <w:pPr>
              <w:spacing w:line="0" w:lineRule="atLeast"/>
              <w:rPr>
                <w:sz w:val="22"/>
                <w:szCs w:val="22"/>
              </w:rPr>
            </w:pPr>
          </w:p>
        </w:tc>
        <w:tc>
          <w:tcPr>
            <w:tcW w:w="1500" w:type="dxa"/>
            <w:tcBorders>
              <w:right w:val="single" w:sz="8" w:space="0" w:color="auto"/>
            </w:tcBorders>
            <w:shd w:val="clear" w:color="auto" w:fill="auto"/>
            <w:vAlign w:val="bottom"/>
          </w:tcPr>
          <w:p w14:paraId="2E825FF6" w14:textId="77777777" w:rsidR="004756CE" w:rsidRPr="00B57AE7" w:rsidRDefault="004756CE" w:rsidP="00BD7E4F">
            <w:pPr>
              <w:spacing w:line="0" w:lineRule="atLeast"/>
              <w:rPr>
                <w:sz w:val="22"/>
                <w:szCs w:val="22"/>
              </w:rPr>
            </w:pPr>
          </w:p>
        </w:tc>
        <w:tc>
          <w:tcPr>
            <w:tcW w:w="900" w:type="dxa"/>
            <w:tcBorders>
              <w:right w:val="single" w:sz="8" w:space="0" w:color="auto"/>
            </w:tcBorders>
            <w:shd w:val="clear" w:color="auto" w:fill="auto"/>
            <w:vAlign w:val="bottom"/>
          </w:tcPr>
          <w:p w14:paraId="5AA82AFF" w14:textId="77777777" w:rsidR="004756CE" w:rsidRPr="00B57AE7" w:rsidRDefault="004756CE" w:rsidP="00BD7E4F">
            <w:pPr>
              <w:spacing w:line="0" w:lineRule="atLeast"/>
              <w:rPr>
                <w:sz w:val="22"/>
                <w:szCs w:val="22"/>
              </w:rPr>
            </w:pPr>
          </w:p>
        </w:tc>
      </w:tr>
      <w:tr w:rsidR="004756CE" w:rsidRPr="00B57AE7" w14:paraId="0DF55A7F" w14:textId="77777777" w:rsidTr="004756CE">
        <w:trPr>
          <w:trHeight w:val="211"/>
        </w:trPr>
        <w:tc>
          <w:tcPr>
            <w:tcW w:w="2960" w:type="dxa"/>
            <w:tcBorders>
              <w:left w:val="single" w:sz="8" w:space="0" w:color="auto"/>
              <w:right w:val="single" w:sz="8" w:space="0" w:color="auto"/>
            </w:tcBorders>
            <w:shd w:val="clear" w:color="auto" w:fill="auto"/>
            <w:vAlign w:val="bottom"/>
          </w:tcPr>
          <w:p w14:paraId="3B9869AF" w14:textId="77777777" w:rsidR="004756CE" w:rsidRPr="00B57AE7" w:rsidRDefault="004756CE" w:rsidP="00BD7E4F">
            <w:pPr>
              <w:spacing w:line="0" w:lineRule="atLeast"/>
              <w:ind w:left="540"/>
              <w:rPr>
                <w:sz w:val="22"/>
                <w:szCs w:val="22"/>
              </w:rPr>
            </w:pPr>
            <w:r w:rsidRPr="00B57AE7">
              <w:rPr>
                <w:sz w:val="22"/>
                <w:szCs w:val="22"/>
              </w:rPr>
              <w:t>z dôvodu nestabilnej angíny</w:t>
            </w:r>
            <w:r w:rsidR="00D6542B" w:rsidRPr="00B57AE7">
              <w:rPr>
                <w:sz w:val="22"/>
                <w:szCs w:val="22"/>
              </w:rPr>
              <w:t xml:space="preserve"> pectoris)</w:t>
            </w:r>
          </w:p>
        </w:tc>
        <w:tc>
          <w:tcPr>
            <w:tcW w:w="980" w:type="dxa"/>
            <w:tcBorders>
              <w:right w:val="single" w:sz="8" w:space="0" w:color="auto"/>
            </w:tcBorders>
            <w:shd w:val="clear" w:color="auto" w:fill="auto"/>
            <w:vAlign w:val="bottom"/>
          </w:tcPr>
          <w:p w14:paraId="611B2D79" w14:textId="77777777" w:rsidR="004756CE" w:rsidRPr="00B57AE7" w:rsidRDefault="004756CE" w:rsidP="00BD7E4F">
            <w:pPr>
              <w:spacing w:line="0" w:lineRule="atLeast"/>
              <w:rPr>
                <w:sz w:val="22"/>
                <w:szCs w:val="22"/>
              </w:rPr>
            </w:pPr>
          </w:p>
        </w:tc>
        <w:tc>
          <w:tcPr>
            <w:tcW w:w="1000" w:type="dxa"/>
            <w:tcBorders>
              <w:right w:val="single" w:sz="8" w:space="0" w:color="auto"/>
            </w:tcBorders>
            <w:shd w:val="clear" w:color="auto" w:fill="auto"/>
            <w:vAlign w:val="bottom"/>
          </w:tcPr>
          <w:p w14:paraId="6AAC6A86" w14:textId="77777777" w:rsidR="004756CE" w:rsidRPr="00B57AE7" w:rsidRDefault="004756CE" w:rsidP="00BD7E4F">
            <w:pPr>
              <w:spacing w:line="0" w:lineRule="atLeast"/>
              <w:rPr>
                <w:sz w:val="22"/>
                <w:szCs w:val="22"/>
              </w:rPr>
            </w:pPr>
          </w:p>
        </w:tc>
        <w:tc>
          <w:tcPr>
            <w:tcW w:w="980" w:type="dxa"/>
            <w:tcBorders>
              <w:right w:val="single" w:sz="8" w:space="0" w:color="auto"/>
            </w:tcBorders>
            <w:shd w:val="clear" w:color="auto" w:fill="auto"/>
            <w:vAlign w:val="bottom"/>
          </w:tcPr>
          <w:p w14:paraId="737F8246" w14:textId="77777777" w:rsidR="004756CE" w:rsidRPr="00B57AE7" w:rsidRDefault="004756CE" w:rsidP="00BD7E4F">
            <w:pPr>
              <w:spacing w:line="0" w:lineRule="atLeast"/>
              <w:rPr>
                <w:sz w:val="22"/>
                <w:szCs w:val="22"/>
              </w:rPr>
            </w:pPr>
          </w:p>
        </w:tc>
        <w:tc>
          <w:tcPr>
            <w:tcW w:w="1000" w:type="dxa"/>
            <w:tcBorders>
              <w:right w:val="single" w:sz="8" w:space="0" w:color="auto"/>
            </w:tcBorders>
            <w:shd w:val="clear" w:color="auto" w:fill="auto"/>
            <w:vAlign w:val="bottom"/>
          </w:tcPr>
          <w:p w14:paraId="7DB5B156" w14:textId="77777777" w:rsidR="004756CE" w:rsidRPr="00B57AE7" w:rsidRDefault="004756CE" w:rsidP="00BD7E4F">
            <w:pPr>
              <w:spacing w:line="0" w:lineRule="atLeast"/>
              <w:rPr>
                <w:sz w:val="22"/>
                <w:szCs w:val="22"/>
              </w:rPr>
            </w:pPr>
          </w:p>
        </w:tc>
        <w:tc>
          <w:tcPr>
            <w:tcW w:w="1500" w:type="dxa"/>
            <w:tcBorders>
              <w:right w:val="single" w:sz="8" w:space="0" w:color="auto"/>
            </w:tcBorders>
            <w:shd w:val="clear" w:color="auto" w:fill="auto"/>
            <w:vAlign w:val="bottom"/>
          </w:tcPr>
          <w:p w14:paraId="3E611E76" w14:textId="77777777" w:rsidR="004756CE" w:rsidRPr="00B57AE7" w:rsidRDefault="004756CE" w:rsidP="00BD7E4F">
            <w:pPr>
              <w:spacing w:line="0" w:lineRule="atLeast"/>
              <w:rPr>
                <w:sz w:val="22"/>
                <w:szCs w:val="22"/>
              </w:rPr>
            </w:pPr>
          </w:p>
        </w:tc>
        <w:tc>
          <w:tcPr>
            <w:tcW w:w="900" w:type="dxa"/>
            <w:tcBorders>
              <w:right w:val="single" w:sz="8" w:space="0" w:color="auto"/>
            </w:tcBorders>
            <w:shd w:val="clear" w:color="auto" w:fill="auto"/>
            <w:vAlign w:val="bottom"/>
          </w:tcPr>
          <w:p w14:paraId="2EDA7633" w14:textId="77777777" w:rsidR="004756CE" w:rsidRPr="00B57AE7" w:rsidRDefault="004756CE" w:rsidP="00BD7E4F">
            <w:pPr>
              <w:spacing w:line="0" w:lineRule="atLeast"/>
              <w:rPr>
                <w:sz w:val="22"/>
                <w:szCs w:val="22"/>
              </w:rPr>
            </w:pPr>
          </w:p>
        </w:tc>
      </w:tr>
      <w:tr w:rsidR="004756CE" w:rsidRPr="00B57AE7" w14:paraId="16C1B7D9" w14:textId="77777777" w:rsidTr="004756CE">
        <w:trPr>
          <w:trHeight w:val="224"/>
        </w:trPr>
        <w:tc>
          <w:tcPr>
            <w:tcW w:w="2960" w:type="dxa"/>
            <w:tcBorders>
              <w:left w:val="single" w:sz="8" w:space="0" w:color="auto"/>
              <w:bottom w:val="single" w:sz="8" w:space="0" w:color="auto"/>
              <w:right w:val="single" w:sz="8" w:space="0" w:color="auto"/>
            </w:tcBorders>
            <w:shd w:val="clear" w:color="auto" w:fill="auto"/>
            <w:vAlign w:val="bottom"/>
          </w:tcPr>
          <w:p w14:paraId="189D770E" w14:textId="77777777" w:rsidR="004756CE" w:rsidRPr="00B57AE7" w:rsidRDefault="004756CE" w:rsidP="00D6542B">
            <w:pPr>
              <w:spacing w:line="0" w:lineRule="atLeast"/>
              <w:rPr>
                <w:sz w:val="22"/>
                <w:szCs w:val="22"/>
              </w:rPr>
            </w:pPr>
          </w:p>
        </w:tc>
        <w:tc>
          <w:tcPr>
            <w:tcW w:w="980" w:type="dxa"/>
            <w:tcBorders>
              <w:bottom w:val="single" w:sz="8" w:space="0" w:color="auto"/>
              <w:right w:val="single" w:sz="8" w:space="0" w:color="auto"/>
            </w:tcBorders>
            <w:shd w:val="clear" w:color="auto" w:fill="auto"/>
            <w:vAlign w:val="bottom"/>
          </w:tcPr>
          <w:p w14:paraId="6BED2169" w14:textId="77777777" w:rsidR="004756CE" w:rsidRPr="00B57AE7" w:rsidRDefault="004756CE" w:rsidP="00BD7E4F">
            <w:pPr>
              <w:spacing w:line="0" w:lineRule="atLeast"/>
              <w:jc w:val="center"/>
              <w:rPr>
                <w:sz w:val="22"/>
                <w:szCs w:val="22"/>
              </w:rPr>
            </w:pPr>
            <w:r w:rsidRPr="00B57AE7">
              <w:rPr>
                <w:sz w:val="22"/>
                <w:szCs w:val="22"/>
              </w:rPr>
              <w:t>839 (11,4)</w:t>
            </w:r>
          </w:p>
        </w:tc>
        <w:tc>
          <w:tcPr>
            <w:tcW w:w="1000" w:type="dxa"/>
            <w:tcBorders>
              <w:bottom w:val="single" w:sz="8" w:space="0" w:color="auto"/>
              <w:right w:val="single" w:sz="8" w:space="0" w:color="auto"/>
            </w:tcBorders>
            <w:shd w:val="clear" w:color="auto" w:fill="auto"/>
            <w:vAlign w:val="bottom"/>
          </w:tcPr>
          <w:p w14:paraId="0327A45F" w14:textId="77777777" w:rsidR="004756CE" w:rsidRPr="00B57AE7" w:rsidRDefault="004756CE" w:rsidP="00BD7E4F">
            <w:pPr>
              <w:spacing w:line="0" w:lineRule="atLeast"/>
              <w:jc w:val="center"/>
              <w:rPr>
                <w:w w:val="97"/>
                <w:sz w:val="22"/>
                <w:szCs w:val="22"/>
              </w:rPr>
            </w:pPr>
            <w:r w:rsidRPr="00B57AE7">
              <w:rPr>
                <w:w w:val="97"/>
                <w:sz w:val="22"/>
                <w:szCs w:val="22"/>
              </w:rPr>
              <w:t>4,1</w:t>
            </w:r>
          </w:p>
        </w:tc>
        <w:tc>
          <w:tcPr>
            <w:tcW w:w="980" w:type="dxa"/>
            <w:tcBorders>
              <w:bottom w:val="single" w:sz="8" w:space="0" w:color="auto"/>
              <w:right w:val="single" w:sz="8" w:space="0" w:color="auto"/>
            </w:tcBorders>
            <w:shd w:val="clear" w:color="auto" w:fill="auto"/>
            <w:vAlign w:val="bottom"/>
          </w:tcPr>
          <w:p w14:paraId="22D9814B" w14:textId="77777777" w:rsidR="004756CE" w:rsidRPr="00B57AE7" w:rsidRDefault="004756CE" w:rsidP="00BD7E4F">
            <w:pPr>
              <w:spacing w:line="0" w:lineRule="atLeast"/>
              <w:jc w:val="center"/>
              <w:rPr>
                <w:sz w:val="22"/>
                <w:szCs w:val="22"/>
              </w:rPr>
            </w:pPr>
            <w:r w:rsidRPr="00B57AE7">
              <w:rPr>
                <w:sz w:val="22"/>
                <w:szCs w:val="22"/>
              </w:rPr>
              <w:t>851 (11,6)</w:t>
            </w:r>
          </w:p>
        </w:tc>
        <w:tc>
          <w:tcPr>
            <w:tcW w:w="1000" w:type="dxa"/>
            <w:tcBorders>
              <w:bottom w:val="single" w:sz="8" w:space="0" w:color="auto"/>
              <w:right w:val="single" w:sz="8" w:space="0" w:color="auto"/>
            </w:tcBorders>
            <w:shd w:val="clear" w:color="auto" w:fill="auto"/>
            <w:vAlign w:val="bottom"/>
          </w:tcPr>
          <w:p w14:paraId="0D41D73E" w14:textId="77777777" w:rsidR="004756CE" w:rsidRPr="00B57AE7" w:rsidRDefault="004756CE" w:rsidP="00BD7E4F">
            <w:pPr>
              <w:spacing w:line="0" w:lineRule="atLeast"/>
              <w:jc w:val="center"/>
              <w:rPr>
                <w:w w:val="97"/>
                <w:sz w:val="22"/>
                <w:szCs w:val="22"/>
              </w:rPr>
            </w:pPr>
            <w:r w:rsidRPr="00B57AE7">
              <w:rPr>
                <w:w w:val="97"/>
                <w:sz w:val="22"/>
                <w:szCs w:val="22"/>
              </w:rPr>
              <w:t>4,2</w:t>
            </w:r>
          </w:p>
        </w:tc>
        <w:tc>
          <w:tcPr>
            <w:tcW w:w="1500" w:type="dxa"/>
            <w:tcBorders>
              <w:bottom w:val="single" w:sz="8" w:space="0" w:color="auto"/>
              <w:right w:val="single" w:sz="8" w:space="0" w:color="auto"/>
            </w:tcBorders>
            <w:shd w:val="clear" w:color="auto" w:fill="auto"/>
            <w:vAlign w:val="bottom"/>
          </w:tcPr>
          <w:p w14:paraId="31EB2A75" w14:textId="77777777" w:rsidR="000657F0" w:rsidRPr="00B57AE7" w:rsidRDefault="003458AB" w:rsidP="000657F0">
            <w:pPr>
              <w:spacing w:line="0" w:lineRule="atLeast"/>
              <w:jc w:val="center"/>
              <w:rPr>
                <w:sz w:val="22"/>
                <w:szCs w:val="22"/>
              </w:rPr>
            </w:pPr>
            <w:r w:rsidRPr="00B57AE7">
              <w:rPr>
                <w:sz w:val="22"/>
                <w:szCs w:val="22"/>
              </w:rPr>
              <w:t>0,98</w:t>
            </w:r>
          </w:p>
          <w:p w14:paraId="25C8A88A" w14:textId="77777777" w:rsidR="003458AB" w:rsidRPr="00B57AE7" w:rsidRDefault="003458AB" w:rsidP="000657F0">
            <w:pPr>
              <w:spacing w:line="0" w:lineRule="atLeast"/>
              <w:jc w:val="center"/>
              <w:rPr>
                <w:sz w:val="22"/>
                <w:szCs w:val="22"/>
              </w:rPr>
            </w:pPr>
            <w:r w:rsidRPr="00B57AE7">
              <w:rPr>
                <w:sz w:val="22"/>
                <w:szCs w:val="22"/>
              </w:rPr>
              <w:t>(0,89-1,08)</w:t>
            </w:r>
          </w:p>
        </w:tc>
        <w:tc>
          <w:tcPr>
            <w:tcW w:w="900" w:type="dxa"/>
            <w:tcBorders>
              <w:bottom w:val="single" w:sz="8" w:space="0" w:color="auto"/>
              <w:right w:val="single" w:sz="8" w:space="0" w:color="auto"/>
            </w:tcBorders>
            <w:shd w:val="clear" w:color="auto" w:fill="auto"/>
            <w:vAlign w:val="bottom"/>
          </w:tcPr>
          <w:p w14:paraId="1DF68E67" w14:textId="77777777" w:rsidR="004756CE" w:rsidRPr="00B57AE7" w:rsidRDefault="003458AB" w:rsidP="00BD7E4F">
            <w:pPr>
              <w:spacing w:line="0" w:lineRule="atLeast"/>
              <w:jc w:val="center"/>
              <w:rPr>
                <w:bCs/>
                <w:sz w:val="22"/>
                <w:szCs w:val="22"/>
              </w:rPr>
            </w:pPr>
            <w:r w:rsidRPr="00B57AE7">
              <w:rPr>
                <w:bCs/>
                <w:sz w:val="22"/>
                <w:szCs w:val="22"/>
              </w:rPr>
              <w:t>&lt; 0,001</w:t>
            </w:r>
          </w:p>
        </w:tc>
      </w:tr>
      <w:tr w:rsidR="004756CE" w:rsidRPr="00B57AE7" w14:paraId="5F69B346" w14:textId="77777777" w:rsidTr="004756CE">
        <w:trPr>
          <w:trHeight w:val="194"/>
        </w:trPr>
        <w:tc>
          <w:tcPr>
            <w:tcW w:w="2960" w:type="dxa"/>
            <w:tcBorders>
              <w:left w:val="single" w:sz="8" w:space="0" w:color="auto"/>
              <w:right w:val="single" w:sz="8" w:space="0" w:color="auto"/>
            </w:tcBorders>
            <w:shd w:val="clear" w:color="auto" w:fill="auto"/>
            <w:vAlign w:val="bottom"/>
          </w:tcPr>
          <w:p w14:paraId="20B6BCAD" w14:textId="77777777" w:rsidR="004756CE" w:rsidRPr="00B57AE7" w:rsidRDefault="004756CE" w:rsidP="00BD7E4F">
            <w:pPr>
              <w:spacing w:line="194" w:lineRule="exact"/>
              <w:ind w:left="280"/>
              <w:rPr>
                <w:b/>
                <w:sz w:val="22"/>
                <w:szCs w:val="22"/>
              </w:rPr>
            </w:pPr>
            <w:r w:rsidRPr="00B57AE7">
              <w:rPr>
                <w:b/>
                <w:sz w:val="22"/>
                <w:szCs w:val="22"/>
              </w:rPr>
              <w:t>Sekundárny zložený cieľový</w:t>
            </w:r>
          </w:p>
        </w:tc>
        <w:tc>
          <w:tcPr>
            <w:tcW w:w="980" w:type="dxa"/>
            <w:tcBorders>
              <w:right w:val="single" w:sz="8" w:space="0" w:color="auto"/>
            </w:tcBorders>
            <w:shd w:val="clear" w:color="auto" w:fill="auto"/>
            <w:vAlign w:val="bottom"/>
          </w:tcPr>
          <w:p w14:paraId="1D70FF35" w14:textId="77777777" w:rsidR="004756CE" w:rsidRPr="00B57AE7" w:rsidRDefault="004756CE" w:rsidP="00BD7E4F">
            <w:pPr>
              <w:spacing w:line="0" w:lineRule="atLeast"/>
              <w:rPr>
                <w:sz w:val="22"/>
                <w:szCs w:val="22"/>
              </w:rPr>
            </w:pPr>
          </w:p>
        </w:tc>
        <w:tc>
          <w:tcPr>
            <w:tcW w:w="1000" w:type="dxa"/>
            <w:tcBorders>
              <w:right w:val="single" w:sz="8" w:space="0" w:color="auto"/>
            </w:tcBorders>
            <w:shd w:val="clear" w:color="auto" w:fill="auto"/>
            <w:vAlign w:val="bottom"/>
          </w:tcPr>
          <w:p w14:paraId="12FB5D3D" w14:textId="77777777" w:rsidR="004756CE" w:rsidRPr="00B57AE7" w:rsidRDefault="004756CE" w:rsidP="00BD7E4F">
            <w:pPr>
              <w:spacing w:line="0" w:lineRule="atLeast"/>
              <w:rPr>
                <w:sz w:val="22"/>
                <w:szCs w:val="22"/>
              </w:rPr>
            </w:pPr>
          </w:p>
        </w:tc>
        <w:tc>
          <w:tcPr>
            <w:tcW w:w="980" w:type="dxa"/>
            <w:tcBorders>
              <w:right w:val="single" w:sz="8" w:space="0" w:color="auto"/>
            </w:tcBorders>
            <w:shd w:val="clear" w:color="auto" w:fill="auto"/>
            <w:vAlign w:val="bottom"/>
          </w:tcPr>
          <w:p w14:paraId="50349D7D" w14:textId="77777777" w:rsidR="004756CE" w:rsidRPr="00B57AE7" w:rsidRDefault="004756CE" w:rsidP="00BD7E4F">
            <w:pPr>
              <w:spacing w:line="0" w:lineRule="atLeast"/>
              <w:rPr>
                <w:sz w:val="22"/>
                <w:szCs w:val="22"/>
              </w:rPr>
            </w:pPr>
          </w:p>
        </w:tc>
        <w:tc>
          <w:tcPr>
            <w:tcW w:w="1000" w:type="dxa"/>
            <w:tcBorders>
              <w:right w:val="single" w:sz="8" w:space="0" w:color="auto"/>
            </w:tcBorders>
            <w:shd w:val="clear" w:color="auto" w:fill="auto"/>
            <w:vAlign w:val="bottom"/>
          </w:tcPr>
          <w:p w14:paraId="0D8AA452" w14:textId="77777777" w:rsidR="004756CE" w:rsidRPr="00B57AE7" w:rsidRDefault="004756CE" w:rsidP="00BD7E4F">
            <w:pPr>
              <w:spacing w:line="0" w:lineRule="atLeast"/>
              <w:rPr>
                <w:sz w:val="22"/>
                <w:szCs w:val="22"/>
              </w:rPr>
            </w:pPr>
          </w:p>
        </w:tc>
        <w:tc>
          <w:tcPr>
            <w:tcW w:w="1500" w:type="dxa"/>
            <w:tcBorders>
              <w:right w:val="single" w:sz="8" w:space="0" w:color="auto"/>
            </w:tcBorders>
            <w:shd w:val="clear" w:color="auto" w:fill="auto"/>
            <w:vAlign w:val="bottom"/>
          </w:tcPr>
          <w:p w14:paraId="1ACEA473" w14:textId="77777777" w:rsidR="004756CE" w:rsidRPr="00B57AE7" w:rsidRDefault="004756CE" w:rsidP="00BD7E4F">
            <w:pPr>
              <w:spacing w:line="0" w:lineRule="atLeast"/>
              <w:rPr>
                <w:sz w:val="22"/>
                <w:szCs w:val="22"/>
              </w:rPr>
            </w:pPr>
          </w:p>
        </w:tc>
        <w:tc>
          <w:tcPr>
            <w:tcW w:w="900" w:type="dxa"/>
            <w:tcBorders>
              <w:right w:val="single" w:sz="8" w:space="0" w:color="auto"/>
            </w:tcBorders>
            <w:shd w:val="clear" w:color="auto" w:fill="auto"/>
            <w:vAlign w:val="bottom"/>
          </w:tcPr>
          <w:p w14:paraId="04878E46" w14:textId="77777777" w:rsidR="004756CE" w:rsidRPr="00B57AE7" w:rsidRDefault="004756CE" w:rsidP="00BD7E4F">
            <w:pPr>
              <w:spacing w:line="0" w:lineRule="atLeast"/>
              <w:rPr>
                <w:sz w:val="22"/>
                <w:szCs w:val="22"/>
              </w:rPr>
            </w:pPr>
          </w:p>
        </w:tc>
      </w:tr>
      <w:tr w:rsidR="004756CE" w:rsidRPr="00B57AE7" w14:paraId="475FB035" w14:textId="77777777" w:rsidTr="004756CE">
        <w:trPr>
          <w:trHeight w:val="210"/>
        </w:trPr>
        <w:tc>
          <w:tcPr>
            <w:tcW w:w="2960" w:type="dxa"/>
            <w:tcBorders>
              <w:left w:val="single" w:sz="8" w:space="0" w:color="auto"/>
              <w:right w:val="single" w:sz="8" w:space="0" w:color="auto"/>
            </w:tcBorders>
            <w:shd w:val="clear" w:color="auto" w:fill="auto"/>
            <w:vAlign w:val="bottom"/>
          </w:tcPr>
          <w:p w14:paraId="750F65D5" w14:textId="77777777" w:rsidR="004756CE" w:rsidRPr="00B57AE7" w:rsidRDefault="004756CE" w:rsidP="00BD7E4F">
            <w:pPr>
              <w:spacing w:line="0" w:lineRule="atLeast"/>
              <w:ind w:left="280"/>
              <w:rPr>
                <w:b/>
                <w:sz w:val="22"/>
                <w:szCs w:val="22"/>
              </w:rPr>
            </w:pPr>
            <w:r w:rsidRPr="00B57AE7">
              <w:rPr>
                <w:b/>
                <w:sz w:val="22"/>
                <w:szCs w:val="22"/>
              </w:rPr>
              <w:t>ukazovateľ</w:t>
            </w:r>
          </w:p>
        </w:tc>
        <w:tc>
          <w:tcPr>
            <w:tcW w:w="980" w:type="dxa"/>
            <w:tcBorders>
              <w:right w:val="single" w:sz="8" w:space="0" w:color="auto"/>
            </w:tcBorders>
            <w:shd w:val="clear" w:color="auto" w:fill="auto"/>
            <w:vAlign w:val="bottom"/>
          </w:tcPr>
          <w:p w14:paraId="6AC2A1AD" w14:textId="77777777" w:rsidR="004756CE" w:rsidRPr="00B57AE7" w:rsidRDefault="004756CE" w:rsidP="00BD7E4F">
            <w:pPr>
              <w:spacing w:line="0" w:lineRule="atLeast"/>
              <w:rPr>
                <w:sz w:val="22"/>
                <w:szCs w:val="22"/>
              </w:rPr>
            </w:pPr>
          </w:p>
        </w:tc>
        <w:tc>
          <w:tcPr>
            <w:tcW w:w="1000" w:type="dxa"/>
            <w:tcBorders>
              <w:right w:val="single" w:sz="8" w:space="0" w:color="auto"/>
            </w:tcBorders>
            <w:shd w:val="clear" w:color="auto" w:fill="auto"/>
            <w:vAlign w:val="bottom"/>
          </w:tcPr>
          <w:p w14:paraId="47C14915" w14:textId="77777777" w:rsidR="004756CE" w:rsidRPr="00B57AE7" w:rsidRDefault="004756CE" w:rsidP="00BD7E4F">
            <w:pPr>
              <w:spacing w:line="0" w:lineRule="atLeast"/>
              <w:rPr>
                <w:sz w:val="22"/>
                <w:szCs w:val="22"/>
              </w:rPr>
            </w:pPr>
          </w:p>
        </w:tc>
        <w:tc>
          <w:tcPr>
            <w:tcW w:w="980" w:type="dxa"/>
            <w:tcBorders>
              <w:right w:val="single" w:sz="8" w:space="0" w:color="auto"/>
            </w:tcBorders>
            <w:shd w:val="clear" w:color="auto" w:fill="auto"/>
            <w:vAlign w:val="bottom"/>
          </w:tcPr>
          <w:p w14:paraId="5D1D7F4C" w14:textId="77777777" w:rsidR="004756CE" w:rsidRPr="00B57AE7" w:rsidRDefault="004756CE" w:rsidP="00BD7E4F">
            <w:pPr>
              <w:spacing w:line="0" w:lineRule="atLeast"/>
              <w:rPr>
                <w:sz w:val="22"/>
                <w:szCs w:val="22"/>
              </w:rPr>
            </w:pPr>
          </w:p>
        </w:tc>
        <w:tc>
          <w:tcPr>
            <w:tcW w:w="1000" w:type="dxa"/>
            <w:tcBorders>
              <w:right w:val="single" w:sz="8" w:space="0" w:color="auto"/>
            </w:tcBorders>
            <w:shd w:val="clear" w:color="auto" w:fill="auto"/>
            <w:vAlign w:val="bottom"/>
          </w:tcPr>
          <w:p w14:paraId="4FA96A30" w14:textId="77777777" w:rsidR="004756CE" w:rsidRPr="00B57AE7" w:rsidRDefault="004756CE" w:rsidP="00BD7E4F">
            <w:pPr>
              <w:spacing w:line="0" w:lineRule="atLeast"/>
              <w:rPr>
                <w:sz w:val="22"/>
                <w:szCs w:val="22"/>
              </w:rPr>
            </w:pPr>
          </w:p>
        </w:tc>
        <w:tc>
          <w:tcPr>
            <w:tcW w:w="1500" w:type="dxa"/>
            <w:tcBorders>
              <w:right w:val="single" w:sz="8" w:space="0" w:color="auto"/>
            </w:tcBorders>
            <w:shd w:val="clear" w:color="auto" w:fill="auto"/>
            <w:vAlign w:val="bottom"/>
          </w:tcPr>
          <w:p w14:paraId="315B9CA3" w14:textId="77777777" w:rsidR="004756CE" w:rsidRPr="00B57AE7" w:rsidRDefault="004756CE" w:rsidP="00BD7E4F">
            <w:pPr>
              <w:spacing w:line="0" w:lineRule="atLeast"/>
              <w:rPr>
                <w:sz w:val="22"/>
                <w:szCs w:val="22"/>
              </w:rPr>
            </w:pPr>
          </w:p>
        </w:tc>
        <w:tc>
          <w:tcPr>
            <w:tcW w:w="900" w:type="dxa"/>
            <w:tcBorders>
              <w:right w:val="single" w:sz="8" w:space="0" w:color="auto"/>
            </w:tcBorders>
            <w:shd w:val="clear" w:color="auto" w:fill="auto"/>
            <w:vAlign w:val="bottom"/>
          </w:tcPr>
          <w:p w14:paraId="2294F3F5" w14:textId="77777777" w:rsidR="004756CE" w:rsidRPr="00B57AE7" w:rsidRDefault="004756CE" w:rsidP="00BD7E4F">
            <w:pPr>
              <w:spacing w:line="0" w:lineRule="atLeast"/>
              <w:rPr>
                <w:sz w:val="22"/>
                <w:szCs w:val="22"/>
              </w:rPr>
            </w:pPr>
          </w:p>
        </w:tc>
      </w:tr>
      <w:tr w:rsidR="004756CE" w:rsidRPr="00B57AE7" w14:paraId="0990E84C" w14:textId="77777777" w:rsidTr="004756CE">
        <w:trPr>
          <w:trHeight w:val="211"/>
        </w:trPr>
        <w:tc>
          <w:tcPr>
            <w:tcW w:w="2960" w:type="dxa"/>
            <w:tcBorders>
              <w:left w:val="single" w:sz="8" w:space="0" w:color="auto"/>
              <w:right w:val="single" w:sz="8" w:space="0" w:color="auto"/>
            </w:tcBorders>
            <w:shd w:val="clear" w:color="auto" w:fill="auto"/>
            <w:vAlign w:val="bottom"/>
          </w:tcPr>
          <w:p w14:paraId="3CF7AF8E" w14:textId="77777777" w:rsidR="004756CE" w:rsidRPr="00B57AE7" w:rsidRDefault="004756CE" w:rsidP="00BD7E4F">
            <w:pPr>
              <w:spacing w:line="0" w:lineRule="atLeast"/>
              <w:ind w:left="540"/>
              <w:rPr>
                <w:sz w:val="22"/>
                <w:szCs w:val="22"/>
              </w:rPr>
            </w:pPr>
            <w:r w:rsidRPr="00B57AE7">
              <w:rPr>
                <w:sz w:val="22"/>
                <w:szCs w:val="22"/>
              </w:rPr>
              <w:t>(Kardiovaskulárne úmrtie,</w:t>
            </w:r>
          </w:p>
        </w:tc>
        <w:tc>
          <w:tcPr>
            <w:tcW w:w="980" w:type="dxa"/>
            <w:tcBorders>
              <w:right w:val="single" w:sz="8" w:space="0" w:color="auto"/>
            </w:tcBorders>
            <w:shd w:val="clear" w:color="auto" w:fill="auto"/>
            <w:vAlign w:val="bottom"/>
          </w:tcPr>
          <w:p w14:paraId="0516AD50" w14:textId="77777777" w:rsidR="004756CE" w:rsidRPr="00B57AE7" w:rsidRDefault="004756CE" w:rsidP="00BD7E4F">
            <w:pPr>
              <w:spacing w:line="0" w:lineRule="atLeast"/>
              <w:rPr>
                <w:sz w:val="22"/>
                <w:szCs w:val="22"/>
              </w:rPr>
            </w:pPr>
          </w:p>
        </w:tc>
        <w:tc>
          <w:tcPr>
            <w:tcW w:w="1000" w:type="dxa"/>
            <w:tcBorders>
              <w:right w:val="single" w:sz="8" w:space="0" w:color="auto"/>
            </w:tcBorders>
            <w:shd w:val="clear" w:color="auto" w:fill="auto"/>
            <w:vAlign w:val="bottom"/>
          </w:tcPr>
          <w:p w14:paraId="5203778E" w14:textId="77777777" w:rsidR="004756CE" w:rsidRPr="00B57AE7" w:rsidRDefault="004756CE" w:rsidP="00BD7E4F">
            <w:pPr>
              <w:spacing w:line="0" w:lineRule="atLeast"/>
              <w:rPr>
                <w:sz w:val="22"/>
                <w:szCs w:val="22"/>
              </w:rPr>
            </w:pPr>
          </w:p>
        </w:tc>
        <w:tc>
          <w:tcPr>
            <w:tcW w:w="980" w:type="dxa"/>
            <w:tcBorders>
              <w:right w:val="single" w:sz="8" w:space="0" w:color="auto"/>
            </w:tcBorders>
            <w:shd w:val="clear" w:color="auto" w:fill="auto"/>
            <w:vAlign w:val="bottom"/>
          </w:tcPr>
          <w:p w14:paraId="6A0E63D7" w14:textId="77777777" w:rsidR="004756CE" w:rsidRPr="00B57AE7" w:rsidRDefault="004756CE" w:rsidP="00BD7E4F">
            <w:pPr>
              <w:spacing w:line="0" w:lineRule="atLeast"/>
              <w:rPr>
                <w:sz w:val="22"/>
                <w:szCs w:val="22"/>
              </w:rPr>
            </w:pPr>
          </w:p>
        </w:tc>
        <w:tc>
          <w:tcPr>
            <w:tcW w:w="1000" w:type="dxa"/>
            <w:tcBorders>
              <w:right w:val="single" w:sz="8" w:space="0" w:color="auto"/>
            </w:tcBorders>
            <w:shd w:val="clear" w:color="auto" w:fill="auto"/>
            <w:vAlign w:val="bottom"/>
          </w:tcPr>
          <w:p w14:paraId="45192677" w14:textId="77777777" w:rsidR="004756CE" w:rsidRPr="00B57AE7" w:rsidRDefault="004756CE" w:rsidP="00BD7E4F">
            <w:pPr>
              <w:spacing w:line="0" w:lineRule="atLeast"/>
              <w:rPr>
                <w:sz w:val="22"/>
                <w:szCs w:val="22"/>
              </w:rPr>
            </w:pPr>
          </w:p>
        </w:tc>
        <w:tc>
          <w:tcPr>
            <w:tcW w:w="1500" w:type="dxa"/>
            <w:tcBorders>
              <w:right w:val="single" w:sz="8" w:space="0" w:color="auto"/>
            </w:tcBorders>
            <w:shd w:val="clear" w:color="auto" w:fill="auto"/>
            <w:vAlign w:val="bottom"/>
          </w:tcPr>
          <w:p w14:paraId="70E58AA1" w14:textId="77777777" w:rsidR="004756CE" w:rsidRPr="00B57AE7" w:rsidRDefault="004756CE" w:rsidP="00BD7E4F">
            <w:pPr>
              <w:spacing w:line="0" w:lineRule="atLeast"/>
              <w:rPr>
                <w:sz w:val="22"/>
                <w:szCs w:val="22"/>
              </w:rPr>
            </w:pPr>
          </w:p>
        </w:tc>
        <w:tc>
          <w:tcPr>
            <w:tcW w:w="900" w:type="dxa"/>
            <w:tcBorders>
              <w:right w:val="single" w:sz="8" w:space="0" w:color="auto"/>
            </w:tcBorders>
            <w:shd w:val="clear" w:color="auto" w:fill="auto"/>
            <w:vAlign w:val="bottom"/>
          </w:tcPr>
          <w:p w14:paraId="310435CE" w14:textId="77777777" w:rsidR="004756CE" w:rsidRPr="00B57AE7" w:rsidRDefault="004756CE" w:rsidP="00BD7E4F">
            <w:pPr>
              <w:spacing w:line="0" w:lineRule="atLeast"/>
              <w:rPr>
                <w:sz w:val="22"/>
                <w:szCs w:val="22"/>
              </w:rPr>
            </w:pPr>
          </w:p>
        </w:tc>
      </w:tr>
      <w:tr w:rsidR="004756CE" w:rsidRPr="00B57AE7" w14:paraId="70D68120" w14:textId="77777777" w:rsidTr="004756CE">
        <w:trPr>
          <w:trHeight w:val="211"/>
        </w:trPr>
        <w:tc>
          <w:tcPr>
            <w:tcW w:w="2960" w:type="dxa"/>
            <w:tcBorders>
              <w:left w:val="single" w:sz="8" w:space="0" w:color="auto"/>
              <w:right w:val="single" w:sz="8" w:space="0" w:color="auto"/>
            </w:tcBorders>
            <w:shd w:val="clear" w:color="auto" w:fill="auto"/>
            <w:vAlign w:val="bottom"/>
          </w:tcPr>
          <w:p w14:paraId="172C5187" w14:textId="77777777" w:rsidR="004756CE" w:rsidRPr="00B57AE7" w:rsidRDefault="004756CE" w:rsidP="00BD7E4F">
            <w:pPr>
              <w:spacing w:line="0" w:lineRule="atLeast"/>
              <w:ind w:left="540"/>
              <w:rPr>
                <w:sz w:val="22"/>
                <w:szCs w:val="22"/>
              </w:rPr>
            </w:pPr>
            <w:r w:rsidRPr="00B57AE7">
              <w:rPr>
                <w:sz w:val="22"/>
                <w:szCs w:val="22"/>
              </w:rPr>
              <w:t>nefatálny infarkt myokardu,</w:t>
            </w:r>
          </w:p>
        </w:tc>
        <w:tc>
          <w:tcPr>
            <w:tcW w:w="980" w:type="dxa"/>
            <w:tcBorders>
              <w:right w:val="single" w:sz="8" w:space="0" w:color="auto"/>
            </w:tcBorders>
            <w:shd w:val="clear" w:color="auto" w:fill="auto"/>
            <w:vAlign w:val="bottom"/>
          </w:tcPr>
          <w:p w14:paraId="1A405813" w14:textId="77777777" w:rsidR="004756CE" w:rsidRPr="00B57AE7" w:rsidRDefault="004756CE" w:rsidP="00BD7E4F">
            <w:pPr>
              <w:spacing w:line="0" w:lineRule="atLeast"/>
              <w:rPr>
                <w:sz w:val="22"/>
                <w:szCs w:val="22"/>
              </w:rPr>
            </w:pPr>
          </w:p>
        </w:tc>
        <w:tc>
          <w:tcPr>
            <w:tcW w:w="1000" w:type="dxa"/>
            <w:tcBorders>
              <w:right w:val="single" w:sz="8" w:space="0" w:color="auto"/>
            </w:tcBorders>
            <w:shd w:val="clear" w:color="auto" w:fill="auto"/>
            <w:vAlign w:val="bottom"/>
          </w:tcPr>
          <w:p w14:paraId="317F94F0" w14:textId="77777777" w:rsidR="004756CE" w:rsidRPr="00B57AE7" w:rsidRDefault="004756CE" w:rsidP="00BD7E4F">
            <w:pPr>
              <w:spacing w:line="0" w:lineRule="atLeast"/>
              <w:rPr>
                <w:sz w:val="22"/>
                <w:szCs w:val="22"/>
              </w:rPr>
            </w:pPr>
          </w:p>
        </w:tc>
        <w:tc>
          <w:tcPr>
            <w:tcW w:w="980" w:type="dxa"/>
            <w:tcBorders>
              <w:right w:val="single" w:sz="8" w:space="0" w:color="auto"/>
            </w:tcBorders>
            <w:shd w:val="clear" w:color="auto" w:fill="auto"/>
            <w:vAlign w:val="bottom"/>
          </w:tcPr>
          <w:p w14:paraId="06819255" w14:textId="77777777" w:rsidR="004756CE" w:rsidRPr="00B57AE7" w:rsidRDefault="004756CE" w:rsidP="00BD7E4F">
            <w:pPr>
              <w:spacing w:line="0" w:lineRule="atLeast"/>
              <w:rPr>
                <w:sz w:val="22"/>
                <w:szCs w:val="22"/>
              </w:rPr>
            </w:pPr>
          </w:p>
        </w:tc>
        <w:tc>
          <w:tcPr>
            <w:tcW w:w="1000" w:type="dxa"/>
            <w:tcBorders>
              <w:right w:val="single" w:sz="8" w:space="0" w:color="auto"/>
            </w:tcBorders>
            <w:shd w:val="clear" w:color="auto" w:fill="auto"/>
            <w:vAlign w:val="bottom"/>
          </w:tcPr>
          <w:p w14:paraId="33D783DF" w14:textId="77777777" w:rsidR="004756CE" w:rsidRPr="00B57AE7" w:rsidRDefault="004756CE" w:rsidP="00BD7E4F">
            <w:pPr>
              <w:spacing w:line="0" w:lineRule="atLeast"/>
              <w:rPr>
                <w:sz w:val="22"/>
                <w:szCs w:val="22"/>
              </w:rPr>
            </w:pPr>
          </w:p>
        </w:tc>
        <w:tc>
          <w:tcPr>
            <w:tcW w:w="1500" w:type="dxa"/>
            <w:tcBorders>
              <w:right w:val="single" w:sz="8" w:space="0" w:color="auto"/>
            </w:tcBorders>
            <w:shd w:val="clear" w:color="auto" w:fill="auto"/>
            <w:vAlign w:val="bottom"/>
          </w:tcPr>
          <w:p w14:paraId="6DEAD64E" w14:textId="77777777" w:rsidR="004756CE" w:rsidRPr="00B57AE7" w:rsidRDefault="004756CE" w:rsidP="00BD7E4F">
            <w:pPr>
              <w:spacing w:line="0" w:lineRule="atLeast"/>
              <w:rPr>
                <w:sz w:val="22"/>
                <w:szCs w:val="22"/>
              </w:rPr>
            </w:pPr>
          </w:p>
        </w:tc>
        <w:tc>
          <w:tcPr>
            <w:tcW w:w="900" w:type="dxa"/>
            <w:tcBorders>
              <w:right w:val="single" w:sz="8" w:space="0" w:color="auto"/>
            </w:tcBorders>
            <w:shd w:val="clear" w:color="auto" w:fill="auto"/>
            <w:vAlign w:val="bottom"/>
          </w:tcPr>
          <w:p w14:paraId="652C556F" w14:textId="77777777" w:rsidR="004756CE" w:rsidRPr="00B57AE7" w:rsidRDefault="004756CE" w:rsidP="00BD7E4F">
            <w:pPr>
              <w:spacing w:line="0" w:lineRule="atLeast"/>
              <w:rPr>
                <w:sz w:val="22"/>
                <w:szCs w:val="22"/>
              </w:rPr>
            </w:pPr>
          </w:p>
        </w:tc>
      </w:tr>
      <w:tr w:rsidR="004756CE" w:rsidRPr="00B57AE7" w14:paraId="1EB1582E" w14:textId="77777777" w:rsidTr="004756CE">
        <w:trPr>
          <w:trHeight w:val="211"/>
        </w:trPr>
        <w:tc>
          <w:tcPr>
            <w:tcW w:w="2960" w:type="dxa"/>
            <w:tcBorders>
              <w:left w:val="single" w:sz="8" w:space="0" w:color="auto"/>
              <w:right w:val="single" w:sz="8" w:space="0" w:color="auto"/>
            </w:tcBorders>
            <w:shd w:val="clear" w:color="auto" w:fill="auto"/>
            <w:vAlign w:val="bottom"/>
          </w:tcPr>
          <w:p w14:paraId="7024A7DA" w14:textId="77777777" w:rsidR="004756CE" w:rsidRPr="00B57AE7" w:rsidRDefault="004756CE" w:rsidP="00BD7E4F">
            <w:pPr>
              <w:spacing w:line="0" w:lineRule="atLeast"/>
              <w:ind w:left="540"/>
              <w:rPr>
                <w:sz w:val="22"/>
                <w:szCs w:val="22"/>
              </w:rPr>
            </w:pPr>
            <w:r w:rsidRPr="00B57AE7">
              <w:rPr>
                <w:sz w:val="22"/>
                <w:szCs w:val="22"/>
              </w:rPr>
              <w:t>nefatálna cievna mozgová</w:t>
            </w:r>
          </w:p>
        </w:tc>
        <w:tc>
          <w:tcPr>
            <w:tcW w:w="980" w:type="dxa"/>
            <w:tcBorders>
              <w:right w:val="single" w:sz="8" w:space="0" w:color="auto"/>
            </w:tcBorders>
            <w:shd w:val="clear" w:color="auto" w:fill="auto"/>
            <w:vAlign w:val="bottom"/>
          </w:tcPr>
          <w:p w14:paraId="49484085" w14:textId="77777777" w:rsidR="004756CE" w:rsidRPr="00B57AE7" w:rsidRDefault="004756CE" w:rsidP="00BD7E4F">
            <w:pPr>
              <w:spacing w:line="0" w:lineRule="atLeast"/>
              <w:rPr>
                <w:sz w:val="22"/>
                <w:szCs w:val="22"/>
              </w:rPr>
            </w:pPr>
          </w:p>
        </w:tc>
        <w:tc>
          <w:tcPr>
            <w:tcW w:w="1000" w:type="dxa"/>
            <w:tcBorders>
              <w:right w:val="single" w:sz="8" w:space="0" w:color="auto"/>
            </w:tcBorders>
            <w:shd w:val="clear" w:color="auto" w:fill="auto"/>
            <w:vAlign w:val="bottom"/>
          </w:tcPr>
          <w:p w14:paraId="73DFFE90" w14:textId="77777777" w:rsidR="004756CE" w:rsidRPr="00B57AE7" w:rsidRDefault="004756CE" w:rsidP="00BD7E4F">
            <w:pPr>
              <w:spacing w:line="0" w:lineRule="atLeast"/>
              <w:rPr>
                <w:sz w:val="22"/>
                <w:szCs w:val="22"/>
              </w:rPr>
            </w:pPr>
          </w:p>
        </w:tc>
        <w:tc>
          <w:tcPr>
            <w:tcW w:w="980" w:type="dxa"/>
            <w:tcBorders>
              <w:right w:val="single" w:sz="8" w:space="0" w:color="auto"/>
            </w:tcBorders>
            <w:shd w:val="clear" w:color="auto" w:fill="auto"/>
            <w:vAlign w:val="bottom"/>
          </w:tcPr>
          <w:p w14:paraId="7335C8C1" w14:textId="77777777" w:rsidR="004756CE" w:rsidRPr="00B57AE7" w:rsidRDefault="004756CE" w:rsidP="00BD7E4F">
            <w:pPr>
              <w:spacing w:line="0" w:lineRule="atLeast"/>
              <w:rPr>
                <w:sz w:val="22"/>
                <w:szCs w:val="22"/>
              </w:rPr>
            </w:pPr>
          </w:p>
        </w:tc>
        <w:tc>
          <w:tcPr>
            <w:tcW w:w="1000" w:type="dxa"/>
            <w:tcBorders>
              <w:right w:val="single" w:sz="8" w:space="0" w:color="auto"/>
            </w:tcBorders>
            <w:shd w:val="clear" w:color="auto" w:fill="auto"/>
            <w:vAlign w:val="bottom"/>
          </w:tcPr>
          <w:p w14:paraId="71638A6C" w14:textId="77777777" w:rsidR="004756CE" w:rsidRPr="00B57AE7" w:rsidRDefault="004756CE" w:rsidP="00BD7E4F">
            <w:pPr>
              <w:spacing w:line="0" w:lineRule="atLeast"/>
              <w:rPr>
                <w:sz w:val="22"/>
                <w:szCs w:val="22"/>
              </w:rPr>
            </w:pPr>
          </w:p>
        </w:tc>
        <w:tc>
          <w:tcPr>
            <w:tcW w:w="1500" w:type="dxa"/>
            <w:tcBorders>
              <w:right w:val="single" w:sz="8" w:space="0" w:color="auto"/>
            </w:tcBorders>
            <w:shd w:val="clear" w:color="auto" w:fill="auto"/>
            <w:vAlign w:val="bottom"/>
          </w:tcPr>
          <w:p w14:paraId="12C24A3F" w14:textId="77777777" w:rsidR="004756CE" w:rsidRPr="00B57AE7" w:rsidRDefault="004756CE" w:rsidP="00BD7E4F">
            <w:pPr>
              <w:spacing w:line="0" w:lineRule="atLeast"/>
              <w:rPr>
                <w:sz w:val="22"/>
                <w:szCs w:val="22"/>
              </w:rPr>
            </w:pPr>
          </w:p>
        </w:tc>
        <w:tc>
          <w:tcPr>
            <w:tcW w:w="900" w:type="dxa"/>
            <w:tcBorders>
              <w:right w:val="single" w:sz="8" w:space="0" w:color="auto"/>
            </w:tcBorders>
            <w:shd w:val="clear" w:color="auto" w:fill="auto"/>
            <w:vAlign w:val="bottom"/>
          </w:tcPr>
          <w:p w14:paraId="42A713DA" w14:textId="77777777" w:rsidR="004756CE" w:rsidRPr="00B57AE7" w:rsidRDefault="004756CE" w:rsidP="00BD7E4F">
            <w:pPr>
              <w:spacing w:line="0" w:lineRule="atLeast"/>
              <w:rPr>
                <w:sz w:val="22"/>
                <w:szCs w:val="22"/>
              </w:rPr>
            </w:pPr>
          </w:p>
        </w:tc>
      </w:tr>
      <w:tr w:rsidR="004756CE" w:rsidRPr="00B57AE7" w14:paraId="5CBE6DA9" w14:textId="77777777" w:rsidTr="004756CE">
        <w:trPr>
          <w:trHeight w:val="224"/>
        </w:trPr>
        <w:tc>
          <w:tcPr>
            <w:tcW w:w="2960" w:type="dxa"/>
            <w:tcBorders>
              <w:left w:val="single" w:sz="8" w:space="0" w:color="auto"/>
              <w:bottom w:val="single" w:sz="4" w:space="0" w:color="auto"/>
              <w:right w:val="single" w:sz="8" w:space="0" w:color="auto"/>
            </w:tcBorders>
            <w:shd w:val="clear" w:color="auto" w:fill="auto"/>
            <w:vAlign w:val="bottom"/>
          </w:tcPr>
          <w:p w14:paraId="1490A937" w14:textId="77777777" w:rsidR="004756CE" w:rsidRPr="00B57AE7" w:rsidRDefault="004756CE" w:rsidP="00BD7E4F">
            <w:pPr>
              <w:spacing w:line="0" w:lineRule="atLeast"/>
              <w:ind w:left="540"/>
              <w:rPr>
                <w:sz w:val="22"/>
                <w:szCs w:val="22"/>
              </w:rPr>
            </w:pPr>
            <w:r w:rsidRPr="00B57AE7">
              <w:rPr>
                <w:sz w:val="22"/>
                <w:szCs w:val="22"/>
              </w:rPr>
              <w:t>príhoda)</w:t>
            </w:r>
          </w:p>
        </w:tc>
        <w:tc>
          <w:tcPr>
            <w:tcW w:w="980" w:type="dxa"/>
            <w:tcBorders>
              <w:bottom w:val="single" w:sz="8" w:space="0" w:color="auto"/>
              <w:right w:val="single" w:sz="8" w:space="0" w:color="auto"/>
            </w:tcBorders>
            <w:shd w:val="clear" w:color="auto" w:fill="auto"/>
            <w:vAlign w:val="bottom"/>
          </w:tcPr>
          <w:p w14:paraId="0CB867EB" w14:textId="77777777" w:rsidR="004756CE" w:rsidRPr="00B57AE7" w:rsidRDefault="004756CE" w:rsidP="00BD7E4F">
            <w:pPr>
              <w:spacing w:line="0" w:lineRule="atLeast"/>
              <w:jc w:val="center"/>
              <w:rPr>
                <w:sz w:val="22"/>
                <w:szCs w:val="22"/>
              </w:rPr>
            </w:pPr>
            <w:r w:rsidRPr="00B57AE7">
              <w:rPr>
                <w:sz w:val="22"/>
                <w:szCs w:val="22"/>
              </w:rPr>
              <w:t>745 (10,2)</w:t>
            </w:r>
          </w:p>
        </w:tc>
        <w:tc>
          <w:tcPr>
            <w:tcW w:w="1000" w:type="dxa"/>
            <w:tcBorders>
              <w:bottom w:val="single" w:sz="8" w:space="0" w:color="auto"/>
              <w:right w:val="single" w:sz="8" w:space="0" w:color="auto"/>
            </w:tcBorders>
            <w:shd w:val="clear" w:color="auto" w:fill="auto"/>
            <w:vAlign w:val="bottom"/>
          </w:tcPr>
          <w:p w14:paraId="19775A0C" w14:textId="77777777" w:rsidR="004756CE" w:rsidRPr="00B57AE7" w:rsidRDefault="004756CE" w:rsidP="00BD7E4F">
            <w:pPr>
              <w:spacing w:line="0" w:lineRule="atLeast"/>
              <w:jc w:val="center"/>
              <w:rPr>
                <w:w w:val="97"/>
                <w:sz w:val="22"/>
                <w:szCs w:val="22"/>
              </w:rPr>
            </w:pPr>
            <w:r w:rsidRPr="00B57AE7">
              <w:rPr>
                <w:w w:val="97"/>
                <w:sz w:val="22"/>
                <w:szCs w:val="22"/>
              </w:rPr>
              <w:t>3,6</w:t>
            </w:r>
          </w:p>
        </w:tc>
        <w:tc>
          <w:tcPr>
            <w:tcW w:w="980" w:type="dxa"/>
            <w:tcBorders>
              <w:bottom w:val="single" w:sz="8" w:space="0" w:color="auto"/>
              <w:right w:val="single" w:sz="8" w:space="0" w:color="auto"/>
            </w:tcBorders>
            <w:shd w:val="clear" w:color="auto" w:fill="auto"/>
            <w:vAlign w:val="bottom"/>
          </w:tcPr>
          <w:p w14:paraId="12C63044" w14:textId="77777777" w:rsidR="004756CE" w:rsidRPr="00B57AE7" w:rsidRDefault="004756CE" w:rsidP="00BD7E4F">
            <w:pPr>
              <w:spacing w:line="0" w:lineRule="atLeast"/>
              <w:jc w:val="center"/>
              <w:rPr>
                <w:sz w:val="22"/>
                <w:szCs w:val="22"/>
              </w:rPr>
            </w:pPr>
            <w:r w:rsidRPr="00B57AE7">
              <w:rPr>
                <w:sz w:val="22"/>
                <w:szCs w:val="22"/>
              </w:rPr>
              <w:t>746 (10,2)</w:t>
            </w:r>
          </w:p>
        </w:tc>
        <w:tc>
          <w:tcPr>
            <w:tcW w:w="1000" w:type="dxa"/>
            <w:tcBorders>
              <w:bottom w:val="single" w:sz="8" w:space="0" w:color="auto"/>
              <w:right w:val="single" w:sz="8" w:space="0" w:color="auto"/>
            </w:tcBorders>
            <w:shd w:val="clear" w:color="auto" w:fill="auto"/>
            <w:vAlign w:val="bottom"/>
          </w:tcPr>
          <w:p w14:paraId="58365321" w14:textId="77777777" w:rsidR="004756CE" w:rsidRPr="00B57AE7" w:rsidRDefault="004756CE" w:rsidP="00BD7E4F">
            <w:pPr>
              <w:spacing w:line="0" w:lineRule="atLeast"/>
              <w:jc w:val="center"/>
              <w:rPr>
                <w:w w:val="97"/>
                <w:sz w:val="22"/>
                <w:szCs w:val="22"/>
              </w:rPr>
            </w:pPr>
            <w:r w:rsidRPr="00B57AE7">
              <w:rPr>
                <w:w w:val="97"/>
                <w:sz w:val="22"/>
                <w:szCs w:val="22"/>
              </w:rPr>
              <w:t>3,6</w:t>
            </w:r>
          </w:p>
        </w:tc>
        <w:tc>
          <w:tcPr>
            <w:tcW w:w="1500" w:type="dxa"/>
            <w:tcBorders>
              <w:bottom w:val="single" w:sz="8" w:space="0" w:color="auto"/>
              <w:right w:val="single" w:sz="8" w:space="0" w:color="auto"/>
            </w:tcBorders>
            <w:shd w:val="clear" w:color="auto" w:fill="auto"/>
            <w:vAlign w:val="bottom"/>
          </w:tcPr>
          <w:p w14:paraId="371FFC32" w14:textId="77777777" w:rsidR="004756CE" w:rsidRPr="00B57AE7" w:rsidRDefault="004756CE" w:rsidP="00BD7E4F">
            <w:pPr>
              <w:spacing w:line="0" w:lineRule="atLeast"/>
              <w:jc w:val="center"/>
              <w:rPr>
                <w:sz w:val="22"/>
                <w:szCs w:val="22"/>
              </w:rPr>
            </w:pPr>
            <w:r w:rsidRPr="00B57AE7">
              <w:rPr>
                <w:sz w:val="22"/>
                <w:szCs w:val="22"/>
              </w:rPr>
              <w:t>0,99 (0,89–1,10)</w:t>
            </w:r>
          </w:p>
        </w:tc>
        <w:tc>
          <w:tcPr>
            <w:tcW w:w="900" w:type="dxa"/>
            <w:tcBorders>
              <w:bottom w:val="single" w:sz="8" w:space="0" w:color="auto"/>
              <w:right w:val="single" w:sz="8" w:space="0" w:color="auto"/>
            </w:tcBorders>
            <w:shd w:val="clear" w:color="auto" w:fill="auto"/>
            <w:vAlign w:val="bottom"/>
          </w:tcPr>
          <w:p w14:paraId="611AD085" w14:textId="77777777" w:rsidR="004756CE" w:rsidRPr="00B57AE7" w:rsidRDefault="004756CE" w:rsidP="00BD7E4F">
            <w:pPr>
              <w:spacing w:line="0" w:lineRule="atLeast"/>
              <w:jc w:val="center"/>
              <w:rPr>
                <w:sz w:val="22"/>
                <w:szCs w:val="22"/>
              </w:rPr>
            </w:pPr>
            <w:r w:rsidRPr="00B57AE7">
              <w:rPr>
                <w:sz w:val="22"/>
                <w:szCs w:val="22"/>
              </w:rPr>
              <w:t>&lt; 0,001</w:t>
            </w:r>
          </w:p>
        </w:tc>
      </w:tr>
      <w:tr w:rsidR="004756CE" w:rsidRPr="00B57AE7" w14:paraId="5D2602E6" w14:textId="77777777" w:rsidTr="004756CE">
        <w:trPr>
          <w:trHeight w:val="246"/>
        </w:trPr>
        <w:tc>
          <w:tcPr>
            <w:tcW w:w="9320" w:type="dxa"/>
            <w:gridSpan w:val="7"/>
            <w:tcBorders>
              <w:top w:val="single" w:sz="4" w:space="0" w:color="auto"/>
              <w:left w:val="single" w:sz="8" w:space="0" w:color="auto"/>
              <w:bottom w:val="single" w:sz="8" w:space="0" w:color="auto"/>
              <w:right w:val="single" w:sz="8" w:space="0" w:color="auto"/>
            </w:tcBorders>
            <w:shd w:val="clear" w:color="auto" w:fill="auto"/>
            <w:vAlign w:val="bottom"/>
          </w:tcPr>
          <w:p w14:paraId="1081C317" w14:textId="77777777" w:rsidR="004756CE" w:rsidRPr="00B57AE7" w:rsidRDefault="004756CE" w:rsidP="004756CE">
            <w:pPr>
              <w:spacing w:line="0" w:lineRule="atLeast"/>
              <w:rPr>
                <w:sz w:val="22"/>
                <w:szCs w:val="22"/>
              </w:rPr>
            </w:pPr>
            <w:r w:rsidRPr="00B57AE7">
              <w:rPr>
                <w:b/>
                <w:sz w:val="22"/>
                <w:szCs w:val="22"/>
              </w:rPr>
              <w:t>Sekundárny výsledok</w:t>
            </w:r>
          </w:p>
        </w:tc>
      </w:tr>
      <w:tr w:rsidR="004756CE" w:rsidRPr="00B57AE7" w14:paraId="76B43401" w14:textId="77777777" w:rsidTr="004756CE">
        <w:trPr>
          <w:trHeight w:val="246"/>
        </w:trPr>
        <w:tc>
          <w:tcPr>
            <w:tcW w:w="2960" w:type="dxa"/>
            <w:tcBorders>
              <w:top w:val="single" w:sz="4" w:space="0" w:color="auto"/>
              <w:left w:val="single" w:sz="8" w:space="0" w:color="auto"/>
              <w:bottom w:val="single" w:sz="8" w:space="0" w:color="auto"/>
              <w:right w:val="single" w:sz="8" w:space="0" w:color="auto"/>
            </w:tcBorders>
            <w:shd w:val="clear" w:color="auto" w:fill="auto"/>
            <w:vAlign w:val="bottom"/>
          </w:tcPr>
          <w:p w14:paraId="164A1E94" w14:textId="77777777" w:rsidR="004756CE" w:rsidRPr="00B57AE7" w:rsidRDefault="004756CE" w:rsidP="00BD7E4F">
            <w:pPr>
              <w:spacing w:line="0" w:lineRule="atLeast"/>
              <w:ind w:left="540"/>
              <w:rPr>
                <w:sz w:val="22"/>
                <w:szCs w:val="22"/>
              </w:rPr>
            </w:pPr>
            <w:r w:rsidRPr="00B57AE7">
              <w:rPr>
                <w:sz w:val="22"/>
                <w:szCs w:val="22"/>
              </w:rPr>
              <w:t>Kardiovaskulárne úmrtie</w:t>
            </w:r>
          </w:p>
        </w:tc>
        <w:tc>
          <w:tcPr>
            <w:tcW w:w="980" w:type="dxa"/>
            <w:tcBorders>
              <w:bottom w:val="single" w:sz="8" w:space="0" w:color="auto"/>
              <w:right w:val="single" w:sz="8" w:space="0" w:color="auto"/>
            </w:tcBorders>
            <w:shd w:val="clear" w:color="auto" w:fill="auto"/>
            <w:vAlign w:val="bottom"/>
          </w:tcPr>
          <w:p w14:paraId="3483D242" w14:textId="77777777" w:rsidR="004756CE" w:rsidRPr="00B57AE7" w:rsidRDefault="004756CE" w:rsidP="00BD7E4F">
            <w:pPr>
              <w:spacing w:line="0" w:lineRule="atLeast"/>
              <w:jc w:val="center"/>
              <w:rPr>
                <w:sz w:val="22"/>
                <w:szCs w:val="22"/>
              </w:rPr>
            </w:pPr>
            <w:r w:rsidRPr="00B57AE7">
              <w:rPr>
                <w:sz w:val="22"/>
                <w:szCs w:val="22"/>
              </w:rPr>
              <w:t>380 (5,2)</w:t>
            </w:r>
          </w:p>
        </w:tc>
        <w:tc>
          <w:tcPr>
            <w:tcW w:w="1000" w:type="dxa"/>
            <w:tcBorders>
              <w:bottom w:val="single" w:sz="8" w:space="0" w:color="auto"/>
              <w:right w:val="single" w:sz="8" w:space="0" w:color="auto"/>
            </w:tcBorders>
            <w:shd w:val="clear" w:color="auto" w:fill="auto"/>
            <w:vAlign w:val="bottom"/>
          </w:tcPr>
          <w:p w14:paraId="4025F42F" w14:textId="77777777" w:rsidR="004756CE" w:rsidRPr="00B57AE7" w:rsidRDefault="004756CE" w:rsidP="00BD7E4F">
            <w:pPr>
              <w:spacing w:line="0" w:lineRule="atLeast"/>
              <w:jc w:val="center"/>
              <w:rPr>
                <w:w w:val="97"/>
                <w:sz w:val="22"/>
                <w:szCs w:val="22"/>
              </w:rPr>
            </w:pPr>
            <w:r w:rsidRPr="00B57AE7">
              <w:rPr>
                <w:w w:val="97"/>
                <w:sz w:val="22"/>
                <w:szCs w:val="22"/>
              </w:rPr>
              <w:t>1,7</w:t>
            </w:r>
          </w:p>
        </w:tc>
        <w:tc>
          <w:tcPr>
            <w:tcW w:w="980" w:type="dxa"/>
            <w:tcBorders>
              <w:bottom w:val="single" w:sz="8" w:space="0" w:color="auto"/>
              <w:right w:val="single" w:sz="8" w:space="0" w:color="auto"/>
            </w:tcBorders>
            <w:shd w:val="clear" w:color="auto" w:fill="auto"/>
            <w:vAlign w:val="bottom"/>
          </w:tcPr>
          <w:p w14:paraId="0B15907C" w14:textId="77777777" w:rsidR="004756CE" w:rsidRPr="00B57AE7" w:rsidRDefault="004756CE" w:rsidP="00BD7E4F">
            <w:pPr>
              <w:spacing w:line="0" w:lineRule="atLeast"/>
              <w:jc w:val="center"/>
              <w:rPr>
                <w:w w:val="99"/>
                <w:sz w:val="22"/>
                <w:szCs w:val="22"/>
              </w:rPr>
            </w:pPr>
            <w:r w:rsidRPr="00B57AE7">
              <w:rPr>
                <w:w w:val="99"/>
                <w:sz w:val="22"/>
                <w:szCs w:val="22"/>
              </w:rPr>
              <w:t>366 (5,0)</w:t>
            </w:r>
          </w:p>
        </w:tc>
        <w:tc>
          <w:tcPr>
            <w:tcW w:w="1000" w:type="dxa"/>
            <w:tcBorders>
              <w:bottom w:val="single" w:sz="8" w:space="0" w:color="auto"/>
              <w:right w:val="single" w:sz="8" w:space="0" w:color="auto"/>
            </w:tcBorders>
            <w:shd w:val="clear" w:color="auto" w:fill="auto"/>
            <w:vAlign w:val="bottom"/>
          </w:tcPr>
          <w:p w14:paraId="55549D9E" w14:textId="77777777" w:rsidR="004756CE" w:rsidRPr="00B57AE7" w:rsidRDefault="004756CE" w:rsidP="00BD7E4F">
            <w:pPr>
              <w:spacing w:line="0" w:lineRule="atLeast"/>
              <w:jc w:val="center"/>
              <w:rPr>
                <w:w w:val="97"/>
                <w:sz w:val="22"/>
                <w:szCs w:val="22"/>
              </w:rPr>
            </w:pPr>
            <w:r w:rsidRPr="00B57AE7">
              <w:rPr>
                <w:w w:val="97"/>
                <w:sz w:val="22"/>
                <w:szCs w:val="22"/>
              </w:rPr>
              <w:t>1,7</w:t>
            </w:r>
          </w:p>
        </w:tc>
        <w:tc>
          <w:tcPr>
            <w:tcW w:w="1500" w:type="dxa"/>
            <w:tcBorders>
              <w:bottom w:val="single" w:sz="8" w:space="0" w:color="auto"/>
              <w:right w:val="single" w:sz="8" w:space="0" w:color="auto"/>
            </w:tcBorders>
            <w:shd w:val="clear" w:color="auto" w:fill="auto"/>
            <w:vAlign w:val="bottom"/>
          </w:tcPr>
          <w:p w14:paraId="2A2F958F" w14:textId="77777777" w:rsidR="004756CE" w:rsidRPr="00B57AE7" w:rsidRDefault="004756CE" w:rsidP="00BD7E4F">
            <w:pPr>
              <w:spacing w:line="0" w:lineRule="atLeast"/>
              <w:jc w:val="center"/>
              <w:rPr>
                <w:sz w:val="22"/>
                <w:szCs w:val="22"/>
              </w:rPr>
            </w:pPr>
            <w:r w:rsidRPr="00B57AE7">
              <w:rPr>
                <w:sz w:val="22"/>
                <w:szCs w:val="22"/>
              </w:rPr>
              <w:t>1,03 (0,89-1,19)</w:t>
            </w:r>
          </w:p>
        </w:tc>
        <w:tc>
          <w:tcPr>
            <w:tcW w:w="900" w:type="dxa"/>
            <w:tcBorders>
              <w:bottom w:val="single" w:sz="8" w:space="0" w:color="auto"/>
              <w:right w:val="single" w:sz="8" w:space="0" w:color="auto"/>
            </w:tcBorders>
            <w:shd w:val="clear" w:color="auto" w:fill="auto"/>
            <w:vAlign w:val="bottom"/>
          </w:tcPr>
          <w:p w14:paraId="7E895CA5" w14:textId="77777777" w:rsidR="004756CE" w:rsidRPr="00B57AE7" w:rsidRDefault="004756CE" w:rsidP="00BD7E4F">
            <w:pPr>
              <w:spacing w:line="0" w:lineRule="atLeast"/>
              <w:jc w:val="center"/>
              <w:rPr>
                <w:sz w:val="22"/>
                <w:szCs w:val="22"/>
              </w:rPr>
            </w:pPr>
            <w:r w:rsidRPr="00B57AE7">
              <w:rPr>
                <w:sz w:val="22"/>
                <w:szCs w:val="22"/>
              </w:rPr>
              <w:t>0,711</w:t>
            </w:r>
          </w:p>
        </w:tc>
      </w:tr>
      <w:tr w:rsidR="004756CE" w:rsidRPr="00B57AE7" w14:paraId="3898ADD6" w14:textId="77777777" w:rsidTr="004756CE">
        <w:trPr>
          <w:trHeight w:val="193"/>
        </w:trPr>
        <w:tc>
          <w:tcPr>
            <w:tcW w:w="2960" w:type="dxa"/>
            <w:tcBorders>
              <w:left w:val="single" w:sz="8" w:space="0" w:color="auto"/>
              <w:right w:val="single" w:sz="8" w:space="0" w:color="auto"/>
            </w:tcBorders>
            <w:shd w:val="clear" w:color="auto" w:fill="auto"/>
            <w:vAlign w:val="bottom"/>
          </w:tcPr>
          <w:p w14:paraId="7A3BF32F" w14:textId="77777777" w:rsidR="004756CE" w:rsidRPr="00B57AE7" w:rsidRDefault="004756CE" w:rsidP="00BD7E4F">
            <w:pPr>
              <w:spacing w:line="194" w:lineRule="exact"/>
              <w:ind w:left="540"/>
              <w:rPr>
                <w:sz w:val="22"/>
                <w:szCs w:val="22"/>
              </w:rPr>
            </w:pPr>
            <w:r w:rsidRPr="00B57AE7">
              <w:rPr>
                <w:sz w:val="22"/>
                <w:szCs w:val="22"/>
              </w:rPr>
              <w:t>Infarkt myokardu (fatálny</w:t>
            </w:r>
          </w:p>
        </w:tc>
        <w:tc>
          <w:tcPr>
            <w:tcW w:w="980" w:type="dxa"/>
            <w:tcBorders>
              <w:right w:val="single" w:sz="8" w:space="0" w:color="auto"/>
            </w:tcBorders>
            <w:shd w:val="clear" w:color="auto" w:fill="auto"/>
            <w:vAlign w:val="bottom"/>
          </w:tcPr>
          <w:p w14:paraId="68ED56C5" w14:textId="77777777" w:rsidR="004756CE" w:rsidRPr="00B57AE7" w:rsidRDefault="004756CE" w:rsidP="00BD7E4F">
            <w:pPr>
              <w:spacing w:line="0" w:lineRule="atLeast"/>
              <w:rPr>
                <w:sz w:val="22"/>
                <w:szCs w:val="22"/>
              </w:rPr>
            </w:pPr>
          </w:p>
        </w:tc>
        <w:tc>
          <w:tcPr>
            <w:tcW w:w="1000" w:type="dxa"/>
            <w:tcBorders>
              <w:right w:val="single" w:sz="8" w:space="0" w:color="auto"/>
            </w:tcBorders>
            <w:shd w:val="clear" w:color="auto" w:fill="auto"/>
            <w:vAlign w:val="bottom"/>
          </w:tcPr>
          <w:p w14:paraId="7426B7C7" w14:textId="77777777" w:rsidR="004756CE" w:rsidRPr="00B57AE7" w:rsidRDefault="004756CE" w:rsidP="00BD7E4F">
            <w:pPr>
              <w:spacing w:line="0" w:lineRule="atLeast"/>
              <w:rPr>
                <w:sz w:val="22"/>
                <w:szCs w:val="22"/>
              </w:rPr>
            </w:pPr>
          </w:p>
        </w:tc>
        <w:tc>
          <w:tcPr>
            <w:tcW w:w="980" w:type="dxa"/>
            <w:tcBorders>
              <w:right w:val="single" w:sz="8" w:space="0" w:color="auto"/>
            </w:tcBorders>
            <w:shd w:val="clear" w:color="auto" w:fill="auto"/>
            <w:vAlign w:val="bottom"/>
          </w:tcPr>
          <w:p w14:paraId="0C6542EF" w14:textId="77777777" w:rsidR="004756CE" w:rsidRPr="00B57AE7" w:rsidRDefault="004756CE" w:rsidP="00BD7E4F">
            <w:pPr>
              <w:spacing w:line="0" w:lineRule="atLeast"/>
              <w:rPr>
                <w:sz w:val="22"/>
                <w:szCs w:val="22"/>
              </w:rPr>
            </w:pPr>
          </w:p>
        </w:tc>
        <w:tc>
          <w:tcPr>
            <w:tcW w:w="1000" w:type="dxa"/>
            <w:tcBorders>
              <w:right w:val="single" w:sz="8" w:space="0" w:color="auto"/>
            </w:tcBorders>
            <w:shd w:val="clear" w:color="auto" w:fill="auto"/>
            <w:vAlign w:val="bottom"/>
          </w:tcPr>
          <w:p w14:paraId="23C58532" w14:textId="77777777" w:rsidR="004756CE" w:rsidRPr="00B57AE7" w:rsidRDefault="004756CE" w:rsidP="00BD7E4F">
            <w:pPr>
              <w:spacing w:line="0" w:lineRule="atLeast"/>
              <w:rPr>
                <w:sz w:val="22"/>
                <w:szCs w:val="22"/>
              </w:rPr>
            </w:pPr>
          </w:p>
        </w:tc>
        <w:tc>
          <w:tcPr>
            <w:tcW w:w="1500" w:type="dxa"/>
            <w:tcBorders>
              <w:right w:val="single" w:sz="8" w:space="0" w:color="auto"/>
            </w:tcBorders>
            <w:shd w:val="clear" w:color="auto" w:fill="auto"/>
            <w:vAlign w:val="bottom"/>
          </w:tcPr>
          <w:p w14:paraId="6B9395BF" w14:textId="77777777" w:rsidR="004756CE" w:rsidRPr="00B57AE7" w:rsidRDefault="004756CE" w:rsidP="00BD7E4F">
            <w:pPr>
              <w:spacing w:line="0" w:lineRule="atLeast"/>
              <w:rPr>
                <w:sz w:val="22"/>
                <w:szCs w:val="22"/>
              </w:rPr>
            </w:pPr>
          </w:p>
        </w:tc>
        <w:tc>
          <w:tcPr>
            <w:tcW w:w="900" w:type="dxa"/>
            <w:tcBorders>
              <w:right w:val="single" w:sz="8" w:space="0" w:color="auto"/>
            </w:tcBorders>
            <w:shd w:val="clear" w:color="auto" w:fill="auto"/>
            <w:vAlign w:val="bottom"/>
          </w:tcPr>
          <w:p w14:paraId="17E49E46" w14:textId="77777777" w:rsidR="004756CE" w:rsidRPr="00B57AE7" w:rsidRDefault="004756CE" w:rsidP="00BD7E4F">
            <w:pPr>
              <w:spacing w:line="0" w:lineRule="atLeast"/>
              <w:rPr>
                <w:sz w:val="22"/>
                <w:szCs w:val="22"/>
              </w:rPr>
            </w:pPr>
          </w:p>
        </w:tc>
      </w:tr>
      <w:tr w:rsidR="004756CE" w:rsidRPr="00B57AE7" w14:paraId="73081A77" w14:textId="77777777" w:rsidTr="004756CE">
        <w:trPr>
          <w:trHeight w:val="224"/>
        </w:trPr>
        <w:tc>
          <w:tcPr>
            <w:tcW w:w="2960" w:type="dxa"/>
            <w:tcBorders>
              <w:left w:val="single" w:sz="8" w:space="0" w:color="auto"/>
              <w:bottom w:val="single" w:sz="8" w:space="0" w:color="auto"/>
              <w:right w:val="single" w:sz="8" w:space="0" w:color="auto"/>
            </w:tcBorders>
            <w:shd w:val="clear" w:color="auto" w:fill="auto"/>
            <w:vAlign w:val="bottom"/>
          </w:tcPr>
          <w:p w14:paraId="5451AC61" w14:textId="77777777" w:rsidR="004756CE" w:rsidRPr="00B57AE7" w:rsidRDefault="004756CE" w:rsidP="00BD7E4F">
            <w:pPr>
              <w:spacing w:line="0" w:lineRule="atLeast"/>
              <w:ind w:left="540"/>
              <w:rPr>
                <w:sz w:val="22"/>
                <w:szCs w:val="22"/>
              </w:rPr>
            </w:pPr>
            <w:r w:rsidRPr="00B57AE7">
              <w:rPr>
                <w:sz w:val="22"/>
                <w:szCs w:val="22"/>
              </w:rPr>
              <w:t>a nefatálny)</w:t>
            </w:r>
          </w:p>
        </w:tc>
        <w:tc>
          <w:tcPr>
            <w:tcW w:w="980" w:type="dxa"/>
            <w:tcBorders>
              <w:bottom w:val="single" w:sz="8" w:space="0" w:color="auto"/>
              <w:right w:val="single" w:sz="8" w:space="0" w:color="auto"/>
            </w:tcBorders>
            <w:shd w:val="clear" w:color="auto" w:fill="auto"/>
            <w:vAlign w:val="bottom"/>
          </w:tcPr>
          <w:p w14:paraId="5C4EE392" w14:textId="77777777" w:rsidR="004756CE" w:rsidRPr="00B57AE7" w:rsidRDefault="004756CE" w:rsidP="00BD7E4F">
            <w:pPr>
              <w:spacing w:line="0" w:lineRule="atLeast"/>
              <w:jc w:val="center"/>
              <w:rPr>
                <w:sz w:val="22"/>
                <w:szCs w:val="22"/>
              </w:rPr>
            </w:pPr>
            <w:r w:rsidRPr="00B57AE7">
              <w:rPr>
                <w:sz w:val="22"/>
                <w:szCs w:val="22"/>
              </w:rPr>
              <w:t>300 (4,1)</w:t>
            </w:r>
          </w:p>
        </w:tc>
        <w:tc>
          <w:tcPr>
            <w:tcW w:w="1000" w:type="dxa"/>
            <w:tcBorders>
              <w:bottom w:val="single" w:sz="8" w:space="0" w:color="auto"/>
              <w:right w:val="single" w:sz="8" w:space="0" w:color="auto"/>
            </w:tcBorders>
            <w:shd w:val="clear" w:color="auto" w:fill="auto"/>
            <w:vAlign w:val="bottom"/>
          </w:tcPr>
          <w:p w14:paraId="597D4C2D" w14:textId="77777777" w:rsidR="004756CE" w:rsidRPr="00B57AE7" w:rsidRDefault="004756CE" w:rsidP="00BD7E4F">
            <w:pPr>
              <w:spacing w:line="0" w:lineRule="atLeast"/>
              <w:jc w:val="center"/>
              <w:rPr>
                <w:w w:val="97"/>
                <w:sz w:val="22"/>
                <w:szCs w:val="22"/>
              </w:rPr>
            </w:pPr>
            <w:r w:rsidRPr="00B57AE7">
              <w:rPr>
                <w:w w:val="97"/>
                <w:sz w:val="22"/>
                <w:szCs w:val="22"/>
              </w:rPr>
              <w:t>1,4</w:t>
            </w:r>
          </w:p>
        </w:tc>
        <w:tc>
          <w:tcPr>
            <w:tcW w:w="980" w:type="dxa"/>
            <w:tcBorders>
              <w:bottom w:val="single" w:sz="8" w:space="0" w:color="auto"/>
              <w:right w:val="single" w:sz="8" w:space="0" w:color="auto"/>
            </w:tcBorders>
            <w:shd w:val="clear" w:color="auto" w:fill="auto"/>
            <w:vAlign w:val="bottom"/>
          </w:tcPr>
          <w:p w14:paraId="36E04905" w14:textId="77777777" w:rsidR="004756CE" w:rsidRPr="00B57AE7" w:rsidRDefault="004756CE" w:rsidP="00BD7E4F">
            <w:pPr>
              <w:spacing w:line="0" w:lineRule="atLeast"/>
              <w:jc w:val="center"/>
              <w:rPr>
                <w:w w:val="99"/>
                <w:sz w:val="22"/>
                <w:szCs w:val="22"/>
              </w:rPr>
            </w:pPr>
            <w:r w:rsidRPr="00B57AE7">
              <w:rPr>
                <w:w w:val="99"/>
                <w:sz w:val="22"/>
                <w:szCs w:val="22"/>
              </w:rPr>
              <w:t>316 (4,3)</w:t>
            </w:r>
          </w:p>
        </w:tc>
        <w:tc>
          <w:tcPr>
            <w:tcW w:w="1000" w:type="dxa"/>
            <w:tcBorders>
              <w:bottom w:val="single" w:sz="8" w:space="0" w:color="auto"/>
              <w:right w:val="single" w:sz="8" w:space="0" w:color="auto"/>
            </w:tcBorders>
            <w:shd w:val="clear" w:color="auto" w:fill="auto"/>
            <w:vAlign w:val="bottom"/>
          </w:tcPr>
          <w:p w14:paraId="555E0328" w14:textId="77777777" w:rsidR="004756CE" w:rsidRPr="00B57AE7" w:rsidRDefault="004756CE" w:rsidP="00BD7E4F">
            <w:pPr>
              <w:spacing w:line="0" w:lineRule="atLeast"/>
              <w:jc w:val="center"/>
              <w:rPr>
                <w:w w:val="97"/>
                <w:sz w:val="22"/>
                <w:szCs w:val="22"/>
              </w:rPr>
            </w:pPr>
            <w:r w:rsidRPr="00B57AE7">
              <w:rPr>
                <w:w w:val="97"/>
                <w:sz w:val="22"/>
                <w:szCs w:val="22"/>
              </w:rPr>
              <w:t>1,5</w:t>
            </w:r>
          </w:p>
        </w:tc>
        <w:tc>
          <w:tcPr>
            <w:tcW w:w="1500" w:type="dxa"/>
            <w:tcBorders>
              <w:bottom w:val="single" w:sz="8" w:space="0" w:color="auto"/>
              <w:right w:val="single" w:sz="8" w:space="0" w:color="auto"/>
            </w:tcBorders>
            <w:shd w:val="clear" w:color="auto" w:fill="auto"/>
            <w:vAlign w:val="bottom"/>
          </w:tcPr>
          <w:p w14:paraId="12ABF42B" w14:textId="77777777" w:rsidR="004756CE" w:rsidRPr="00B57AE7" w:rsidRDefault="004756CE" w:rsidP="00BD7E4F">
            <w:pPr>
              <w:spacing w:line="0" w:lineRule="atLeast"/>
              <w:jc w:val="center"/>
              <w:rPr>
                <w:sz w:val="22"/>
                <w:szCs w:val="22"/>
              </w:rPr>
            </w:pPr>
            <w:r w:rsidRPr="00B57AE7">
              <w:rPr>
                <w:sz w:val="22"/>
                <w:szCs w:val="22"/>
              </w:rPr>
              <w:t>0,95 (0,81–1,11)</w:t>
            </w:r>
          </w:p>
        </w:tc>
        <w:tc>
          <w:tcPr>
            <w:tcW w:w="900" w:type="dxa"/>
            <w:tcBorders>
              <w:bottom w:val="single" w:sz="8" w:space="0" w:color="auto"/>
              <w:right w:val="single" w:sz="8" w:space="0" w:color="auto"/>
            </w:tcBorders>
            <w:shd w:val="clear" w:color="auto" w:fill="auto"/>
            <w:vAlign w:val="bottom"/>
          </w:tcPr>
          <w:p w14:paraId="69C2D8E8" w14:textId="77777777" w:rsidR="004756CE" w:rsidRPr="00B57AE7" w:rsidRDefault="004756CE" w:rsidP="00BD7E4F">
            <w:pPr>
              <w:spacing w:line="0" w:lineRule="atLeast"/>
              <w:jc w:val="center"/>
              <w:rPr>
                <w:sz w:val="22"/>
                <w:szCs w:val="22"/>
              </w:rPr>
            </w:pPr>
            <w:r w:rsidRPr="00B57AE7">
              <w:rPr>
                <w:sz w:val="22"/>
                <w:szCs w:val="22"/>
              </w:rPr>
              <w:t>0,487</w:t>
            </w:r>
          </w:p>
        </w:tc>
      </w:tr>
      <w:tr w:rsidR="004756CE" w:rsidRPr="00B57AE7" w14:paraId="0F9DE633" w14:textId="77777777" w:rsidTr="004756CE">
        <w:trPr>
          <w:trHeight w:val="193"/>
        </w:trPr>
        <w:tc>
          <w:tcPr>
            <w:tcW w:w="2960" w:type="dxa"/>
            <w:tcBorders>
              <w:left w:val="single" w:sz="8" w:space="0" w:color="auto"/>
              <w:right w:val="single" w:sz="8" w:space="0" w:color="auto"/>
            </w:tcBorders>
            <w:shd w:val="clear" w:color="auto" w:fill="auto"/>
            <w:vAlign w:val="bottom"/>
          </w:tcPr>
          <w:p w14:paraId="18EC2D6F" w14:textId="77777777" w:rsidR="004756CE" w:rsidRPr="00B57AE7" w:rsidRDefault="004756CE" w:rsidP="00BD7E4F">
            <w:pPr>
              <w:spacing w:line="194" w:lineRule="exact"/>
              <w:ind w:left="540"/>
              <w:rPr>
                <w:sz w:val="22"/>
                <w:szCs w:val="22"/>
              </w:rPr>
            </w:pPr>
            <w:r w:rsidRPr="00B57AE7">
              <w:rPr>
                <w:sz w:val="22"/>
                <w:szCs w:val="22"/>
              </w:rPr>
              <w:t>Cievna mozgová príhoda</w:t>
            </w:r>
          </w:p>
        </w:tc>
        <w:tc>
          <w:tcPr>
            <w:tcW w:w="980" w:type="dxa"/>
            <w:tcBorders>
              <w:right w:val="single" w:sz="8" w:space="0" w:color="auto"/>
            </w:tcBorders>
            <w:shd w:val="clear" w:color="auto" w:fill="auto"/>
            <w:vAlign w:val="bottom"/>
          </w:tcPr>
          <w:p w14:paraId="3797CBDF" w14:textId="77777777" w:rsidR="004756CE" w:rsidRPr="00B57AE7" w:rsidRDefault="004756CE" w:rsidP="00BD7E4F">
            <w:pPr>
              <w:spacing w:line="0" w:lineRule="atLeast"/>
              <w:rPr>
                <w:sz w:val="22"/>
                <w:szCs w:val="22"/>
              </w:rPr>
            </w:pPr>
          </w:p>
        </w:tc>
        <w:tc>
          <w:tcPr>
            <w:tcW w:w="1000" w:type="dxa"/>
            <w:tcBorders>
              <w:right w:val="single" w:sz="8" w:space="0" w:color="auto"/>
            </w:tcBorders>
            <w:shd w:val="clear" w:color="auto" w:fill="auto"/>
            <w:vAlign w:val="bottom"/>
          </w:tcPr>
          <w:p w14:paraId="55750DF7" w14:textId="77777777" w:rsidR="004756CE" w:rsidRPr="00B57AE7" w:rsidRDefault="004756CE" w:rsidP="00BD7E4F">
            <w:pPr>
              <w:spacing w:line="0" w:lineRule="atLeast"/>
              <w:rPr>
                <w:sz w:val="22"/>
                <w:szCs w:val="22"/>
              </w:rPr>
            </w:pPr>
          </w:p>
        </w:tc>
        <w:tc>
          <w:tcPr>
            <w:tcW w:w="980" w:type="dxa"/>
            <w:tcBorders>
              <w:right w:val="single" w:sz="8" w:space="0" w:color="auto"/>
            </w:tcBorders>
            <w:shd w:val="clear" w:color="auto" w:fill="auto"/>
            <w:vAlign w:val="bottom"/>
          </w:tcPr>
          <w:p w14:paraId="06A5A269" w14:textId="77777777" w:rsidR="004756CE" w:rsidRPr="00B57AE7" w:rsidRDefault="004756CE" w:rsidP="00BD7E4F">
            <w:pPr>
              <w:spacing w:line="0" w:lineRule="atLeast"/>
              <w:rPr>
                <w:sz w:val="22"/>
                <w:szCs w:val="22"/>
              </w:rPr>
            </w:pPr>
          </w:p>
        </w:tc>
        <w:tc>
          <w:tcPr>
            <w:tcW w:w="1000" w:type="dxa"/>
            <w:tcBorders>
              <w:right w:val="single" w:sz="8" w:space="0" w:color="auto"/>
            </w:tcBorders>
            <w:shd w:val="clear" w:color="auto" w:fill="auto"/>
            <w:vAlign w:val="bottom"/>
          </w:tcPr>
          <w:p w14:paraId="1B545C48" w14:textId="77777777" w:rsidR="004756CE" w:rsidRPr="00B57AE7" w:rsidRDefault="004756CE" w:rsidP="00BD7E4F">
            <w:pPr>
              <w:spacing w:line="0" w:lineRule="atLeast"/>
              <w:rPr>
                <w:sz w:val="22"/>
                <w:szCs w:val="22"/>
              </w:rPr>
            </w:pPr>
          </w:p>
        </w:tc>
        <w:tc>
          <w:tcPr>
            <w:tcW w:w="1500" w:type="dxa"/>
            <w:tcBorders>
              <w:right w:val="single" w:sz="8" w:space="0" w:color="auto"/>
            </w:tcBorders>
            <w:shd w:val="clear" w:color="auto" w:fill="auto"/>
            <w:vAlign w:val="bottom"/>
          </w:tcPr>
          <w:p w14:paraId="0E64EA3C" w14:textId="77777777" w:rsidR="004756CE" w:rsidRPr="00B57AE7" w:rsidRDefault="004756CE" w:rsidP="00BD7E4F">
            <w:pPr>
              <w:spacing w:line="0" w:lineRule="atLeast"/>
              <w:rPr>
                <w:sz w:val="22"/>
                <w:szCs w:val="22"/>
              </w:rPr>
            </w:pPr>
          </w:p>
        </w:tc>
        <w:tc>
          <w:tcPr>
            <w:tcW w:w="900" w:type="dxa"/>
            <w:tcBorders>
              <w:right w:val="single" w:sz="8" w:space="0" w:color="auto"/>
            </w:tcBorders>
            <w:shd w:val="clear" w:color="auto" w:fill="auto"/>
            <w:vAlign w:val="bottom"/>
          </w:tcPr>
          <w:p w14:paraId="507ABC7D" w14:textId="77777777" w:rsidR="004756CE" w:rsidRPr="00B57AE7" w:rsidRDefault="004756CE" w:rsidP="00BD7E4F">
            <w:pPr>
              <w:spacing w:line="0" w:lineRule="atLeast"/>
              <w:rPr>
                <w:sz w:val="22"/>
                <w:szCs w:val="22"/>
              </w:rPr>
            </w:pPr>
          </w:p>
        </w:tc>
      </w:tr>
      <w:tr w:rsidR="004756CE" w:rsidRPr="00B57AE7" w14:paraId="50E2FC88" w14:textId="77777777" w:rsidTr="004756CE">
        <w:trPr>
          <w:trHeight w:val="224"/>
        </w:trPr>
        <w:tc>
          <w:tcPr>
            <w:tcW w:w="2960" w:type="dxa"/>
            <w:tcBorders>
              <w:left w:val="single" w:sz="8" w:space="0" w:color="auto"/>
              <w:bottom w:val="single" w:sz="8" w:space="0" w:color="auto"/>
              <w:right w:val="single" w:sz="8" w:space="0" w:color="auto"/>
            </w:tcBorders>
            <w:shd w:val="clear" w:color="auto" w:fill="auto"/>
            <w:vAlign w:val="bottom"/>
          </w:tcPr>
          <w:p w14:paraId="3794DD63" w14:textId="77777777" w:rsidR="004756CE" w:rsidRPr="00B57AE7" w:rsidRDefault="004756CE" w:rsidP="00BD7E4F">
            <w:pPr>
              <w:spacing w:line="0" w:lineRule="atLeast"/>
              <w:ind w:left="540"/>
              <w:rPr>
                <w:sz w:val="22"/>
                <w:szCs w:val="22"/>
              </w:rPr>
            </w:pPr>
            <w:r w:rsidRPr="00B57AE7">
              <w:rPr>
                <w:sz w:val="22"/>
                <w:szCs w:val="22"/>
              </w:rPr>
              <w:t>(fatálna a nefatálna)</w:t>
            </w:r>
          </w:p>
        </w:tc>
        <w:tc>
          <w:tcPr>
            <w:tcW w:w="980" w:type="dxa"/>
            <w:tcBorders>
              <w:bottom w:val="single" w:sz="8" w:space="0" w:color="auto"/>
              <w:right w:val="single" w:sz="8" w:space="0" w:color="auto"/>
            </w:tcBorders>
            <w:shd w:val="clear" w:color="auto" w:fill="auto"/>
            <w:vAlign w:val="bottom"/>
          </w:tcPr>
          <w:p w14:paraId="64FDF4E8" w14:textId="77777777" w:rsidR="004756CE" w:rsidRPr="00B57AE7" w:rsidRDefault="004756CE" w:rsidP="00BD7E4F">
            <w:pPr>
              <w:spacing w:line="0" w:lineRule="atLeast"/>
              <w:jc w:val="center"/>
              <w:rPr>
                <w:sz w:val="22"/>
                <w:szCs w:val="22"/>
              </w:rPr>
            </w:pPr>
            <w:r w:rsidRPr="00B57AE7">
              <w:rPr>
                <w:sz w:val="22"/>
                <w:szCs w:val="22"/>
              </w:rPr>
              <w:t>178 (2,4)</w:t>
            </w:r>
          </w:p>
        </w:tc>
        <w:tc>
          <w:tcPr>
            <w:tcW w:w="1000" w:type="dxa"/>
            <w:tcBorders>
              <w:bottom w:val="single" w:sz="8" w:space="0" w:color="auto"/>
              <w:right w:val="single" w:sz="8" w:space="0" w:color="auto"/>
            </w:tcBorders>
            <w:shd w:val="clear" w:color="auto" w:fill="auto"/>
            <w:vAlign w:val="bottom"/>
          </w:tcPr>
          <w:p w14:paraId="7DA94F3B" w14:textId="77777777" w:rsidR="004756CE" w:rsidRPr="00B57AE7" w:rsidRDefault="004756CE" w:rsidP="00BD7E4F">
            <w:pPr>
              <w:spacing w:line="0" w:lineRule="atLeast"/>
              <w:jc w:val="center"/>
              <w:rPr>
                <w:w w:val="97"/>
                <w:sz w:val="22"/>
                <w:szCs w:val="22"/>
              </w:rPr>
            </w:pPr>
            <w:r w:rsidRPr="00B57AE7">
              <w:rPr>
                <w:w w:val="97"/>
                <w:sz w:val="22"/>
                <w:szCs w:val="22"/>
              </w:rPr>
              <w:t>0,8</w:t>
            </w:r>
          </w:p>
        </w:tc>
        <w:tc>
          <w:tcPr>
            <w:tcW w:w="980" w:type="dxa"/>
            <w:tcBorders>
              <w:bottom w:val="single" w:sz="8" w:space="0" w:color="auto"/>
              <w:right w:val="single" w:sz="8" w:space="0" w:color="auto"/>
            </w:tcBorders>
            <w:shd w:val="clear" w:color="auto" w:fill="auto"/>
            <w:vAlign w:val="bottom"/>
          </w:tcPr>
          <w:p w14:paraId="63517A4D" w14:textId="77777777" w:rsidR="004756CE" w:rsidRPr="00B57AE7" w:rsidRDefault="004756CE" w:rsidP="00BD7E4F">
            <w:pPr>
              <w:spacing w:line="0" w:lineRule="atLeast"/>
              <w:jc w:val="center"/>
              <w:rPr>
                <w:w w:val="99"/>
                <w:sz w:val="22"/>
                <w:szCs w:val="22"/>
              </w:rPr>
            </w:pPr>
            <w:r w:rsidRPr="00B57AE7">
              <w:rPr>
                <w:w w:val="99"/>
                <w:sz w:val="22"/>
                <w:szCs w:val="22"/>
              </w:rPr>
              <w:t>183 (2,5)</w:t>
            </w:r>
          </w:p>
        </w:tc>
        <w:tc>
          <w:tcPr>
            <w:tcW w:w="1000" w:type="dxa"/>
            <w:tcBorders>
              <w:bottom w:val="single" w:sz="8" w:space="0" w:color="auto"/>
              <w:right w:val="single" w:sz="8" w:space="0" w:color="auto"/>
            </w:tcBorders>
            <w:shd w:val="clear" w:color="auto" w:fill="auto"/>
            <w:vAlign w:val="bottom"/>
          </w:tcPr>
          <w:p w14:paraId="47CDBD28" w14:textId="77777777" w:rsidR="004756CE" w:rsidRPr="00B57AE7" w:rsidRDefault="004756CE" w:rsidP="00BD7E4F">
            <w:pPr>
              <w:spacing w:line="0" w:lineRule="atLeast"/>
              <w:jc w:val="center"/>
              <w:rPr>
                <w:w w:val="97"/>
                <w:sz w:val="22"/>
                <w:szCs w:val="22"/>
              </w:rPr>
            </w:pPr>
            <w:r w:rsidRPr="00B57AE7">
              <w:rPr>
                <w:w w:val="97"/>
                <w:sz w:val="22"/>
                <w:szCs w:val="22"/>
              </w:rPr>
              <w:t>0,9</w:t>
            </w:r>
          </w:p>
        </w:tc>
        <w:tc>
          <w:tcPr>
            <w:tcW w:w="1500" w:type="dxa"/>
            <w:tcBorders>
              <w:bottom w:val="single" w:sz="8" w:space="0" w:color="auto"/>
              <w:right w:val="single" w:sz="8" w:space="0" w:color="auto"/>
            </w:tcBorders>
            <w:shd w:val="clear" w:color="auto" w:fill="auto"/>
            <w:vAlign w:val="bottom"/>
          </w:tcPr>
          <w:p w14:paraId="3ADE7190" w14:textId="77777777" w:rsidR="004756CE" w:rsidRPr="00B57AE7" w:rsidRDefault="004756CE" w:rsidP="00BD7E4F">
            <w:pPr>
              <w:spacing w:line="0" w:lineRule="atLeast"/>
              <w:jc w:val="center"/>
              <w:rPr>
                <w:sz w:val="22"/>
                <w:szCs w:val="22"/>
              </w:rPr>
            </w:pPr>
            <w:r w:rsidRPr="00B57AE7">
              <w:rPr>
                <w:sz w:val="22"/>
                <w:szCs w:val="22"/>
              </w:rPr>
              <w:t>0,97 (0,79–1,19)</w:t>
            </w:r>
          </w:p>
        </w:tc>
        <w:tc>
          <w:tcPr>
            <w:tcW w:w="900" w:type="dxa"/>
            <w:tcBorders>
              <w:bottom w:val="single" w:sz="8" w:space="0" w:color="auto"/>
              <w:right w:val="single" w:sz="8" w:space="0" w:color="auto"/>
            </w:tcBorders>
            <w:shd w:val="clear" w:color="auto" w:fill="auto"/>
            <w:vAlign w:val="bottom"/>
          </w:tcPr>
          <w:p w14:paraId="02B7667A" w14:textId="77777777" w:rsidR="004756CE" w:rsidRPr="00B57AE7" w:rsidRDefault="004756CE" w:rsidP="00BD7E4F">
            <w:pPr>
              <w:spacing w:line="0" w:lineRule="atLeast"/>
              <w:jc w:val="center"/>
              <w:rPr>
                <w:sz w:val="22"/>
                <w:szCs w:val="22"/>
              </w:rPr>
            </w:pPr>
            <w:r w:rsidRPr="00B57AE7">
              <w:rPr>
                <w:sz w:val="22"/>
                <w:szCs w:val="22"/>
              </w:rPr>
              <w:t>0,760</w:t>
            </w:r>
          </w:p>
        </w:tc>
      </w:tr>
      <w:tr w:rsidR="004756CE" w:rsidRPr="00B57AE7" w14:paraId="1D763311" w14:textId="77777777" w:rsidTr="004756CE">
        <w:trPr>
          <w:trHeight w:val="193"/>
        </w:trPr>
        <w:tc>
          <w:tcPr>
            <w:tcW w:w="2960" w:type="dxa"/>
            <w:tcBorders>
              <w:left w:val="single" w:sz="8" w:space="0" w:color="auto"/>
              <w:right w:val="single" w:sz="8" w:space="0" w:color="auto"/>
            </w:tcBorders>
            <w:shd w:val="clear" w:color="auto" w:fill="auto"/>
            <w:vAlign w:val="bottom"/>
          </w:tcPr>
          <w:p w14:paraId="2EFEDFAD" w14:textId="77777777" w:rsidR="004756CE" w:rsidRPr="00B57AE7" w:rsidRDefault="004756CE" w:rsidP="00BD7E4F">
            <w:pPr>
              <w:spacing w:line="194" w:lineRule="exact"/>
              <w:ind w:left="540"/>
              <w:rPr>
                <w:sz w:val="22"/>
                <w:szCs w:val="22"/>
              </w:rPr>
            </w:pPr>
            <w:r w:rsidRPr="00B57AE7">
              <w:rPr>
                <w:sz w:val="22"/>
                <w:szCs w:val="22"/>
              </w:rPr>
              <w:t>Hospitalizácia z dôvodu</w:t>
            </w:r>
          </w:p>
        </w:tc>
        <w:tc>
          <w:tcPr>
            <w:tcW w:w="980" w:type="dxa"/>
            <w:tcBorders>
              <w:right w:val="single" w:sz="8" w:space="0" w:color="auto"/>
            </w:tcBorders>
            <w:shd w:val="clear" w:color="auto" w:fill="auto"/>
            <w:vAlign w:val="bottom"/>
          </w:tcPr>
          <w:p w14:paraId="02D7BA68" w14:textId="77777777" w:rsidR="004756CE" w:rsidRPr="00B57AE7" w:rsidRDefault="004756CE" w:rsidP="00BD7E4F">
            <w:pPr>
              <w:spacing w:line="0" w:lineRule="atLeast"/>
              <w:rPr>
                <w:sz w:val="22"/>
                <w:szCs w:val="22"/>
              </w:rPr>
            </w:pPr>
          </w:p>
        </w:tc>
        <w:tc>
          <w:tcPr>
            <w:tcW w:w="1000" w:type="dxa"/>
            <w:tcBorders>
              <w:right w:val="single" w:sz="8" w:space="0" w:color="auto"/>
            </w:tcBorders>
            <w:shd w:val="clear" w:color="auto" w:fill="auto"/>
            <w:vAlign w:val="bottom"/>
          </w:tcPr>
          <w:p w14:paraId="2916D0FE" w14:textId="77777777" w:rsidR="004756CE" w:rsidRPr="00B57AE7" w:rsidRDefault="004756CE" w:rsidP="00BD7E4F">
            <w:pPr>
              <w:spacing w:line="0" w:lineRule="atLeast"/>
              <w:rPr>
                <w:sz w:val="22"/>
                <w:szCs w:val="22"/>
              </w:rPr>
            </w:pPr>
          </w:p>
        </w:tc>
        <w:tc>
          <w:tcPr>
            <w:tcW w:w="980" w:type="dxa"/>
            <w:tcBorders>
              <w:right w:val="single" w:sz="8" w:space="0" w:color="auto"/>
            </w:tcBorders>
            <w:shd w:val="clear" w:color="auto" w:fill="auto"/>
            <w:vAlign w:val="bottom"/>
          </w:tcPr>
          <w:p w14:paraId="6B5C765E" w14:textId="77777777" w:rsidR="004756CE" w:rsidRPr="00B57AE7" w:rsidRDefault="004756CE" w:rsidP="00BD7E4F">
            <w:pPr>
              <w:spacing w:line="0" w:lineRule="atLeast"/>
              <w:rPr>
                <w:sz w:val="22"/>
                <w:szCs w:val="22"/>
              </w:rPr>
            </w:pPr>
          </w:p>
        </w:tc>
        <w:tc>
          <w:tcPr>
            <w:tcW w:w="1000" w:type="dxa"/>
            <w:tcBorders>
              <w:right w:val="single" w:sz="8" w:space="0" w:color="auto"/>
            </w:tcBorders>
            <w:shd w:val="clear" w:color="auto" w:fill="auto"/>
            <w:vAlign w:val="bottom"/>
          </w:tcPr>
          <w:p w14:paraId="5535D9AD" w14:textId="77777777" w:rsidR="004756CE" w:rsidRPr="00B57AE7" w:rsidRDefault="004756CE" w:rsidP="00BD7E4F">
            <w:pPr>
              <w:spacing w:line="0" w:lineRule="atLeast"/>
              <w:rPr>
                <w:sz w:val="22"/>
                <w:szCs w:val="22"/>
              </w:rPr>
            </w:pPr>
          </w:p>
        </w:tc>
        <w:tc>
          <w:tcPr>
            <w:tcW w:w="1500" w:type="dxa"/>
            <w:tcBorders>
              <w:right w:val="single" w:sz="8" w:space="0" w:color="auto"/>
            </w:tcBorders>
            <w:shd w:val="clear" w:color="auto" w:fill="auto"/>
            <w:vAlign w:val="bottom"/>
          </w:tcPr>
          <w:p w14:paraId="0DECA07C" w14:textId="77777777" w:rsidR="004756CE" w:rsidRPr="00B57AE7" w:rsidRDefault="004756CE" w:rsidP="00BD7E4F">
            <w:pPr>
              <w:spacing w:line="0" w:lineRule="atLeast"/>
              <w:rPr>
                <w:sz w:val="22"/>
                <w:szCs w:val="22"/>
              </w:rPr>
            </w:pPr>
          </w:p>
        </w:tc>
        <w:tc>
          <w:tcPr>
            <w:tcW w:w="900" w:type="dxa"/>
            <w:tcBorders>
              <w:right w:val="single" w:sz="8" w:space="0" w:color="auto"/>
            </w:tcBorders>
            <w:shd w:val="clear" w:color="auto" w:fill="auto"/>
            <w:vAlign w:val="bottom"/>
          </w:tcPr>
          <w:p w14:paraId="49D57855" w14:textId="77777777" w:rsidR="004756CE" w:rsidRPr="00B57AE7" w:rsidRDefault="004756CE" w:rsidP="00BD7E4F">
            <w:pPr>
              <w:spacing w:line="0" w:lineRule="atLeast"/>
              <w:rPr>
                <w:sz w:val="22"/>
                <w:szCs w:val="22"/>
              </w:rPr>
            </w:pPr>
          </w:p>
        </w:tc>
      </w:tr>
      <w:tr w:rsidR="004756CE" w:rsidRPr="00B57AE7" w14:paraId="37CD766B" w14:textId="77777777" w:rsidTr="004756CE">
        <w:trPr>
          <w:trHeight w:val="224"/>
        </w:trPr>
        <w:tc>
          <w:tcPr>
            <w:tcW w:w="2960" w:type="dxa"/>
            <w:tcBorders>
              <w:left w:val="single" w:sz="8" w:space="0" w:color="auto"/>
              <w:bottom w:val="single" w:sz="8" w:space="0" w:color="auto"/>
              <w:right w:val="single" w:sz="8" w:space="0" w:color="auto"/>
            </w:tcBorders>
            <w:shd w:val="clear" w:color="auto" w:fill="auto"/>
            <w:vAlign w:val="bottom"/>
          </w:tcPr>
          <w:p w14:paraId="5A91D303" w14:textId="77777777" w:rsidR="004756CE" w:rsidRPr="00B57AE7" w:rsidRDefault="004756CE" w:rsidP="00BD7E4F">
            <w:pPr>
              <w:spacing w:line="0" w:lineRule="atLeast"/>
              <w:ind w:left="540"/>
              <w:rPr>
                <w:sz w:val="22"/>
                <w:szCs w:val="22"/>
              </w:rPr>
            </w:pPr>
            <w:r w:rsidRPr="00B57AE7">
              <w:rPr>
                <w:sz w:val="22"/>
                <w:szCs w:val="22"/>
              </w:rPr>
              <w:t>nestabilnej angíny pectoris</w:t>
            </w:r>
          </w:p>
        </w:tc>
        <w:tc>
          <w:tcPr>
            <w:tcW w:w="980" w:type="dxa"/>
            <w:tcBorders>
              <w:bottom w:val="single" w:sz="8" w:space="0" w:color="auto"/>
              <w:right w:val="single" w:sz="8" w:space="0" w:color="auto"/>
            </w:tcBorders>
            <w:shd w:val="clear" w:color="auto" w:fill="auto"/>
            <w:vAlign w:val="bottom"/>
          </w:tcPr>
          <w:p w14:paraId="27591101" w14:textId="77777777" w:rsidR="004756CE" w:rsidRPr="00B57AE7" w:rsidRDefault="004756CE" w:rsidP="00BD7E4F">
            <w:pPr>
              <w:spacing w:line="0" w:lineRule="atLeast"/>
              <w:jc w:val="center"/>
              <w:rPr>
                <w:sz w:val="22"/>
                <w:szCs w:val="22"/>
              </w:rPr>
            </w:pPr>
            <w:r w:rsidRPr="00B57AE7">
              <w:rPr>
                <w:sz w:val="22"/>
                <w:szCs w:val="22"/>
              </w:rPr>
              <w:t>116 (1,6)</w:t>
            </w:r>
          </w:p>
        </w:tc>
        <w:tc>
          <w:tcPr>
            <w:tcW w:w="1000" w:type="dxa"/>
            <w:tcBorders>
              <w:bottom w:val="single" w:sz="8" w:space="0" w:color="auto"/>
              <w:right w:val="single" w:sz="8" w:space="0" w:color="auto"/>
            </w:tcBorders>
            <w:shd w:val="clear" w:color="auto" w:fill="auto"/>
            <w:vAlign w:val="bottom"/>
          </w:tcPr>
          <w:p w14:paraId="1EEE10F5" w14:textId="77777777" w:rsidR="004756CE" w:rsidRPr="00B57AE7" w:rsidRDefault="004756CE" w:rsidP="00BD7E4F">
            <w:pPr>
              <w:spacing w:line="0" w:lineRule="atLeast"/>
              <w:jc w:val="center"/>
              <w:rPr>
                <w:w w:val="97"/>
                <w:sz w:val="22"/>
                <w:szCs w:val="22"/>
              </w:rPr>
            </w:pPr>
            <w:r w:rsidRPr="00B57AE7">
              <w:rPr>
                <w:w w:val="97"/>
                <w:sz w:val="22"/>
                <w:szCs w:val="22"/>
              </w:rPr>
              <w:t>0,5</w:t>
            </w:r>
          </w:p>
        </w:tc>
        <w:tc>
          <w:tcPr>
            <w:tcW w:w="980" w:type="dxa"/>
            <w:tcBorders>
              <w:bottom w:val="single" w:sz="8" w:space="0" w:color="auto"/>
              <w:right w:val="single" w:sz="8" w:space="0" w:color="auto"/>
            </w:tcBorders>
            <w:shd w:val="clear" w:color="auto" w:fill="auto"/>
            <w:vAlign w:val="bottom"/>
          </w:tcPr>
          <w:p w14:paraId="2E0D4652" w14:textId="77777777" w:rsidR="004756CE" w:rsidRPr="00B57AE7" w:rsidRDefault="004756CE" w:rsidP="00BD7E4F">
            <w:pPr>
              <w:spacing w:line="0" w:lineRule="atLeast"/>
              <w:jc w:val="center"/>
              <w:rPr>
                <w:w w:val="99"/>
                <w:sz w:val="22"/>
                <w:szCs w:val="22"/>
              </w:rPr>
            </w:pPr>
            <w:r w:rsidRPr="00B57AE7">
              <w:rPr>
                <w:w w:val="99"/>
                <w:sz w:val="22"/>
                <w:szCs w:val="22"/>
              </w:rPr>
              <w:t>129 (1,8)</w:t>
            </w:r>
          </w:p>
        </w:tc>
        <w:tc>
          <w:tcPr>
            <w:tcW w:w="1000" w:type="dxa"/>
            <w:tcBorders>
              <w:bottom w:val="single" w:sz="8" w:space="0" w:color="auto"/>
              <w:right w:val="single" w:sz="8" w:space="0" w:color="auto"/>
            </w:tcBorders>
            <w:shd w:val="clear" w:color="auto" w:fill="auto"/>
            <w:vAlign w:val="bottom"/>
          </w:tcPr>
          <w:p w14:paraId="4E4F7DEC" w14:textId="77777777" w:rsidR="004756CE" w:rsidRPr="00B57AE7" w:rsidRDefault="004756CE" w:rsidP="00BD7E4F">
            <w:pPr>
              <w:spacing w:line="0" w:lineRule="atLeast"/>
              <w:jc w:val="center"/>
              <w:rPr>
                <w:w w:val="97"/>
                <w:sz w:val="22"/>
                <w:szCs w:val="22"/>
              </w:rPr>
            </w:pPr>
            <w:r w:rsidRPr="00B57AE7">
              <w:rPr>
                <w:w w:val="97"/>
                <w:sz w:val="22"/>
                <w:szCs w:val="22"/>
              </w:rPr>
              <w:t>0,6</w:t>
            </w:r>
          </w:p>
        </w:tc>
        <w:tc>
          <w:tcPr>
            <w:tcW w:w="1500" w:type="dxa"/>
            <w:tcBorders>
              <w:bottom w:val="single" w:sz="8" w:space="0" w:color="auto"/>
              <w:right w:val="single" w:sz="8" w:space="0" w:color="auto"/>
            </w:tcBorders>
            <w:shd w:val="clear" w:color="auto" w:fill="auto"/>
            <w:vAlign w:val="bottom"/>
          </w:tcPr>
          <w:p w14:paraId="5A9EA12C" w14:textId="77777777" w:rsidR="004756CE" w:rsidRPr="00B57AE7" w:rsidRDefault="004756CE" w:rsidP="00BD7E4F">
            <w:pPr>
              <w:spacing w:line="0" w:lineRule="atLeast"/>
              <w:jc w:val="center"/>
              <w:rPr>
                <w:sz w:val="22"/>
                <w:szCs w:val="22"/>
              </w:rPr>
            </w:pPr>
            <w:r w:rsidRPr="00B57AE7">
              <w:rPr>
                <w:sz w:val="22"/>
                <w:szCs w:val="22"/>
              </w:rPr>
              <w:t>0,90 (0,70–1,16)</w:t>
            </w:r>
          </w:p>
        </w:tc>
        <w:tc>
          <w:tcPr>
            <w:tcW w:w="900" w:type="dxa"/>
            <w:tcBorders>
              <w:bottom w:val="single" w:sz="8" w:space="0" w:color="auto"/>
              <w:right w:val="single" w:sz="8" w:space="0" w:color="auto"/>
            </w:tcBorders>
            <w:shd w:val="clear" w:color="auto" w:fill="auto"/>
            <w:vAlign w:val="bottom"/>
          </w:tcPr>
          <w:p w14:paraId="1299F80B" w14:textId="77777777" w:rsidR="004756CE" w:rsidRPr="00B57AE7" w:rsidRDefault="004756CE" w:rsidP="00BD7E4F">
            <w:pPr>
              <w:spacing w:line="0" w:lineRule="atLeast"/>
              <w:jc w:val="center"/>
              <w:rPr>
                <w:sz w:val="22"/>
                <w:szCs w:val="22"/>
              </w:rPr>
            </w:pPr>
            <w:r w:rsidRPr="00B57AE7">
              <w:rPr>
                <w:sz w:val="22"/>
                <w:szCs w:val="22"/>
              </w:rPr>
              <w:t>0,419</w:t>
            </w:r>
          </w:p>
        </w:tc>
      </w:tr>
      <w:tr w:rsidR="004756CE" w:rsidRPr="00B57AE7" w14:paraId="434DC862" w14:textId="77777777" w:rsidTr="004756CE">
        <w:trPr>
          <w:trHeight w:val="246"/>
        </w:trPr>
        <w:tc>
          <w:tcPr>
            <w:tcW w:w="2960" w:type="dxa"/>
            <w:tcBorders>
              <w:left w:val="single" w:sz="8" w:space="0" w:color="auto"/>
              <w:bottom w:val="single" w:sz="8" w:space="0" w:color="auto"/>
              <w:right w:val="single" w:sz="8" w:space="0" w:color="auto"/>
            </w:tcBorders>
            <w:shd w:val="clear" w:color="auto" w:fill="auto"/>
            <w:vAlign w:val="bottom"/>
          </w:tcPr>
          <w:p w14:paraId="6044B817" w14:textId="77777777" w:rsidR="004756CE" w:rsidRPr="00B57AE7" w:rsidRDefault="004756CE" w:rsidP="00BD7E4F">
            <w:pPr>
              <w:spacing w:line="0" w:lineRule="atLeast"/>
              <w:ind w:left="540"/>
              <w:rPr>
                <w:sz w:val="22"/>
                <w:szCs w:val="22"/>
              </w:rPr>
            </w:pPr>
            <w:r w:rsidRPr="00B57AE7">
              <w:rPr>
                <w:sz w:val="22"/>
                <w:szCs w:val="22"/>
              </w:rPr>
              <w:t>Úmrtie z akejkoľvek príčiny</w:t>
            </w:r>
          </w:p>
        </w:tc>
        <w:tc>
          <w:tcPr>
            <w:tcW w:w="980" w:type="dxa"/>
            <w:tcBorders>
              <w:bottom w:val="single" w:sz="8" w:space="0" w:color="auto"/>
              <w:right w:val="single" w:sz="8" w:space="0" w:color="auto"/>
            </w:tcBorders>
            <w:shd w:val="clear" w:color="auto" w:fill="auto"/>
            <w:vAlign w:val="bottom"/>
          </w:tcPr>
          <w:p w14:paraId="475746A9" w14:textId="77777777" w:rsidR="004756CE" w:rsidRPr="00B57AE7" w:rsidRDefault="004756CE" w:rsidP="00BD7E4F">
            <w:pPr>
              <w:spacing w:line="0" w:lineRule="atLeast"/>
              <w:jc w:val="center"/>
              <w:rPr>
                <w:sz w:val="22"/>
                <w:szCs w:val="22"/>
              </w:rPr>
            </w:pPr>
            <w:r w:rsidRPr="00B57AE7">
              <w:rPr>
                <w:sz w:val="22"/>
                <w:szCs w:val="22"/>
              </w:rPr>
              <w:t>547 (7,5)</w:t>
            </w:r>
          </w:p>
        </w:tc>
        <w:tc>
          <w:tcPr>
            <w:tcW w:w="1000" w:type="dxa"/>
            <w:tcBorders>
              <w:bottom w:val="single" w:sz="8" w:space="0" w:color="auto"/>
              <w:right w:val="single" w:sz="8" w:space="0" w:color="auto"/>
            </w:tcBorders>
            <w:shd w:val="clear" w:color="auto" w:fill="auto"/>
            <w:vAlign w:val="bottom"/>
          </w:tcPr>
          <w:p w14:paraId="7A3EA858" w14:textId="77777777" w:rsidR="004756CE" w:rsidRPr="00B57AE7" w:rsidRDefault="004756CE" w:rsidP="00BD7E4F">
            <w:pPr>
              <w:spacing w:line="0" w:lineRule="atLeast"/>
              <w:jc w:val="center"/>
              <w:rPr>
                <w:w w:val="97"/>
                <w:sz w:val="22"/>
                <w:szCs w:val="22"/>
              </w:rPr>
            </w:pPr>
            <w:r w:rsidRPr="00B57AE7">
              <w:rPr>
                <w:w w:val="97"/>
                <w:sz w:val="22"/>
                <w:szCs w:val="22"/>
              </w:rPr>
              <w:t>2,5</w:t>
            </w:r>
          </w:p>
        </w:tc>
        <w:tc>
          <w:tcPr>
            <w:tcW w:w="980" w:type="dxa"/>
            <w:tcBorders>
              <w:bottom w:val="single" w:sz="8" w:space="0" w:color="auto"/>
              <w:right w:val="single" w:sz="8" w:space="0" w:color="auto"/>
            </w:tcBorders>
            <w:shd w:val="clear" w:color="auto" w:fill="auto"/>
            <w:vAlign w:val="bottom"/>
          </w:tcPr>
          <w:p w14:paraId="50CD27D6" w14:textId="77777777" w:rsidR="004756CE" w:rsidRPr="00B57AE7" w:rsidRDefault="004756CE" w:rsidP="00BD7E4F">
            <w:pPr>
              <w:spacing w:line="0" w:lineRule="atLeast"/>
              <w:jc w:val="center"/>
              <w:rPr>
                <w:w w:val="99"/>
                <w:sz w:val="22"/>
                <w:szCs w:val="22"/>
              </w:rPr>
            </w:pPr>
            <w:r w:rsidRPr="00B57AE7">
              <w:rPr>
                <w:w w:val="99"/>
                <w:sz w:val="22"/>
                <w:szCs w:val="22"/>
              </w:rPr>
              <w:t>537 (7,3)</w:t>
            </w:r>
          </w:p>
        </w:tc>
        <w:tc>
          <w:tcPr>
            <w:tcW w:w="1000" w:type="dxa"/>
            <w:tcBorders>
              <w:bottom w:val="single" w:sz="8" w:space="0" w:color="auto"/>
              <w:right w:val="single" w:sz="8" w:space="0" w:color="auto"/>
            </w:tcBorders>
            <w:shd w:val="clear" w:color="auto" w:fill="auto"/>
            <w:vAlign w:val="bottom"/>
          </w:tcPr>
          <w:p w14:paraId="697E1DEC" w14:textId="77777777" w:rsidR="004756CE" w:rsidRPr="00B57AE7" w:rsidRDefault="004756CE" w:rsidP="00BD7E4F">
            <w:pPr>
              <w:spacing w:line="0" w:lineRule="atLeast"/>
              <w:jc w:val="center"/>
              <w:rPr>
                <w:w w:val="97"/>
                <w:sz w:val="22"/>
                <w:szCs w:val="22"/>
              </w:rPr>
            </w:pPr>
            <w:r w:rsidRPr="00B57AE7">
              <w:rPr>
                <w:w w:val="97"/>
                <w:sz w:val="22"/>
                <w:szCs w:val="22"/>
              </w:rPr>
              <w:t>2,5</w:t>
            </w:r>
          </w:p>
        </w:tc>
        <w:tc>
          <w:tcPr>
            <w:tcW w:w="1500" w:type="dxa"/>
            <w:tcBorders>
              <w:bottom w:val="single" w:sz="8" w:space="0" w:color="auto"/>
              <w:right w:val="single" w:sz="8" w:space="0" w:color="auto"/>
            </w:tcBorders>
            <w:shd w:val="clear" w:color="auto" w:fill="auto"/>
            <w:vAlign w:val="bottom"/>
          </w:tcPr>
          <w:p w14:paraId="264ED721" w14:textId="77777777" w:rsidR="004756CE" w:rsidRPr="00B57AE7" w:rsidRDefault="004756CE" w:rsidP="00BD7E4F">
            <w:pPr>
              <w:spacing w:line="0" w:lineRule="atLeast"/>
              <w:jc w:val="center"/>
              <w:rPr>
                <w:sz w:val="22"/>
                <w:szCs w:val="22"/>
              </w:rPr>
            </w:pPr>
            <w:r w:rsidRPr="00B57AE7">
              <w:rPr>
                <w:sz w:val="22"/>
                <w:szCs w:val="22"/>
              </w:rPr>
              <w:t>1,01 (0,90–1,14)</w:t>
            </w:r>
          </w:p>
        </w:tc>
        <w:tc>
          <w:tcPr>
            <w:tcW w:w="900" w:type="dxa"/>
            <w:tcBorders>
              <w:bottom w:val="single" w:sz="8" w:space="0" w:color="auto"/>
              <w:right w:val="single" w:sz="8" w:space="0" w:color="auto"/>
            </w:tcBorders>
            <w:shd w:val="clear" w:color="auto" w:fill="auto"/>
            <w:vAlign w:val="bottom"/>
          </w:tcPr>
          <w:p w14:paraId="399FD226" w14:textId="77777777" w:rsidR="004756CE" w:rsidRPr="00B57AE7" w:rsidRDefault="004756CE" w:rsidP="00BD7E4F">
            <w:pPr>
              <w:spacing w:line="0" w:lineRule="atLeast"/>
              <w:jc w:val="center"/>
              <w:rPr>
                <w:sz w:val="22"/>
                <w:szCs w:val="22"/>
              </w:rPr>
            </w:pPr>
            <w:r w:rsidRPr="00B57AE7">
              <w:rPr>
                <w:sz w:val="22"/>
                <w:szCs w:val="22"/>
              </w:rPr>
              <w:t>0,875</w:t>
            </w:r>
          </w:p>
        </w:tc>
      </w:tr>
      <w:tr w:rsidR="004756CE" w:rsidRPr="00B57AE7" w14:paraId="3F78C040" w14:textId="77777777" w:rsidTr="004756CE">
        <w:trPr>
          <w:trHeight w:val="175"/>
        </w:trPr>
        <w:tc>
          <w:tcPr>
            <w:tcW w:w="2960" w:type="dxa"/>
            <w:tcBorders>
              <w:left w:val="single" w:sz="8" w:space="0" w:color="auto"/>
              <w:right w:val="single" w:sz="8" w:space="0" w:color="auto"/>
            </w:tcBorders>
            <w:shd w:val="clear" w:color="auto" w:fill="auto"/>
            <w:vAlign w:val="bottom"/>
          </w:tcPr>
          <w:p w14:paraId="1A0D2382" w14:textId="77777777" w:rsidR="004756CE" w:rsidRPr="00B57AE7" w:rsidRDefault="004756CE" w:rsidP="00BD7E4F">
            <w:pPr>
              <w:spacing w:line="176" w:lineRule="exact"/>
              <w:ind w:left="540"/>
              <w:rPr>
                <w:sz w:val="22"/>
                <w:szCs w:val="22"/>
              </w:rPr>
            </w:pPr>
            <w:r w:rsidRPr="00B57AE7">
              <w:rPr>
                <w:sz w:val="22"/>
                <w:szCs w:val="22"/>
              </w:rPr>
              <w:t>Hospitalizácia z dôvodu</w:t>
            </w:r>
          </w:p>
        </w:tc>
        <w:tc>
          <w:tcPr>
            <w:tcW w:w="980" w:type="dxa"/>
            <w:tcBorders>
              <w:right w:val="single" w:sz="8" w:space="0" w:color="auto"/>
            </w:tcBorders>
            <w:shd w:val="clear" w:color="auto" w:fill="auto"/>
            <w:vAlign w:val="bottom"/>
          </w:tcPr>
          <w:p w14:paraId="0517E5C8" w14:textId="77777777" w:rsidR="004756CE" w:rsidRPr="00B57AE7" w:rsidRDefault="004756CE" w:rsidP="00BD7E4F">
            <w:pPr>
              <w:spacing w:line="0" w:lineRule="atLeast"/>
              <w:rPr>
                <w:sz w:val="22"/>
                <w:szCs w:val="22"/>
              </w:rPr>
            </w:pPr>
          </w:p>
        </w:tc>
        <w:tc>
          <w:tcPr>
            <w:tcW w:w="1000" w:type="dxa"/>
            <w:tcBorders>
              <w:right w:val="single" w:sz="8" w:space="0" w:color="auto"/>
            </w:tcBorders>
            <w:shd w:val="clear" w:color="auto" w:fill="auto"/>
            <w:vAlign w:val="bottom"/>
          </w:tcPr>
          <w:p w14:paraId="00D6DBF0" w14:textId="77777777" w:rsidR="004756CE" w:rsidRPr="00B57AE7" w:rsidRDefault="004756CE" w:rsidP="00BD7E4F">
            <w:pPr>
              <w:spacing w:line="0" w:lineRule="atLeast"/>
              <w:rPr>
                <w:sz w:val="22"/>
                <w:szCs w:val="22"/>
              </w:rPr>
            </w:pPr>
          </w:p>
        </w:tc>
        <w:tc>
          <w:tcPr>
            <w:tcW w:w="980" w:type="dxa"/>
            <w:tcBorders>
              <w:right w:val="single" w:sz="8" w:space="0" w:color="auto"/>
            </w:tcBorders>
            <w:shd w:val="clear" w:color="auto" w:fill="auto"/>
            <w:vAlign w:val="bottom"/>
          </w:tcPr>
          <w:p w14:paraId="4DC03518" w14:textId="77777777" w:rsidR="004756CE" w:rsidRPr="00B57AE7" w:rsidRDefault="004756CE" w:rsidP="00BD7E4F">
            <w:pPr>
              <w:spacing w:line="0" w:lineRule="atLeast"/>
              <w:rPr>
                <w:sz w:val="22"/>
                <w:szCs w:val="22"/>
              </w:rPr>
            </w:pPr>
          </w:p>
        </w:tc>
        <w:tc>
          <w:tcPr>
            <w:tcW w:w="1000" w:type="dxa"/>
            <w:tcBorders>
              <w:right w:val="single" w:sz="8" w:space="0" w:color="auto"/>
            </w:tcBorders>
            <w:shd w:val="clear" w:color="auto" w:fill="auto"/>
            <w:vAlign w:val="bottom"/>
          </w:tcPr>
          <w:p w14:paraId="61C1A851" w14:textId="77777777" w:rsidR="004756CE" w:rsidRPr="00B57AE7" w:rsidRDefault="004756CE" w:rsidP="00BD7E4F">
            <w:pPr>
              <w:spacing w:line="0" w:lineRule="atLeast"/>
              <w:rPr>
                <w:sz w:val="22"/>
                <w:szCs w:val="22"/>
              </w:rPr>
            </w:pPr>
          </w:p>
        </w:tc>
        <w:tc>
          <w:tcPr>
            <w:tcW w:w="1500" w:type="dxa"/>
            <w:tcBorders>
              <w:right w:val="single" w:sz="8" w:space="0" w:color="auto"/>
            </w:tcBorders>
            <w:shd w:val="clear" w:color="auto" w:fill="auto"/>
            <w:vAlign w:val="bottom"/>
          </w:tcPr>
          <w:p w14:paraId="5D63257C" w14:textId="77777777" w:rsidR="004756CE" w:rsidRPr="00B57AE7" w:rsidRDefault="004756CE" w:rsidP="00BD7E4F">
            <w:pPr>
              <w:spacing w:line="0" w:lineRule="atLeast"/>
              <w:rPr>
                <w:sz w:val="22"/>
                <w:szCs w:val="22"/>
              </w:rPr>
            </w:pPr>
          </w:p>
        </w:tc>
        <w:tc>
          <w:tcPr>
            <w:tcW w:w="900" w:type="dxa"/>
            <w:tcBorders>
              <w:right w:val="single" w:sz="8" w:space="0" w:color="auto"/>
            </w:tcBorders>
            <w:shd w:val="clear" w:color="auto" w:fill="auto"/>
            <w:vAlign w:val="bottom"/>
          </w:tcPr>
          <w:p w14:paraId="3FA1DBC4" w14:textId="77777777" w:rsidR="004756CE" w:rsidRPr="00B57AE7" w:rsidRDefault="004756CE" w:rsidP="00BD7E4F">
            <w:pPr>
              <w:spacing w:line="0" w:lineRule="atLeast"/>
              <w:rPr>
                <w:sz w:val="22"/>
                <w:szCs w:val="22"/>
              </w:rPr>
            </w:pPr>
          </w:p>
        </w:tc>
      </w:tr>
      <w:tr w:rsidR="004756CE" w:rsidRPr="00B57AE7" w14:paraId="3163AE9E" w14:textId="77777777" w:rsidTr="004756CE">
        <w:trPr>
          <w:trHeight w:val="241"/>
        </w:trPr>
        <w:tc>
          <w:tcPr>
            <w:tcW w:w="2960" w:type="dxa"/>
            <w:tcBorders>
              <w:left w:val="single" w:sz="8" w:space="0" w:color="auto"/>
              <w:bottom w:val="single" w:sz="8" w:space="0" w:color="auto"/>
              <w:right w:val="single" w:sz="8" w:space="0" w:color="auto"/>
            </w:tcBorders>
            <w:shd w:val="clear" w:color="auto" w:fill="auto"/>
            <w:vAlign w:val="bottom"/>
          </w:tcPr>
          <w:p w14:paraId="16742D1F" w14:textId="77777777" w:rsidR="004756CE" w:rsidRPr="00B57AE7" w:rsidRDefault="004756CE" w:rsidP="00BD7E4F">
            <w:pPr>
              <w:spacing w:line="241" w:lineRule="exact"/>
              <w:ind w:left="540"/>
              <w:rPr>
                <w:sz w:val="22"/>
                <w:szCs w:val="22"/>
                <w:vertAlign w:val="superscript"/>
              </w:rPr>
            </w:pPr>
            <w:r w:rsidRPr="00B57AE7">
              <w:rPr>
                <w:sz w:val="22"/>
                <w:szCs w:val="22"/>
              </w:rPr>
              <w:t>zlyhania srdca</w:t>
            </w:r>
            <w:r w:rsidRPr="00B57AE7">
              <w:rPr>
                <w:sz w:val="22"/>
                <w:szCs w:val="22"/>
                <w:vertAlign w:val="superscript"/>
              </w:rPr>
              <w:t>‡</w:t>
            </w:r>
          </w:p>
        </w:tc>
        <w:tc>
          <w:tcPr>
            <w:tcW w:w="980" w:type="dxa"/>
            <w:tcBorders>
              <w:bottom w:val="single" w:sz="8" w:space="0" w:color="auto"/>
              <w:right w:val="single" w:sz="8" w:space="0" w:color="auto"/>
            </w:tcBorders>
            <w:shd w:val="clear" w:color="auto" w:fill="auto"/>
            <w:vAlign w:val="bottom"/>
          </w:tcPr>
          <w:p w14:paraId="01F3B7E3" w14:textId="77777777" w:rsidR="004756CE" w:rsidRPr="00B57AE7" w:rsidRDefault="004756CE" w:rsidP="00BD7E4F">
            <w:pPr>
              <w:spacing w:line="0" w:lineRule="atLeast"/>
              <w:jc w:val="center"/>
              <w:rPr>
                <w:sz w:val="22"/>
                <w:szCs w:val="22"/>
              </w:rPr>
            </w:pPr>
            <w:r w:rsidRPr="00B57AE7">
              <w:rPr>
                <w:sz w:val="22"/>
                <w:szCs w:val="22"/>
              </w:rPr>
              <w:t>228 (3,1)</w:t>
            </w:r>
          </w:p>
        </w:tc>
        <w:tc>
          <w:tcPr>
            <w:tcW w:w="1000" w:type="dxa"/>
            <w:tcBorders>
              <w:bottom w:val="single" w:sz="8" w:space="0" w:color="auto"/>
              <w:right w:val="single" w:sz="8" w:space="0" w:color="auto"/>
            </w:tcBorders>
            <w:shd w:val="clear" w:color="auto" w:fill="auto"/>
            <w:vAlign w:val="bottom"/>
          </w:tcPr>
          <w:p w14:paraId="7DE226B9" w14:textId="77777777" w:rsidR="004756CE" w:rsidRPr="00B57AE7" w:rsidRDefault="004756CE" w:rsidP="00BD7E4F">
            <w:pPr>
              <w:spacing w:line="0" w:lineRule="atLeast"/>
              <w:jc w:val="center"/>
              <w:rPr>
                <w:w w:val="97"/>
                <w:sz w:val="22"/>
                <w:szCs w:val="22"/>
              </w:rPr>
            </w:pPr>
            <w:r w:rsidRPr="00B57AE7">
              <w:rPr>
                <w:w w:val="97"/>
                <w:sz w:val="22"/>
                <w:szCs w:val="22"/>
              </w:rPr>
              <w:t>1,1</w:t>
            </w:r>
          </w:p>
        </w:tc>
        <w:tc>
          <w:tcPr>
            <w:tcW w:w="980" w:type="dxa"/>
            <w:tcBorders>
              <w:bottom w:val="single" w:sz="8" w:space="0" w:color="auto"/>
              <w:right w:val="single" w:sz="8" w:space="0" w:color="auto"/>
            </w:tcBorders>
            <w:shd w:val="clear" w:color="auto" w:fill="auto"/>
            <w:vAlign w:val="bottom"/>
          </w:tcPr>
          <w:p w14:paraId="67F48E4E" w14:textId="77777777" w:rsidR="004756CE" w:rsidRPr="00B57AE7" w:rsidRDefault="004756CE" w:rsidP="00BD7E4F">
            <w:pPr>
              <w:spacing w:line="0" w:lineRule="atLeast"/>
              <w:jc w:val="center"/>
              <w:rPr>
                <w:w w:val="99"/>
                <w:sz w:val="22"/>
                <w:szCs w:val="22"/>
              </w:rPr>
            </w:pPr>
            <w:r w:rsidRPr="00B57AE7">
              <w:rPr>
                <w:w w:val="99"/>
                <w:sz w:val="22"/>
                <w:szCs w:val="22"/>
              </w:rPr>
              <w:t>229 (3,1)</w:t>
            </w:r>
          </w:p>
        </w:tc>
        <w:tc>
          <w:tcPr>
            <w:tcW w:w="1000" w:type="dxa"/>
            <w:tcBorders>
              <w:bottom w:val="single" w:sz="8" w:space="0" w:color="auto"/>
              <w:right w:val="single" w:sz="8" w:space="0" w:color="auto"/>
            </w:tcBorders>
            <w:shd w:val="clear" w:color="auto" w:fill="auto"/>
            <w:vAlign w:val="bottom"/>
          </w:tcPr>
          <w:p w14:paraId="2C0423EC" w14:textId="77777777" w:rsidR="004756CE" w:rsidRPr="00B57AE7" w:rsidRDefault="004756CE" w:rsidP="00BD7E4F">
            <w:pPr>
              <w:spacing w:line="0" w:lineRule="atLeast"/>
              <w:jc w:val="center"/>
              <w:rPr>
                <w:w w:val="97"/>
                <w:sz w:val="22"/>
                <w:szCs w:val="22"/>
              </w:rPr>
            </w:pPr>
            <w:r w:rsidRPr="00B57AE7">
              <w:rPr>
                <w:w w:val="97"/>
                <w:sz w:val="22"/>
                <w:szCs w:val="22"/>
              </w:rPr>
              <w:t>1,1</w:t>
            </w:r>
          </w:p>
        </w:tc>
        <w:tc>
          <w:tcPr>
            <w:tcW w:w="1500" w:type="dxa"/>
            <w:tcBorders>
              <w:bottom w:val="single" w:sz="8" w:space="0" w:color="auto"/>
              <w:right w:val="single" w:sz="8" w:space="0" w:color="auto"/>
            </w:tcBorders>
            <w:shd w:val="clear" w:color="auto" w:fill="auto"/>
            <w:vAlign w:val="bottom"/>
          </w:tcPr>
          <w:p w14:paraId="35E2E98E" w14:textId="77777777" w:rsidR="004756CE" w:rsidRPr="00B57AE7" w:rsidRDefault="004756CE" w:rsidP="00BD7E4F">
            <w:pPr>
              <w:spacing w:line="0" w:lineRule="atLeast"/>
              <w:jc w:val="center"/>
              <w:rPr>
                <w:sz w:val="22"/>
                <w:szCs w:val="22"/>
              </w:rPr>
            </w:pPr>
            <w:r w:rsidRPr="00B57AE7">
              <w:rPr>
                <w:sz w:val="22"/>
                <w:szCs w:val="22"/>
              </w:rPr>
              <w:t>1,00 (0,83–1,20)</w:t>
            </w:r>
          </w:p>
        </w:tc>
        <w:tc>
          <w:tcPr>
            <w:tcW w:w="900" w:type="dxa"/>
            <w:tcBorders>
              <w:bottom w:val="single" w:sz="8" w:space="0" w:color="auto"/>
              <w:right w:val="single" w:sz="8" w:space="0" w:color="auto"/>
            </w:tcBorders>
            <w:shd w:val="clear" w:color="auto" w:fill="auto"/>
            <w:vAlign w:val="bottom"/>
          </w:tcPr>
          <w:p w14:paraId="5D26B7BD" w14:textId="77777777" w:rsidR="004756CE" w:rsidRPr="00B57AE7" w:rsidRDefault="004756CE" w:rsidP="00BD7E4F">
            <w:pPr>
              <w:spacing w:line="0" w:lineRule="atLeast"/>
              <w:jc w:val="center"/>
              <w:rPr>
                <w:sz w:val="22"/>
                <w:szCs w:val="22"/>
              </w:rPr>
            </w:pPr>
            <w:r w:rsidRPr="00B57AE7">
              <w:rPr>
                <w:sz w:val="22"/>
                <w:szCs w:val="22"/>
              </w:rPr>
              <w:t>0,983</w:t>
            </w:r>
          </w:p>
        </w:tc>
      </w:tr>
    </w:tbl>
    <w:p w14:paraId="582EBEE2" w14:textId="77777777" w:rsidR="004756CE" w:rsidRPr="00B57AE7" w:rsidRDefault="004756CE" w:rsidP="004756CE">
      <w:pPr>
        <w:spacing w:line="234" w:lineRule="auto"/>
        <w:ind w:left="260" w:right="680" w:hanging="141"/>
        <w:rPr>
          <w:sz w:val="22"/>
          <w:szCs w:val="22"/>
        </w:rPr>
      </w:pPr>
      <w:r w:rsidRPr="00B57AE7">
        <w:rPr>
          <w:sz w:val="22"/>
          <w:szCs w:val="22"/>
        </w:rPr>
        <w:t>* Výskyt na 100 pacientorokov je vypočítaný ako 100 x (celkový počet pacientov s ≥ 1 udalosťou počas hodnoteného obdobia expozície na celkový počet pacientorokov počas obdobia sledovania).</w:t>
      </w:r>
    </w:p>
    <w:p w14:paraId="145DDBFD" w14:textId="77777777" w:rsidR="004756CE" w:rsidRPr="00B57AE7" w:rsidRDefault="004756CE" w:rsidP="004756CE">
      <w:pPr>
        <w:spacing w:line="6" w:lineRule="exact"/>
        <w:rPr>
          <w:sz w:val="22"/>
          <w:szCs w:val="22"/>
        </w:rPr>
      </w:pPr>
    </w:p>
    <w:p w14:paraId="6FCD445C" w14:textId="77777777" w:rsidR="004756CE" w:rsidRPr="00B57AE7" w:rsidRDefault="004756CE" w:rsidP="004756CE">
      <w:pPr>
        <w:numPr>
          <w:ilvl w:val="0"/>
          <w:numId w:val="49"/>
        </w:numPr>
        <w:tabs>
          <w:tab w:val="left" w:pos="210"/>
        </w:tabs>
        <w:spacing w:line="219" w:lineRule="auto"/>
        <w:ind w:left="260" w:right="160" w:hanging="142"/>
        <w:rPr>
          <w:sz w:val="22"/>
          <w:szCs w:val="22"/>
          <w:vertAlign w:val="superscript"/>
        </w:rPr>
      </w:pPr>
      <w:r w:rsidRPr="00B57AE7">
        <w:rPr>
          <w:sz w:val="22"/>
          <w:szCs w:val="22"/>
        </w:rPr>
        <w:t>Na základe Coxovho modelu stratifikovaného podľa regiónu. Pre zložené cieľové ukazovatele hodnoty p zodpovedajú testu neinferiority so snahou dokázať, že pomer rizika je menší ako 1,3. Pre všetky ostatné cieľové ukazovatele hodnoty p</w:t>
      </w:r>
    </w:p>
    <w:p w14:paraId="30C47A41" w14:textId="77777777" w:rsidR="004756CE" w:rsidRPr="00B57AE7" w:rsidRDefault="004756CE" w:rsidP="004756CE">
      <w:pPr>
        <w:spacing w:line="217" w:lineRule="auto"/>
        <w:ind w:left="260"/>
        <w:rPr>
          <w:sz w:val="22"/>
          <w:szCs w:val="22"/>
        </w:rPr>
      </w:pPr>
      <w:r w:rsidRPr="00B57AE7">
        <w:rPr>
          <w:sz w:val="22"/>
          <w:szCs w:val="22"/>
        </w:rPr>
        <w:t>zodpovedajú testu rozdielov v pomere rizika.</w:t>
      </w:r>
    </w:p>
    <w:p w14:paraId="7C92DAC3" w14:textId="77777777" w:rsidR="004756CE" w:rsidRPr="00B57AE7" w:rsidRDefault="004756CE" w:rsidP="004756CE">
      <w:pPr>
        <w:numPr>
          <w:ilvl w:val="0"/>
          <w:numId w:val="50"/>
        </w:numPr>
        <w:tabs>
          <w:tab w:val="left" w:pos="220"/>
        </w:tabs>
        <w:spacing w:line="208" w:lineRule="auto"/>
        <w:ind w:left="220" w:hanging="102"/>
        <w:rPr>
          <w:sz w:val="22"/>
          <w:szCs w:val="22"/>
          <w:vertAlign w:val="superscript"/>
        </w:rPr>
      </w:pPr>
      <w:r w:rsidRPr="00B57AE7">
        <w:rPr>
          <w:sz w:val="22"/>
          <w:szCs w:val="22"/>
        </w:rPr>
        <w:t>Analýza hospitalizácie z dôvodu zlyhania srdca bola upravená na základe východiskovej anamnézy zlyhania srdca.</w:t>
      </w:r>
    </w:p>
    <w:p w14:paraId="28DF7229" w14:textId="77777777" w:rsidR="00D26B9D" w:rsidRPr="00B57AE7" w:rsidRDefault="00D26B9D" w:rsidP="00AD6F14">
      <w:pPr>
        <w:widowControl w:val="0"/>
        <w:autoSpaceDE w:val="0"/>
        <w:autoSpaceDN w:val="0"/>
        <w:adjustRightInd w:val="0"/>
        <w:rPr>
          <w:color w:val="000000"/>
          <w:sz w:val="22"/>
          <w:szCs w:val="22"/>
        </w:rPr>
      </w:pPr>
    </w:p>
    <w:p w14:paraId="1F2B6A89" w14:textId="77777777" w:rsidR="004756CE" w:rsidRPr="00B57AE7" w:rsidRDefault="004756CE" w:rsidP="003458AB">
      <w:pPr>
        <w:spacing w:line="0" w:lineRule="atLeast"/>
        <w:rPr>
          <w:sz w:val="22"/>
          <w:u w:val="single"/>
        </w:rPr>
      </w:pPr>
      <w:r w:rsidRPr="00B57AE7">
        <w:rPr>
          <w:sz w:val="22"/>
          <w:u w:val="single"/>
        </w:rPr>
        <w:t>Pediatrická populácia</w:t>
      </w:r>
    </w:p>
    <w:p w14:paraId="5FA2C2DD" w14:textId="77777777" w:rsidR="004756CE" w:rsidRPr="00B57AE7" w:rsidRDefault="004756CE" w:rsidP="003458AB">
      <w:pPr>
        <w:spacing w:line="30" w:lineRule="exact"/>
      </w:pPr>
    </w:p>
    <w:p w14:paraId="021A81DD" w14:textId="77777777" w:rsidR="004756CE" w:rsidRPr="00B57AE7" w:rsidRDefault="004756CE" w:rsidP="003458AB">
      <w:pPr>
        <w:spacing w:line="250" w:lineRule="auto"/>
        <w:ind w:right="300"/>
        <w:rPr>
          <w:sz w:val="22"/>
        </w:rPr>
      </w:pPr>
      <w:r w:rsidRPr="00B57AE7">
        <w:rPr>
          <w:sz w:val="22"/>
        </w:rPr>
        <w:t>Európska agentúra pre lieky udelila odklad z povinnosti predložiť v</w:t>
      </w:r>
      <w:r w:rsidR="008A2D52" w:rsidRPr="00B57AE7">
        <w:rPr>
          <w:sz w:val="22"/>
        </w:rPr>
        <w:t xml:space="preserve">ýsledky štúdií s </w:t>
      </w:r>
      <w:r w:rsidR="00633838" w:rsidRPr="00633838">
        <w:rPr>
          <w:sz w:val="22"/>
        </w:rPr>
        <w:t xml:space="preserve">referenčným liekom s obsahom sitagliptínu/metformínu </w:t>
      </w:r>
      <w:r w:rsidRPr="00B57AE7">
        <w:rPr>
          <w:sz w:val="22"/>
        </w:rPr>
        <w:t>vo všetkých podskupinách pediatrickej populácie pre diabetes mellitus 2. typu (informácie o použití v pediatrickej populácii, pozri časť 4.2).</w:t>
      </w:r>
    </w:p>
    <w:p w14:paraId="4DF4AC23" w14:textId="77777777" w:rsidR="00B016F1" w:rsidRPr="00B57AE7" w:rsidRDefault="00B016F1" w:rsidP="00B016F1">
      <w:pPr>
        <w:rPr>
          <w:color w:val="000000"/>
          <w:sz w:val="22"/>
          <w:szCs w:val="22"/>
        </w:rPr>
      </w:pPr>
    </w:p>
    <w:p w14:paraId="3E7CA50A" w14:textId="77777777" w:rsidR="00B016F1" w:rsidRPr="00B57AE7" w:rsidRDefault="00B016F1" w:rsidP="00B016F1">
      <w:pPr>
        <w:rPr>
          <w:color w:val="000000"/>
          <w:sz w:val="22"/>
          <w:szCs w:val="22"/>
        </w:rPr>
      </w:pPr>
      <w:r w:rsidRPr="00B57AE7">
        <w:rPr>
          <w:color w:val="000000"/>
          <w:sz w:val="22"/>
          <w:szCs w:val="22"/>
        </w:rPr>
        <w:t>Bezpečnosť a účinnosť pridania sitagliptínu u pediatrických pacientov vo veku 10 až 17 rokov s cukrovkou 2. typu a nedostatočnou glykemickou kontrolou metformínu s inzulínom alebo bez neho boli hodnotené v dvoch štúdiách počas 54 týždňov. Pridanie sitagliptínu (podávaného ako sitagliptín + metformín alebo sitagliptín + metformín s predĺženým uvoľňovaním (XR)) sa porovnávalo s pridaním placeba k metformínu alebo metformínu XR.</w:t>
      </w:r>
    </w:p>
    <w:p w14:paraId="4ED457CF" w14:textId="77777777" w:rsidR="00B016F1" w:rsidRPr="00B57AE7" w:rsidRDefault="00B016F1" w:rsidP="00B016F1">
      <w:pPr>
        <w:rPr>
          <w:color w:val="000000"/>
          <w:sz w:val="22"/>
          <w:szCs w:val="22"/>
        </w:rPr>
      </w:pPr>
    </w:p>
    <w:p w14:paraId="43397E9C" w14:textId="77777777" w:rsidR="00B016F1" w:rsidRPr="00B57AE7" w:rsidRDefault="00B016F1" w:rsidP="00B016F1">
      <w:pPr>
        <w:rPr>
          <w:color w:val="000000"/>
          <w:sz w:val="22"/>
          <w:szCs w:val="22"/>
        </w:rPr>
      </w:pPr>
      <w:r w:rsidRPr="00B57AE7">
        <w:rPr>
          <w:color w:val="000000"/>
          <w:sz w:val="22"/>
          <w:szCs w:val="22"/>
        </w:rPr>
        <w:t>Zatiaľ čo v 20. týždni sa v združenej analýze týchto dvoch štúdií preukázala nadradenosť zníženia HbA</w:t>
      </w:r>
      <w:r w:rsidRPr="00B57AE7">
        <w:rPr>
          <w:color w:val="000000"/>
          <w:sz w:val="22"/>
          <w:szCs w:val="22"/>
          <w:vertAlign w:val="subscript"/>
        </w:rPr>
        <w:t>1c</w:t>
      </w:r>
      <w:r w:rsidRPr="00B57AE7">
        <w:rPr>
          <w:color w:val="000000"/>
          <w:sz w:val="22"/>
          <w:szCs w:val="22"/>
        </w:rPr>
        <w:t xml:space="preserve"> pre sitagliptín + metformín/sitagliptín + metformín XR v porovnaní s metformínom, výsledky z jednotlivých štúdií boli nekonzistentné. Ďalej sa v 54. týždni nepozorovala vyššia účinnosť sitagliptínu + metformínu/sitagliptínu + metformínu XR v porovnaní s metformínom. Preto sa </w:t>
      </w:r>
      <w:r w:rsidR="008D6F86">
        <w:rPr>
          <w:color w:val="000000"/>
          <w:sz w:val="22"/>
          <w:szCs w:val="22"/>
        </w:rPr>
        <w:t>JUZIMETTE</w:t>
      </w:r>
      <w:r w:rsidRPr="00B57AE7">
        <w:rPr>
          <w:color w:val="000000"/>
          <w:sz w:val="22"/>
          <w:szCs w:val="22"/>
        </w:rPr>
        <w:t xml:space="preserve"> nemá používať u pediatrických pacientov vo veku 10 až 17 rokov z dôvodu nedostatočnej účinnosti (pozri časť 4.2 s informáciami o použití v pediatrii).</w:t>
      </w:r>
    </w:p>
    <w:p w14:paraId="0FBAFB6B" w14:textId="77777777" w:rsidR="007D5022" w:rsidRPr="00B57AE7" w:rsidRDefault="007D5022" w:rsidP="00AD6F14">
      <w:pPr>
        <w:widowControl w:val="0"/>
        <w:autoSpaceDE w:val="0"/>
        <w:autoSpaceDN w:val="0"/>
        <w:adjustRightInd w:val="0"/>
        <w:rPr>
          <w:color w:val="000000"/>
          <w:sz w:val="22"/>
          <w:szCs w:val="22"/>
        </w:rPr>
      </w:pPr>
    </w:p>
    <w:p w14:paraId="134BFC0F" w14:textId="77777777" w:rsidR="000301F6" w:rsidRPr="00B57AE7" w:rsidRDefault="000301F6" w:rsidP="003458AB">
      <w:pPr>
        <w:keepNext/>
        <w:widowControl w:val="0"/>
        <w:tabs>
          <w:tab w:val="left" w:pos="567"/>
        </w:tabs>
        <w:rPr>
          <w:sz w:val="22"/>
          <w:szCs w:val="22"/>
          <w:lang w:eastAsia="en-US"/>
        </w:rPr>
      </w:pPr>
      <w:r w:rsidRPr="00B57AE7">
        <w:rPr>
          <w:b/>
          <w:sz w:val="22"/>
          <w:szCs w:val="22"/>
          <w:lang w:eastAsia="en-US"/>
        </w:rPr>
        <w:lastRenderedPageBreak/>
        <w:t>5.2</w:t>
      </w:r>
      <w:r w:rsidRPr="00B57AE7">
        <w:rPr>
          <w:b/>
          <w:sz w:val="22"/>
          <w:szCs w:val="22"/>
          <w:lang w:eastAsia="en-US"/>
        </w:rPr>
        <w:tab/>
        <w:t>Farmakokinetické vlastnosti</w:t>
      </w:r>
    </w:p>
    <w:p w14:paraId="65118A2A" w14:textId="77777777" w:rsidR="000301F6" w:rsidRPr="00B57AE7" w:rsidRDefault="000301F6" w:rsidP="003458AB">
      <w:pPr>
        <w:keepNext/>
        <w:widowControl w:val="0"/>
        <w:autoSpaceDE w:val="0"/>
        <w:autoSpaceDN w:val="0"/>
        <w:adjustRightInd w:val="0"/>
        <w:rPr>
          <w:color w:val="000000"/>
          <w:sz w:val="22"/>
          <w:szCs w:val="22"/>
        </w:rPr>
      </w:pPr>
    </w:p>
    <w:p w14:paraId="6CEE485E" w14:textId="77777777" w:rsidR="000301F6" w:rsidRPr="00B57AE7" w:rsidRDefault="008D6F86" w:rsidP="003458AB">
      <w:pPr>
        <w:keepNext/>
        <w:spacing w:line="0" w:lineRule="atLeast"/>
        <w:rPr>
          <w:sz w:val="22"/>
          <w:u w:val="single"/>
        </w:rPr>
      </w:pPr>
      <w:r>
        <w:rPr>
          <w:sz w:val="22"/>
          <w:u w:val="single"/>
        </w:rPr>
        <w:t>JUZIMETTE</w:t>
      </w:r>
    </w:p>
    <w:p w14:paraId="0C5B398F" w14:textId="77777777" w:rsidR="000301F6" w:rsidRPr="00B57AE7" w:rsidRDefault="000301F6" w:rsidP="000301F6">
      <w:pPr>
        <w:spacing w:line="30" w:lineRule="exact"/>
      </w:pPr>
    </w:p>
    <w:p w14:paraId="22BBDCB9" w14:textId="12888264" w:rsidR="000301F6" w:rsidRPr="00B57AE7" w:rsidRDefault="000301F6" w:rsidP="000301F6">
      <w:pPr>
        <w:spacing w:line="250" w:lineRule="auto"/>
        <w:ind w:right="220"/>
        <w:rPr>
          <w:sz w:val="22"/>
        </w:rPr>
      </w:pPr>
      <w:r w:rsidRPr="00B57AE7">
        <w:rPr>
          <w:sz w:val="22"/>
        </w:rPr>
        <w:t>Štúdia bioekvivalencie u zdravých jedincov preukázala,</w:t>
      </w:r>
      <w:r w:rsidR="008A2D52" w:rsidRPr="00B57AE7">
        <w:rPr>
          <w:sz w:val="22"/>
        </w:rPr>
        <w:t xml:space="preserve"> že kombinované tablety </w:t>
      </w:r>
      <w:r w:rsidRPr="00B57AE7">
        <w:rPr>
          <w:sz w:val="22"/>
        </w:rPr>
        <w:t xml:space="preserve">sitagliptín/metformíniumchlorid sú bioekvivalentné so súbežným podávaním </w:t>
      </w:r>
      <w:proofErr w:type="spellStart"/>
      <w:r w:rsidRPr="00B57AE7">
        <w:rPr>
          <w:sz w:val="22"/>
        </w:rPr>
        <w:t>sitagliptínu</w:t>
      </w:r>
      <w:proofErr w:type="spellEnd"/>
      <w:r w:rsidRPr="00B57AE7">
        <w:rPr>
          <w:sz w:val="22"/>
        </w:rPr>
        <w:t xml:space="preserve"> a</w:t>
      </w:r>
      <w:r w:rsidR="005413B5">
        <w:rPr>
          <w:sz w:val="22"/>
        </w:rPr>
        <w:t> </w:t>
      </w:r>
      <w:proofErr w:type="spellStart"/>
      <w:r w:rsidRPr="00B57AE7">
        <w:rPr>
          <w:sz w:val="22"/>
        </w:rPr>
        <w:t>metformínium</w:t>
      </w:r>
      <w:proofErr w:type="spellEnd"/>
      <w:r w:rsidR="005413B5">
        <w:rPr>
          <w:sz w:val="22"/>
        </w:rPr>
        <w:t>-</w:t>
      </w:r>
      <w:r w:rsidRPr="00B57AE7">
        <w:rPr>
          <w:sz w:val="22"/>
        </w:rPr>
        <w:t>chloridu vo forme samostatných tabliet.</w:t>
      </w:r>
    </w:p>
    <w:p w14:paraId="1C0F5A69" w14:textId="77777777" w:rsidR="000301F6" w:rsidRPr="00B57AE7" w:rsidRDefault="000301F6" w:rsidP="000301F6">
      <w:pPr>
        <w:spacing w:line="222" w:lineRule="exact"/>
      </w:pPr>
    </w:p>
    <w:p w14:paraId="140C2046" w14:textId="77777777" w:rsidR="000301F6" w:rsidRPr="00B57AE7" w:rsidRDefault="000301F6" w:rsidP="000301F6">
      <w:pPr>
        <w:spacing w:line="0" w:lineRule="atLeast"/>
        <w:rPr>
          <w:sz w:val="22"/>
        </w:rPr>
      </w:pPr>
      <w:r w:rsidRPr="00B57AE7">
        <w:rPr>
          <w:sz w:val="22"/>
        </w:rPr>
        <w:t>Nasledujúce informácie odrážajú farmakokinetické vlastnosti jedn</w:t>
      </w:r>
      <w:r w:rsidR="000A6D66" w:rsidRPr="00B57AE7">
        <w:rPr>
          <w:sz w:val="22"/>
        </w:rPr>
        <w:t xml:space="preserve">otlivých liečiv v </w:t>
      </w:r>
      <w:r w:rsidR="008D6F86">
        <w:rPr>
          <w:sz w:val="22"/>
        </w:rPr>
        <w:t>JUZIMETTE</w:t>
      </w:r>
      <w:r w:rsidRPr="00B57AE7">
        <w:rPr>
          <w:sz w:val="22"/>
        </w:rPr>
        <w:t>.</w:t>
      </w:r>
    </w:p>
    <w:p w14:paraId="303EE4C3" w14:textId="77777777" w:rsidR="000301F6" w:rsidRPr="00B57AE7" w:rsidRDefault="000301F6" w:rsidP="000301F6">
      <w:pPr>
        <w:spacing w:line="265" w:lineRule="exact"/>
      </w:pPr>
    </w:p>
    <w:p w14:paraId="77DAE3AE" w14:textId="77777777" w:rsidR="000301F6" w:rsidRPr="00B57AE7" w:rsidRDefault="000301F6" w:rsidP="000301F6">
      <w:pPr>
        <w:spacing w:line="0" w:lineRule="atLeast"/>
        <w:rPr>
          <w:sz w:val="22"/>
          <w:u w:val="single"/>
        </w:rPr>
      </w:pPr>
      <w:r w:rsidRPr="00B57AE7">
        <w:rPr>
          <w:sz w:val="22"/>
          <w:u w:val="single"/>
        </w:rPr>
        <w:t>Sitagliptín</w:t>
      </w:r>
    </w:p>
    <w:p w14:paraId="235D780F" w14:textId="77777777" w:rsidR="000301F6" w:rsidRPr="00B57AE7" w:rsidRDefault="000301F6" w:rsidP="000301F6">
      <w:pPr>
        <w:spacing w:line="30" w:lineRule="exact"/>
      </w:pPr>
    </w:p>
    <w:p w14:paraId="53D39603" w14:textId="77777777" w:rsidR="000301F6" w:rsidRPr="00B57AE7" w:rsidRDefault="000301F6" w:rsidP="000301F6">
      <w:pPr>
        <w:spacing w:line="0" w:lineRule="atLeast"/>
        <w:rPr>
          <w:i/>
          <w:sz w:val="22"/>
        </w:rPr>
      </w:pPr>
      <w:r w:rsidRPr="00B57AE7">
        <w:rPr>
          <w:i/>
          <w:sz w:val="22"/>
        </w:rPr>
        <w:t>Absorpcia</w:t>
      </w:r>
    </w:p>
    <w:p w14:paraId="772EE4A0" w14:textId="77777777" w:rsidR="000301F6" w:rsidRPr="00B57AE7" w:rsidRDefault="000301F6" w:rsidP="000301F6">
      <w:pPr>
        <w:spacing w:line="6" w:lineRule="exact"/>
      </w:pPr>
    </w:p>
    <w:p w14:paraId="5D05D1C6" w14:textId="77777777" w:rsidR="000301F6" w:rsidRPr="00B57AE7" w:rsidRDefault="000301F6" w:rsidP="003458AB">
      <w:pPr>
        <w:ind w:right="200"/>
        <w:rPr>
          <w:sz w:val="22"/>
          <w:szCs w:val="22"/>
        </w:rPr>
      </w:pPr>
      <w:r w:rsidRPr="00B57AE7">
        <w:rPr>
          <w:sz w:val="22"/>
        </w:rPr>
        <w:t xml:space="preserve">Po perorálnom podaní 100-mg dávky zdravým jedincom sa sitagliptín rýchlo absorboval, pričom k maximálnym plazmatickým koncentráciám (medián </w:t>
      </w:r>
      <w:r w:rsidR="00C1036B">
        <w:rPr>
          <w:sz w:val="22"/>
        </w:rPr>
        <w:t>t</w:t>
      </w:r>
      <w:r w:rsidRPr="00B57AE7">
        <w:rPr>
          <w:sz w:val="27"/>
          <w:vertAlign w:val="subscript"/>
        </w:rPr>
        <w:t>max</w:t>
      </w:r>
      <w:r w:rsidRPr="00B57AE7">
        <w:rPr>
          <w:sz w:val="22"/>
        </w:rPr>
        <w:t xml:space="preserve">) došlo 1 až 4 hodiny po podaní dávky, priemerná plazmatická AUC sitagliptínu bola 8,52 </w:t>
      </w:r>
      <w:r w:rsidRPr="00B57AE7">
        <w:rPr>
          <w:rFonts w:ascii="Symbol" w:eastAsia="Symbol" w:hAnsi="Symbol"/>
          <w:sz w:val="22"/>
        </w:rPr>
        <w:t></w:t>
      </w:r>
      <w:r w:rsidRPr="00B57AE7">
        <w:rPr>
          <w:sz w:val="22"/>
        </w:rPr>
        <w:t>M</w:t>
      </w:r>
      <w:r w:rsidR="00C1036B">
        <w:rPr>
          <w:sz w:val="22"/>
        </w:rPr>
        <w:t>×</w:t>
      </w:r>
      <w:r w:rsidRPr="00B57AE7">
        <w:rPr>
          <w:sz w:val="22"/>
        </w:rPr>
        <w:t>h, C</w:t>
      </w:r>
      <w:r w:rsidRPr="00B57AE7">
        <w:rPr>
          <w:sz w:val="27"/>
          <w:vertAlign w:val="subscript"/>
        </w:rPr>
        <w:t>max</w:t>
      </w:r>
      <w:r w:rsidRPr="00B57AE7">
        <w:rPr>
          <w:sz w:val="22"/>
        </w:rPr>
        <w:t xml:space="preserve"> bola 950 nM. Absolútna biologická dostupnosť sitagliptínu je približne 87 %. Vzhľadom na to, že súbežné podanie sitagliptínu s jedlom obsahujúcim vysoké množstvo tukov nemalo žiadny vplyv na farmakokinetiku, sitagliptín sa môže </w:t>
      </w:r>
      <w:r w:rsidRPr="00B57AE7">
        <w:rPr>
          <w:sz w:val="22"/>
          <w:szCs w:val="22"/>
        </w:rPr>
        <w:t>podávať s jedlom alebo bez jedla.</w:t>
      </w:r>
    </w:p>
    <w:p w14:paraId="434D7850" w14:textId="77777777" w:rsidR="000301F6" w:rsidRPr="00B57AE7" w:rsidRDefault="000301F6" w:rsidP="003458AB">
      <w:pPr>
        <w:rPr>
          <w:sz w:val="22"/>
          <w:szCs w:val="22"/>
        </w:rPr>
      </w:pPr>
    </w:p>
    <w:p w14:paraId="0E0D77AC" w14:textId="77777777" w:rsidR="000301F6" w:rsidRPr="00B57AE7" w:rsidRDefault="000301F6" w:rsidP="003458AB">
      <w:pPr>
        <w:ind w:right="40"/>
        <w:rPr>
          <w:sz w:val="22"/>
          <w:szCs w:val="22"/>
        </w:rPr>
      </w:pPr>
      <w:r w:rsidRPr="00B57AE7">
        <w:rPr>
          <w:sz w:val="22"/>
          <w:szCs w:val="22"/>
        </w:rPr>
        <w:t>Plazmatická AUC sitagliptínu stúpala úmerne dávke. Dávková proporcionalita sa nestanovila pre C</w:t>
      </w:r>
      <w:r w:rsidR="003458AB" w:rsidRPr="00B57AE7">
        <w:rPr>
          <w:sz w:val="27"/>
          <w:vertAlign w:val="subscript"/>
        </w:rPr>
        <w:t xml:space="preserve">max </w:t>
      </w:r>
      <w:r w:rsidRPr="00B57AE7">
        <w:rPr>
          <w:sz w:val="22"/>
          <w:szCs w:val="22"/>
        </w:rPr>
        <w:t>a C</w:t>
      </w:r>
      <w:r w:rsidRPr="00B57AE7">
        <w:rPr>
          <w:sz w:val="22"/>
          <w:szCs w:val="22"/>
          <w:vertAlign w:val="subscript"/>
        </w:rPr>
        <w:t>24h</w:t>
      </w:r>
      <w:r w:rsidRPr="00B57AE7">
        <w:rPr>
          <w:sz w:val="22"/>
          <w:szCs w:val="22"/>
        </w:rPr>
        <w:t xml:space="preserve"> (C</w:t>
      </w:r>
      <w:r w:rsidR="003458AB" w:rsidRPr="00B57AE7">
        <w:rPr>
          <w:sz w:val="27"/>
          <w:vertAlign w:val="subscript"/>
        </w:rPr>
        <w:t>max</w:t>
      </w:r>
      <w:r w:rsidRPr="00B57AE7">
        <w:rPr>
          <w:sz w:val="22"/>
          <w:szCs w:val="22"/>
        </w:rPr>
        <w:t xml:space="preserve"> sa zvýšila viac než úmerne dávke a C</w:t>
      </w:r>
      <w:r w:rsidRPr="00B57AE7">
        <w:rPr>
          <w:sz w:val="22"/>
          <w:szCs w:val="22"/>
          <w:vertAlign w:val="subscript"/>
        </w:rPr>
        <w:t>24h</w:t>
      </w:r>
      <w:r w:rsidRPr="00B57AE7">
        <w:rPr>
          <w:sz w:val="22"/>
          <w:szCs w:val="22"/>
        </w:rPr>
        <w:t xml:space="preserve"> sa zvýšila o niečo menej než úmerne dávke).</w:t>
      </w:r>
    </w:p>
    <w:p w14:paraId="35B4B676" w14:textId="77777777" w:rsidR="000301F6" w:rsidRPr="00B57AE7" w:rsidRDefault="000301F6" w:rsidP="003458AB">
      <w:pPr>
        <w:rPr>
          <w:sz w:val="22"/>
          <w:szCs w:val="22"/>
        </w:rPr>
      </w:pPr>
    </w:p>
    <w:p w14:paraId="70C89073" w14:textId="77777777" w:rsidR="000301F6" w:rsidRPr="00B57AE7" w:rsidRDefault="000301F6" w:rsidP="003458AB">
      <w:pPr>
        <w:rPr>
          <w:i/>
          <w:sz w:val="22"/>
          <w:szCs w:val="22"/>
        </w:rPr>
      </w:pPr>
      <w:r w:rsidRPr="00B57AE7">
        <w:rPr>
          <w:i/>
          <w:sz w:val="22"/>
          <w:szCs w:val="22"/>
        </w:rPr>
        <w:t>Distribúcia</w:t>
      </w:r>
    </w:p>
    <w:p w14:paraId="595A85D6" w14:textId="77777777" w:rsidR="000301F6" w:rsidRPr="00B57AE7" w:rsidRDefault="000301F6" w:rsidP="000301F6">
      <w:pPr>
        <w:spacing w:line="250" w:lineRule="auto"/>
        <w:rPr>
          <w:sz w:val="22"/>
          <w:szCs w:val="22"/>
        </w:rPr>
      </w:pPr>
      <w:r w:rsidRPr="00B57AE7">
        <w:rPr>
          <w:sz w:val="22"/>
        </w:rPr>
        <w:t xml:space="preserve">Priemerný distribučný objem v rovnovážnom stave po podaní jednorazovej 100-mg intravenóznej dávky sitagliptínu zdravým osobám je približne 198 litrov. Frakcia sitagliptínu reverzibilne viazaná na </w:t>
      </w:r>
      <w:r w:rsidRPr="00B57AE7">
        <w:rPr>
          <w:sz w:val="22"/>
          <w:szCs w:val="22"/>
        </w:rPr>
        <w:t>plazmatické bielkoviny je nízka (38 %).</w:t>
      </w:r>
    </w:p>
    <w:p w14:paraId="00CD388A" w14:textId="77777777" w:rsidR="004756CE" w:rsidRPr="00B57AE7" w:rsidRDefault="004756CE" w:rsidP="00AD6F14">
      <w:pPr>
        <w:widowControl w:val="0"/>
        <w:autoSpaceDE w:val="0"/>
        <w:autoSpaceDN w:val="0"/>
        <w:adjustRightInd w:val="0"/>
        <w:rPr>
          <w:color w:val="000000"/>
          <w:sz w:val="22"/>
          <w:szCs w:val="22"/>
        </w:rPr>
      </w:pPr>
    </w:p>
    <w:p w14:paraId="5BFEB8C8" w14:textId="77777777" w:rsidR="000301F6" w:rsidRPr="00B57AE7" w:rsidRDefault="000301F6" w:rsidP="000301F6">
      <w:pPr>
        <w:spacing w:line="0" w:lineRule="atLeast"/>
        <w:rPr>
          <w:i/>
          <w:sz w:val="22"/>
          <w:szCs w:val="22"/>
        </w:rPr>
      </w:pPr>
      <w:r w:rsidRPr="00B57AE7">
        <w:rPr>
          <w:i/>
          <w:sz w:val="22"/>
          <w:szCs w:val="22"/>
        </w:rPr>
        <w:t>Biotransformácia</w:t>
      </w:r>
    </w:p>
    <w:p w14:paraId="5603C8C4" w14:textId="77777777" w:rsidR="000301F6" w:rsidRPr="00B57AE7" w:rsidRDefault="000301F6" w:rsidP="000301F6">
      <w:pPr>
        <w:spacing w:line="255" w:lineRule="auto"/>
        <w:ind w:right="20"/>
        <w:rPr>
          <w:sz w:val="22"/>
          <w:szCs w:val="22"/>
        </w:rPr>
      </w:pPr>
      <w:r w:rsidRPr="00B57AE7">
        <w:rPr>
          <w:sz w:val="22"/>
          <w:szCs w:val="22"/>
        </w:rPr>
        <w:t>Sitagliptín sa primárne eliminuje nezmenený v moči a metabolizmus je menej dôležitá cesta. Približne 79 % sitagliptínu sa vylúči nezmenených v moči.</w:t>
      </w:r>
    </w:p>
    <w:p w14:paraId="6A39F306" w14:textId="77777777" w:rsidR="000301F6" w:rsidRPr="00B57AE7" w:rsidRDefault="000301F6" w:rsidP="000301F6">
      <w:pPr>
        <w:spacing w:line="196" w:lineRule="exact"/>
        <w:rPr>
          <w:sz w:val="22"/>
          <w:szCs w:val="22"/>
        </w:rPr>
      </w:pPr>
    </w:p>
    <w:p w14:paraId="4C2D15A1" w14:textId="77777777" w:rsidR="000301F6" w:rsidRPr="00B57AE7" w:rsidRDefault="000301F6" w:rsidP="000301F6">
      <w:pPr>
        <w:spacing w:line="258" w:lineRule="auto"/>
        <w:ind w:right="280"/>
        <w:rPr>
          <w:sz w:val="22"/>
          <w:szCs w:val="22"/>
        </w:rPr>
      </w:pPr>
      <w:r w:rsidRPr="00B57AE7">
        <w:rPr>
          <w:sz w:val="22"/>
          <w:szCs w:val="22"/>
        </w:rPr>
        <w:t>Po perorálnej dávke [</w:t>
      </w:r>
      <w:r w:rsidRPr="00B57AE7">
        <w:rPr>
          <w:sz w:val="22"/>
          <w:szCs w:val="22"/>
          <w:vertAlign w:val="superscript"/>
        </w:rPr>
        <w:t>14</w:t>
      </w:r>
      <w:r w:rsidRPr="00B57AE7">
        <w:rPr>
          <w:sz w:val="22"/>
          <w:szCs w:val="22"/>
        </w:rPr>
        <w:t>C]</w:t>
      </w:r>
      <w:r w:rsidR="00651248" w:rsidRPr="00B57AE7">
        <w:rPr>
          <w:sz w:val="22"/>
          <w:szCs w:val="22"/>
        </w:rPr>
        <w:t>-</w:t>
      </w:r>
      <w:r w:rsidRPr="00B57AE7">
        <w:rPr>
          <w:sz w:val="22"/>
          <w:szCs w:val="22"/>
        </w:rPr>
        <w:t xml:space="preserve">sitagliptínu sa približne 16 % rádioaktivity vylúčilo vo forme metabolitov sitagliptínu. Šesť metabolitov bolo zistených v stopových hladinách a nepredpokladá sa, že by prispievali k plazmatickej DPP-4 inhibičnej aktivite sitagliptínu. Štúdie </w:t>
      </w:r>
      <w:r w:rsidRPr="00B57AE7">
        <w:rPr>
          <w:i/>
          <w:sz w:val="22"/>
          <w:szCs w:val="22"/>
        </w:rPr>
        <w:t>in vitro</w:t>
      </w:r>
      <w:r w:rsidRPr="00B57AE7">
        <w:rPr>
          <w:sz w:val="22"/>
          <w:szCs w:val="22"/>
        </w:rPr>
        <w:t xml:space="preserve"> ukazujú, že hlavný enzým zodpovedný za limitovaný metabolizmus sitagliptínu bol CYP3A4, s prispením CYP2C8.</w:t>
      </w:r>
    </w:p>
    <w:p w14:paraId="78A3A344" w14:textId="77777777" w:rsidR="000301F6" w:rsidRPr="00B57AE7" w:rsidRDefault="000301F6" w:rsidP="000301F6">
      <w:pPr>
        <w:spacing w:line="212" w:lineRule="exact"/>
        <w:rPr>
          <w:sz w:val="22"/>
          <w:szCs w:val="22"/>
        </w:rPr>
      </w:pPr>
    </w:p>
    <w:p w14:paraId="38BB697B" w14:textId="77777777" w:rsidR="000301F6" w:rsidRPr="00B57AE7" w:rsidRDefault="000301F6" w:rsidP="000301F6">
      <w:pPr>
        <w:spacing w:line="281" w:lineRule="auto"/>
        <w:rPr>
          <w:sz w:val="22"/>
          <w:szCs w:val="22"/>
        </w:rPr>
      </w:pPr>
      <w:r w:rsidRPr="00B57AE7">
        <w:rPr>
          <w:sz w:val="22"/>
          <w:szCs w:val="22"/>
        </w:rPr>
        <w:t xml:space="preserve">Údaje </w:t>
      </w:r>
      <w:r w:rsidRPr="00B57AE7">
        <w:rPr>
          <w:i/>
          <w:sz w:val="22"/>
          <w:szCs w:val="22"/>
        </w:rPr>
        <w:t>in vitro</w:t>
      </w:r>
      <w:r w:rsidRPr="00B57AE7">
        <w:rPr>
          <w:sz w:val="22"/>
          <w:szCs w:val="22"/>
        </w:rPr>
        <w:t xml:space="preserve"> preukázali, že sitagliptín nie je inhibítorom CYP izoenzýmov CYP3A4, 2C8, 2C9, 2D6, 1A2, 2C19 alebo 2B6 a nie je induktorom CYP3A4 a CYP1A2.</w:t>
      </w:r>
    </w:p>
    <w:p w14:paraId="08CA5E3E" w14:textId="77777777" w:rsidR="000301F6" w:rsidRPr="00B57AE7" w:rsidRDefault="000301F6" w:rsidP="000301F6">
      <w:pPr>
        <w:spacing w:line="185" w:lineRule="exact"/>
        <w:rPr>
          <w:sz w:val="22"/>
          <w:szCs w:val="22"/>
        </w:rPr>
      </w:pPr>
    </w:p>
    <w:p w14:paraId="568E19BC" w14:textId="77777777" w:rsidR="000301F6" w:rsidRPr="00B57AE7" w:rsidRDefault="000301F6" w:rsidP="000301F6">
      <w:pPr>
        <w:spacing w:line="0" w:lineRule="atLeast"/>
        <w:rPr>
          <w:i/>
          <w:sz w:val="22"/>
          <w:szCs w:val="22"/>
        </w:rPr>
      </w:pPr>
      <w:r w:rsidRPr="00B57AE7">
        <w:rPr>
          <w:i/>
          <w:sz w:val="22"/>
          <w:szCs w:val="22"/>
        </w:rPr>
        <w:t>Eliminácia</w:t>
      </w:r>
    </w:p>
    <w:p w14:paraId="247E1764" w14:textId="77777777" w:rsidR="000301F6" w:rsidRPr="00B57AE7" w:rsidRDefault="000301F6" w:rsidP="000301F6">
      <w:pPr>
        <w:spacing w:line="6" w:lineRule="exact"/>
        <w:rPr>
          <w:sz w:val="22"/>
          <w:szCs w:val="22"/>
        </w:rPr>
      </w:pPr>
    </w:p>
    <w:p w14:paraId="145425DB" w14:textId="77777777" w:rsidR="000301F6" w:rsidRPr="00B57AE7" w:rsidRDefault="000301F6" w:rsidP="003458AB">
      <w:pPr>
        <w:spacing w:line="226" w:lineRule="auto"/>
        <w:rPr>
          <w:sz w:val="22"/>
          <w:szCs w:val="22"/>
        </w:rPr>
      </w:pPr>
      <w:r w:rsidRPr="00B57AE7">
        <w:rPr>
          <w:sz w:val="22"/>
          <w:szCs w:val="22"/>
        </w:rPr>
        <w:t>Po podaní perorálnej dávky [</w:t>
      </w:r>
      <w:r w:rsidRPr="00B57AE7">
        <w:rPr>
          <w:sz w:val="22"/>
          <w:szCs w:val="22"/>
          <w:vertAlign w:val="superscript"/>
        </w:rPr>
        <w:t>14</w:t>
      </w:r>
      <w:r w:rsidRPr="00B57AE7">
        <w:rPr>
          <w:sz w:val="22"/>
          <w:szCs w:val="22"/>
        </w:rPr>
        <w:t>C]sitagliptínu zdravým jedincom sa približne 100 % podanej rádioaktivity eliminovalo v stolici (13 %) alebo v moči (87 %) počas jedného týždňa po podaní dávky. Zjavný terminálny t</w:t>
      </w:r>
      <w:r w:rsidRPr="00B57AE7">
        <w:rPr>
          <w:sz w:val="22"/>
          <w:szCs w:val="22"/>
          <w:vertAlign w:val="subscript"/>
        </w:rPr>
        <w:t>1/2</w:t>
      </w:r>
      <w:r w:rsidRPr="00B57AE7">
        <w:rPr>
          <w:sz w:val="22"/>
          <w:szCs w:val="22"/>
        </w:rPr>
        <w:t xml:space="preserve"> po podaní 100-mg perorálnej dávky sitagliptínu bol približne 12,4 hodiny. Sitagliptín sa iba minimálne kumuluje pri viacnásobných dávkach. Renálny klírens bol približne</w:t>
      </w:r>
      <w:r w:rsidR="003458AB" w:rsidRPr="00B57AE7">
        <w:rPr>
          <w:sz w:val="22"/>
          <w:szCs w:val="22"/>
        </w:rPr>
        <w:t xml:space="preserve"> </w:t>
      </w:r>
      <w:r w:rsidRPr="00B57AE7">
        <w:rPr>
          <w:sz w:val="22"/>
          <w:szCs w:val="22"/>
        </w:rPr>
        <w:t>350</w:t>
      </w:r>
      <w:r w:rsidR="003458AB" w:rsidRPr="00B57AE7">
        <w:rPr>
          <w:sz w:val="22"/>
          <w:szCs w:val="22"/>
        </w:rPr>
        <w:t> </w:t>
      </w:r>
      <w:r w:rsidRPr="00B57AE7">
        <w:rPr>
          <w:sz w:val="22"/>
          <w:szCs w:val="22"/>
        </w:rPr>
        <w:t>ml/min.</w:t>
      </w:r>
    </w:p>
    <w:p w14:paraId="7B3D03D1" w14:textId="77777777" w:rsidR="000301F6" w:rsidRPr="00B57AE7" w:rsidRDefault="000301F6" w:rsidP="00AD6F14">
      <w:pPr>
        <w:widowControl w:val="0"/>
        <w:autoSpaceDE w:val="0"/>
        <w:autoSpaceDN w:val="0"/>
        <w:adjustRightInd w:val="0"/>
        <w:rPr>
          <w:color w:val="000000"/>
          <w:sz w:val="22"/>
          <w:szCs w:val="22"/>
        </w:rPr>
      </w:pPr>
    </w:p>
    <w:p w14:paraId="6EC87125" w14:textId="77777777" w:rsidR="000301F6" w:rsidRPr="00B57AE7" w:rsidRDefault="000301F6" w:rsidP="000301F6">
      <w:pPr>
        <w:spacing w:line="249" w:lineRule="auto"/>
        <w:ind w:right="20"/>
        <w:rPr>
          <w:sz w:val="22"/>
        </w:rPr>
      </w:pPr>
      <w:r w:rsidRPr="00B57AE7">
        <w:rPr>
          <w:sz w:val="22"/>
        </w:rPr>
        <w:t xml:space="preserve">Eliminácia sitagliptínu sa uskutočňuje primárne prostredníctvom renálneho vylučovania a zahŕňa aktívnu tubulárnu sekréciu. Sitagliptín je substrátom pre ľudský organický aniónový transportér-3 (hOAT-3), ktorý sa môže zúčastňovať na renálnej eliminácii sitagliptínu. Klinický význam hOAT-3 pri transporte sitagliptínu nebol stanovený. Sitagliptín je tiež substrátom p-glykoproteínu, ktorý sa tiež môže zúčastňovať na sprostredkovaní renálnej eliminácie sitagliptínu. Cyklosporín, inhibítor p-glykoproteínu, však neznižuje renálny klírens sitagliptínu. Sitagliptín nie je substrátom transportérov OCT2, OAT1 alebo PEPT1/2. </w:t>
      </w:r>
      <w:r w:rsidRPr="00B57AE7">
        <w:rPr>
          <w:i/>
          <w:sz w:val="22"/>
        </w:rPr>
        <w:t>In vitro</w:t>
      </w:r>
      <w:r w:rsidRPr="00B57AE7">
        <w:rPr>
          <w:sz w:val="22"/>
        </w:rPr>
        <w:t xml:space="preserve"> sitagliptín v terapeuticky relevantných plazmatických </w:t>
      </w:r>
      <w:r w:rsidRPr="00B57AE7">
        <w:rPr>
          <w:sz w:val="22"/>
        </w:rPr>
        <w:lastRenderedPageBreak/>
        <w:t>koncentráciách neinhiboval transport sprostredkovaný OAT3 (IC50 = 160 μM) alebo p-glykoproteínom (až do 250 μM). V klinickej štúdii mal sitagliptín malý účinok na plazmatické koncentrácie digoxínu, čo naznačuje, že sitagliptín môže byť miernym inhibítorom p-glykoproteínu.</w:t>
      </w:r>
    </w:p>
    <w:p w14:paraId="1AA97AFA" w14:textId="77777777" w:rsidR="000301F6" w:rsidRPr="00B57AE7" w:rsidRDefault="000301F6" w:rsidP="00AD6F14">
      <w:pPr>
        <w:widowControl w:val="0"/>
        <w:autoSpaceDE w:val="0"/>
        <w:autoSpaceDN w:val="0"/>
        <w:adjustRightInd w:val="0"/>
        <w:rPr>
          <w:color w:val="000000"/>
          <w:sz w:val="22"/>
          <w:szCs w:val="22"/>
        </w:rPr>
      </w:pPr>
    </w:p>
    <w:p w14:paraId="72DF76E6" w14:textId="77777777" w:rsidR="000301F6" w:rsidRPr="00B57AE7" w:rsidRDefault="000301F6" w:rsidP="000301F6">
      <w:pPr>
        <w:spacing w:line="0" w:lineRule="atLeast"/>
        <w:rPr>
          <w:i/>
          <w:sz w:val="22"/>
        </w:rPr>
      </w:pPr>
      <w:r w:rsidRPr="00B57AE7">
        <w:rPr>
          <w:i/>
          <w:sz w:val="22"/>
        </w:rPr>
        <w:t>Charakteristiky u pacientov</w:t>
      </w:r>
    </w:p>
    <w:p w14:paraId="01E14A99" w14:textId="77777777" w:rsidR="000301F6" w:rsidRPr="00B57AE7" w:rsidRDefault="000301F6" w:rsidP="000301F6">
      <w:pPr>
        <w:spacing w:line="255" w:lineRule="auto"/>
        <w:ind w:right="705"/>
        <w:rPr>
          <w:sz w:val="22"/>
        </w:rPr>
      </w:pPr>
      <w:r w:rsidRPr="00B57AE7">
        <w:rPr>
          <w:sz w:val="22"/>
        </w:rPr>
        <w:t>Farmakokinetika sitagliptínu bola vo všeobecnosti podobná u zdravých jedincov a u pacientov s diabetom 2. typu.</w:t>
      </w:r>
    </w:p>
    <w:p w14:paraId="3AF77892" w14:textId="77777777" w:rsidR="000301F6" w:rsidRPr="00B57AE7" w:rsidRDefault="000301F6" w:rsidP="000301F6">
      <w:pPr>
        <w:spacing w:line="212" w:lineRule="exact"/>
      </w:pPr>
    </w:p>
    <w:p w14:paraId="42D93A3B" w14:textId="77777777" w:rsidR="000301F6" w:rsidRPr="00B57AE7" w:rsidRDefault="000301F6" w:rsidP="000301F6">
      <w:pPr>
        <w:spacing w:line="0" w:lineRule="atLeast"/>
        <w:rPr>
          <w:i/>
          <w:sz w:val="22"/>
        </w:rPr>
      </w:pPr>
      <w:r w:rsidRPr="00B57AE7">
        <w:rPr>
          <w:i/>
          <w:sz w:val="22"/>
        </w:rPr>
        <w:t>Porucha funkcie obličiek</w:t>
      </w:r>
    </w:p>
    <w:p w14:paraId="229BB4F7" w14:textId="77777777" w:rsidR="000301F6" w:rsidRPr="00B57AE7" w:rsidRDefault="000301F6" w:rsidP="000301F6">
      <w:pPr>
        <w:spacing w:line="245" w:lineRule="auto"/>
        <w:ind w:right="305"/>
        <w:rPr>
          <w:sz w:val="22"/>
        </w:rPr>
      </w:pPr>
      <w:r w:rsidRPr="00B57AE7">
        <w:rPr>
          <w:sz w:val="22"/>
        </w:rPr>
        <w:t>Uskutočnila sa otvorená štúdia s jednorazovými dávkami na zhodnotenie farmakokinetiky zníženej dávky sitagliptínu (50 mg) u pacientov s rôznymi stupňami chronickej poruchy funkcie obličiek</w:t>
      </w:r>
    </w:p>
    <w:p w14:paraId="4A7A1ECD" w14:textId="77777777" w:rsidR="000301F6" w:rsidRPr="00B57AE7" w:rsidRDefault="000301F6" w:rsidP="000301F6">
      <w:pPr>
        <w:spacing w:line="2" w:lineRule="exact"/>
      </w:pPr>
    </w:p>
    <w:p w14:paraId="49FC8BB8" w14:textId="77777777" w:rsidR="000301F6" w:rsidRPr="00B57AE7" w:rsidRDefault="000301F6" w:rsidP="003458AB">
      <w:pPr>
        <w:spacing w:line="245" w:lineRule="auto"/>
        <w:ind w:right="205"/>
        <w:rPr>
          <w:sz w:val="22"/>
        </w:rPr>
      </w:pPr>
      <w:r w:rsidRPr="00B57AE7">
        <w:rPr>
          <w:sz w:val="22"/>
        </w:rPr>
        <w:t>v porovnaní s bežnými zdravými kontrolnými osobami. Do štúdie boli zaradení pacienti s miernou, stredne ťažkou a ťažkou poruchou funkcie obličiek, ako aj pacienti s ESRD na hemodialýze. Okrem toho sa hodnotili vplyvy poruchy funkcie obličiek na farmakokinetiku sitagliptínu u</w:t>
      </w:r>
      <w:r w:rsidR="003458AB" w:rsidRPr="00B57AE7">
        <w:rPr>
          <w:sz w:val="22"/>
        </w:rPr>
        <w:t> </w:t>
      </w:r>
      <w:r w:rsidRPr="00B57AE7">
        <w:rPr>
          <w:sz w:val="22"/>
        </w:rPr>
        <w:t>pacientov</w:t>
      </w:r>
      <w:r w:rsidR="003458AB" w:rsidRPr="00B57AE7">
        <w:rPr>
          <w:sz w:val="22"/>
        </w:rPr>
        <w:t xml:space="preserve"> </w:t>
      </w:r>
      <w:r w:rsidRPr="00B57AE7">
        <w:rPr>
          <w:sz w:val="22"/>
        </w:rPr>
        <w:t>s</w:t>
      </w:r>
      <w:r w:rsidR="003458AB" w:rsidRPr="00B57AE7">
        <w:rPr>
          <w:sz w:val="22"/>
        </w:rPr>
        <w:t> </w:t>
      </w:r>
      <w:r w:rsidRPr="00B57AE7">
        <w:rPr>
          <w:sz w:val="22"/>
        </w:rPr>
        <w:t>diabetom 2. typu a miernou, stredne ťažkou alebo ťažkou poruchou funkcie obličiek (vrátane ESRD) použitím populačných farmakokinetických analýz.</w:t>
      </w:r>
    </w:p>
    <w:p w14:paraId="7888E53C" w14:textId="77777777" w:rsidR="000301F6" w:rsidRPr="00B57AE7" w:rsidRDefault="000301F6" w:rsidP="000301F6">
      <w:pPr>
        <w:spacing w:line="216" w:lineRule="exact"/>
      </w:pPr>
    </w:p>
    <w:p w14:paraId="36CF355E" w14:textId="19FEF426" w:rsidR="000301F6" w:rsidRPr="00B57AE7" w:rsidRDefault="000301F6" w:rsidP="000301F6">
      <w:pPr>
        <w:spacing w:line="253" w:lineRule="auto"/>
        <w:ind w:right="205"/>
        <w:rPr>
          <w:sz w:val="22"/>
        </w:rPr>
      </w:pPr>
      <w:r w:rsidRPr="00B57AE7">
        <w:rPr>
          <w:sz w:val="22"/>
        </w:rPr>
        <w:t>V porovnaní s bežnými zdravými kontrolnými osobami bola plazmatická AUC sitagliptínu zvýšená približne 1,2-násobne u pacientov s miernou poruchou funkcie obličiek (GFR ≥ 60 až &lt; 90 ml/min) a 1,6-násobne u pacientov so stredne ťažkou poruchou funkcie obličiek (GFR ≥ 45 až &lt; 60 ml/min). Vzhľadom na to, že zvýšenia tohto rozsahu nie sú klinicky významné, nie je u týchto pacientov potrebná úprava dávk</w:t>
      </w:r>
      <w:r w:rsidR="005413B5">
        <w:rPr>
          <w:sz w:val="22"/>
        </w:rPr>
        <w:t>y</w:t>
      </w:r>
      <w:r w:rsidRPr="00B57AE7">
        <w:rPr>
          <w:sz w:val="22"/>
        </w:rPr>
        <w:t>.</w:t>
      </w:r>
    </w:p>
    <w:p w14:paraId="463F39AE" w14:textId="77777777" w:rsidR="00B016F1" w:rsidRPr="00B57AE7" w:rsidRDefault="00B016F1" w:rsidP="000301F6">
      <w:pPr>
        <w:spacing w:line="253" w:lineRule="auto"/>
        <w:ind w:right="45"/>
        <w:rPr>
          <w:sz w:val="22"/>
        </w:rPr>
      </w:pPr>
    </w:p>
    <w:p w14:paraId="02949C96" w14:textId="77777777" w:rsidR="000301F6" w:rsidRPr="00B57AE7" w:rsidRDefault="000301F6" w:rsidP="000301F6">
      <w:pPr>
        <w:spacing w:line="253" w:lineRule="auto"/>
        <w:ind w:right="45"/>
        <w:rPr>
          <w:sz w:val="22"/>
        </w:rPr>
      </w:pPr>
      <w:r w:rsidRPr="00B57AE7">
        <w:rPr>
          <w:sz w:val="22"/>
        </w:rPr>
        <w:t>Plazmatická AUC sitagliptínu bola zvýšená približne 2-násobne u pacientov so stredne ťažkou poruchou funkcie obličiek (GFR ≥ 30 až &lt; 45 ml/min) a približne 4-násobne u pacientov s ťažkou poruchou funkcie obličiek (GFR &lt; 30 ml/min), vrátane pacientov s ESRD na hemodialýze. Sitagliptín bol mierne odstránený hemodialýzou (13,5 % počas 3- až 4-hodinovej hemodialýzy so začiatkom 4</w:t>
      </w:r>
      <w:r w:rsidR="003458AB" w:rsidRPr="00B57AE7">
        <w:rPr>
          <w:sz w:val="22"/>
        </w:rPr>
        <w:t> </w:t>
      </w:r>
      <w:r w:rsidRPr="00B57AE7">
        <w:rPr>
          <w:sz w:val="22"/>
        </w:rPr>
        <w:t>hodiny po podaní dávky).</w:t>
      </w:r>
    </w:p>
    <w:p w14:paraId="1A47C7D7" w14:textId="77777777" w:rsidR="000301F6" w:rsidRPr="00B57AE7" w:rsidRDefault="000301F6" w:rsidP="000301F6">
      <w:pPr>
        <w:spacing w:line="218" w:lineRule="exact"/>
      </w:pPr>
    </w:p>
    <w:p w14:paraId="4ECA3010" w14:textId="77777777" w:rsidR="000301F6" w:rsidRPr="00B57AE7" w:rsidRDefault="000301F6" w:rsidP="000301F6">
      <w:pPr>
        <w:spacing w:line="0" w:lineRule="atLeast"/>
        <w:rPr>
          <w:i/>
          <w:sz w:val="22"/>
        </w:rPr>
      </w:pPr>
      <w:r w:rsidRPr="00B57AE7">
        <w:rPr>
          <w:i/>
          <w:sz w:val="22"/>
        </w:rPr>
        <w:t>Porucha funkcie pečene</w:t>
      </w:r>
    </w:p>
    <w:p w14:paraId="3DA2C60E" w14:textId="77777777" w:rsidR="000301F6" w:rsidRPr="00B57AE7" w:rsidRDefault="000301F6" w:rsidP="000301F6">
      <w:pPr>
        <w:spacing w:line="250" w:lineRule="auto"/>
        <w:ind w:right="125"/>
        <w:rPr>
          <w:sz w:val="22"/>
        </w:rPr>
      </w:pPr>
      <w:r w:rsidRPr="00B57AE7">
        <w:rPr>
          <w:sz w:val="22"/>
        </w:rPr>
        <w:t xml:space="preserve">U pacientov s miernou alebo stredne ťažkou poruchou funkcie pečene (Childovo-Pughovo skóre </w:t>
      </w:r>
      <w:r w:rsidRPr="00B57AE7">
        <w:rPr>
          <w:rFonts w:ascii="Symbol" w:eastAsia="Symbol" w:hAnsi="Symbol"/>
          <w:sz w:val="22"/>
        </w:rPr>
        <w:t></w:t>
      </w:r>
      <w:r w:rsidRPr="00B57AE7">
        <w:rPr>
          <w:sz w:val="22"/>
        </w:rPr>
        <w:t>9) nie je potrebná úprava dávky sitagliptínu. U pacientov s ťažkou poruchou funkcie pečene (Childovo-Pughovo skóre &gt; 9) nie je žiadna klinická skúsenosť. Vzhľadom na to, že sa sitagliptín vylučuje primárne obličkami, nepredpokladá sa, že by ťažká porucha funkcie pečene malo vplyv na farmakokinetiku sitagliptínu.</w:t>
      </w:r>
    </w:p>
    <w:p w14:paraId="2894E4AC" w14:textId="77777777" w:rsidR="000301F6" w:rsidRPr="00B57AE7" w:rsidRDefault="000301F6" w:rsidP="000301F6">
      <w:pPr>
        <w:spacing w:line="218" w:lineRule="exact"/>
      </w:pPr>
    </w:p>
    <w:p w14:paraId="73156F4D" w14:textId="77777777" w:rsidR="000301F6" w:rsidRPr="00B57AE7" w:rsidRDefault="000301F6" w:rsidP="000301F6">
      <w:pPr>
        <w:spacing w:line="0" w:lineRule="atLeast"/>
        <w:rPr>
          <w:i/>
          <w:sz w:val="22"/>
        </w:rPr>
      </w:pPr>
      <w:r w:rsidRPr="00B57AE7">
        <w:rPr>
          <w:i/>
          <w:sz w:val="22"/>
        </w:rPr>
        <w:t>Starší pacienti</w:t>
      </w:r>
    </w:p>
    <w:p w14:paraId="185BCE7E" w14:textId="77777777" w:rsidR="000301F6" w:rsidRPr="00B57AE7" w:rsidRDefault="000301F6" w:rsidP="000301F6">
      <w:pPr>
        <w:spacing w:line="248" w:lineRule="auto"/>
        <w:ind w:right="145"/>
        <w:rPr>
          <w:sz w:val="22"/>
        </w:rPr>
      </w:pPr>
      <w:r w:rsidRPr="00B57AE7">
        <w:rPr>
          <w:sz w:val="22"/>
        </w:rPr>
        <w:t>V závislosti od veku nie je potrebná úprava dávky. Vychádzajúc z farmakokinetickej analýzy údajov populácie I. a II. fázy vek nemal klinicky významný vplyv na farmakokinetiku sitagliptínu. Starší jedinci (65 až 80 rokov) mali približne o 19 % vyššie plazmatické koncentrácie sitagliptínu v porovnaní s mladšími osobami.</w:t>
      </w:r>
    </w:p>
    <w:p w14:paraId="150D7272" w14:textId="77777777" w:rsidR="000301F6" w:rsidRPr="00B57AE7" w:rsidRDefault="000301F6" w:rsidP="000301F6">
      <w:pPr>
        <w:spacing w:line="222" w:lineRule="exact"/>
      </w:pPr>
    </w:p>
    <w:p w14:paraId="3FEC3B82" w14:textId="77777777" w:rsidR="000301F6" w:rsidRPr="00B57AE7" w:rsidRDefault="000301F6" w:rsidP="000301F6">
      <w:pPr>
        <w:spacing w:line="0" w:lineRule="atLeast"/>
        <w:rPr>
          <w:i/>
          <w:sz w:val="22"/>
        </w:rPr>
      </w:pPr>
      <w:r w:rsidRPr="00B57AE7">
        <w:rPr>
          <w:i/>
          <w:sz w:val="22"/>
        </w:rPr>
        <w:t>Pediatrickí pacienti</w:t>
      </w:r>
    </w:p>
    <w:p w14:paraId="64B3B7A0" w14:textId="77777777" w:rsidR="000301F6" w:rsidRPr="00B57AE7" w:rsidRDefault="00B016F1" w:rsidP="000301F6">
      <w:pPr>
        <w:spacing w:line="0" w:lineRule="atLeast"/>
        <w:rPr>
          <w:sz w:val="22"/>
        </w:rPr>
      </w:pPr>
      <w:r w:rsidRPr="00B57AE7">
        <w:rPr>
          <w:sz w:val="22"/>
        </w:rPr>
        <w:t xml:space="preserve">Farmakokinetika sitagliptínu (jednotlivá dávka 50 mg, 100 mg alebo 200 mg) sa skúmala u pediatrických pacientov (vo veku 10 až 17 rokov) s diabetom 2. typu. V tejto populácii bola </w:t>
      </w:r>
      <w:r w:rsidR="00F51049" w:rsidRPr="00B57AE7">
        <w:rPr>
          <w:sz w:val="22"/>
        </w:rPr>
        <w:t xml:space="preserve">dávka sitagliptínu v plazme upravená podľa </w:t>
      </w:r>
      <w:r w:rsidRPr="00B57AE7">
        <w:rPr>
          <w:sz w:val="22"/>
        </w:rPr>
        <w:t xml:space="preserve">AUC približne </w:t>
      </w:r>
      <w:r w:rsidR="00F51049" w:rsidRPr="00B57AE7">
        <w:rPr>
          <w:sz w:val="22"/>
        </w:rPr>
        <w:t xml:space="preserve">o </w:t>
      </w:r>
      <w:r w:rsidRPr="00B57AE7">
        <w:rPr>
          <w:sz w:val="22"/>
        </w:rPr>
        <w:t>18% nižšia v porovnaní s dospelými pacientmi s diabetom 2. typu pri dávke 100 mg. Neuskutočnili sa žiadne štúdie so sitagliptínom u pediatrických pacientov vo veku &lt;10 rokov.</w:t>
      </w:r>
    </w:p>
    <w:p w14:paraId="5D986750" w14:textId="77777777" w:rsidR="000301F6" w:rsidRPr="00B57AE7" w:rsidRDefault="000301F6" w:rsidP="00AD6F14">
      <w:pPr>
        <w:widowControl w:val="0"/>
        <w:autoSpaceDE w:val="0"/>
        <w:autoSpaceDN w:val="0"/>
        <w:adjustRightInd w:val="0"/>
        <w:rPr>
          <w:color w:val="000000"/>
          <w:sz w:val="22"/>
          <w:szCs w:val="22"/>
        </w:rPr>
      </w:pPr>
    </w:p>
    <w:p w14:paraId="3AC0615F" w14:textId="77777777" w:rsidR="000301F6" w:rsidRPr="00B57AE7" w:rsidRDefault="000301F6" w:rsidP="000301F6">
      <w:pPr>
        <w:spacing w:line="0" w:lineRule="atLeast"/>
        <w:rPr>
          <w:i/>
          <w:sz w:val="22"/>
        </w:rPr>
      </w:pPr>
      <w:r w:rsidRPr="00B57AE7">
        <w:rPr>
          <w:i/>
          <w:sz w:val="22"/>
        </w:rPr>
        <w:t>Iné charakteristiky pacientov</w:t>
      </w:r>
    </w:p>
    <w:p w14:paraId="01645647" w14:textId="77777777" w:rsidR="000301F6" w:rsidRPr="00B57AE7" w:rsidRDefault="000301F6" w:rsidP="000301F6">
      <w:pPr>
        <w:spacing w:line="248" w:lineRule="auto"/>
        <w:ind w:right="385"/>
        <w:rPr>
          <w:sz w:val="22"/>
        </w:rPr>
      </w:pPr>
      <w:r w:rsidRPr="00B57AE7">
        <w:rPr>
          <w:sz w:val="22"/>
        </w:rPr>
        <w:t>Nie je potrebná úprava dávky v závislosti od pohlavia, rasy alebo indexu telesnej hmotnosti (body mass index, BMI). Tieto charakteristiky nemali klinicky významný vplyv na farmakokinetiku sitagliptínu vychádzajúc z kompozitnej analýzy farmakokinetických údajov I. fázy a z analýzy farmakokinetických údajov populácie I. a II. fázy.</w:t>
      </w:r>
    </w:p>
    <w:p w14:paraId="014E9054" w14:textId="77777777" w:rsidR="000301F6" w:rsidRPr="00B57AE7" w:rsidRDefault="000301F6" w:rsidP="000301F6">
      <w:pPr>
        <w:spacing w:line="226" w:lineRule="exact"/>
      </w:pPr>
    </w:p>
    <w:p w14:paraId="3E039246" w14:textId="77777777" w:rsidR="000301F6" w:rsidRPr="00B57AE7" w:rsidRDefault="000301F6" w:rsidP="000301F6">
      <w:pPr>
        <w:spacing w:line="0" w:lineRule="atLeast"/>
        <w:rPr>
          <w:sz w:val="22"/>
          <w:u w:val="single"/>
        </w:rPr>
      </w:pPr>
      <w:r w:rsidRPr="00B57AE7">
        <w:rPr>
          <w:sz w:val="22"/>
          <w:u w:val="single"/>
        </w:rPr>
        <w:lastRenderedPageBreak/>
        <w:t>Metformín</w:t>
      </w:r>
    </w:p>
    <w:p w14:paraId="2A0F6FC4" w14:textId="77777777" w:rsidR="000301F6" w:rsidRPr="00B57AE7" w:rsidRDefault="000301F6" w:rsidP="000301F6">
      <w:pPr>
        <w:spacing w:line="0" w:lineRule="atLeast"/>
        <w:rPr>
          <w:i/>
          <w:sz w:val="22"/>
        </w:rPr>
      </w:pPr>
      <w:r w:rsidRPr="00B57AE7">
        <w:rPr>
          <w:i/>
          <w:sz w:val="22"/>
        </w:rPr>
        <w:t>Absorpcia</w:t>
      </w:r>
    </w:p>
    <w:p w14:paraId="2D3F85C0" w14:textId="77777777" w:rsidR="000301F6" w:rsidRPr="00B57AE7" w:rsidRDefault="000301F6" w:rsidP="000301F6">
      <w:pPr>
        <w:spacing w:line="6" w:lineRule="exact"/>
      </w:pPr>
    </w:p>
    <w:p w14:paraId="78FADE87" w14:textId="77777777" w:rsidR="000301F6" w:rsidRPr="00B57AE7" w:rsidRDefault="000301F6" w:rsidP="000301F6">
      <w:pPr>
        <w:spacing w:line="229" w:lineRule="auto"/>
        <w:ind w:right="345"/>
        <w:rPr>
          <w:sz w:val="22"/>
        </w:rPr>
      </w:pPr>
      <w:r w:rsidRPr="00B57AE7">
        <w:rPr>
          <w:sz w:val="22"/>
        </w:rPr>
        <w:t xml:space="preserve">Po podaní perorálnej dávky metformínu sa </w:t>
      </w:r>
      <w:r w:rsidR="00C1036B">
        <w:rPr>
          <w:sz w:val="22"/>
        </w:rPr>
        <w:t>t</w:t>
      </w:r>
      <w:r w:rsidRPr="00B57AE7">
        <w:rPr>
          <w:sz w:val="27"/>
          <w:vertAlign w:val="subscript"/>
        </w:rPr>
        <w:t>max</w:t>
      </w:r>
      <w:r w:rsidRPr="00B57AE7">
        <w:rPr>
          <w:sz w:val="22"/>
        </w:rPr>
        <w:t xml:space="preserve"> dosiahne za 2,5 hodiny. Absolútna biologická dostupnosť 500 mg tablety metformínu je u zdravých osôb približne 50-60 %. Po perorálnej dávke bolo v stolici vylúčených 20-30 % neabsorbovanej frakcie.</w:t>
      </w:r>
    </w:p>
    <w:p w14:paraId="4B37E1B2" w14:textId="77777777" w:rsidR="000301F6" w:rsidRPr="00B57AE7" w:rsidRDefault="000301F6" w:rsidP="000301F6">
      <w:pPr>
        <w:spacing w:line="234" w:lineRule="exact"/>
      </w:pPr>
    </w:p>
    <w:p w14:paraId="39DA3EDC" w14:textId="64E903A9" w:rsidR="000301F6" w:rsidRPr="00B57AE7" w:rsidRDefault="000301F6" w:rsidP="008A2D52">
      <w:pPr>
        <w:ind w:right="805"/>
        <w:rPr>
          <w:sz w:val="22"/>
        </w:rPr>
      </w:pPr>
      <w:r w:rsidRPr="00B57AE7">
        <w:rPr>
          <w:sz w:val="22"/>
        </w:rPr>
        <w:t xml:space="preserve">Po perorálnom podaní je absorpcia metformínu saturovateľná a neúplná. Predpokladá sa, že farmakokinetika absorpcie metformínu je nelineárna. Pri obvyklých dávkach a dávkovacích schémach metformínu sa rovnovážne plazmatické koncentrácie dosiahnu za 24-48 hodín a sú zvyčajne nižšie ako 1 µg/ml. V kontrolovaných klinických </w:t>
      </w:r>
      <w:r w:rsidR="005413B5">
        <w:rPr>
          <w:sz w:val="22"/>
        </w:rPr>
        <w:t>štúdiách</w:t>
      </w:r>
      <w:r w:rsidRPr="00B57AE7">
        <w:rPr>
          <w:sz w:val="22"/>
        </w:rPr>
        <w:t xml:space="preserve"> maximálne plazmatické hladiny (C</w:t>
      </w:r>
      <w:r w:rsidRPr="00B57AE7">
        <w:rPr>
          <w:sz w:val="27"/>
          <w:vertAlign w:val="subscript"/>
        </w:rPr>
        <w:t>max</w:t>
      </w:r>
      <w:r w:rsidRPr="00B57AE7">
        <w:rPr>
          <w:sz w:val="22"/>
        </w:rPr>
        <w:t>) metformínu neprekročili 5 µg/ml, a to ani pri maximálnych dávkach.</w:t>
      </w:r>
    </w:p>
    <w:p w14:paraId="04AA458F" w14:textId="77777777" w:rsidR="00DE4A34" w:rsidRPr="00B57AE7" w:rsidRDefault="00DE4A34" w:rsidP="000301F6">
      <w:pPr>
        <w:spacing w:line="256" w:lineRule="auto"/>
        <w:ind w:right="125"/>
        <w:rPr>
          <w:sz w:val="22"/>
        </w:rPr>
      </w:pPr>
    </w:p>
    <w:p w14:paraId="133B24F1" w14:textId="77777777" w:rsidR="000301F6" w:rsidRPr="00B57AE7" w:rsidRDefault="000301F6" w:rsidP="000301F6">
      <w:pPr>
        <w:spacing w:line="256" w:lineRule="auto"/>
        <w:ind w:right="125"/>
        <w:rPr>
          <w:sz w:val="22"/>
        </w:rPr>
      </w:pPr>
      <w:r w:rsidRPr="00B57AE7">
        <w:rPr>
          <w:sz w:val="22"/>
        </w:rPr>
        <w:t>Potrava znižuje rozsah a mierne spomaľuje absorpciu metformínu. Po podaní 850-mg dávky sa pozorovala o 40 % nižšia maximálna plazmatická koncentrácia, 25 % pokles AUC a predĺženie času dosiahnutia maximálnej plazmatickej koncentrácie o 35 minút. Klinický význam tohto poklesu nie je známy.</w:t>
      </w:r>
    </w:p>
    <w:p w14:paraId="5F04E88C" w14:textId="77777777" w:rsidR="000301F6" w:rsidRPr="00B57AE7" w:rsidRDefault="000301F6" w:rsidP="000301F6">
      <w:pPr>
        <w:spacing w:line="213" w:lineRule="exact"/>
      </w:pPr>
    </w:p>
    <w:p w14:paraId="5A5A2923" w14:textId="77777777" w:rsidR="000301F6" w:rsidRPr="00B57AE7" w:rsidRDefault="000301F6" w:rsidP="000301F6">
      <w:pPr>
        <w:spacing w:line="0" w:lineRule="atLeast"/>
        <w:rPr>
          <w:i/>
          <w:sz w:val="22"/>
        </w:rPr>
      </w:pPr>
      <w:r w:rsidRPr="00B57AE7">
        <w:rPr>
          <w:i/>
          <w:sz w:val="22"/>
        </w:rPr>
        <w:t>Distribúcia</w:t>
      </w:r>
    </w:p>
    <w:p w14:paraId="4FE8FB3B" w14:textId="77777777" w:rsidR="000301F6" w:rsidRPr="00B57AE7" w:rsidRDefault="000301F6" w:rsidP="000301F6">
      <w:pPr>
        <w:spacing w:line="248" w:lineRule="auto"/>
        <w:ind w:right="485"/>
        <w:rPr>
          <w:sz w:val="22"/>
        </w:rPr>
      </w:pPr>
      <w:r w:rsidRPr="00B57AE7">
        <w:rPr>
          <w:sz w:val="22"/>
        </w:rPr>
        <w:t>Väzba na plazmatické proteíny je zanedbateľná. Metformín preniká do erytrocytov. Maximálna koncentrácia v krvi je nižšia než maximálna plazmatická koncentrácia a dochádza k nej približne v rovnakom čase. Červené krvinky najpravdepodobnejšie predstavujú sekundárny distribučný kompartment. Priemerný Vd sa pohyboval medzi 63-276 l.</w:t>
      </w:r>
    </w:p>
    <w:p w14:paraId="37FAE645" w14:textId="77777777" w:rsidR="000301F6" w:rsidRPr="00B57AE7" w:rsidRDefault="000301F6" w:rsidP="000301F6">
      <w:pPr>
        <w:spacing w:line="222" w:lineRule="exact"/>
      </w:pPr>
    </w:p>
    <w:p w14:paraId="2F60A4C2" w14:textId="77777777" w:rsidR="000301F6" w:rsidRPr="00B57AE7" w:rsidRDefault="000301F6" w:rsidP="000301F6">
      <w:pPr>
        <w:spacing w:line="0" w:lineRule="atLeast"/>
        <w:rPr>
          <w:i/>
          <w:sz w:val="22"/>
        </w:rPr>
      </w:pPr>
      <w:r w:rsidRPr="00B57AE7">
        <w:rPr>
          <w:i/>
          <w:sz w:val="22"/>
        </w:rPr>
        <w:t>Biotransformácia</w:t>
      </w:r>
    </w:p>
    <w:p w14:paraId="299D6917" w14:textId="77777777" w:rsidR="000301F6" w:rsidRPr="00B57AE7" w:rsidRDefault="000301F6" w:rsidP="000301F6">
      <w:pPr>
        <w:spacing w:line="0" w:lineRule="atLeast"/>
        <w:rPr>
          <w:sz w:val="22"/>
        </w:rPr>
      </w:pPr>
      <w:r w:rsidRPr="00B57AE7">
        <w:rPr>
          <w:sz w:val="22"/>
        </w:rPr>
        <w:t>Metformín sa vylučuje nezmenený močom. U ľudí neboli identifikované žiadne metabolity.</w:t>
      </w:r>
    </w:p>
    <w:p w14:paraId="16D55D31" w14:textId="77777777" w:rsidR="000301F6" w:rsidRPr="00B57AE7" w:rsidRDefault="000301F6" w:rsidP="000301F6">
      <w:pPr>
        <w:spacing w:line="261" w:lineRule="auto"/>
        <w:ind w:right="25"/>
        <w:rPr>
          <w:sz w:val="22"/>
        </w:rPr>
      </w:pPr>
    </w:p>
    <w:p w14:paraId="1264DF5E" w14:textId="77777777" w:rsidR="000301F6" w:rsidRPr="00B57AE7" w:rsidRDefault="000301F6" w:rsidP="000301F6">
      <w:pPr>
        <w:spacing w:line="0" w:lineRule="atLeast"/>
        <w:rPr>
          <w:i/>
          <w:sz w:val="22"/>
        </w:rPr>
      </w:pPr>
      <w:r w:rsidRPr="00B57AE7">
        <w:rPr>
          <w:i/>
          <w:sz w:val="22"/>
        </w:rPr>
        <w:t>Eliminácia</w:t>
      </w:r>
    </w:p>
    <w:p w14:paraId="42D9E653" w14:textId="77777777" w:rsidR="000301F6" w:rsidRPr="00B57AE7" w:rsidRDefault="000301F6" w:rsidP="000301F6">
      <w:pPr>
        <w:spacing w:line="248" w:lineRule="auto"/>
        <w:ind w:right="285"/>
        <w:rPr>
          <w:color w:val="000000"/>
          <w:sz w:val="22"/>
          <w:szCs w:val="22"/>
        </w:rPr>
      </w:pPr>
      <w:r w:rsidRPr="00B57AE7">
        <w:rPr>
          <w:sz w:val="22"/>
        </w:rPr>
        <w:t>Renálny klírens metformínu je &gt; 400 ml/min, čo poukazuje na to, že metformín je eliminovaný glomerulárnou filtráciou a tubulárnou sekréciou. Po perorálnej dávke je zjavný konečný polčas eliminácie približne 6,5 hodiny. Pri poruche funkcie obličiek je renálny klírens znížený proporcionálne ku klírensu kreatinínu, a preto je polčas eliminácie predĺžený, čo vedie k zvýšeným hladinám metformínu v plazme.</w:t>
      </w:r>
    </w:p>
    <w:p w14:paraId="3C65DB70" w14:textId="77777777" w:rsidR="004756CE" w:rsidRDefault="004756CE" w:rsidP="00AD6F14">
      <w:pPr>
        <w:widowControl w:val="0"/>
        <w:autoSpaceDE w:val="0"/>
        <w:autoSpaceDN w:val="0"/>
        <w:adjustRightInd w:val="0"/>
        <w:rPr>
          <w:color w:val="000000"/>
          <w:sz w:val="22"/>
          <w:szCs w:val="22"/>
        </w:rPr>
      </w:pPr>
    </w:p>
    <w:p w14:paraId="2AA036FF" w14:textId="77777777" w:rsidR="00341CF4" w:rsidRPr="00B57AE7" w:rsidRDefault="00341CF4" w:rsidP="00AD6F14">
      <w:pPr>
        <w:widowControl w:val="0"/>
        <w:autoSpaceDE w:val="0"/>
        <w:autoSpaceDN w:val="0"/>
        <w:adjustRightInd w:val="0"/>
        <w:rPr>
          <w:color w:val="000000"/>
          <w:sz w:val="22"/>
          <w:szCs w:val="22"/>
        </w:rPr>
      </w:pPr>
    </w:p>
    <w:p w14:paraId="5F6AB046" w14:textId="77777777" w:rsidR="005C5AB1" w:rsidRPr="00B57AE7" w:rsidRDefault="000301F6" w:rsidP="00AD6F14">
      <w:pPr>
        <w:widowControl w:val="0"/>
        <w:tabs>
          <w:tab w:val="left" w:pos="567"/>
        </w:tabs>
        <w:rPr>
          <w:sz w:val="22"/>
          <w:szCs w:val="22"/>
          <w:lang w:eastAsia="en-US"/>
        </w:rPr>
      </w:pPr>
      <w:r w:rsidRPr="00B57AE7">
        <w:rPr>
          <w:b/>
          <w:sz w:val="22"/>
          <w:szCs w:val="22"/>
          <w:lang w:eastAsia="en-US"/>
        </w:rPr>
        <w:t>5.</w:t>
      </w:r>
      <w:r w:rsidR="005C5AB1" w:rsidRPr="00B57AE7">
        <w:rPr>
          <w:b/>
          <w:sz w:val="22"/>
          <w:szCs w:val="22"/>
          <w:lang w:eastAsia="en-US"/>
        </w:rPr>
        <w:t>3</w:t>
      </w:r>
      <w:r w:rsidR="005C5AB1" w:rsidRPr="00B57AE7">
        <w:rPr>
          <w:b/>
          <w:sz w:val="22"/>
          <w:szCs w:val="22"/>
          <w:lang w:eastAsia="en-US"/>
        </w:rPr>
        <w:tab/>
        <w:t>Pre</w:t>
      </w:r>
      <w:r w:rsidR="00F904D1" w:rsidRPr="00B57AE7">
        <w:rPr>
          <w:b/>
          <w:sz w:val="22"/>
          <w:szCs w:val="22"/>
          <w:lang w:eastAsia="en-US"/>
        </w:rPr>
        <w:t>dklinické údaje o bezpečnosti</w:t>
      </w:r>
    </w:p>
    <w:p w14:paraId="1AF94CE4" w14:textId="77777777" w:rsidR="00CE35D3" w:rsidRPr="00B57AE7" w:rsidRDefault="00CE35D3" w:rsidP="00AD6F14">
      <w:pPr>
        <w:autoSpaceDE w:val="0"/>
        <w:autoSpaceDN w:val="0"/>
        <w:adjustRightInd w:val="0"/>
        <w:rPr>
          <w:sz w:val="22"/>
          <w:szCs w:val="22"/>
        </w:rPr>
      </w:pPr>
    </w:p>
    <w:p w14:paraId="69078A09" w14:textId="77777777" w:rsidR="000301F6" w:rsidRPr="00B57AE7" w:rsidRDefault="000A6D66" w:rsidP="000301F6">
      <w:pPr>
        <w:spacing w:line="0" w:lineRule="atLeast"/>
        <w:rPr>
          <w:sz w:val="22"/>
        </w:rPr>
      </w:pPr>
      <w:r w:rsidRPr="00B57AE7">
        <w:rPr>
          <w:sz w:val="22"/>
        </w:rPr>
        <w:t xml:space="preserve">S </w:t>
      </w:r>
      <w:r w:rsidR="008D6F86">
        <w:rPr>
          <w:sz w:val="22"/>
        </w:rPr>
        <w:t>JUZIMETTE</w:t>
      </w:r>
      <w:r w:rsidR="000301F6" w:rsidRPr="00B57AE7">
        <w:rPr>
          <w:sz w:val="22"/>
        </w:rPr>
        <w:t xml:space="preserve"> sa neuskutočnili žiadne štúdie na zvieratách.</w:t>
      </w:r>
    </w:p>
    <w:p w14:paraId="614778D9" w14:textId="77777777" w:rsidR="000301F6" w:rsidRPr="00B57AE7" w:rsidRDefault="000301F6" w:rsidP="000301F6">
      <w:pPr>
        <w:spacing w:line="265" w:lineRule="exact"/>
      </w:pPr>
    </w:p>
    <w:p w14:paraId="0DF40729" w14:textId="77777777" w:rsidR="000301F6" w:rsidRPr="00B57AE7" w:rsidRDefault="000301F6" w:rsidP="000301F6">
      <w:pPr>
        <w:spacing w:line="253" w:lineRule="auto"/>
        <w:ind w:right="25"/>
        <w:rPr>
          <w:sz w:val="22"/>
        </w:rPr>
      </w:pPr>
      <w:r w:rsidRPr="00B57AE7">
        <w:rPr>
          <w:sz w:val="22"/>
        </w:rPr>
        <w:t>V 16-týždňových štúdiách, v ktorých boli psi liečení buď samotným metformínom alebo kombináciou metformínu a sitagliptínu, sa nepozorovala žiadna ďalšia toxicita tejto kombinácie. Hladina, pri ktorej sa nepozorovali nežiaduce účinky (no observed adverse effect level, NOEL), bola v týchto štúdiách pozorovaná pri expozíciách sitagliptínu približne 6-násobne vyšších ako ľudská expozícia a metformínu približne 2,5-krát vyšších ako ľudská expozícia.</w:t>
      </w:r>
    </w:p>
    <w:p w14:paraId="65C359B4" w14:textId="77777777" w:rsidR="000301F6" w:rsidRPr="00B57AE7" w:rsidRDefault="000301F6" w:rsidP="000301F6">
      <w:pPr>
        <w:spacing w:line="222" w:lineRule="exact"/>
      </w:pPr>
    </w:p>
    <w:p w14:paraId="125535DF" w14:textId="77777777" w:rsidR="000301F6" w:rsidRPr="00B57AE7" w:rsidRDefault="000301F6" w:rsidP="000301F6">
      <w:pPr>
        <w:spacing w:line="277" w:lineRule="auto"/>
        <w:ind w:right="545"/>
        <w:rPr>
          <w:sz w:val="22"/>
        </w:rPr>
      </w:pPr>
      <w:r w:rsidRPr="00B57AE7">
        <w:rPr>
          <w:sz w:val="22"/>
        </w:rPr>
        <w:t>Nasledujúce údaje sú zistenia zo štúdií vykonaných so samotným sitagliptínom alebo samotným metformínom.</w:t>
      </w:r>
    </w:p>
    <w:p w14:paraId="6A005991" w14:textId="77777777" w:rsidR="000301F6" w:rsidRPr="00B57AE7" w:rsidRDefault="000301F6" w:rsidP="000301F6">
      <w:pPr>
        <w:spacing w:line="194" w:lineRule="exact"/>
      </w:pPr>
    </w:p>
    <w:p w14:paraId="2A78FA4D" w14:textId="77777777" w:rsidR="000301F6" w:rsidRPr="00B57AE7" w:rsidRDefault="000301F6" w:rsidP="000301F6">
      <w:pPr>
        <w:spacing w:line="0" w:lineRule="atLeast"/>
        <w:rPr>
          <w:sz w:val="22"/>
          <w:u w:val="single"/>
        </w:rPr>
      </w:pPr>
      <w:r w:rsidRPr="00B57AE7">
        <w:rPr>
          <w:sz w:val="22"/>
          <w:u w:val="single"/>
        </w:rPr>
        <w:t>Sitagliptín</w:t>
      </w:r>
    </w:p>
    <w:p w14:paraId="7E2721A7" w14:textId="77777777" w:rsidR="000301F6" w:rsidRPr="00B57AE7" w:rsidRDefault="000301F6" w:rsidP="003458AB">
      <w:pPr>
        <w:spacing w:line="245" w:lineRule="auto"/>
        <w:ind w:right="5"/>
        <w:rPr>
          <w:sz w:val="22"/>
        </w:rPr>
      </w:pPr>
      <w:r w:rsidRPr="00B57AE7">
        <w:rPr>
          <w:sz w:val="22"/>
        </w:rPr>
        <w:t>U hlodavcov sa pozorovala renálna a hepatálna toxicita pri systémových expozičných hodnotách 58</w:t>
      </w:r>
      <w:r w:rsidR="003458AB" w:rsidRPr="00B57AE7">
        <w:rPr>
          <w:sz w:val="22"/>
        </w:rPr>
        <w:noBreakHyphen/>
      </w:r>
      <w:r w:rsidRPr="00B57AE7">
        <w:rPr>
          <w:sz w:val="22"/>
        </w:rPr>
        <w:t xml:space="preserve">krát vyšších, ako je expozičná hladina u ľudí, pričom najvyššia neúčinná hladina bola zistená pri 19-násobku expozičnej hladiny u ľudí. Pri expozíciách 67-krát vyšších ako sú klinické expozičné hladiny, sa u potkanov pozorovali abnormality rezákov, pričom najvyššia neúčinná hladina pre tento nález bola 58-krát vyššia vychádzajúc zo 14-dňovej štúdie u potkanov. Význam týchto zistení pre ľudí nie je známy. Prechodné fyzické príznaky súvisiace s liečbou, z ktorých niektoré poukazovali na nervovú toxicitu, napr. dýchanie s otvorenými ústami, slinenie, vracanie bielej peny, ataxia, triaška, </w:t>
      </w:r>
      <w:r w:rsidRPr="00B57AE7">
        <w:rPr>
          <w:sz w:val="22"/>
        </w:rPr>
        <w:lastRenderedPageBreak/>
        <w:t>znížená aktivita a/alebo zhrbený postoj, sa pozorovali u psov pri expozičných hladinách približne</w:t>
      </w:r>
      <w:r w:rsidR="003458AB" w:rsidRPr="00B57AE7">
        <w:rPr>
          <w:sz w:val="22"/>
        </w:rPr>
        <w:t xml:space="preserve"> </w:t>
      </w:r>
      <w:r w:rsidRPr="00B57AE7">
        <w:rPr>
          <w:sz w:val="22"/>
        </w:rPr>
        <w:t>23</w:t>
      </w:r>
      <w:r w:rsidR="003458AB" w:rsidRPr="00B57AE7">
        <w:rPr>
          <w:sz w:val="22"/>
        </w:rPr>
        <w:noBreakHyphen/>
      </w:r>
      <w:r w:rsidRPr="00B57AE7">
        <w:rPr>
          <w:sz w:val="22"/>
        </w:rPr>
        <w:t>násobne vyšších, ako je klinická expozícia. Okrem toho sa histologicky zistila veľmi mierna až mierna degenerácia kostrových svalov pri dávkach vedúcich k systémovým expozíciám približne</w:t>
      </w:r>
      <w:r w:rsidR="003458AB" w:rsidRPr="00B57AE7">
        <w:rPr>
          <w:sz w:val="22"/>
        </w:rPr>
        <w:t xml:space="preserve"> </w:t>
      </w:r>
      <w:r w:rsidRPr="00B57AE7">
        <w:rPr>
          <w:sz w:val="22"/>
        </w:rPr>
        <w:t>23</w:t>
      </w:r>
      <w:r w:rsidR="003458AB" w:rsidRPr="00B57AE7">
        <w:rPr>
          <w:sz w:val="22"/>
        </w:rPr>
        <w:noBreakHyphen/>
      </w:r>
      <w:r w:rsidRPr="00B57AE7">
        <w:rPr>
          <w:sz w:val="22"/>
        </w:rPr>
        <w:t>násobne vyšším, ako je expozičná hladina u ľudí. Zistilo sa, že najvyššia neúčinná hladina pre tieto nálezy je 6-násobok klinickej expozičnej hladiny.</w:t>
      </w:r>
    </w:p>
    <w:p w14:paraId="3E430106" w14:textId="77777777" w:rsidR="00CE35D3" w:rsidRPr="00B57AE7" w:rsidRDefault="00CE35D3" w:rsidP="00AD6F14">
      <w:pPr>
        <w:widowControl w:val="0"/>
        <w:tabs>
          <w:tab w:val="left" w:pos="567"/>
        </w:tabs>
        <w:rPr>
          <w:bCs/>
          <w:sz w:val="22"/>
          <w:szCs w:val="22"/>
          <w:lang w:eastAsia="en-US"/>
        </w:rPr>
      </w:pPr>
    </w:p>
    <w:p w14:paraId="2B8B18AD" w14:textId="77777777" w:rsidR="000301F6" w:rsidRPr="00B57AE7" w:rsidRDefault="000301F6" w:rsidP="003458AB">
      <w:pPr>
        <w:rPr>
          <w:sz w:val="22"/>
        </w:rPr>
      </w:pPr>
      <w:r w:rsidRPr="00B57AE7">
        <w:rPr>
          <w:sz w:val="22"/>
        </w:rPr>
        <w:t>V predklinických štúdiách sa nepreukázala genotoxicita sitagliptínu. Sitagliptín nebol karcinogénny</w:t>
      </w:r>
      <w:r w:rsidR="003458AB" w:rsidRPr="00B57AE7">
        <w:rPr>
          <w:sz w:val="22"/>
        </w:rPr>
        <w:t xml:space="preserve"> </w:t>
      </w:r>
      <w:r w:rsidRPr="00B57AE7">
        <w:rPr>
          <w:sz w:val="22"/>
        </w:rPr>
        <w:t>u</w:t>
      </w:r>
      <w:r w:rsidR="003458AB" w:rsidRPr="00B57AE7">
        <w:rPr>
          <w:sz w:val="22"/>
        </w:rPr>
        <w:t> </w:t>
      </w:r>
      <w:r w:rsidRPr="00B57AE7">
        <w:rPr>
          <w:sz w:val="22"/>
        </w:rPr>
        <w:t>myší. U potkanov došlo k zvýšenej incidencii hepatálnych adenómov a karcinómov pri systémových expozičných hladinách 58-násobne vyšších, ako je expozičná hladina u ľudí. Keďže sa zistilo, že hepatotoxicita koreluje s indukciou hepatálnej neoplázie u potkanov, táto zvýšená incidencia hepatálnych tumorov u potkanov bola pravdepodobne následkom chronickej hepatálnej toxicity pri tejto vysokej dávke. Vzhľadom na vysoké bezpečnostné rozpätie (19-násobok pri najvyššej neúčinnej hladine) sa tieto neoplastické zmeny nepovažujú za významné v prípade ľudí.</w:t>
      </w:r>
    </w:p>
    <w:p w14:paraId="123E61FE" w14:textId="77777777" w:rsidR="000301F6" w:rsidRPr="00B57AE7" w:rsidRDefault="000301F6" w:rsidP="000301F6">
      <w:pPr>
        <w:spacing w:line="194" w:lineRule="exact"/>
        <w:rPr>
          <w:sz w:val="22"/>
          <w:szCs w:val="22"/>
        </w:rPr>
      </w:pPr>
    </w:p>
    <w:p w14:paraId="7E420923" w14:textId="77777777" w:rsidR="000301F6" w:rsidRPr="00B57AE7" w:rsidRDefault="000301F6" w:rsidP="000A6D66">
      <w:pPr>
        <w:ind w:right="227"/>
        <w:rPr>
          <w:sz w:val="22"/>
        </w:rPr>
      </w:pPr>
      <w:r w:rsidRPr="00B57AE7">
        <w:rPr>
          <w:sz w:val="22"/>
        </w:rPr>
        <w:t>Nepozorovali sa žiadne s liečbou súvisiace účinky na fertilitu samcov a samíc potkanov, ktorým bol sitagliptín podaný pred a počas párenia.</w:t>
      </w:r>
    </w:p>
    <w:p w14:paraId="466588F0" w14:textId="77777777" w:rsidR="000301F6" w:rsidRPr="00B57AE7" w:rsidRDefault="000301F6" w:rsidP="000301F6">
      <w:pPr>
        <w:spacing w:line="194" w:lineRule="exact"/>
        <w:rPr>
          <w:sz w:val="22"/>
          <w:szCs w:val="22"/>
        </w:rPr>
      </w:pPr>
    </w:p>
    <w:p w14:paraId="40433787" w14:textId="5A3E4A87" w:rsidR="000301F6" w:rsidRPr="00B57AE7" w:rsidRDefault="000301F6" w:rsidP="000A6D66">
      <w:pPr>
        <w:ind w:right="164"/>
        <w:rPr>
          <w:sz w:val="22"/>
        </w:rPr>
      </w:pPr>
      <w:r w:rsidRPr="00B57AE7">
        <w:rPr>
          <w:sz w:val="22"/>
        </w:rPr>
        <w:t xml:space="preserve">V pre-/postnatálnej vývojovej štúdii uskutočnenej na potkanoch sa nezistili žiadne nežiaduce </w:t>
      </w:r>
      <w:r w:rsidR="005413B5">
        <w:rPr>
          <w:sz w:val="22"/>
        </w:rPr>
        <w:t>reakcie</w:t>
      </w:r>
      <w:r w:rsidRPr="00B57AE7">
        <w:rPr>
          <w:sz w:val="22"/>
        </w:rPr>
        <w:t xml:space="preserve"> </w:t>
      </w:r>
      <w:proofErr w:type="spellStart"/>
      <w:r w:rsidRPr="00B57AE7">
        <w:rPr>
          <w:sz w:val="22"/>
        </w:rPr>
        <w:t>sitagliptínu</w:t>
      </w:r>
      <w:proofErr w:type="spellEnd"/>
      <w:r w:rsidRPr="00B57AE7">
        <w:rPr>
          <w:sz w:val="22"/>
        </w:rPr>
        <w:t>.</w:t>
      </w:r>
    </w:p>
    <w:p w14:paraId="6DB615CD" w14:textId="77777777" w:rsidR="000301F6" w:rsidRPr="00B57AE7" w:rsidRDefault="000301F6" w:rsidP="000301F6">
      <w:pPr>
        <w:spacing w:line="194" w:lineRule="exact"/>
        <w:rPr>
          <w:sz w:val="22"/>
          <w:szCs w:val="22"/>
        </w:rPr>
      </w:pPr>
    </w:p>
    <w:p w14:paraId="7D6F388E" w14:textId="77777777" w:rsidR="000301F6" w:rsidRPr="00B57AE7" w:rsidRDefault="000301F6" w:rsidP="000A6D66">
      <w:pPr>
        <w:ind w:right="45"/>
        <w:rPr>
          <w:sz w:val="22"/>
          <w:szCs w:val="22"/>
        </w:rPr>
      </w:pPr>
      <w:r w:rsidRPr="00B57AE7">
        <w:rPr>
          <w:sz w:val="22"/>
          <w:szCs w:val="22"/>
        </w:rPr>
        <w:t>Štúdie reprodukčnej toxicity preukázali v súvislosti s liečbou mierne zvýšenie výskytu fetálnych malformácií rebier (chýbajúce, hypoplastické a zvlnené rebrá) u potomkov potkanov vystavených systémovým expozičným hladinám vyšším, ako je 29-násobok expozičných hladín u ľudí. Tehotenská toxicita sa pozorovala u králikov pri viac ako 29-násobku expozičných hladín u ľudí. Vzhľadom na vysoké bezpečnostné rozpätie tieto zistenia nepoukazujú na významné riziko pre ľudskú reprodukciu. Sitagliptín sa do značnej miery vylučuje do mlieka dojčiacich potkanov (pomer mlieko/plazma: 4:1).</w:t>
      </w:r>
    </w:p>
    <w:p w14:paraId="2ED98CC2" w14:textId="77777777" w:rsidR="000301F6" w:rsidRPr="00B57AE7" w:rsidRDefault="000301F6" w:rsidP="000301F6">
      <w:pPr>
        <w:spacing w:line="209" w:lineRule="exact"/>
      </w:pPr>
    </w:p>
    <w:p w14:paraId="6AF9BAFA" w14:textId="77777777" w:rsidR="000301F6" w:rsidRPr="00B57AE7" w:rsidRDefault="000301F6" w:rsidP="000301F6">
      <w:pPr>
        <w:spacing w:line="0" w:lineRule="atLeast"/>
        <w:ind w:left="2"/>
        <w:rPr>
          <w:sz w:val="22"/>
          <w:u w:val="single"/>
        </w:rPr>
      </w:pPr>
      <w:r w:rsidRPr="00B57AE7">
        <w:rPr>
          <w:sz w:val="22"/>
          <w:u w:val="single"/>
        </w:rPr>
        <w:t>Metformín</w:t>
      </w:r>
    </w:p>
    <w:p w14:paraId="0986F41F" w14:textId="77777777" w:rsidR="000301F6" w:rsidRPr="00B57AE7" w:rsidRDefault="000301F6" w:rsidP="000301F6">
      <w:pPr>
        <w:spacing w:line="30" w:lineRule="exact"/>
      </w:pPr>
    </w:p>
    <w:p w14:paraId="195000F0" w14:textId="77777777" w:rsidR="000301F6" w:rsidRPr="00B57AE7" w:rsidRDefault="000301F6" w:rsidP="000301F6">
      <w:pPr>
        <w:spacing w:line="250" w:lineRule="auto"/>
        <w:ind w:left="2" w:right="25"/>
        <w:rPr>
          <w:sz w:val="22"/>
        </w:rPr>
      </w:pPr>
      <w:r w:rsidRPr="00B57AE7">
        <w:rPr>
          <w:sz w:val="22"/>
        </w:rPr>
        <w:t>Predklinické údaje pre metformín získané na základe obvyklých farmakologických štúdií bezpečnosti, toxicity po opakovanom podávaní, genotoxicity, karcinogénneho potenciálu a reprodukčnej toxicity neodhalili žiadne osobitné riziko pre ľudí.</w:t>
      </w:r>
    </w:p>
    <w:p w14:paraId="2D40A917" w14:textId="77777777" w:rsidR="000A6D66" w:rsidRPr="00B57AE7" w:rsidRDefault="000A6D66" w:rsidP="00AD6F14">
      <w:pPr>
        <w:widowControl w:val="0"/>
        <w:tabs>
          <w:tab w:val="left" w:pos="567"/>
        </w:tabs>
        <w:rPr>
          <w:bCs/>
          <w:sz w:val="22"/>
          <w:szCs w:val="22"/>
          <w:lang w:eastAsia="en-US"/>
        </w:rPr>
      </w:pPr>
    </w:p>
    <w:p w14:paraId="24A3B026" w14:textId="77777777" w:rsidR="000A6D66" w:rsidRPr="00B57AE7" w:rsidRDefault="000A6D66" w:rsidP="00AD6F14">
      <w:pPr>
        <w:widowControl w:val="0"/>
        <w:tabs>
          <w:tab w:val="left" w:pos="567"/>
        </w:tabs>
        <w:rPr>
          <w:bCs/>
          <w:sz w:val="22"/>
          <w:szCs w:val="22"/>
          <w:lang w:eastAsia="en-US"/>
        </w:rPr>
      </w:pPr>
    </w:p>
    <w:p w14:paraId="36A95EA6" w14:textId="77777777" w:rsidR="005C5AB1" w:rsidRPr="00B57AE7" w:rsidRDefault="000A6D66" w:rsidP="00AD6F14">
      <w:pPr>
        <w:widowControl w:val="0"/>
        <w:tabs>
          <w:tab w:val="left" w:pos="567"/>
        </w:tabs>
        <w:rPr>
          <w:b/>
          <w:sz w:val="22"/>
          <w:szCs w:val="22"/>
          <w:lang w:eastAsia="en-US"/>
        </w:rPr>
      </w:pPr>
      <w:r w:rsidRPr="00B57AE7">
        <w:rPr>
          <w:b/>
          <w:sz w:val="22"/>
          <w:szCs w:val="22"/>
          <w:lang w:eastAsia="en-US"/>
        </w:rPr>
        <w:t>6</w:t>
      </w:r>
      <w:r w:rsidR="00F904D1" w:rsidRPr="00B57AE7">
        <w:rPr>
          <w:b/>
          <w:sz w:val="22"/>
          <w:szCs w:val="22"/>
          <w:lang w:eastAsia="en-US"/>
        </w:rPr>
        <w:t>.</w:t>
      </w:r>
      <w:r w:rsidR="00F904D1" w:rsidRPr="00B57AE7">
        <w:rPr>
          <w:b/>
          <w:sz w:val="22"/>
          <w:szCs w:val="22"/>
          <w:lang w:eastAsia="en-US"/>
        </w:rPr>
        <w:tab/>
        <w:t>FARMACEUTICKÉ INFORMÁCIE</w:t>
      </w:r>
    </w:p>
    <w:p w14:paraId="1AA0CCAA" w14:textId="77777777" w:rsidR="005C5AB1" w:rsidRPr="00B57AE7" w:rsidRDefault="005C5AB1" w:rsidP="00AD6F14">
      <w:pPr>
        <w:widowControl w:val="0"/>
        <w:tabs>
          <w:tab w:val="left" w:pos="567"/>
        </w:tabs>
        <w:rPr>
          <w:bCs/>
          <w:sz w:val="22"/>
          <w:szCs w:val="22"/>
          <w:lang w:eastAsia="en-US"/>
        </w:rPr>
      </w:pPr>
    </w:p>
    <w:p w14:paraId="25D85EBD" w14:textId="77777777" w:rsidR="005C5AB1" w:rsidRPr="00B57AE7" w:rsidRDefault="00F904D1" w:rsidP="00AD6F14">
      <w:pPr>
        <w:widowControl w:val="0"/>
        <w:tabs>
          <w:tab w:val="left" w:pos="567"/>
        </w:tabs>
        <w:rPr>
          <w:b/>
          <w:sz w:val="22"/>
          <w:szCs w:val="22"/>
          <w:lang w:eastAsia="en-US"/>
        </w:rPr>
      </w:pPr>
      <w:r w:rsidRPr="00B57AE7">
        <w:rPr>
          <w:b/>
          <w:sz w:val="22"/>
          <w:szCs w:val="22"/>
          <w:lang w:eastAsia="en-US"/>
        </w:rPr>
        <w:t>6.1</w:t>
      </w:r>
      <w:r w:rsidRPr="00B57AE7">
        <w:rPr>
          <w:b/>
          <w:sz w:val="22"/>
          <w:szCs w:val="22"/>
          <w:lang w:eastAsia="en-US"/>
        </w:rPr>
        <w:tab/>
        <w:t>Zoznam pomocných látok</w:t>
      </w:r>
    </w:p>
    <w:p w14:paraId="78B74F59" w14:textId="77777777" w:rsidR="005C5AB1" w:rsidRPr="00B57AE7" w:rsidRDefault="005C5AB1" w:rsidP="00AD6F14">
      <w:pPr>
        <w:widowControl w:val="0"/>
        <w:tabs>
          <w:tab w:val="left" w:pos="567"/>
        </w:tabs>
        <w:rPr>
          <w:sz w:val="22"/>
          <w:szCs w:val="22"/>
          <w:lang w:eastAsia="en-US"/>
        </w:rPr>
      </w:pPr>
    </w:p>
    <w:p w14:paraId="2B6C0F9B" w14:textId="77777777" w:rsidR="00535E5B" w:rsidRPr="00B57AE7" w:rsidRDefault="00F904D1" w:rsidP="00AD6F14">
      <w:pPr>
        <w:widowControl w:val="0"/>
        <w:outlineLvl w:val="0"/>
        <w:rPr>
          <w:sz w:val="22"/>
          <w:szCs w:val="22"/>
          <w:u w:val="single"/>
          <w:lang w:eastAsia="en-US"/>
        </w:rPr>
      </w:pPr>
      <w:r w:rsidRPr="00B57AE7">
        <w:rPr>
          <w:sz w:val="22"/>
          <w:szCs w:val="22"/>
          <w:u w:val="single"/>
          <w:lang w:eastAsia="en-US"/>
        </w:rPr>
        <w:t>Jadro tablety</w:t>
      </w:r>
      <w:r w:rsidR="00434DF6" w:rsidRPr="00B57AE7">
        <w:rPr>
          <w:sz w:val="22"/>
          <w:szCs w:val="22"/>
          <w:u w:val="single"/>
          <w:lang w:eastAsia="en-US"/>
        </w:rPr>
        <w:t>:</w:t>
      </w:r>
    </w:p>
    <w:p w14:paraId="6B9F73F7" w14:textId="77777777" w:rsidR="00CD2606" w:rsidRPr="00B57AE7" w:rsidRDefault="00CD2606" w:rsidP="00CD2606">
      <w:pPr>
        <w:spacing w:line="0" w:lineRule="atLeast"/>
        <w:ind w:left="2"/>
        <w:rPr>
          <w:sz w:val="22"/>
        </w:rPr>
      </w:pPr>
      <w:r w:rsidRPr="00B57AE7">
        <w:rPr>
          <w:sz w:val="22"/>
        </w:rPr>
        <w:t>mikrokryštalická celulóza</w:t>
      </w:r>
      <w:r w:rsidR="00DE4A34" w:rsidRPr="00B57AE7">
        <w:rPr>
          <w:sz w:val="22"/>
        </w:rPr>
        <w:t>, typ 101</w:t>
      </w:r>
      <w:r w:rsidRPr="00B57AE7">
        <w:rPr>
          <w:sz w:val="22"/>
        </w:rPr>
        <w:t xml:space="preserve"> </w:t>
      </w:r>
    </w:p>
    <w:p w14:paraId="5F30AF95" w14:textId="77777777" w:rsidR="00CD2606" w:rsidRPr="00B57AE7" w:rsidRDefault="00CD2606" w:rsidP="003458AB">
      <w:pPr>
        <w:spacing w:line="0" w:lineRule="atLeast"/>
        <w:rPr>
          <w:sz w:val="22"/>
        </w:rPr>
      </w:pPr>
      <w:r w:rsidRPr="00B57AE7">
        <w:rPr>
          <w:sz w:val="22"/>
        </w:rPr>
        <w:t>povidón</w:t>
      </w:r>
      <w:r w:rsidR="00DE4A34" w:rsidRPr="00B57AE7">
        <w:rPr>
          <w:sz w:val="22"/>
        </w:rPr>
        <w:t xml:space="preserve"> K29/32</w:t>
      </w:r>
    </w:p>
    <w:p w14:paraId="69CCD3D9" w14:textId="77777777" w:rsidR="00DE4A34" w:rsidRPr="00B57AE7" w:rsidRDefault="00DE4A34" w:rsidP="003458AB">
      <w:pPr>
        <w:spacing w:line="0" w:lineRule="atLeast"/>
        <w:rPr>
          <w:sz w:val="22"/>
        </w:rPr>
      </w:pPr>
      <w:r w:rsidRPr="00B57AE7">
        <w:rPr>
          <w:sz w:val="22"/>
        </w:rPr>
        <w:t>stearyl</w:t>
      </w:r>
      <w:r w:rsidR="00995480">
        <w:rPr>
          <w:sz w:val="22"/>
        </w:rPr>
        <w:t>-</w:t>
      </w:r>
      <w:r w:rsidRPr="00B57AE7">
        <w:rPr>
          <w:sz w:val="22"/>
        </w:rPr>
        <w:t>fumarát sodný</w:t>
      </w:r>
    </w:p>
    <w:p w14:paraId="71E81B2C" w14:textId="77777777" w:rsidR="00CD2606" w:rsidRPr="00B57AE7" w:rsidRDefault="00DE4A34" w:rsidP="003458AB">
      <w:pPr>
        <w:spacing w:line="0" w:lineRule="atLeast"/>
        <w:rPr>
          <w:sz w:val="22"/>
        </w:rPr>
      </w:pPr>
      <w:r w:rsidRPr="00B57AE7">
        <w:rPr>
          <w:sz w:val="22"/>
        </w:rPr>
        <w:t>l</w:t>
      </w:r>
      <w:r w:rsidR="006A19BD" w:rsidRPr="00B57AE7">
        <w:rPr>
          <w:sz w:val="22"/>
        </w:rPr>
        <w:t>aurylsíran sodný</w:t>
      </w:r>
      <w:r w:rsidR="006A19BD" w:rsidRPr="00B57AE7" w:rsidDel="006A19BD">
        <w:rPr>
          <w:sz w:val="22"/>
        </w:rPr>
        <w:t xml:space="preserve"> </w:t>
      </w:r>
    </w:p>
    <w:p w14:paraId="70676409" w14:textId="77777777" w:rsidR="00BE3FF0" w:rsidRPr="00B57AE7" w:rsidRDefault="00BE3FF0" w:rsidP="00AD6F14">
      <w:pPr>
        <w:widowControl w:val="0"/>
        <w:outlineLvl w:val="0"/>
        <w:rPr>
          <w:sz w:val="22"/>
          <w:szCs w:val="22"/>
          <w:lang w:eastAsia="en-US"/>
        </w:rPr>
      </w:pPr>
    </w:p>
    <w:p w14:paraId="4975B39E" w14:textId="77777777" w:rsidR="005C5AB1" w:rsidRPr="00B57AE7" w:rsidRDefault="005C5AB1" w:rsidP="00AD6F14">
      <w:pPr>
        <w:widowControl w:val="0"/>
        <w:tabs>
          <w:tab w:val="left" w:pos="2925"/>
        </w:tabs>
        <w:outlineLvl w:val="0"/>
        <w:rPr>
          <w:sz w:val="22"/>
          <w:szCs w:val="22"/>
          <w:u w:val="single"/>
          <w:lang w:eastAsia="en-US"/>
        </w:rPr>
      </w:pPr>
      <w:r w:rsidRPr="00B57AE7">
        <w:rPr>
          <w:sz w:val="22"/>
          <w:szCs w:val="22"/>
          <w:u w:val="single"/>
          <w:lang w:eastAsia="en-US"/>
        </w:rPr>
        <w:t>Film</w:t>
      </w:r>
      <w:r w:rsidR="00F904D1" w:rsidRPr="00B57AE7">
        <w:rPr>
          <w:sz w:val="22"/>
          <w:szCs w:val="22"/>
          <w:u w:val="single"/>
          <w:lang w:eastAsia="en-US"/>
        </w:rPr>
        <w:t>ový obal</w:t>
      </w:r>
      <w:r w:rsidR="00434DF6" w:rsidRPr="00B57AE7">
        <w:rPr>
          <w:sz w:val="22"/>
          <w:szCs w:val="22"/>
          <w:u w:val="single"/>
          <w:lang w:eastAsia="en-US"/>
        </w:rPr>
        <w:t>:</w:t>
      </w:r>
      <w:r w:rsidRPr="00B57AE7">
        <w:rPr>
          <w:sz w:val="22"/>
          <w:szCs w:val="22"/>
          <w:u w:val="single"/>
          <w:lang w:eastAsia="en-US"/>
        </w:rPr>
        <w:t xml:space="preserve"> </w:t>
      </w:r>
    </w:p>
    <w:p w14:paraId="43788219" w14:textId="77777777" w:rsidR="00CD2606" w:rsidRPr="00B57AE7" w:rsidRDefault="00995480" w:rsidP="00CD2606">
      <w:pPr>
        <w:spacing w:line="0" w:lineRule="atLeast"/>
        <w:ind w:left="2"/>
        <w:rPr>
          <w:sz w:val="22"/>
        </w:rPr>
      </w:pPr>
      <w:r>
        <w:rPr>
          <w:sz w:val="22"/>
        </w:rPr>
        <w:t>p</w:t>
      </w:r>
      <w:r w:rsidR="00CD2606" w:rsidRPr="00B57AE7">
        <w:rPr>
          <w:sz w:val="22"/>
        </w:rPr>
        <w:t>olyvinylalkohol</w:t>
      </w:r>
      <w:r w:rsidR="00DE4A34" w:rsidRPr="00B57AE7">
        <w:rPr>
          <w:sz w:val="22"/>
        </w:rPr>
        <w:t xml:space="preserve"> – čiastočne hydrolyzovaný (E1203)</w:t>
      </w:r>
    </w:p>
    <w:p w14:paraId="0123E0C9" w14:textId="77777777" w:rsidR="00CD2606" w:rsidRPr="00B57AE7" w:rsidRDefault="00CD2606" w:rsidP="003458AB">
      <w:pPr>
        <w:spacing w:line="0" w:lineRule="atLeast"/>
        <w:rPr>
          <w:sz w:val="22"/>
        </w:rPr>
      </w:pPr>
      <w:r w:rsidRPr="00B57AE7">
        <w:rPr>
          <w:sz w:val="22"/>
        </w:rPr>
        <w:t>makrogol 3350</w:t>
      </w:r>
      <w:r w:rsidR="00DE4A34" w:rsidRPr="00B57AE7">
        <w:rPr>
          <w:sz w:val="22"/>
        </w:rPr>
        <w:t xml:space="preserve"> (E1521)</w:t>
      </w:r>
    </w:p>
    <w:p w14:paraId="5873417B" w14:textId="77777777" w:rsidR="00CD2606" w:rsidRPr="00B57AE7" w:rsidRDefault="00CD2606" w:rsidP="003458AB">
      <w:pPr>
        <w:spacing w:line="0" w:lineRule="atLeast"/>
        <w:rPr>
          <w:sz w:val="22"/>
        </w:rPr>
      </w:pPr>
      <w:r w:rsidRPr="00B57AE7">
        <w:rPr>
          <w:sz w:val="22"/>
        </w:rPr>
        <w:t>mastenec</w:t>
      </w:r>
      <w:r w:rsidR="00DE4A34" w:rsidRPr="00B57AE7">
        <w:rPr>
          <w:sz w:val="22"/>
        </w:rPr>
        <w:t xml:space="preserve"> (E553b)</w:t>
      </w:r>
    </w:p>
    <w:p w14:paraId="58A3E9F2" w14:textId="77777777" w:rsidR="00CD2606" w:rsidRPr="00B57AE7" w:rsidRDefault="00CD2606" w:rsidP="003458AB">
      <w:pPr>
        <w:spacing w:line="0" w:lineRule="atLeast"/>
        <w:rPr>
          <w:sz w:val="22"/>
        </w:rPr>
      </w:pPr>
      <w:r w:rsidRPr="00B57AE7">
        <w:rPr>
          <w:sz w:val="22"/>
        </w:rPr>
        <w:t>oxid titaničitý (E171)</w:t>
      </w:r>
    </w:p>
    <w:p w14:paraId="2352BB30" w14:textId="77777777" w:rsidR="00CD2606" w:rsidRPr="00B57AE7" w:rsidRDefault="00DE4A34" w:rsidP="003458AB">
      <w:pPr>
        <w:spacing w:line="0" w:lineRule="atLeast"/>
        <w:rPr>
          <w:sz w:val="22"/>
        </w:rPr>
      </w:pPr>
      <w:r w:rsidRPr="00B57AE7">
        <w:rPr>
          <w:sz w:val="22"/>
        </w:rPr>
        <w:t xml:space="preserve">červený </w:t>
      </w:r>
      <w:r w:rsidR="00CD2606" w:rsidRPr="00B57AE7">
        <w:rPr>
          <w:sz w:val="22"/>
        </w:rPr>
        <w:t>oxid železitý (E172)</w:t>
      </w:r>
    </w:p>
    <w:p w14:paraId="37E3E4D9" w14:textId="77777777" w:rsidR="00CD2606" w:rsidRPr="00B57AE7" w:rsidRDefault="00DE4A34" w:rsidP="003458AB">
      <w:pPr>
        <w:spacing w:line="0" w:lineRule="atLeast"/>
        <w:rPr>
          <w:sz w:val="22"/>
        </w:rPr>
      </w:pPr>
      <w:r w:rsidRPr="00B57AE7">
        <w:rPr>
          <w:sz w:val="22"/>
        </w:rPr>
        <w:t xml:space="preserve">čierny </w:t>
      </w:r>
      <w:r w:rsidR="00CD2606" w:rsidRPr="00B57AE7">
        <w:rPr>
          <w:sz w:val="22"/>
        </w:rPr>
        <w:t>oxid železitý (E172)</w:t>
      </w:r>
    </w:p>
    <w:p w14:paraId="3CCF2C74" w14:textId="77777777" w:rsidR="001F0B0E" w:rsidRPr="00B57AE7" w:rsidRDefault="001F0B0E" w:rsidP="00AD6F14">
      <w:pPr>
        <w:widowControl w:val="0"/>
        <w:tabs>
          <w:tab w:val="left" w:pos="2925"/>
        </w:tabs>
        <w:outlineLvl w:val="0"/>
        <w:rPr>
          <w:iCs/>
          <w:sz w:val="22"/>
          <w:szCs w:val="22"/>
          <w:lang w:eastAsia="en-US"/>
        </w:rPr>
      </w:pPr>
    </w:p>
    <w:p w14:paraId="72E92CE3" w14:textId="77777777" w:rsidR="005C5AB1" w:rsidRPr="00B57AE7" w:rsidRDefault="005C5AB1" w:rsidP="00AD6F14">
      <w:pPr>
        <w:widowControl w:val="0"/>
        <w:tabs>
          <w:tab w:val="left" w:pos="567"/>
        </w:tabs>
        <w:rPr>
          <w:sz w:val="22"/>
          <w:szCs w:val="22"/>
          <w:lang w:eastAsia="en-US"/>
        </w:rPr>
      </w:pPr>
      <w:r w:rsidRPr="00B57AE7">
        <w:rPr>
          <w:b/>
          <w:sz w:val="22"/>
          <w:szCs w:val="22"/>
          <w:lang w:eastAsia="en-US"/>
        </w:rPr>
        <w:t>6.2</w:t>
      </w:r>
      <w:r w:rsidRPr="00B57AE7">
        <w:rPr>
          <w:b/>
          <w:sz w:val="22"/>
          <w:szCs w:val="22"/>
          <w:lang w:eastAsia="en-US"/>
        </w:rPr>
        <w:tab/>
        <w:t>In</w:t>
      </w:r>
      <w:r w:rsidR="00331877" w:rsidRPr="00B57AE7">
        <w:rPr>
          <w:b/>
          <w:sz w:val="22"/>
          <w:szCs w:val="22"/>
          <w:lang w:eastAsia="en-US"/>
        </w:rPr>
        <w:t>kompatibility</w:t>
      </w:r>
    </w:p>
    <w:p w14:paraId="766BFCFE" w14:textId="77777777" w:rsidR="005C5AB1" w:rsidRPr="00B57AE7" w:rsidRDefault="005C5AB1" w:rsidP="00AD6F14">
      <w:pPr>
        <w:widowControl w:val="0"/>
        <w:tabs>
          <w:tab w:val="left" w:pos="567"/>
        </w:tabs>
        <w:rPr>
          <w:sz w:val="22"/>
          <w:szCs w:val="22"/>
          <w:lang w:eastAsia="en-US"/>
        </w:rPr>
      </w:pPr>
    </w:p>
    <w:p w14:paraId="27D59848" w14:textId="77777777" w:rsidR="005C5AB1" w:rsidRPr="00B57AE7" w:rsidRDefault="005C5AB1" w:rsidP="00AD6F14">
      <w:pPr>
        <w:widowControl w:val="0"/>
        <w:tabs>
          <w:tab w:val="left" w:pos="567"/>
        </w:tabs>
        <w:rPr>
          <w:sz w:val="22"/>
          <w:szCs w:val="22"/>
          <w:lang w:eastAsia="en-US"/>
        </w:rPr>
      </w:pPr>
      <w:r w:rsidRPr="00B57AE7">
        <w:rPr>
          <w:sz w:val="22"/>
          <w:szCs w:val="22"/>
          <w:lang w:eastAsia="en-US"/>
        </w:rPr>
        <w:t>N</w:t>
      </w:r>
      <w:r w:rsidR="00331877" w:rsidRPr="00B57AE7">
        <w:rPr>
          <w:sz w:val="22"/>
          <w:szCs w:val="22"/>
          <w:lang w:eastAsia="en-US"/>
        </w:rPr>
        <w:t>eaplikovateľné</w:t>
      </w:r>
      <w:r w:rsidRPr="00B57AE7">
        <w:rPr>
          <w:sz w:val="22"/>
          <w:szCs w:val="22"/>
          <w:lang w:eastAsia="en-US"/>
        </w:rPr>
        <w:t>.</w:t>
      </w:r>
    </w:p>
    <w:p w14:paraId="483FCD4F" w14:textId="77777777" w:rsidR="005C5AB1" w:rsidRPr="00B57AE7" w:rsidRDefault="005C5AB1" w:rsidP="00AD6F14">
      <w:pPr>
        <w:widowControl w:val="0"/>
        <w:tabs>
          <w:tab w:val="left" w:pos="567"/>
        </w:tabs>
        <w:rPr>
          <w:sz w:val="22"/>
          <w:szCs w:val="22"/>
          <w:lang w:eastAsia="en-US"/>
        </w:rPr>
      </w:pPr>
    </w:p>
    <w:p w14:paraId="52B430A8" w14:textId="77777777" w:rsidR="005C5AB1" w:rsidRPr="00B57AE7" w:rsidRDefault="00331877" w:rsidP="003458AB">
      <w:pPr>
        <w:keepNext/>
        <w:tabs>
          <w:tab w:val="left" w:pos="567"/>
        </w:tabs>
        <w:rPr>
          <w:sz w:val="22"/>
          <w:szCs w:val="22"/>
          <w:lang w:eastAsia="en-US"/>
        </w:rPr>
      </w:pPr>
      <w:r w:rsidRPr="00B57AE7">
        <w:rPr>
          <w:b/>
          <w:sz w:val="22"/>
          <w:szCs w:val="22"/>
          <w:lang w:eastAsia="en-US"/>
        </w:rPr>
        <w:lastRenderedPageBreak/>
        <w:t>6.3</w:t>
      </w:r>
      <w:r w:rsidRPr="00B57AE7">
        <w:rPr>
          <w:b/>
          <w:sz w:val="22"/>
          <w:szCs w:val="22"/>
          <w:lang w:eastAsia="en-US"/>
        </w:rPr>
        <w:tab/>
        <w:t>Čas použiteľnosti</w:t>
      </w:r>
    </w:p>
    <w:p w14:paraId="65BB7884" w14:textId="77777777" w:rsidR="005C5AB1" w:rsidRPr="00B57AE7" w:rsidRDefault="005C5AB1" w:rsidP="003458AB">
      <w:pPr>
        <w:keepNext/>
        <w:tabs>
          <w:tab w:val="left" w:pos="567"/>
        </w:tabs>
        <w:rPr>
          <w:sz w:val="22"/>
          <w:szCs w:val="22"/>
          <w:lang w:eastAsia="en-US"/>
        </w:rPr>
      </w:pPr>
    </w:p>
    <w:p w14:paraId="640B57D6" w14:textId="77777777" w:rsidR="005C5AB1" w:rsidRPr="00B57AE7" w:rsidRDefault="00254859" w:rsidP="003458AB">
      <w:pPr>
        <w:keepNext/>
        <w:tabs>
          <w:tab w:val="left" w:pos="567"/>
        </w:tabs>
        <w:rPr>
          <w:sz w:val="22"/>
          <w:szCs w:val="22"/>
          <w:lang w:eastAsia="en-US"/>
        </w:rPr>
      </w:pPr>
      <w:r>
        <w:rPr>
          <w:sz w:val="22"/>
          <w:szCs w:val="22"/>
          <w:lang w:eastAsia="en-US"/>
        </w:rPr>
        <w:t>36</w:t>
      </w:r>
      <w:r w:rsidR="00DE4A34" w:rsidRPr="00B57AE7">
        <w:rPr>
          <w:sz w:val="22"/>
          <w:szCs w:val="22"/>
          <w:lang w:eastAsia="en-US"/>
        </w:rPr>
        <w:t xml:space="preserve"> mesiacov.</w:t>
      </w:r>
    </w:p>
    <w:p w14:paraId="22359E8F" w14:textId="77777777" w:rsidR="005C5AB1" w:rsidRPr="00B57AE7" w:rsidRDefault="005C5AB1" w:rsidP="00AD6F14">
      <w:pPr>
        <w:widowControl w:val="0"/>
        <w:tabs>
          <w:tab w:val="left" w:pos="567"/>
        </w:tabs>
        <w:rPr>
          <w:iCs/>
          <w:sz w:val="22"/>
          <w:szCs w:val="22"/>
          <w:lang w:eastAsia="en-US"/>
        </w:rPr>
      </w:pPr>
    </w:p>
    <w:p w14:paraId="7E10AA6A" w14:textId="77777777" w:rsidR="005C5AB1" w:rsidRPr="00B57AE7" w:rsidRDefault="005C5AB1" w:rsidP="00AD6F14">
      <w:pPr>
        <w:widowControl w:val="0"/>
        <w:tabs>
          <w:tab w:val="left" w:pos="567"/>
        </w:tabs>
        <w:rPr>
          <w:b/>
          <w:sz w:val="22"/>
          <w:szCs w:val="22"/>
          <w:lang w:eastAsia="en-US"/>
        </w:rPr>
      </w:pPr>
      <w:r w:rsidRPr="00B57AE7">
        <w:rPr>
          <w:b/>
          <w:sz w:val="22"/>
          <w:szCs w:val="22"/>
          <w:lang w:eastAsia="en-US"/>
        </w:rPr>
        <w:t>6.4</w:t>
      </w:r>
      <w:r w:rsidRPr="00B57AE7">
        <w:rPr>
          <w:b/>
          <w:sz w:val="22"/>
          <w:szCs w:val="22"/>
          <w:lang w:eastAsia="en-US"/>
        </w:rPr>
        <w:tab/>
      </w:r>
      <w:r w:rsidR="00331877" w:rsidRPr="00B57AE7">
        <w:rPr>
          <w:b/>
          <w:sz w:val="22"/>
          <w:szCs w:val="22"/>
          <w:lang w:eastAsia="en-US"/>
        </w:rPr>
        <w:t>Špeciálne upozornenia na uchovávanie</w:t>
      </w:r>
    </w:p>
    <w:p w14:paraId="606695DF" w14:textId="77777777" w:rsidR="005C5AB1" w:rsidRPr="00B57AE7" w:rsidRDefault="005C5AB1" w:rsidP="00AD6F14">
      <w:pPr>
        <w:widowControl w:val="0"/>
        <w:tabs>
          <w:tab w:val="left" w:pos="567"/>
        </w:tabs>
        <w:rPr>
          <w:i/>
          <w:iCs/>
          <w:sz w:val="22"/>
          <w:szCs w:val="22"/>
          <w:lang w:eastAsia="en-US"/>
        </w:rPr>
      </w:pPr>
    </w:p>
    <w:p w14:paraId="5A908578" w14:textId="77777777" w:rsidR="00C04AE3" w:rsidRPr="00B57AE7" w:rsidRDefault="00C04AE3" w:rsidP="00C04AE3">
      <w:pPr>
        <w:spacing w:line="0" w:lineRule="atLeast"/>
        <w:ind w:left="2"/>
        <w:rPr>
          <w:sz w:val="22"/>
        </w:rPr>
      </w:pPr>
      <w:r w:rsidRPr="00B57AE7">
        <w:rPr>
          <w:sz w:val="22"/>
        </w:rPr>
        <w:t xml:space="preserve">Uchovávajte pri teplote </w:t>
      </w:r>
      <w:r w:rsidR="00A27CD9" w:rsidRPr="00B57AE7">
        <w:rPr>
          <w:sz w:val="22"/>
        </w:rPr>
        <w:t>do</w:t>
      </w:r>
      <w:r w:rsidRPr="00B57AE7">
        <w:rPr>
          <w:sz w:val="22"/>
        </w:rPr>
        <w:t xml:space="preserve"> </w:t>
      </w:r>
      <w:r w:rsidR="00DE4A34" w:rsidRPr="00B57AE7">
        <w:rPr>
          <w:sz w:val="22"/>
        </w:rPr>
        <w:t>30</w:t>
      </w:r>
      <w:r w:rsidRPr="00B57AE7">
        <w:rPr>
          <w:sz w:val="22"/>
        </w:rPr>
        <w:t xml:space="preserve"> °C.</w:t>
      </w:r>
    </w:p>
    <w:p w14:paraId="755D374A" w14:textId="77777777" w:rsidR="005C5AB1" w:rsidRPr="00B57AE7" w:rsidRDefault="005C5AB1" w:rsidP="00AD6F14">
      <w:pPr>
        <w:widowControl w:val="0"/>
        <w:tabs>
          <w:tab w:val="left" w:pos="567"/>
        </w:tabs>
        <w:rPr>
          <w:sz w:val="22"/>
          <w:szCs w:val="22"/>
          <w:lang w:eastAsia="en-US"/>
        </w:rPr>
      </w:pPr>
    </w:p>
    <w:p w14:paraId="141F04E7" w14:textId="77777777" w:rsidR="005C5AB1" w:rsidRPr="00B57AE7" w:rsidRDefault="00331877" w:rsidP="00AD6F14">
      <w:pPr>
        <w:widowControl w:val="0"/>
        <w:tabs>
          <w:tab w:val="left" w:pos="567"/>
        </w:tabs>
        <w:rPr>
          <w:b/>
          <w:sz w:val="22"/>
          <w:szCs w:val="22"/>
          <w:lang w:eastAsia="en-US"/>
        </w:rPr>
      </w:pPr>
      <w:r w:rsidRPr="00B57AE7">
        <w:rPr>
          <w:b/>
          <w:sz w:val="22"/>
          <w:szCs w:val="22"/>
          <w:lang w:eastAsia="en-US"/>
        </w:rPr>
        <w:t>6.5</w:t>
      </w:r>
      <w:r w:rsidRPr="00B57AE7">
        <w:rPr>
          <w:b/>
          <w:sz w:val="22"/>
          <w:szCs w:val="22"/>
          <w:lang w:eastAsia="en-US"/>
        </w:rPr>
        <w:tab/>
        <w:t>Druh obalu a obsah balenia</w:t>
      </w:r>
    </w:p>
    <w:p w14:paraId="050BBE81" w14:textId="77777777" w:rsidR="005C5AB1" w:rsidRPr="00B57AE7" w:rsidRDefault="005C5AB1" w:rsidP="00AD6F14">
      <w:pPr>
        <w:widowControl w:val="0"/>
        <w:tabs>
          <w:tab w:val="left" w:pos="567"/>
        </w:tabs>
        <w:rPr>
          <w:sz w:val="22"/>
          <w:szCs w:val="22"/>
          <w:lang w:eastAsia="en-US"/>
        </w:rPr>
      </w:pPr>
    </w:p>
    <w:p w14:paraId="2E981143" w14:textId="77777777" w:rsidR="00DE4A34" w:rsidRPr="00B57AE7" w:rsidRDefault="00DE4A34" w:rsidP="00DE4A34">
      <w:pPr>
        <w:widowControl w:val="0"/>
        <w:tabs>
          <w:tab w:val="left" w:pos="567"/>
        </w:tabs>
        <w:rPr>
          <w:sz w:val="22"/>
          <w:szCs w:val="22"/>
          <w:lang w:eastAsia="en-US"/>
        </w:rPr>
      </w:pPr>
      <w:r w:rsidRPr="00B57AE7">
        <w:rPr>
          <w:sz w:val="22"/>
          <w:szCs w:val="22"/>
          <w:lang w:eastAsia="en-US"/>
        </w:rPr>
        <w:t>Biele nepriehľadné PVC/PE/PVDC//Al blistre. Blistre sú balené v zloženej papierovej škatuli s priloženou písomnou informáciou pre p</w:t>
      </w:r>
      <w:r w:rsidR="00AB4E43" w:rsidRPr="00B57AE7">
        <w:rPr>
          <w:sz w:val="22"/>
          <w:szCs w:val="22"/>
          <w:lang w:eastAsia="en-US"/>
        </w:rPr>
        <w:t>oužívateľa</w:t>
      </w:r>
      <w:r w:rsidRPr="00B57AE7">
        <w:rPr>
          <w:sz w:val="22"/>
          <w:szCs w:val="22"/>
          <w:lang w:eastAsia="en-US"/>
        </w:rPr>
        <w:t>.</w:t>
      </w:r>
    </w:p>
    <w:p w14:paraId="1ADB0C3C" w14:textId="77777777" w:rsidR="00DE4A34" w:rsidRPr="00B57AE7" w:rsidRDefault="00DE4A34" w:rsidP="00DE4A34">
      <w:pPr>
        <w:widowControl w:val="0"/>
        <w:tabs>
          <w:tab w:val="left" w:pos="567"/>
        </w:tabs>
        <w:rPr>
          <w:sz w:val="22"/>
          <w:szCs w:val="22"/>
          <w:lang w:eastAsia="en-US"/>
        </w:rPr>
      </w:pPr>
    </w:p>
    <w:p w14:paraId="60712BEB" w14:textId="77777777" w:rsidR="00DE4A34" w:rsidRPr="00B57AE7" w:rsidRDefault="00DE4A34" w:rsidP="00DE4A34">
      <w:pPr>
        <w:widowControl w:val="0"/>
        <w:tabs>
          <w:tab w:val="left" w:pos="567"/>
        </w:tabs>
        <w:rPr>
          <w:sz w:val="22"/>
          <w:szCs w:val="22"/>
          <w:lang w:eastAsia="en-US"/>
        </w:rPr>
      </w:pPr>
      <w:r w:rsidRPr="00B57AE7">
        <w:rPr>
          <w:sz w:val="22"/>
          <w:szCs w:val="22"/>
          <w:lang w:eastAsia="en-US"/>
        </w:rPr>
        <w:t xml:space="preserve">Balenia po 28, 30, 56, 60, 98, 120, 196 filmom obalených tabliet, </w:t>
      </w:r>
      <w:r w:rsidR="00995480">
        <w:rPr>
          <w:sz w:val="22"/>
          <w:szCs w:val="22"/>
          <w:lang w:eastAsia="en-US"/>
        </w:rPr>
        <w:t>multi</w:t>
      </w:r>
      <w:r w:rsidRPr="00B57AE7">
        <w:rPr>
          <w:sz w:val="22"/>
          <w:szCs w:val="22"/>
          <w:lang w:eastAsia="en-US"/>
        </w:rPr>
        <w:t>balenia obsahujúce 196 (2 balenia po 98) filmom obalených tabliet.</w:t>
      </w:r>
    </w:p>
    <w:p w14:paraId="70AEB334" w14:textId="77777777" w:rsidR="00E77091" w:rsidRPr="00B57AE7" w:rsidRDefault="00E77091" w:rsidP="00AD6F14">
      <w:pPr>
        <w:widowControl w:val="0"/>
        <w:tabs>
          <w:tab w:val="left" w:pos="567"/>
        </w:tabs>
        <w:rPr>
          <w:sz w:val="22"/>
          <w:szCs w:val="22"/>
          <w:lang w:eastAsia="en-US"/>
        </w:rPr>
      </w:pPr>
    </w:p>
    <w:p w14:paraId="791DD41D" w14:textId="77777777" w:rsidR="005C5AB1" w:rsidRPr="00B57AE7" w:rsidRDefault="005C5AB1" w:rsidP="00AD6F14">
      <w:pPr>
        <w:widowControl w:val="0"/>
        <w:tabs>
          <w:tab w:val="left" w:pos="567"/>
        </w:tabs>
        <w:rPr>
          <w:sz w:val="22"/>
          <w:szCs w:val="22"/>
          <w:lang w:eastAsia="en-US"/>
        </w:rPr>
      </w:pPr>
      <w:r w:rsidRPr="00B57AE7">
        <w:rPr>
          <w:sz w:val="22"/>
          <w:szCs w:val="22"/>
          <w:lang w:eastAsia="en-US"/>
        </w:rPr>
        <w:t>N</w:t>
      </w:r>
      <w:r w:rsidR="00331877" w:rsidRPr="00B57AE7">
        <w:rPr>
          <w:sz w:val="22"/>
          <w:szCs w:val="22"/>
          <w:lang w:eastAsia="en-US"/>
        </w:rPr>
        <w:t>a trh nemusia byť</w:t>
      </w:r>
      <w:r w:rsidR="000654F0" w:rsidRPr="00B57AE7">
        <w:rPr>
          <w:sz w:val="22"/>
          <w:szCs w:val="22"/>
          <w:lang w:eastAsia="en-US"/>
        </w:rPr>
        <w:t xml:space="preserve"> </w:t>
      </w:r>
      <w:r w:rsidR="00331877" w:rsidRPr="00B57AE7">
        <w:rPr>
          <w:sz w:val="22"/>
          <w:szCs w:val="22"/>
          <w:lang w:eastAsia="en-US"/>
        </w:rPr>
        <w:t>uvedené všetky veľkosti balenia</w:t>
      </w:r>
      <w:r w:rsidRPr="00B57AE7">
        <w:rPr>
          <w:sz w:val="22"/>
          <w:szCs w:val="22"/>
          <w:lang w:eastAsia="en-US"/>
        </w:rPr>
        <w:t>.</w:t>
      </w:r>
    </w:p>
    <w:p w14:paraId="085F510D" w14:textId="77777777" w:rsidR="005C5AB1" w:rsidRPr="00B57AE7" w:rsidRDefault="005C5AB1" w:rsidP="00AD6F14">
      <w:pPr>
        <w:widowControl w:val="0"/>
        <w:tabs>
          <w:tab w:val="left" w:pos="567"/>
        </w:tabs>
        <w:rPr>
          <w:sz w:val="22"/>
          <w:szCs w:val="22"/>
          <w:lang w:eastAsia="en-US"/>
        </w:rPr>
      </w:pPr>
    </w:p>
    <w:p w14:paraId="4BB52495" w14:textId="77777777" w:rsidR="005C5AB1" w:rsidRPr="00B57AE7" w:rsidRDefault="00331877" w:rsidP="00AD6F14">
      <w:pPr>
        <w:widowControl w:val="0"/>
        <w:tabs>
          <w:tab w:val="left" w:pos="567"/>
        </w:tabs>
        <w:outlineLvl w:val="0"/>
        <w:rPr>
          <w:sz w:val="22"/>
          <w:szCs w:val="22"/>
          <w:lang w:eastAsia="en-US"/>
        </w:rPr>
      </w:pPr>
      <w:r w:rsidRPr="00B57AE7">
        <w:rPr>
          <w:b/>
          <w:sz w:val="22"/>
          <w:szCs w:val="22"/>
          <w:lang w:eastAsia="en-US"/>
        </w:rPr>
        <w:t>6.6</w:t>
      </w:r>
      <w:r w:rsidRPr="00B57AE7">
        <w:rPr>
          <w:b/>
          <w:sz w:val="22"/>
          <w:szCs w:val="22"/>
          <w:lang w:eastAsia="en-US"/>
        </w:rPr>
        <w:tab/>
        <w:t>Špeciálne opatrenia na likvidáciu</w:t>
      </w:r>
    </w:p>
    <w:p w14:paraId="7F493F31" w14:textId="77777777" w:rsidR="005C5AB1" w:rsidRPr="00B57AE7" w:rsidRDefault="005C5AB1" w:rsidP="00AD6F14">
      <w:pPr>
        <w:widowControl w:val="0"/>
        <w:tabs>
          <w:tab w:val="left" w:pos="567"/>
        </w:tabs>
        <w:rPr>
          <w:sz w:val="22"/>
          <w:szCs w:val="22"/>
          <w:lang w:eastAsia="en-US"/>
        </w:rPr>
      </w:pPr>
    </w:p>
    <w:p w14:paraId="380A3D8D" w14:textId="77777777" w:rsidR="00C04AE3" w:rsidRPr="00B57AE7" w:rsidRDefault="00C04AE3" w:rsidP="00C04AE3">
      <w:pPr>
        <w:spacing w:line="277" w:lineRule="auto"/>
        <w:ind w:left="2" w:right="825"/>
        <w:rPr>
          <w:sz w:val="22"/>
        </w:rPr>
      </w:pPr>
      <w:r w:rsidRPr="00B57AE7">
        <w:rPr>
          <w:sz w:val="22"/>
        </w:rPr>
        <w:t>Všetok nepoužitý liek alebo odpad vzniknutý z lieku sa má zlikvidovať v súlade s národnými požiadavkami.</w:t>
      </w:r>
    </w:p>
    <w:p w14:paraId="7BE822B6" w14:textId="77777777" w:rsidR="005C5AB1" w:rsidRDefault="005C5AB1" w:rsidP="00AD6F14">
      <w:pPr>
        <w:widowControl w:val="0"/>
        <w:tabs>
          <w:tab w:val="left" w:pos="567"/>
        </w:tabs>
        <w:rPr>
          <w:sz w:val="22"/>
          <w:szCs w:val="22"/>
          <w:lang w:eastAsia="en-US"/>
        </w:rPr>
      </w:pPr>
    </w:p>
    <w:p w14:paraId="13888DD1" w14:textId="77777777" w:rsidR="00B312B5" w:rsidRPr="00B57AE7" w:rsidRDefault="00B312B5" w:rsidP="00AD6F14">
      <w:pPr>
        <w:widowControl w:val="0"/>
        <w:tabs>
          <w:tab w:val="left" w:pos="567"/>
        </w:tabs>
        <w:rPr>
          <w:sz w:val="22"/>
          <w:szCs w:val="22"/>
          <w:lang w:eastAsia="en-US"/>
        </w:rPr>
      </w:pPr>
    </w:p>
    <w:p w14:paraId="78B53B67" w14:textId="77777777" w:rsidR="005C5AB1" w:rsidRPr="00B57AE7" w:rsidRDefault="00331877" w:rsidP="00AD6F14">
      <w:pPr>
        <w:widowControl w:val="0"/>
        <w:tabs>
          <w:tab w:val="left" w:pos="567"/>
        </w:tabs>
        <w:rPr>
          <w:b/>
          <w:sz w:val="22"/>
          <w:szCs w:val="22"/>
          <w:lang w:eastAsia="en-US"/>
        </w:rPr>
      </w:pPr>
      <w:r w:rsidRPr="00B57AE7">
        <w:rPr>
          <w:b/>
          <w:sz w:val="22"/>
          <w:szCs w:val="22"/>
          <w:lang w:eastAsia="en-US"/>
        </w:rPr>
        <w:t>7.</w:t>
      </w:r>
      <w:r w:rsidRPr="00B57AE7">
        <w:rPr>
          <w:b/>
          <w:sz w:val="22"/>
          <w:szCs w:val="22"/>
          <w:lang w:eastAsia="en-US"/>
        </w:rPr>
        <w:tab/>
        <w:t>DRŽITEĽ ROZHODNUTIA O REGISTRÁCII</w:t>
      </w:r>
    </w:p>
    <w:p w14:paraId="5BB4CC43" w14:textId="77777777" w:rsidR="00331877" w:rsidRPr="00B57AE7" w:rsidRDefault="00331877" w:rsidP="00AD6F14">
      <w:pPr>
        <w:widowControl w:val="0"/>
        <w:tabs>
          <w:tab w:val="left" w:pos="567"/>
        </w:tabs>
        <w:rPr>
          <w:sz w:val="22"/>
          <w:szCs w:val="22"/>
          <w:lang w:eastAsia="en-US"/>
        </w:rPr>
      </w:pPr>
    </w:p>
    <w:p w14:paraId="420D0B45" w14:textId="77777777" w:rsidR="003B5386" w:rsidRPr="00B57AE7" w:rsidRDefault="003B5386" w:rsidP="003B5386">
      <w:pPr>
        <w:rPr>
          <w:color w:val="000000"/>
          <w:sz w:val="22"/>
          <w:szCs w:val="22"/>
        </w:rPr>
      </w:pPr>
      <w:r w:rsidRPr="00B57AE7">
        <w:rPr>
          <w:color w:val="000000"/>
          <w:sz w:val="22"/>
          <w:szCs w:val="22"/>
        </w:rPr>
        <w:t>Gedeon Richter Plc.</w:t>
      </w:r>
    </w:p>
    <w:p w14:paraId="0976233F" w14:textId="77777777" w:rsidR="003B5386" w:rsidRPr="00B57AE7" w:rsidRDefault="003B5386" w:rsidP="003B5386">
      <w:pPr>
        <w:rPr>
          <w:color w:val="000000"/>
          <w:sz w:val="22"/>
          <w:szCs w:val="22"/>
        </w:rPr>
      </w:pPr>
      <w:r w:rsidRPr="00B57AE7">
        <w:rPr>
          <w:color w:val="000000"/>
          <w:sz w:val="22"/>
          <w:szCs w:val="22"/>
        </w:rPr>
        <w:t>Gyömrői út 19-21.</w:t>
      </w:r>
    </w:p>
    <w:p w14:paraId="1432DED0" w14:textId="77777777" w:rsidR="003B5386" w:rsidRPr="00B57AE7" w:rsidRDefault="003B5386" w:rsidP="003B5386">
      <w:pPr>
        <w:rPr>
          <w:color w:val="000000"/>
          <w:sz w:val="22"/>
          <w:szCs w:val="22"/>
        </w:rPr>
      </w:pPr>
      <w:r w:rsidRPr="00B57AE7">
        <w:rPr>
          <w:color w:val="000000"/>
          <w:sz w:val="22"/>
          <w:szCs w:val="22"/>
        </w:rPr>
        <w:t>1103 Budapešť</w:t>
      </w:r>
    </w:p>
    <w:p w14:paraId="7E9A8A81" w14:textId="77777777" w:rsidR="003B5386" w:rsidRPr="00B57AE7" w:rsidRDefault="003B5386" w:rsidP="003B5386">
      <w:pPr>
        <w:rPr>
          <w:color w:val="000000"/>
          <w:sz w:val="22"/>
          <w:szCs w:val="22"/>
        </w:rPr>
      </w:pPr>
      <w:r w:rsidRPr="00B57AE7">
        <w:rPr>
          <w:color w:val="000000"/>
          <w:sz w:val="22"/>
          <w:szCs w:val="22"/>
        </w:rPr>
        <w:t>Maďarsko</w:t>
      </w:r>
    </w:p>
    <w:p w14:paraId="09C078DE" w14:textId="77777777" w:rsidR="005C5AB1" w:rsidRPr="00B57AE7" w:rsidRDefault="005C5AB1" w:rsidP="00AD6F14">
      <w:pPr>
        <w:widowControl w:val="0"/>
        <w:tabs>
          <w:tab w:val="left" w:pos="567"/>
        </w:tabs>
        <w:rPr>
          <w:sz w:val="22"/>
          <w:szCs w:val="22"/>
          <w:lang w:eastAsia="en-US"/>
        </w:rPr>
      </w:pPr>
    </w:p>
    <w:p w14:paraId="37E995D2" w14:textId="77777777" w:rsidR="005C5AB1" w:rsidRPr="00B57AE7" w:rsidRDefault="005C5AB1" w:rsidP="00AD6F14">
      <w:pPr>
        <w:widowControl w:val="0"/>
        <w:tabs>
          <w:tab w:val="left" w:pos="567"/>
        </w:tabs>
        <w:rPr>
          <w:sz w:val="22"/>
          <w:szCs w:val="22"/>
          <w:lang w:eastAsia="en-US"/>
        </w:rPr>
      </w:pPr>
    </w:p>
    <w:p w14:paraId="17256379" w14:textId="77777777" w:rsidR="005C5AB1" w:rsidRPr="00B57AE7" w:rsidRDefault="00331877" w:rsidP="00AD6F14">
      <w:pPr>
        <w:widowControl w:val="0"/>
        <w:tabs>
          <w:tab w:val="left" w:pos="567"/>
        </w:tabs>
        <w:rPr>
          <w:b/>
          <w:sz w:val="22"/>
          <w:szCs w:val="22"/>
          <w:lang w:eastAsia="en-US"/>
        </w:rPr>
      </w:pPr>
      <w:r w:rsidRPr="00B57AE7">
        <w:rPr>
          <w:b/>
          <w:sz w:val="22"/>
          <w:szCs w:val="22"/>
          <w:lang w:eastAsia="en-US"/>
        </w:rPr>
        <w:t>8.</w:t>
      </w:r>
      <w:r w:rsidRPr="00B57AE7">
        <w:rPr>
          <w:b/>
          <w:sz w:val="22"/>
          <w:szCs w:val="22"/>
          <w:lang w:eastAsia="en-US"/>
        </w:rPr>
        <w:tab/>
        <w:t>REGISTRAČNÉ ČÍSL</w:t>
      </w:r>
      <w:r w:rsidR="00AB4E43" w:rsidRPr="00B57AE7">
        <w:rPr>
          <w:b/>
          <w:sz w:val="22"/>
          <w:szCs w:val="22"/>
          <w:lang w:eastAsia="en-US"/>
        </w:rPr>
        <w:t>O</w:t>
      </w:r>
    </w:p>
    <w:p w14:paraId="1065C5B1" w14:textId="77777777" w:rsidR="00341CF4" w:rsidRDefault="00341CF4" w:rsidP="00AD6F14">
      <w:pPr>
        <w:widowControl w:val="0"/>
        <w:tabs>
          <w:tab w:val="left" w:pos="567"/>
        </w:tabs>
        <w:rPr>
          <w:sz w:val="22"/>
          <w:szCs w:val="22"/>
          <w:lang w:eastAsia="en-US"/>
        </w:rPr>
      </w:pPr>
    </w:p>
    <w:p w14:paraId="2B5DDBA3" w14:textId="77777777" w:rsidR="005C5AB1" w:rsidRPr="00341CF4" w:rsidRDefault="00D20E73" w:rsidP="00AD6F14">
      <w:pPr>
        <w:widowControl w:val="0"/>
        <w:tabs>
          <w:tab w:val="left" w:pos="567"/>
        </w:tabs>
        <w:rPr>
          <w:sz w:val="22"/>
          <w:szCs w:val="22"/>
          <w:lang w:eastAsia="en-US"/>
        </w:rPr>
      </w:pPr>
      <w:r w:rsidRPr="00341CF4">
        <w:rPr>
          <w:sz w:val="22"/>
          <w:szCs w:val="22"/>
          <w:lang w:eastAsia="en-US"/>
        </w:rPr>
        <w:t>18/0174/22-S</w:t>
      </w:r>
    </w:p>
    <w:p w14:paraId="4ABFC8DE" w14:textId="77777777" w:rsidR="005C5AB1" w:rsidRPr="00B57AE7" w:rsidRDefault="005C5AB1" w:rsidP="00AD6F14">
      <w:pPr>
        <w:widowControl w:val="0"/>
        <w:tabs>
          <w:tab w:val="left" w:pos="567"/>
        </w:tabs>
        <w:rPr>
          <w:sz w:val="22"/>
          <w:szCs w:val="22"/>
          <w:lang w:eastAsia="en-US"/>
        </w:rPr>
      </w:pPr>
    </w:p>
    <w:p w14:paraId="3A89BF85" w14:textId="77777777" w:rsidR="005C5AB1" w:rsidRPr="00B57AE7" w:rsidRDefault="005C5AB1" w:rsidP="00AD6F14">
      <w:pPr>
        <w:widowControl w:val="0"/>
        <w:tabs>
          <w:tab w:val="left" w:pos="567"/>
        </w:tabs>
        <w:rPr>
          <w:sz w:val="22"/>
          <w:szCs w:val="22"/>
          <w:lang w:eastAsia="en-US"/>
        </w:rPr>
      </w:pPr>
    </w:p>
    <w:p w14:paraId="5185271C" w14:textId="77777777" w:rsidR="005C5AB1" w:rsidRPr="00B57AE7" w:rsidRDefault="005C5AB1" w:rsidP="00AD6F14">
      <w:pPr>
        <w:widowControl w:val="0"/>
        <w:tabs>
          <w:tab w:val="left" w:pos="567"/>
        </w:tabs>
        <w:rPr>
          <w:sz w:val="22"/>
          <w:szCs w:val="22"/>
          <w:lang w:eastAsia="en-US"/>
        </w:rPr>
      </w:pPr>
      <w:r w:rsidRPr="00B57AE7">
        <w:rPr>
          <w:b/>
          <w:sz w:val="22"/>
          <w:szCs w:val="22"/>
          <w:lang w:eastAsia="en-US"/>
        </w:rPr>
        <w:t>9.</w:t>
      </w:r>
      <w:r w:rsidRPr="00B57AE7">
        <w:rPr>
          <w:b/>
          <w:sz w:val="22"/>
          <w:szCs w:val="22"/>
          <w:lang w:eastAsia="en-US"/>
        </w:rPr>
        <w:tab/>
      </w:r>
      <w:r w:rsidR="00331877" w:rsidRPr="00B57AE7">
        <w:rPr>
          <w:b/>
          <w:sz w:val="22"/>
          <w:szCs w:val="22"/>
          <w:lang w:eastAsia="en-US"/>
        </w:rPr>
        <w:t>DÁTUM PRVEJ REGISTRÁCIE/PREDĹŽENIA REGISTRÁCIE</w:t>
      </w:r>
    </w:p>
    <w:p w14:paraId="7C3A362F" w14:textId="77777777" w:rsidR="005C5AB1" w:rsidRPr="00B57AE7" w:rsidRDefault="005C5AB1" w:rsidP="00AD6F14">
      <w:pPr>
        <w:widowControl w:val="0"/>
        <w:tabs>
          <w:tab w:val="left" w:pos="567"/>
        </w:tabs>
        <w:rPr>
          <w:i/>
          <w:sz w:val="22"/>
          <w:szCs w:val="22"/>
          <w:lang w:eastAsia="en-US"/>
        </w:rPr>
      </w:pPr>
    </w:p>
    <w:p w14:paraId="603DA12F" w14:textId="77777777" w:rsidR="005C5AB1" w:rsidRPr="00B57AE7" w:rsidRDefault="00331877" w:rsidP="00AD6F14">
      <w:pPr>
        <w:widowControl w:val="0"/>
        <w:tabs>
          <w:tab w:val="left" w:pos="567"/>
        </w:tabs>
        <w:rPr>
          <w:i/>
          <w:iCs/>
          <w:sz w:val="22"/>
          <w:szCs w:val="22"/>
        </w:rPr>
      </w:pPr>
      <w:r w:rsidRPr="00B57AE7">
        <w:rPr>
          <w:sz w:val="22"/>
          <w:szCs w:val="22"/>
          <w:lang w:eastAsia="en-US"/>
        </w:rPr>
        <w:t>Dátum prvej registrácie:</w:t>
      </w:r>
      <w:r w:rsidR="002E1B04">
        <w:rPr>
          <w:sz w:val="22"/>
          <w:szCs w:val="22"/>
          <w:lang w:eastAsia="en-US"/>
        </w:rPr>
        <w:t xml:space="preserve"> 23. jún </w:t>
      </w:r>
      <w:r w:rsidR="002E1B04" w:rsidRPr="002E1B04">
        <w:rPr>
          <w:sz w:val="22"/>
          <w:szCs w:val="22"/>
          <w:lang w:eastAsia="en-US"/>
        </w:rPr>
        <w:t>2022</w:t>
      </w:r>
    </w:p>
    <w:p w14:paraId="375D6882" w14:textId="77777777" w:rsidR="005C5AB1" w:rsidRPr="00B57AE7" w:rsidRDefault="005C5AB1" w:rsidP="00AD6F14">
      <w:pPr>
        <w:widowControl w:val="0"/>
        <w:tabs>
          <w:tab w:val="left" w:pos="567"/>
        </w:tabs>
        <w:autoSpaceDE w:val="0"/>
        <w:autoSpaceDN w:val="0"/>
        <w:adjustRightInd w:val="0"/>
        <w:rPr>
          <w:iCs/>
          <w:color w:val="000000"/>
          <w:sz w:val="22"/>
          <w:szCs w:val="22"/>
          <w:lang w:eastAsia="en-US"/>
        </w:rPr>
      </w:pPr>
    </w:p>
    <w:p w14:paraId="157F144D" w14:textId="77777777" w:rsidR="005C5AB1" w:rsidRPr="00B57AE7" w:rsidRDefault="005C5AB1" w:rsidP="00AD6F14">
      <w:pPr>
        <w:widowControl w:val="0"/>
        <w:tabs>
          <w:tab w:val="left" w:pos="567"/>
        </w:tabs>
        <w:rPr>
          <w:sz w:val="22"/>
          <w:szCs w:val="22"/>
          <w:lang w:eastAsia="en-US"/>
        </w:rPr>
      </w:pPr>
    </w:p>
    <w:p w14:paraId="473A95FB" w14:textId="77777777" w:rsidR="005C5AB1" w:rsidRPr="00E314F3" w:rsidRDefault="005C5AB1" w:rsidP="00AD6F14">
      <w:pPr>
        <w:widowControl w:val="0"/>
        <w:tabs>
          <w:tab w:val="left" w:pos="567"/>
        </w:tabs>
        <w:rPr>
          <w:b/>
          <w:sz w:val="22"/>
          <w:szCs w:val="22"/>
          <w:lang w:eastAsia="en-US"/>
        </w:rPr>
      </w:pPr>
      <w:r w:rsidRPr="00B57AE7">
        <w:rPr>
          <w:b/>
          <w:sz w:val="22"/>
          <w:szCs w:val="22"/>
          <w:lang w:eastAsia="en-US"/>
        </w:rPr>
        <w:t>10.</w:t>
      </w:r>
      <w:r w:rsidRPr="00B57AE7">
        <w:rPr>
          <w:b/>
          <w:sz w:val="22"/>
          <w:szCs w:val="22"/>
          <w:lang w:eastAsia="en-US"/>
        </w:rPr>
        <w:tab/>
      </w:r>
      <w:r w:rsidR="00331877" w:rsidRPr="00B57AE7">
        <w:rPr>
          <w:b/>
          <w:sz w:val="22"/>
          <w:szCs w:val="22"/>
          <w:lang w:eastAsia="en-US"/>
        </w:rPr>
        <w:t>DÁTUM REVÍZIE TEXTU</w:t>
      </w:r>
    </w:p>
    <w:p w14:paraId="2D988704" w14:textId="77777777" w:rsidR="005C5AB1" w:rsidRPr="00E314F3" w:rsidRDefault="005C5AB1" w:rsidP="00AD6F14">
      <w:pPr>
        <w:widowControl w:val="0"/>
        <w:tabs>
          <w:tab w:val="left" w:pos="567"/>
        </w:tabs>
        <w:rPr>
          <w:sz w:val="22"/>
          <w:szCs w:val="22"/>
          <w:lang w:eastAsia="en-US"/>
        </w:rPr>
      </w:pPr>
    </w:p>
    <w:p w14:paraId="4F806D35" w14:textId="6BAF1F85" w:rsidR="00F40C7E" w:rsidRPr="00E314F3" w:rsidRDefault="002100FF" w:rsidP="00AD6F14">
      <w:pPr>
        <w:widowControl w:val="0"/>
        <w:tabs>
          <w:tab w:val="left" w:pos="567"/>
        </w:tabs>
        <w:rPr>
          <w:sz w:val="22"/>
          <w:szCs w:val="22"/>
          <w:lang w:eastAsia="en-US"/>
        </w:rPr>
      </w:pPr>
      <w:r>
        <w:rPr>
          <w:sz w:val="22"/>
          <w:szCs w:val="22"/>
          <w:lang w:eastAsia="en-US"/>
        </w:rPr>
        <w:t>04</w:t>
      </w:r>
      <w:r w:rsidR="00D61EAD">
        <w:rPr>
          <w:sz w:val="22"/>
          <w:szCs w:val="22"/>
          <w:lang w:eastAsia="en-US"/>
        </w:rPr>
        <w:t>/</w:t>
      </w:r>
      <w:r>
        <w:rPr>
          <w:sz w:val="22"/>
          <w:szCs w:val="22"/>
          <w:lang w:eastAsia="en-US"/>
        </w:rPr>
        <w:t>2024</w:t>
      </w:r>
    </w:p>
    <w:sectPr w:rsidR="00F40C7E" w:rsidRPr="00E314F3" w:rsidSect="00C63D6A">
      <w:headerReference w:type="default" r:id="rId12"/>
      <w:footerReference w:type="even" r:id="rId13"/>
      <w:footerReference w:type="default" r:id="rId14"/>
      <w:type w:val="continuous"/>
      <w:pgSz w:w="11907" w:h="16840" w:code="9"/>
      <w:pgMar w:top="1134" w:right="1418" w:bottom="1134" w:left="1418" w:header="737" w:footer="73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9A8E6" w14:textId="77777777" w:rsidR="00C63D6A" w:rsidRDefault="00C63D6A">
      <w:r>
        <w:separator/>
      </w:r>
    </w:p>
  </w:endnote>
  <w:endnote w:type="continuationSeparator" w:id="0">
    <w:p w14:paraId="5E76291F" w14:textId="77777777" w:rsidR="00C63D6A" w:rsidRDefault="00C63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80BBD" w14:textId="77777777" w:rsidR="00DA3CDE" w:rsidRDefault="00DA3CDE" w:rsidP="001575C1">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7527110C" w14:textId="77777777" w:rsidR="00DA3CDE" w:rsidRDefault="00DA3CDE" w:rsidP="00AE4202">
    <w:pPr>
      <w:pStyle w:val="Pta"/>
      <w:ind w:right="360"/>
    </w:pPr>
  </w:p>
  <w:p w14:paraId="76C5ECD2" w14:textId="77777777" w:rsidR="00DA3CDE" w:rsidRDefault="00DA3CD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55D79" w14:textId="35E0C9E2" w:rsidR="00DA3CDE" w:rsidRPr="002E5AF2" w:rsidRDefault="005413B5">
    <w:pPr>
      <w:pStyle w:val="Pta"/>
      <w:jc w:val="center"/>
      <w:rPr>
        <w:sz w:val="18"/>
        <w:szCs w:val="18"/>
      </w:rPr>
    </w:pPr>
    <w:r>
      <w:rPr>
        <w:noProof/>
        <w:lang w:eastAsia="sk-SK"/>
      </w:rPr>
      <mc:AlternateContent>
        <mc:Choice Requires="wps">
          <w:drawing>
            <wp:anchor distT="0" distB="0" distL="114300" distR="114300" simplePos="0" relativeHeight="251657728" behindDoc="0" locked="0" layoutInCell="0" allowOverlap="1" wp14:anchorId="76B5BCA5" wp14:editId="7E9D3F21">
              <wp:simplePos x="0" y="0"/>
              <wp:positionH relativeFrom="page">
                <wp:posOffset>0</wp:posOffset>
              </wp:positionH>
              <wp:positionV relativeFrom="page">
                <wp:posOffset>9955530</wp:posOffset>
              </wp:positionV>
              <wp:extent cx="7560945" cy="546735"/>
              <wp:effectExtent l="0" t="0" r="0" b="0"/>
              <wp:wrapNone/>
              <wp:docPr id="1" name="MSIPCMc2cb4415a8994fd9def0c9f8" descr="{&quot;HashCode&quot;:-1276156026,&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546735"/>
                      </a:xfrm>
                      <a:prstGeom prst="rect">
                        <a:avLst/>
                      </a:prstGeom>
                      <a:noFill/>
                      <a:ln w="6350">
                        <a:noFill/>
                      </a:ln>
                    </wps:spPr>
                    <wps:txbx>
                      <w:txbxContent>
                        <w:p w14:paraId="351307DE" w14:textId="77777777" w:rsidR="00DA3CDE" w:rsidRPr="006C3338" w:rsidRDefault="00DA3CDE" w:rsidP="006C3338">
                          <w:pPr>
                            <w:rPr>
                              <w:rFonts w:ascii="Calibri" w:hAnsi="Calibri" w:cs="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6B5BCA5" id="_x0000_t202" coordsize="21600,21600" o:spt="202" path="m,l,21600r21600,l21600,xe">
              <v:stroke joinstyle="miter"/>
              <v:path gradientshapeok="t" o:connecttype="rect"/>
            </v:shapetype>
            <v:shape id="MSIPCMc2cb4415a8994fd9def0c9f8" o:spid="_x0000_s1026" type="#_x0000_t202" alt="{&quot;HashCode&quot;:-1276156026,&quot;Height&quot;:842.0,&quot;Width&quot;:595.0,&quot;Placement&quot;:&quot;Footer&quot;,&quot;Index&quot;:&quot;Primary&quot;,&quot;Section&quot;:1,&quot;Top&quot;:0.0,&quot;Left&quot;:0.0}" style="position:absolute;left:0;text-align:left;margin-left:0;margin-top:783.9pt;width:595.35pt;height:43.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" o:allowincell="f" filled="f" stroked="f" strokeweight=".5pt">
              <v:path arrowok="t"/>
              <v:textbox inset="20pt,0,,0">
                <w:txbxContent>
                  <w:p w14:paraId="351307DE" w14:textId="77777777" w:rsidR="00DA3CDE" w:rsidRPr="006C3338" w:rsidRDefault="00DA3CDE" w:rsidP="006C3338">
                    <w:pPr>
                      <w:rPr>
                        <w:rFonts w:ascii="Calibri" w:hAnsi="Calibri" w:cs="Calibri"/>
                        <w:color w:val="000000"/>
                        <w:sz w:val="16"/>
                      </w:rPr>
                    </w:pPr>
                  </w:p>
                </w:txbxContent>
              </v:textbox>
              <w10:wrap anchorx="page" anchory="page"/>
            </v:shape>
          </w:pict>
        </mc:Fallback>
      </mc:AlternateContent>
    </w:r>
    <w:r w:rsidR="00DA3CDE" w:rsidRPr="002E5AF2">
      <w:rPr>
        <w:sz w:val="18"/>
        <w:szCs w:val="18"/>
      </w:rPr>
      <w:fldChar w:fldCharType="begin"/>
    </w:r>
    <w:r w:rsidR="00DA3CDE" w:rsidRPr="002E5AF2">
      <w:rPr>
        <w:sz w:val="18"/>
        <w:szCs w:val="18"/>
      </w:rPr>
      <w:instrText>PAGE   \* MERGEFORMAT</w:instrText>
    </w:r>
    <w:r w:rsidR="00DA3CDE" w:rsidRPr="002E5AF2">
      <w:rPr>
        <w:sz w:val="18"/>
        <w:szCs w:val="18"/>
      </w:rPr>
      <w:fldChar w:fldCharType="separate"/>
    </w:r>
    <w:r w:rsidR="00071853">
      <w:rPr>
        <w:noProof/>
        <w:sz w:val="18"/>
        <w:szCs w:val="18"/>
      </w:rPr>
      <w:t>9</w:t>
    </w:r>
    <w:r w:rsidR="00DA3CDE" w:rsidRPr="002E5AF2">
      <w:rPr>
        <w:sz w:val="18"/>
        <w:szCs w:val="18"/>
      </w:rPr>
      <w:fldChar w:fldCharType="end"/>
    </w:r>
  </w:p>
  <w:p w14:paraId="024FA2B5" w14:textId="77777777" w:rsidR="00DA3CDE" w:rsidRDefault="00DA3CDE">
    <w:pPr>
      <w:pStyle w:val="Pta"/>
    </w:pPr>
  </w:p>
  <w:p w14:paraId="4421B2A0" w14:textId="77777777" w:rsidR="00DA3CDE" w:rsidRDefault="00DA3C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D67EB" w14:textId="77777777" w:rsidR="00C63D6A" w:rsidRDefault="00C63D6A">
      <w:r>
        <w:separator/>
      </w:r>
    </w:p>
  </w:footnote>
  <w:footnote w:type="continuationSeparator" w:id="0">
    <w:p w14:paraId="0D2B00BB" w14:textId="77777777" w:rsidR="00C63D6A" w:rsidRDefault="00C63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D4901" w14:textId="6CF72ACC" w:rsidR="00DA3CDE" w:rsidRDefault="00DA3CDE">
    <w:bookmarkStart w:id="0" w:name="_Hlk90449145"/>
    <w:bookmarkStart w:id="1" w:name="_Hlk90449146"/>
    <w:r>
      <w:rPr>
        <w:sz w:val="18"/>
        <w:szCs w:val="18"/>
      </w:rPr>
      <w:t>Príloha č.1 k notifikácii o zmene</w:t>
    </w:r>
    <w:bookmarkEnd w:id="0"/>
    <w:bookmarkEnd w:id="1"/>
    <w:r w:rsidRPr="005122A6">
      <w:rPr>
        <w:sz w:val="18"/>
        <w:szCs w:val="18"/>
      </w:rPr>
      <w:t xml:space="preserve">, ev. </w:t>
    </w:r>
    <w:r w:rsidRPr="005122A6">
      <w:rPr>
        <w:sz w:val="18"/>
        <w:szCs w:val="18"/>
      </w:rPr>
      <w:t>č.:</w:t>
    </w:r>
    <w:r>
      <w:rPr>
        <w:sz w:val="18"/>
        <w:szCs w:val="18"/>
      </w:rPr>
      <w:t xml:space="preserve"> </w:t>
    </w:r>
    <w:r w:rsidR="00D61EAD" w:rsidRPr="00D61EAD">
      <w:rPr>
        <w:sz w:val="18"/>
        <w:szCs w:val="18"/>
      </w:rPr>
      <w:t>2024/01197-Z1B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A3B27F0"/>
    <w:multiLevelType w:val="hybridMultilevel"/>
    <w:tmpl w:val="546AC6F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DA28433"/>
    <w:multiLevelType w:val="hybridMultilevel"/>
    <w:tmpl w:val="4B98C23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4081B1C"/>
    <w:multiLevelType w:val="hybridMultilevel"/>
    <w:tmpl w:val="A8AB41A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576B162"/>
    <w:multiLevelType w:val="hybridMultilevel"/>
    <w:tmpl w:val="2A0F31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99529AC"/>
    <w:multiLevelType w:val="hybridMultilevel"/>
    <w:tmpl w:val="A3A0F5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CCCA0D2"/>
    <w:multiLevelType w:val="hybridMultilevel"/>
    <w:tmpl w:val="6E0489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FFFFFFE"/>
    <w:multiLevelType w:val="singleLevel"/>
    <w:tmpl w:val="FFFFFFFF"/>
    <w:lvl w:ilvl="0">
      <w:numFmt w:val="decimal"/>
      <w:lvlText w:val="*"/>
      <w:lvlJc w:val="left"/>
    </w:lvl>
  </w:abstractNum>
  <w:abstractNum w:abstractNumId="7" w15:restartNumberingAfterBreak="0">
    <w:nsid w:val="00000005"/>
    <w:multiLevelType w:val="hybridMultilevel"/>
    <w:tmpl w:val="51D9C56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7"/>
    <w:multiLevelType w:val="hybridMultilevel"/>
    <w:tmpl w:val="0BF72B1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E"/>
    <w:multiLevelType w:val="hybridMultilevel"/>
    <w:tmpl w:val="68EB2F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F"/>
    <w:multiLevelType w:val="hybridMultilevel"/>
    <w:tmpl w:val="496281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1EC76B7"/>
    <w:multiLevelType w:val="hybridMultilevel"/>
    <w:tmpl w:val="FA717A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618628E"/>
    <w:multiLevelType w:val="hybridMultilevel"/>
    <w:tmpl w:val="AD9F12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67029F8"/>
    <w:multiLevelType w:val="hybridMultilevel"/>
    <w:tmpl w:val="9DB6BDC4"/>
    <w:lvl w:ilvl="0" w:tplc="04240001">
      <w:start w:val="1"/>
      <w:numFmt w:val="bullet"/>
      <w:lvlText w:val=""/>
      <w:lvlJc w:val="left"/>
      <w:pPr>
        <w:tabs>
          <w:tab w:val="num" w:pos="570"/>
        </w:tabs>
        <w:ind w:left="570" w:hanging="57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88B7995"/>
    <w:multiLevelType w:val="hybridMultilevel"/>
    <w:tmpl w:val="22AC8EE4"/>
    <w:lvl w:ilvl="0" w:tplc="D450914A">
      <w:start w:val="1"/>
      <w:numFmt w:val="bullet"/>
      <w:lvlText w:val="-"/>
      <w:lvlJc w:val="left"/>
      <w:pPr>
        <w:tabs>
          <w:tab w:val="num" w:pos="567"/>
        </w:tabs>
        <w:ind w:left="567" w:hanging="56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9E17796"/>
    <w:multiLevelType w:val="hybridMultilevel"/>
    <w:tmpl w:val="EC4536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F04442B"/>
    <w:multiLevelType w:val="hybridMultilevel"/>
    <w:tmpl w:val="FAEA8B30"/>
    <w:lvl w:ilvl="0" w:tplc="DF7E6C7E">
      <w:numFmt w:val="bullet"/>
      <w:lvlText w:val="-"/>
      <w:lvlJc w:val="left"/>
      <w:pPr>
        <w:tabs>
          <w:tab w:val="num" w:pos="567"/>
        </w:tabs>
        <w:ind w:left="567" w:hanging="567"/>
      </w:pPr>
      <w:rPr>
        <w:rFonts w:ascii="Times New Roman" w:eastAsia="Times New Roman" w:hAnsi="Times New Roman" w:cs="Times New Roman" w:hint="default"/>
        <w:color w:val="auto"/>
      </w:rPr>
    </w:lvl>
    <w:lvl w:ilvl="1" w:tplc="0424000F">
      <w:start w:val="1"/>
      <w:numFmt w:val="decimal"/>
      <w:lvlText w:val="%2."/>
      <w:lvlJc w:val="left"/>
      <w:pPr>
        <w:tabs>
          <w:tab w:val="num" w:pos="1440"/>
        </w:tabs>
        <w:ind w:left="1440" w:hanging="360"/>
      </w:pPr>
      <w:rPr>
        <w:rFonts w:hint="default"/>
        <w:color w:val="auto"/>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16E521F"/>
    <w:multiLevelType w:val="hybridMultilevel"/>
    <w:tmpl w:val="7C486B12"/>
    <w:lvl w:ilvl="0" w:tplc="72E2E094">
      <w:start w:val="1"/>
      <w:numFmt w:val="decimal"/>
      <w:lvlText w:val="%1."/>
      <w:lvlJc w:val="left"/>
      <w:pPr>
        <w:tabs>
          <w:tab w:val="num" w:pos="567"/>
        </w:tabs>
        <w:ind w:left="567" w:hanging="567"/>
      </w:pPr>
      <w:rPr>
        <w:rFonts w:hint="default"/>
        <w:b w:val="0"/>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1404AD4E"/>
    <w:multiLevelType w:val="hybridMultilevel"/>
    <w:tmpl w:val="4B889A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41B7CE2"/>
    <w:multiLevelType w:val="hybridMultilevel"/>
    <w:tmpl w:val="66D6925C"/>
    <w:lvl w:ilvl="0" w:tplc="D450914A">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14A117E7"/>
    <w:multiLevelType w:val="hybridMultilevel"/>
    <w:tmpl w:val="5D4809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57526AD"/>
    <w:multiLevelType w:val="hybridMultilevel"/>
    <w:tmpl w:val="276EEA16"/>
    <w:lvl w:ilvl="0" w:tplc="61D6DA82">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675908C"/>
    <w:multiLevelType w:val="hybridMultilevel"/>
    <w:tmpl w:val="10FE73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300A3779"/>
    <w:multiLevelType w:val="hybridMultilevel"/>
    <w:tmpl w:val="BAFE31AA"/>
    <w:lvl w:ilvl="0" w:tplc="FFFFFFFF">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36964572"/>
    <w:multiLevelType w:val="hybridMultilevel"/>
    <w:tmpl w:val="1F4C18AA"/>
    <w:lvl w:ilvl="0" w:tplc="E2D8FEBE">
      <w:start w:val="1"/>
      <w:numFmt w:val="bullet"/>
      <w:lvlText w:val="-"/>
      <w:lvlJc w:val="left"/>
      <w:pPr>
        <w:tabs>
          <w:tab w:val="num" w:pos="567"/>
        </w:tabs>
        <w:ind w:left="567" w:hanging="567"/>
      </w:pPr>
      <w:rPr>
        <w:rFonts w:hint="default"/>
      </w:rPr>
    </w:lvl>
    <w:lvl w:ilvl="1" w:tplc="FFFFFFFF">
      <w:start w:val="1"/>
      <w:numFmt w:val="bullet"/>
      <w:lvlText w:val="-"/>
      <w:legacy w:legacy="1" w:legacySpace="0" w:legacyIndent="360"/>
      <w:lvlJc w:val="left"/>
      <w:pPr>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F207B4"/>
    <w:multiLevelType w:val="hybridMultilevel"/>
    <w:tmpl w:val="76760A94"/>
    <w:lvl w:ilvl="0" w:tplc="D450914A">
      <w:start w:val="1"/>
      <w:numFmt w:val="bullet"/>
      <w:lvlText w:val="-"/>
      <w:lvlJc w:val="left"/>
      <w:pPr>
        <w:tabs>
          <w:tab w:val="num" w:pos="567"/>
        </w:tabs>
        <w:ind w:left="567" w:hanging="56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52371A"/>
    <w:multiLevelType w:val="hybridMultilevel"/>
    <w:tmpl w:val="48E257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5E46BE1"/>
    <w:multiLevelType w:val="hybridMultilevel"/>
    <w:tmpl w:val="4412E6EC"/>
    <w:lvl w:ilvl="0" w:tplc="61D6DA82">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E030F68"/>
    <w:multiLevelType w:val="multilevel"/>
    <w:tmpl w:val="6290C4F6"/>
    <w:lvl w:ilvl="0">
      <w:start w:val="6"/>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2" w15:restartNumberingAfterBreak="0">
    <w:nsid w:val="4FFF4167"/>
    <w:multiLevelType w:val="hybridMultilevel"/>
    <w:tmpl w:val="7826CFBA"/>
    <w:lvl w:ilvl="0" w:tplc="61D6DA82">
      <w:start w:val="1"/>
      <w:numFmt w:val="bullet"/>
      <w:lvlText w:val="-"/>
      <w:lvlJc w:val="left"/>
      <w:pPr>
        <w:tabs>
          <w:tab w:val="num" w:pos="567"/>
        </w:tabs>
        <w:ind w:left="567" w:hanging="56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04708FD"/>
    <w:multiLevelType w:val="hybridMultilevel"/>
    <w:tmpl w:val="09F6A2A4"/>
    <w:lvl w:ilvl="0" w:tplc="D450914A">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6B515E3"/>
    <w:multiLevelType w:val="hybridMultilevel"/>
    <w:tmpl w:val="C494FE62"/>
    <w:lvl w:ilvl="0" w:tplc="FFFFFFFF">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7180B42"/>
    <w:multiLevelType w:val="multilevel"/>
    <w:tmpl w:val="35F8F938"/>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7814AF2"/>
    <w:multiLevelType w:val="hybridMultilevel"/>
    <w:tmpl w:val="ED36E7EC"/>
    <w:lvl w:ilvl="0" w:tplc="D450914A">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5B7436D2"/>
    <w:multiLevelType w:val="multilevel"/>
    <w:tmpl w:val="C64A9C10"/>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26EB0C8"/>
    <w:multiLevelType w:val="hybridMultilevel"/>
    <w:tmpl w:val="0E7B9F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4863548"/>
    <w:multiLevelType w:val="hybridMultilevel"/>
    <w:tmpl w:val="F042B608"/>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59EE6BC"/>
    <w:multiLevelType w:val="hybridMultilevel"/>
    <w:tmpl w:val="78EED03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43" w15:restartNumberingAfterBreak="0">
    <w:nsid w:val="6A7C579C"/>
    <w:multiLevelType w:val="hybridMultilevel"/>
    <w:tmpl w:val="F2CC27EA"/>
    <w:lvl w:ilvl="0" w:tplc="FFFFFFFF">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AB60803"/>
    <w:multiLevelType w:val="hybridMultilevel"/>
    <w:tmpl w:val="17F0B1F0"/>
    <w:lvl w:ilvl="0" w:tplc="D450914A">
      <w:start w:val="1"/>
      <w:numFmt w:val="bullet"/>
      <w:lvlText w:val="-"/>
      <w:lvlJc w:val="left"/>
      <w:pPr>
        <w:tabs>
          <w:tab w:val="num" w:pos="567"/>
        </w:tabs>
        <w:ind w:left="567" w:hanging="56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8CB9B3"/>
    <w:multiLevelType w:val="hybridMultilevel"/>
    <w:tmpl w:val="B3E4EB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7CECE075"/>
    <w:multiLevelType w:val="hybridMultilevel"/>
    <w:tmpl w:val="F9B746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2437136">
    <w:abstractNumId w:val="44"/>
  </w:num>
  <w:num w:numId="2" w16cid:durableId="759910952">
    <w:abstractNumId w:val="6"/>
    <w:lvlOverride w:ilvl="0">
      <w:lvl w:ilvl="0">
        <w:start w:val="1"/>
        <w:numFmt w:val="bullet"/>
        <w:lvlText w:val="-"/>
        <w:legacy w:legacy="1" w:legacySpace="0" w:legacyIndent="360"/>
        <w:lvlJc w:val="left"/>
        <w:pPr>
          <w:ind w:left="360" w:hanging="360"/>
        </w:pPr>
      </w:lvl>
    </w:lvlOverride>
  </w:num>
  <w:num w:numId="3" w16cid:durableId="917862764">
    <w:abstractNumId w:val="34"/>
  </w:num>
  <w:num w:numId="4" w16cid:durableId="1211301961">
    <w:abstractNumId w:val="33"/>
  </w:num>
  <w:num w:numId="5" w16cid:durableId="671877587">
    <w:abstractNumId w:val="46"/>
  </w:num>
  <w:num w:numId="6" w16cid:durableId="1581209177">
    <w:abstractNumId w:val="15"/>
  </w:num>
  <w:num w:numId="7" w16cid:durableId="1528250787">
    <w:abstractNumId w:val="39"/>
  </w:num>
  <w:num w:numId="8" w16cid:durableId="2043555392">
    <w:abstractNumId w:val="3"/>
  </w:num>
  <w:num w:numId="9" w16cid:durableId="1705016849">
    <w:abstractNumId w:val="23"/>
  </w:num>
  <w:num w:numId="10" w16cid:durableId="62529883">
    <w:abstractNumId w:val="12"/>
  </w:num>
  <w:num w:numId="11" w16cid:durableId="1233353377">
    <w:abstractNumId w:val="0"/>
  </w:num>
  <w:num w:numId="12" w16cid:durableId="2134401271">
    <w:abstractNumId w:val="2"/>
  </w:num>
  <w:num w:numId="13" w16cid:durableId="922950479">
    <w:abstractNumId w:val="1"/>
  </w:num>
  <w:num w:numId="14" w16cid:durableId="653802216">
    <w:abstractNumId w:val="41"/>
  </w:num>
  <w:num w:numId="15" w16cid:durableId="233972424">
    <w:abstractNumId w:val="5"/>
  </w:num>
  <w:num w:numId="16" w16cid:durableId="1589271984">
    <w:abstractNumId w:val="16"/>
  </w:num>
  <w:num w:numId="17" w16cid:durableId="1331375195">
    <w:abstractNumId w:val="48"/>
  </w:num>
  <w:num w:numId="18" w16cid:durableId="1822844676">
    <w:abstractNumId w:val="4"/>
  </w:num>
  <w:num w:numId="19" w16cid:durableId="1819296509">
    <w:abstractNumId w:val="11"/>
  </w:num>
  <w:num w:numId="20" w16cid:durableId="252789351">
    <w:abstractNumId w:val="19"/>
  </w:num>
  <w:num w:numId="21" w16cid:durableId="1580217319">
    <w:abstractNumId w:val="47"/>
  </w:num>
  <w:num w:numId="22" w16cid:durableId="1216114293">
    <w:abstractNumId w:val="6"/>
    <w:lvlOverride w:ilvl="0">
      <w:lvl w:ilvl="0">
        <w:start w:val="1"/>
        <w:numFmt w:val="bullet"/>
        <w:lvlText w:val="-"/>
        <w:legacy w:legacy="1" w:legacySpace="0" w:legacyIndent="360"/>
        <w:lvlJc w:val="left"/>
        <w:pPr>
          <w:ind w:left="360" w:hanging="360"/>
        </w:pPr>
      </w:lvl>
    </w:lvlOverride>
  </w:num>
  <w:num w:numId="23" w16cid:durableId="477460407">
    <w:abstractNumId w:val="42"/>
  </w:num>
  <w:num w:numId="24" w16cid:durableId="971639182">
    <w:abstractNumId w:val="45"/>
  </w:num>
  <w:num w:numId="25" w16cid:durableId="1301351490">
    <w:abstractNumId w:val="26"/>
  </w:num>
  <w:num w:numId="26" w16cid:durableId="1359431631">
    <w:abstractNumId w:val="37"/>
  </w:num>
  <w:num w:numId="27" w16cid:durableId="551354783">
    <w:abstractNumId w:val="24"/>
  </w:num>
  <w:num w:numId="28" w16cid:durableId="266037185">
    <w:abstractNumId w:val="17"/>
  </w:num>
  <w:num w:numId="29" w16cid:durableId="1330401292">
    <w:abstractNumId w:val="27"/>
  </w:num>
  <w:num w:numId="30" w16cid:durableId="902104567">
    <w:abstractNumId w:val="28"/>
  </w:num>
  <w:num w:numId="31" w16cid:durableId="1174108677">
    <w:abstractNumId w:val="14"/>
  </w:num>
  <w:num w:numId="32" w16cid:durableId="1613316916">
    <w:abstractNumId w:val="18"/>
  </w:num>
  <w:num w:numId="33" w16cid:durableId="1937057484">
    <w:abstractNumId w:val="38"/>
  </w:num>
  <w:num w:numId="34" w16cid:durableId="1339307025">
    <w:abstractNumId w:val="31"/>
  </w:num>
  <w:num w:numId="35" w16cid:durableId="1542673724">
    <w:abstractNumId w:val="35"/>
  </w:num>
  <w:num w:numId="36" w16cid:durableId="478692335">
    <w:abstractNumId w:val="21"/>
  </w:num>
  <w:num w:numId="37" w16cid:durableId="763647152">
    <w:abstractNumId w:val="29"/>
  </w:num>
  <w:num w:numId="38" w16cid:durableId="9453962">
    <w:abstractNumId w:val="40"/>
  </w:num>
  <w:num w:numId="39" w16cid:durableId="930116144">
    <w:abstractNumId w:val="13"/>
  </w:num>
  <w:num w:numId="40" w16cid:durableId="1790052437">
    <w:abstractNumId w:val="32"/>
  </w:num>
  <w:num w:numId="41" w16cid:durableId="1026709966">
    <w:abstractNumId w:val="25"/>
  </w:num>
  <w:num w:numId="42" w16cid:durableId="1392655242">
    <w:abstractNumId w:val="20"/>
  </w:num>
  <w:num w:numId="43" w16cid:durableId="438140919">
    <w:abstractNumId w:val="36"/>
  </w:num>
  <w:num w:numId="44" w16cid:durableId="2026207119">
    <w:abstractNumId w:val="43"/>
  </w:num>
  <w:num w:numId="45" w16cid:durableId="811949029">
    <w:abstractNumId w:val="22"/>
  </w:num>
  <w:num w:numId="46" w16cid:durableId="2024282950">
    <w:abstractNumId w:val="30"/>
  </w:num>
  <w:num w:numId="47" w16cid:durableId="589316109">
    <w:abstractNumId w:val="7"/>
  </w:num>
  <w:num w:numId="48" w16cid:durableId="1373722814">
    <w:abstractNumId w:val="8"/>
  </w:num>
  <w:num w:numId="49" w16cid:durableId="1603756237">
    <w:abstractNumId w:val="9"/>
  </w:num>
  <w:num w:numId="50" w16cid:durableId="374161976">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E2B"/>
    <w:rsid w:val="000002A5"/>
    <w:rsid w:val="00003050"/>
    <w:rsid w:val="000037A9"/>
    <w:rsid w:val="00004A4A"/>
    <w:rsid w:val="000065B2"/>
    <w:rsid w:val="000069BB"/>
    <w:rsid w:val="00012875"/>
    <w:rsid w:val="0001654D"/>
    <w:rsid w:val="00020B8C"/>
    <w:rsid w:val="00022B84"/>
    <w:rsid w:val="000262D7"/>
    <w:rsid w:val="00027D99"/>
    <w:rsid w:val="000301F6"/>
    <w:rsid w:val="0003157A"/>
    <w:rsid w:val="00032413"/>
    <w:rsid w:val="00032598"/>
    <w:rsid w:val="000345A9"/>
    <w:rsid w:val="0003563A"/>
    <w:rsid w:val="00037109"/>
    <w:rsid w:val="00041BA0"/>
    <w:rsid w:val="000433F2"/>
    <w:rsid w:val="000436BA"/>
    <w:rsid w:val="000464EF"/>
    <w:rsid w:val="0004740A"/>
    <w:rsid w:val="0005231F"/>
    <w:rsid w:val="00054794"/>
    <w:rsid w:val="00055877"/>
    <w:rsid w:val="00055BD7"/>
    <w:rsid w:val="0005711B"/>
    <w:rsid w:val="00062F3D"/>
    <w:rsid w:val="0006377F"/>
    <w:rsid w:val="00064D45"/>
    <w:rsid w:val="000654F0"/>
    <w:rsid w:val="000657F0"/>
    <w:rsid w:val="00065D64"/>
    <w:rsid w:val="00067720"/>
    <w:rsid w:val="00071853"/>
    <w:rsid w:val="000735C1"/>
    <w:rsid w:val="00073CBA"/>
    <w:rsid w:val="000758E6"/>
    <w:rsid w:val="000808D7"/>
    <w:rsid w:val="00081F1F"/>
    <w:rsid w:val="00082F94"/>
    <w:rsid w:val="00086A28"/>
    <w:rsid w:val="00087D40"/>
    <w:rsid w:val="00087DBE"/>
    <w:rsid w:val="00090ECA"/>
    <w:rsid w:val="00091268"/>
    <w:rsid w:val="00091386"/>
    <w:rsid w:val="00092288"/>
    <w:rsid w:val="0009293E"/>
    <w:rsid w:val="00092AFA"/>
    <w:rsid w:val="00092B60"/>
    <w:rsid w:val="00092DCA"/>
    <w:rsid w:val="00094E07"/>
    <w:rsid w:val="000955ED"/>
    <w:rsid w:val="000963FA"/>
    <w:rsid w:val="000968CE"/>
    <w:rsid w:val="000977F4"/>
    <w:rsid w:val="0009785F"/>
    <w:rsid w:val="000A1EAD"/>
    <w:rsid w:val="000A3E8C"/>
    <w:rsid w:val="000A58EF"/>
    <w:rsid w:val="000A6669"/>
    <w:rsid w:val="000A6D66"/>
    <w:rsid w:val="000B0500"/>
    <w:rsid w:val="000B09CA"/>
    <w:rsid w:val="000B142C"/>
    <w:rsid w:val="000B3484"/>
    <w:rsid w:val="000B3B0B"/>
    <w:rsid w:val="000B502D"/>
    <w:rsid w:val="000B6A2C"/>
    <w:rsid w:val="000B772C"/>
    <w:rsid w:val="000C422D"/>
    <w:rsid w:val="000C5F39"/>
    <w:rsid w:val="000C63D6"/>
    <w:rsid w:val="000D1522"/>
    <w:rsid w:val="000D48D5"/>
    <w:rsid w:val="000D4FCA"/>
    <w:rsid w:val="000D5D2B"/>
    <w:rsid w:val="000D6EB0"/>
    <w:rsid w:val="000E023D"/>
    <w:rsid w:val="000E0351"/>
    <w:rsid w:val="000E0D46"/>
    <w:rsid w:val="000E0E75"/>
    <w:rsid w:val="000E2D51"/>
    <w:rsid w:val="000E3304"/>
    <w:rsid w:val="000E4BF4"/>
    <w:rsid w:val="000F0248"/>
    <w:rsid w:val="000F4295"/>
    <w:rsid w:val="000F5858"/>
    <w:rsid w:val="000F66F0"/>
    <w:rsid w:val="000F7FAD"/>
    <w:rsid w:val="001003D9"/>
    <w:rsid w:val="001009D8"/>
    <w:rsid w:val="00100FCA"/>
    <w:rsid w:val="00101F26"/>
    <w:rsid w:val="00105480"/>
    <w:rsid w:val="00105E48"/>
    <w:rsid w:val="00111B01"/>
    <w:rsid w:val="001133B7"/>
    <w:rsid w:val="001135F7"/>
    <w:rsid w:val="001172EC"/>
    <w:rsid w:val="001235ED"/>
    <w:rsid w:val="001237F3"/>
    <w:rsid w:val="00123891"/>
    <w:rsid w:val="00126C75"/>
    <w:rsid w:val="00130041"/>
    <w:rsid w:val="00131322"/>
    <w:rsid w:val="00131BC3"/>
    <w:rsid w:val="00132751"/>
    <w:rsid w:val="001327E3"/>
    <w:rsid w:val="00135119"/>
    <w:rsid w:val="001360F9"/>
    <w:rsid w:val="00140596"/>
    <w:rsid w:val="00140C1E"/>
    <w:rsid w:val="00141C3C"/>
    <w:rsid w:val="00141F3F"/>
    <w:rsid w:val="001454F6"/>
    <w:rsid w:val="00146801"/>
    <w:rsid w:val="001479E2"/>
    <w:rsid w:val="00147B3A"/>
    <w:rsid w:val="00154499"/>
    <w:rsid w:val="001575C1"/>
    <w:rsid w:val="00157C87"/>
    <w:rsid w:val="00157CE5"/>
    <w:rsid w:val="001607F6"/>
    <w:rsid w:val="001627E0"/>
    <w:rsid w:val="00165612"/>
    <w:rsid w:val="0016590E"/>
    <w:rsid w:val="00171075"/>
    <w:rsid w:val="0017188D"/>
    <w:rsid w:val="0017188E"/>
    <w:rsid w:val="0017255E"/>
    <w:rsid w:val="00173E2B"/>
    <w:rsid w:val="001744D9"/>
    <w:rsid w:val="0017737F"/>
    <w:rsid w:val="00180F5E"/>
    <w:rsid w:val="00182036"/>
    <w:rsid w:val="00182F10"/>
    <w:rsid w:val="001840B2"/>
    <w:rsid w:val="00185695"/>
    <w:rsid w:val="00185902"/>
    <w:rsid w:val="00186983"/>
    <w:rsid w:val="001875E9"/>
    <w:rsid w:val="0019063F"/>
    <w:rsid w:val="001919EB"/>
    <w:rsid w:val="0019300C"/>
    <w:rsid w:val="0019363E"/>
    <w:rsid w:val="00193CBB"/>
    <w:rsid w:val="00195CA5"/>
    <w:rsid w:val="001A1E92"/>
    <w:rsid w:val="001A43E9"/>
    <w:rsid w:val="001A5066"/>
    <w:rsid w:val="001A5935"/>
    <w:rsid w:val="001A6014"/>
    <w:rsid w:val="001B01B6"/>
    <w:rsid w:val="001B23A7"/>
    <w:rsid w:val="001B2EBC"/>
    <w:rsid w:val="001B38B4"/>
    <w:rsid w:val="001B4954"/>
    <w:rsid w:val="001B4959"/>
    <w:rsid w:val="001B4EA7"/>
    <w:rsid w:val="001B5073"/>
    <w:rsid w:val="001B5C35"/>
    <w:rsid w:val="001C0ACA"/>
    <w:rsid w:val="001C0BAD"/>
    <w:rsid w:val="001C40FB"/>
    <w:rsid w:val="001C5296"/>
    <w:rsid w:val="001C7614"/>
    <w:rsid w:val="001C7824"/>
    <w:rsid w:val="001C79DF"/>
    <w:rsid w:val="001D1E7E"/>
    <w:rsid w:val="001D5672"/>
    <w:rsid w:val="001D61A4"/>
    <w:rsid w:val="001D7818"/>
    <w:rsid w:val="001D7B36"/>
    <w:rsid w:val="001E0E10"/>
    <w:rsid w:val="001E27A0"/>
    <w:rsid w:val="001E713E"/>
    <w:rsid w:val="001E75CB"/>
    <w:rsid w:val="001E7E3C"/>
    <w:rsid w:val="001E7F1B"/>
    <w:rsid w:val="001E7F4C"/>
    <w:rsid w:val="001F0B0E"/>
    <w:rsid w:val="001F1FE4"/>
    <w:rsid w:val="001F2D60"/>
    <w:rsid w:val="001F2F01"/>
    <w:rsid w:val="001F4261"/>
    <w:rsid w:val="001F6153"/>
    <w:rsid w:val="00200C99"/>
    <w:rsid w:val="00200E8B"/>
    <w:rsid w:val="002031D1"/>
    <w:rsid w:val="00205853"/>
    <w:rsid w:val="00206C8C"/>
    <w:rsid w:val="00207B2D"/>
    <w:rsid w:val="002100FF"/>
    <w:rsid w:val="00211CE5"/>
    <w:rsid w:val="00211E4A"/>
    <w:rsid w:val="00212514"/>
    <w:rsid w:val="00214995"/>
    <w:rsid w:val="00215346"/>
    <w:rsid w:val="00216399"/>
    <w:rsid w:val="002234BC"/>
    <w:rsid w:val="00230753"/>
    <w:rsid w:val="00230D20"/>
    <w:rsid w:val="00231490"/>
    <w:rsid w:val="00231CD8"/>
    <w:rsid w:val="00236730"/>
    <w:rsid w:val="00237978"/>
    <w:rsid w:val="00240FE0"/>
    <w:rsid w:val="00241DAB"/>
    <w:rsid w:val="00243D82"/>
    <w:rsid w:val="00244198"/>
    <w:rsid w:val="00245E5D"/>
    <w:rsid w:val="00247D60"/>
    <w:rsid w:val="002503B8"/>
    <w:rsid w:val="002504A7"/>
    <w:rsid w:val="00251061"/>
    <w:rsid w:val="00251D12"/>
    <w:rsid w:val="002526B4"/>
    <w:rsid w:val="00252D2F"/>
    <w:rsid w:val="0025386C"/>
    <w:rsid w:val="0025476A"/>
    <w:rsid w:val="00254859"/>
    <w:rsid w:val="00254D35"/>
    <w:rsid w:val="0025679A"/>
    <w:rsid w:val="00257302"/>
    <w:rsid w:val="00257ABE"/>
    <w:rsid w:val="0026149B"/>
    <w:rsid w:val="002616D3"/>
    <w:rsid w:val="002623A3"/>
    <w:rsid w:val="002631C4"/>
    <w:rsid w:val="00264652"/>
    <w:rsid w:val="00264E3D"/>
    <w:rsid w:val="00271DCF"/>
    <w:rsid w:val="00272057"/>
    <w:rsid w:val="00272D62"/>
    <w:rsid w:val="00273B8D"/>
    <w:rsid w:val="00273E33"/>
    <w:rsid w:val="00276625"/>
    <w:rsid w:val="002769AA"/>
    <w:rsid w:val="00277DF0"/>
    <w:rsid w:val="00277EB1"/>
    <w:rsid w:val="00281883"/>
    <w:rsid w:val="00281B6A"/>
    <w:rsid w:val="002830B7"/>
    <w:rsid w:val="002838C0"/>
    <w:rsid w:val="00285EC9"/>
    <w:rsid w:val="00285F74"/>
    <w:rsid w:val="00291EF3"/>
    <w:rsid w:val="002943DD"/>
    <w:rsid w:val="00297FE6"/>
    <w:rsid w:val="002A245E"/>
    <w:rsid w:val="002A297E"/>
    <w:rsid w:val="002A2F9D"/>
    <w:rsid w:val="002B3323"/>
    <w:rsid w:val="002B4997"/>
    <w:rsid w:val="002B535F"/>
    <w:rsid w:val="002B678E"/>
    <w:rsid w:val="002C090F"/>
    <w:rsid w:val="002C1127"/>
    <w:rsid w:val="002C1827"/>
    <w:rsid w:val="002C2039"/>
    <w:rsid w:val="002C222A"/>
    <w:rsid w:val="002C2548"/>
    <w:rsid w:val="002C40E1"/>
    <w:rsid w:val="002C4761"/>
    <w:rsid w:val="002C50A7"/>
    <w:rsid w:val="002C6049"/>
    <w:rsid w:val="002C62E6"/>
    <w:rsid w:val="002C761C"/>
    <w:rsid w:val="002C7D24"/>
    <w:rsid w:val="002D0020"/>
    <w:rsid w:val="002D0378"/>
    <w:rsid w:val="002D1AF7"/>
    <w:rsid w:val="002D243E"/>
    <w:rsid w:val="002D7B72"/>
    <w:rsid w:val="002E03DD"/>
    <w:rsid w:val="002E06B6"/>
    <w:rsid w:val="002E0CA3"/>
    <w:rsid w:val="002E0CE2"/>
    <w:rsid w:val="002E1B04"/>
    <w:rsid w:val="002E28DB"/>
    <w:rsid w:val="002E3BE2"/>
    <w:rsid w:val="002E402E"/>
    <w:rsid w:val="002E433B"/>
    <w:rsid w:val="002E5AF2"/>
    <w:rsid w:val="002E5D92"/>
    <w:rsid w:val="002E655B"/>
    <w:rsid w:val="002E6597"/>
    <w:rsid w:val="002E6C19"/>
    <w:rsid w:val="002E7494"/>
    <w:rsid w:val="002F60DC"/>
    <w:rsid w:val="002F7E6C"/>
    <w:rsid w:val="00300865"/>
    <w:rsid w:val="00301706"/>
    <w:rsid w:val="00304273"/>
    <w:rsid w:val="00304467"/>
    <w:rsid w:val="00305B69"/>
    <w:rsid w:val="0030610E"/>
    <w:rsid w:val="00306715"/>
    <w:rsid w:val="00307830"/>
    <w:rsid w:val="00310E5E"/>
    <w:rsid w:val="00312DF2"/>
    <w:rsid w:val="00313506"/>
    <w:rsid w:val="0031374E"/>
    <w:rsid w:val="00313777"/>
    <w:rsid w:val="00322C51"/>
    <w:rsid w:val="00323472"/>
    <w:rsid w:val="003246F1"/>
    <w:rsid w:val="00324F21"/>
    <w:rsid w:val="00325207"/>
    <w:rsid w:val="00325769"/>
    <w:rsid w:val="0032751C"/>
    <w:rsid w:val="00330D36"/>
    <w:rsid w:val="00331877"/>
    <w:rsid w:val="00331EC5"/>
    <w:rsid w:val="0033383B"/>
    <w:rsid w:val="0033491C"/>
    <w:rsid w:val="00335646"/>
    <w:rsid w:val="003358D3"/>
    <w:rsid w:val="00336338"/>
    <w:rsid w:val="00341079"/>
    <w:rsid w:val="00341CF4"/>
    <w:rsid w:val="003446B1"/>
    <w:rsid w:val="003458AB"/>
    <w:rsid w:val="0034737E"/>
    <w:rsid w:val="00347903"/>
    <w:rsid w:val="00351F1D"/>
    <w:rsid w:val="00353328"/>
    <w:rsid w:val="00353569"/>
    <w:rsid w:val="003544A8"/>
    <w:rsid w:val="0035503C"/>
    <w:rsid w:val="0035741D"/>
    <w:rsid w:val="00362663"/>
    <w:rsid w:val="0036306D"/>
    <w:rsid w:val="00363366"/>
    <w:rsid w:val="00364C1D"/>
    <w:rsid w:val="00365FAE"/>
    <w:rsid w:val="003713CF"/>
    <w:rsid w:val="0037206B"/>
    <w:rsid w:val="0037368C"/>
    <w:rsid w:val="00373943"/>
    <w:rsid w:val="003739B4"/>
    <w:rsid w:val="00374101"/>
    <w:rsid w:val="0037444F"/>
    <w:rsid w:val="003753C3"/>
    <w:rsid w:val="00375BE6"/>
    <w:rsid w:val="00380EDB"/>
    <w:rsid w:val="00381B56"/>
    <w:rsid w:val="00385520"/>
    <w:rsid w:val="003861A6"/>
    <w:rsid w:val="00386AB2"/>
    <w:rsid w:val="00386BDA"/>
    <w:rsid w:val="003870DE"/>
    <w:rsid w:val="00387F88"/>
    <w:rsid w:val="003931F5"/>
    <w:rsid w:val="00393519"/>
    <w:rsid w:val="003940DB"/>
    <w:rsid w:val="00394A8A"/>
    <w:rsid w:val="00397426"/>
    <w:rsid w:val="003A4A45"/>
    <w:rsid w:val="003A5BA8"/>
    <w:rsid w:val="003B1021"/>
    <w:rsid w:val="003B241C"/>
    <w:rsid w:val="003B3FA0"/>
    <w:rsid w:val="003B408E"/>
    <w:rsid w:val="003B4C65"/>
    <w:rsid w:val="003B5386"/>
    <w:rsid w:val="003B7200"/>
    <w:rsid w:val="003C0052"/>
    <w:rsid w:val="003C1D6A"/>
    <w:rsid w:val="003C24F4"/>
    <w:rsid w:val="003C2FF6"/>
    <w:rsid w:val="003C5562"/>
    <w:rsid w:val="003D0695"/>
    <w:rsid w:val="003D0748"/>
    <w:rsid w:val="003D17CE"/>
    <w:rsid w:val="003D27CA"/>
    <w:rsid w:val="003D3DDA"/>
    <w:rsid w:val="003E1BD2"/>
    <w:rsid w:val="003E2A2D"/>
    <w:rsid w:val="003E3003"/>
    <w:rsid w:val="003E3D6E"/>
    <w:rsid w:val="003E3DCF"/>
    <w:rsid w:val="003E4C47"/>
    <w:rsid w:val="003E595D"/>
    <w:rsid w:val="003E7B96"/>
    <w:rsid w:val="003F15D4"/>
    <w:rsid w:val="003F160B"/>
    <w:rsid w:val="003F3AEC"/>
    <w:rsid w:val="003F4B1E"/>
    <w:rsid w:val="003F5167"/>
    <w:rsid w:val="003F64D8"/>
    <w:rsid w:val="003F6563"/>
    <w:rsid w:val="00400294"/>
    <w:rsid w:val="0040300C"/>
    <w:rsid w:val="00403CE9"/>
    <w:rsid w:val="00403D0F"/>
    <w:rsid w:val="00403DFF"/>
    <w:rsid w:val="00404D79"/>
    <w:rsid w:val="00404E13"/>
    <w:rsid w:val="00406516"/>
    <w:rsid w:val="00406A83"/>
    <w:rsid w:val="00407000"/>
    <w:rsid w:val="004117A2"/>
    <w:rsid w:val="00411DC5"/>
    <w:rsid w:val="0041262D"/>
    <w:rsid w:val="00413B7B"/>
    <w:rsid w:val="00413C23"/>
    <w:rsid w:val="00413CB6"/>
    <w:rsid w:val="00413F5C"/>
    <w:rsid w:val="0041487B"/>
    <w:rsid w:val="00415527"/>
    <w:rsid w:val="00416F48"/>
    <w:rsid w:val="004172A2"/>
    <w:rsid w:val="00421EE9"/>
    <w:rsid w:val="00425608"/>
    <w:rsid w:val="00426D94"/>
    <w:rsid w:val="00427A94"/>
    <w:rsid w:val="00431E79"/>
    <w:rsid w:val="00431F19"/>
    <w:rsid w:val="00434DF6"/>
    <w:rsid w:val="00435116"/>
    <w:rsid w:val="004361F9"/>
    <w:rsid w:val="0043778C"/>
    <w:rsid w:val="00437FA2"/>
    <w:rsid w:val="004411D1"/>
    <w:rsid w:val="00442F9A"/>
    <w:rsid w:val="004461A9"/>
    <w:rsid w:val="004463B5"/>
    <w:rsid w:val="00446825"/>
    <w:rsid w:val="004476D3"/>
    <w:rsid w:val="004479A6"/>
    <w:rsid w:val="00455471"/>
    <w:rsid w:val="00456814"/>
    <w:rsid w:val="004601D7"/>
    <w:rsid w:val="0046113D"/>
    <w:rsid w:val="0046213B"/>
    <w:rsid w:val="00463CC7"/>
    <w:rsid w:val="004663C2"/>
    <w:rsid w:val="004670E2"/>
    <w:rsid w:val="0046759C"/>
    <w:rsid w:val="00467880"/>
    <w:rsid w:val="004678A3"/>
    <w:rsid w:val="0047052C"/>
    <w:rsid w:val="004717C0"/>
    <w:rsid w:val="004742EA"/>
    <w:rsid w:val="00474343"/>
    <w:rsid w:val="0047537A"/>
    <w:rsid w:val="004756CE"/>
    <w:rsid w:val="00475FDD"/>
    <w:rsid w:val="0047622C"/>
    <w:rsid w:val="00476FA3"/>
    <w:rsid w:val="00480447"/>
    <w:rsid w:val="004829CB"/>
    <w:rsid w:val="00482A57"/>
    <w:rsid w:val="00483398"/>
    <w:rsid w:val="004837CC"/>
    <w:rsid w:val="004848A5"/>
    <w:rsid w:val="0049196D"/>
    <w:rsid w:val="0049227E"/>
    <w:rsid w:val="00492531"/>
    <w:rsid w:val="00493236"/>
    <w:rsid w:val="00495866"/>
    <w:rsid w:val="00495E46"/>
    <w:rsid w:val="00496F54"/>
    <w:rsid w:val="004979C1"/>
    <w:rsid w:val="004A02D5"/>
    <w:rsid w:val="004A0777"/>
    <w:rsid w:val="004A51D8"/>
    <w:rsid w:val="004A5DFF"/>
    <w:rsid w:val="004A68C4"/>
    <w:rsid w:val="004A780A"/>
    <w:rsid w:val="004B0960"/>
    <w:rsid w:val="004B2472"/>
    <w:rsid w:val="004B4A87"/>
    <w:rsid w:val="004B4B54"/>
    <w:rsid w:val="004B5407"/>
    <w:rsid w:val="004B5B67"/>
    <w:rsid w:val="004B786A"/>
    <w:rsid w:val="004C225D"/>
    <w:rsid w:val="004C27F5"/>
    <w:rsid w:val="004C2B8A"/>
    <w:rsid w:val="004C30E9"/>
    <w:rsid w:val="004C4BD6"/>
    <w:rsid w:val="004C53C0"/>
    <w:rsid w:val="004C72E1"/>
    <w:rsid w:val="004D11BB"/>
    <w:rsid w:val="004D2479"/>
    <w:rsid w:val="004D2FF4"/>
    <w:rsid w:val="004D354A"/>
    <w:rsid w:val="004D460D"/>
    <w:rsid w:val="004D77A0"/>
    <w:rsid w:val="004E0B64"/>
    <w:rsid w:val="004E10CC"/>
    <w:rsid w:val="004E2538"/>
    <w:rsid w:val="004E363E"/>
    <w:rsid w:val="004E4066"/>
    <w:rsid w:val="004E5622"/>
    <w:rsid w:val="004E5B9C"/>
    <w:rsid w:val="004E613D"/>
    <w:rsid w:val="004E6C27"/>
    <w:rsid w:val="004E711D"/>
    <w:rsid w:val="004E77AD"/>
    <w:rsid w:val="004F0109"/>
    <w:rsid w:val="004F082B"/>
    <w:rsid w:val="004F1481"/>
    <w:rsid w:val="004F517B"/>
    <w:rsid w:val="004F77BC"/>
    <w:rsid w:val="004F7B22"/>
    <w:rsid w:val="00501327"/>
    <w:rsid w:val="0050295E"/>
    <w:rsid w:val="00505E1F"/>
    <w:rsid w:val="0050677B"/>
    <w:rsid w:val="005068AA"/>
    <w:rsid w:val="00507172"/>
    <w:rsid w:val="00507202"/>
    <w:rsid w:val="0051105E"/>
    <w:rsid w:val="0051288A"/>
    <w:rsid w:val="005129FA"/>
    <w:rsid w:val="00515618"/>
    <w:rsid w:val="005166A7"/>
    <w:rsid w:val="00516C9E"/>
    <w:rsid w:val="0051762F"/>
    <w:rsid w:val="00517F6A"/>
    <w:rsid w:val="00520307"/>
    <w:rsid w:val="005206CC"/>
    <w:rsid w:val="005208EC"/>
    <w:rsid w:val="0052110D"/>
    <w:rsid w:val="00521807"/>
    <w:rsid w:val="00524057"/>
    <w:rsid w:val="005260C2"/>
    <w:rsid w:val="00526D57"/>
    <w:rsid w:val="00530AC7"/>
    <w:rsid w:val="00530F31"/>
    <w:rsid w:val="00531588"/>
    <w:rsid w:val="00535E5B"/>
    <w:rsid w:val="00536EBE"/>
    <w:rsid w:val="0053718B"/>
    <w:rsid w:val="005379A5"/>
    <w:rsid w:val="00537C69"/>
    <w:rsid w:val="005413B5"/>
    <w:rsid w:val="00541531"/>
    <w:rsid w:val="005423B9"/>
    <w:rsid w:val="00545A63"/>
    <w:rsid w:val="00545BA8"/>
    <w:rsid w:val="00546137"/>
    <w:rsid w:val="00547C4E"/>
    <w:rsid w:val="005506E2"/>
    <w:rsid w:val="00550D85"/>
    <w:rsid w:val="005513B8"/>
    <w:rsid w:val="00551851"/>
    <w:rsid w:val="00552FF0"/>
    <w:rsid w:val="005541F1"/>
    <w:rsid w:val="005545DC"/>
    <w:rsid w:val="005545FA"/>
    <w:rsid w:val="005562DE"/>
    <w:rsid w:val="005569A9"/>
    <w:rsid w:val="005615AF"/>
    <w:rsid w:val="00562066"/>
    <w:rsid w:val="0056271E"/>
    <w:rsid w:val="00567E67"/>
    <w:rsid w:val="0057004F"/>
    <w:rsid w:val="00573C51"/>
    <w:rsid w:val="00576314"/>
    <w:rsid w:val="0057656A"/>
    <w:rsid w:val="00576DE4"/>
    <w:rsid w:val="00576EC6"/>
    <w:rsid w:val="00577C93"/>
    <w:rsid w:val="00577EF7"/>
    <w:rsid w:val="00580C69"/>
    <w:rsid w:val="00584EA7"/>
    <w:rsid w:val="0058752D"/>
    <w:rsid w:val="00587570"/>
    <w:rsid w:val="005912D1"/>
    <w:rsid w:val="0059331F"/>
    <w:rsid w:val="00593DD1"/>
    <w:rsid w:val="0059596B"/>
    <w:rsid w:val="00596A0B"/>
    <w:rsid w:val="00597983"/>
    <w:rsid w:val="005A130E"/>
    <w:rsid w:val="005A277B"/>
    <w:rsid w:val="005A53E3"/>
    <w:rsid w:val="005A55DA"/>
    <w:rsid w:val="005A5DB7"/>
    <w:rsid w:val="005B2732"/>
    <w:rsid w:val="005B2B34"/>
    <w:rsid w:val="005B2E4B"/>
    <w:rsid w:val="005B609D"/>
    <w:rsid w:val="005B6C36"/>
    <w:rsid w:val="005C1741"/>
    <w:rsid w:val="005C21DC"/>
    <w:rsid w:val="005C31A3"/>
    <w:rsid w:val="005C397B"/>
    <w:rsid w:val="005C3E2D"/>
    <w:rsid w:val="005C442B"/>
    <w:rsid w:val="005C44CB"/>
    <w:rsid w:val="005C5AB1"/>
    <w:rsid w:val="005C7D2B"/>
    <w:rsid w:val="005C7D45"/>
    <w:rsid w:val="005D31EE"/>
    <w:rsid w:val="005D3D5E"/>
    <w:rsid w:val="005D60FB"/>
    <w:rsid w:val="005D68E1"/>
    <w:rsid w:val="005E2A4B"/>
    <w:rsid w:val="005E2A68"/>
    <w:rsid w:val="005E4D7E"/>
    <w:rsid w:val="005E5C0F"/>
    <w:rsid w:val="005E7012"/>
    <w:rsid w:val="005E7D4C"/>
    <w:rsid w:val="005F043E"/>
    <w:rsid w:val="005F2656"/>
    <w:rsid w:val="005F4C85"/>
    <w:rsid w:val="005F525D"/>
    <w:rsid w:val="005F52BC"/>
    <w:rsid w:val="005F619A"/>
    <w:rsid w:val="005F62AE"/>
    <w:rsid w:val="00601029"/>
    <w:rsid w:val="00602455"/>
    <w:rsid w:val="00604D73"/>
    <w:rsid w:val="0060543C"/>
    <w:rsid w:val="00607523"/>
    <w:rsid w:val="006104C8"/>
    <w:rsid w:val="006112E5"/>
    <w:rsid w:val="00612002"/>
    <w:rsid w:val="006121A2"/>
    <w:rsid w:val="00613067"/>
    <w:rsid w:val="00621424"/>
    <w:rsid w:val="00621871"/>
    <w:rsid w:val="00630527"/>
    <w:rsid w:val="00630D9D"/>
    <w:rsid w:val="006321C2"/>
    <w:rsid w:val="006331D6"/>
    <w:rsid w:val="00633838"/>
    <w:rsid w:val="00633CB1"/>
    <w:rsid w:val="006352FE"/>
    <w:rsid w:val="0063601E"/>
    <w:rsid w:val="006375A5"/>
    <w:rsid w:val="006403A7"/>
    <w:rsid w:val="00640BDE"/>
    <w:rsid w:val="006418D5"/>
    <w:rsid w:val="00641E67"/>
    <w:rsid w:val="006423D1"/>
    <w:rsid w:val="00643730"/>
    <w:rsid w:val="006479DF"/>
    <w:rsid w:val="0065047A"/>
    <w:rsid w:val="006508F3"/>
    <w:rsid w:val="00651248"/>
    <w:rsid w:val="006527DA"/>
    <w:rsid w:val="00655BE1"/>
    <w:rsid w:val="00656621"/>
    <w:rsid w:val="00656E56"/>
    <w:rsid w:val="006605ED"/>
    <w:rsid w:val="00660B27"/>
    <w:rsid w:val="00665408"/>
    <w:rsid w:val="00665CB8"/>
    <w:rsid w:val="0066664E"/>
    <w:rsid w:val="00670A0E"/>
    <w:rsid w:val="006710D4"/>
    <w:rsid w:val="006714BB"/>
    <w:rsid w:val="006734DB"/>
    <w:rsid w:val="0067371D"/>
    <w:rsid w:val="00674117"/>
    <w:rsid w:val="0067554A"/>
    <w:rsid w:val="0067584D"/>
    <w:rsid w:val="006765BE"/>
    <w:rsid w:val="00680E4A"/>
    <w:rsid w:val="00681604"/>
    <w:rsid w:val="00682AF0"/>
    <w:rsid w:val="006839D2"/>
    <w:rsid w:val="00683A9E"/>
    <w:rsid w:val="00684598"/>
    <w:rsid w:val="00684C3C"/>
    <w:rsid w:val="00685404"/>
    <w:rsid w:val="00686714"/>
    <w:rsid w:val="00690B75"/>
    <w:rsid w:val="0069111A"/>
    <w:rsid w:val="00691BD2"/>
    <w:rsid w:val="00692FE0"/>
    <w:rsid w:val="00693D2A"/>
    <w:rsid w:val="00694695"/>
    <w:rsid w:val="006A0885"/>
    <w:rsid w:val="006A19BD"/>
    <w:rsid w:val="006A5924"/>
    <w:rsid w:val="006B1427"/>
    <w:rsid w:val="006B1652"/>
    <w:rsid w:val="006B1798"/>
    <w:rsid w:val="006B2578"/>
    <w:rsid w:val="006B2E74"/>
    <w:rsid w:val="006B5CA9"/>
    <w:rsid w:val="006B5D56"/>
    <w:rsid w:val="006B7FC9"/>
    <w:rsid w:val="006C01CB"/>
    <w:rsid w:val="006C1BCF"/>
    <w:rsid w:val="006C2065"/>
    <w:rsid w:val="006C24E4"/>
    <w:rsid w:val="006C3338"/>
    <w:rsid w:val="006D1BCB"/>
    <w:rsid w:val="006D647A"/>
    <w:rsid w:val="006E1139"/>
    <w:rsid w:val="006E23DB"/>
    <w:rsid w:val="006E3815"/>
    <w:rsid w:val="006E40EC"/>
    <w:rsid w:val="006E4490"/>
    <w:rsid w:val="006E4BA3"/>
    <w:rsid w:val="006E537A"/>
    <w:rsid w:val="006E5BAE"/>
    <w:rsid w:val="006E633E"/>
    <w:rsid w:val="006E7784"/>
    <w:rsid w:val="006E7A2E"/>
    <w:rsid w:val="006F0B35"/>
    <w:rsid w:val="006F14A9"/>
    <w:rsid w:val="006F20BA"/>
    <w:rsid w:val="006F27C6"/>
    <w:rsid w:val="006F3BD8"/>
    <w:rsid w:val="006F5FCA"/>
    <w:rsid w:val="00700CE3"/>
    <w:rsid w:val="00702C7C"/>
    <w:rsid w:val="00702DB9"/>
    <w:rsid w:val="00704CCA"/>
    <w:rsid w:val="00706F7B"/>
    <w:rsid w:val="007078F1"/>
    <w:rsid w:val="00707AB1"/>
    <w:rsid w:val="00710387"/>
    <w:rsid w:val="007126B7"/>
    <w:rsid w:val="007127FA"/>
    <w:rsid w:val="007147B1"/>
    <w:rsid w:val="00715146"/>
    <w:rsid w:val="007172D1"/>
    <w:rsid w:val="007211E0"/>
    <w:rsid w:val="007251D8"/>
    <w:rsid w:val="00727B2B"/>
    <w:rsid w:val="00731040"/>
    <w:rsid w:val="00733D13"/>
    <w:rsid w:val="00734F29"/>
    <w:rsid w:val="0074154D"/>
    <w:rsid w:val="00746E78"/>
    <w:rsid w:val="00747B32"/>
    <w:rsid w:val="007557B0"/>
    <w:rsid w:val="007560BF"/>
    <w:rsid w:val="007572C2"/>
    <w:rsid w:val="00760D49"/>
    <w:rsid w:val="00761975"/>
    <w:rsid w:val="0076324B"/>
    <w:rsid w:val="007655CC"/>
    <w:rsid w:val="00765D20"/>
    <w:rsid w:val="00767917"/>
    <w:rsid w:val="00770771"/>
    <w:rsid w:val="0077078C"/>
    <w:rsid w:val="007717B3"/>
    <w:rsid w:val="007719AF"/>
    <w:rsid w:val="00771CBA"/>
    <w:rsid w:val="00771D72"/>
    <w:rsid w:val="00771E64"/>
    <w:rsid w:val="007720BD"/>
    <w:rsid w:val="007722F8"/>
    <w:rsid w:val="00773409"/>
    <w:rsid w:val="00774447"/>
    <w:rsid w:val="00774460"/>
    <w:rsid w:val="00774EB3"/>
    <w:rsid w:val="00775A14"/>
    <w:rsid w:val="00775A96"/>
    <w:rsid w:val="00776A5E"/>
    <w:rsid w:val="00777F28"/>
    <w:rsid w:val="0078055D"/>
    <w:rsid w:val="00781736"/>
    <w:rsid w:val="007841F9"/>
    <w:rsid w:val="007859A4"/>
    <w:rsid w:val="007914A4"/>
    <w:rsid w:val="00792D6B"/>
    <w:rsid w:val="0079369A"/>
    <w:rsid w:val="00793B30"/>
    <w:rsid w:val="007A556F"/>
    <w:rsid w:val="007A5809"/>
    <w:rsid w:val="007A5ED5"/>
    <w:rsid w:val="007A6233"/>
    <w:rsid w:val="007A68A5"/>
    <w:rsid w:val="007A75FE"/>
    <w:rsid w:val="007B02F0"/>
    <w:rsid w:val="007B11B8"/>
    <w:rsid w:val="007B2E8D"/>
    <w:rsid w:val="007B6703"/>
    <w:rsid w:val="007C05F3"/>
    <w:rsid w:val="007C2DA6"/>
    <w:rsid w:val="007C3E54"/>
    <w:rsid w:val="007C49AB"/>
    <w:rsid w:val="007C5B55"/>
    <w:rsid w:val="007C7B64"/>
    <w:rsid w:val="007D11EA"/>
    <w:rsid w:val="007D1734"/>
    <w:rsid w:val="007D212F"/>
    <w:rsid w:val="007D293C"/>
    <w:rsid w:val="007D2AFC"/>
    <w:rsid w:val="007D35B0"/>
    <w:rsid w:val="007D5022"/>
    <w:rsid w:val="007D57EF"/>
    <w:rsid w:val="007D5D2F"/>
    <w:rsid w:val="007D6C18"/>
    <w:rsid w:val="007E03D9"/>
    <w:rsid w:val="007E1FF6"/>
    <w:rsid w:val="007E289F"/>
    <w:rsid w:val="007E5873"/>
    <w:rsid w:val="007E72BA"/>
    <w:rsid w:val="007F02D3"/>
    <w:rsid w:val="007F0E76"/>
    <w:rsid w:val="007F10EC"/>
    <w:rsid w:val="007F1A2C"/>
    <w:rsid w:val="007F2F69"/>
    <w:rsid w:val="007F53E7"/>
    <w:rsid w:val="007F64C3"/>
    <w:rsid w:val="00801622"/>
    <w:rsid w:val="0080618F"/>
    <w:rsid w:val="00806F8A"/>
    <w:rsid w:val="008101B0"/>
    <w:rsid w:val="008103B8"/>
    <w:rsid w:val="00810550"/>
    <w:rsid w:val="0081093E"/>
    <w:rsid w:val="0081222D"/>
    <w:rsid w:val="00812A18"/>
    <w:rsid w:val="00812A2F"/>
    <w:rsid w:val="00812F31"/>
    <w:rsid w:val="0081384B"/>
    <w:rsid w:val="00813A55"/>
    <w:rsid w:val="00816FEB"/>
    <w:rsid w:val="0081705B"/>
    <w:rsid w:val="00817107"/>
    <w:rsid w:val="00820F33"/>
    <w:rsid w:val="00821208"/>
    <w:rsid w:val="00823895"/>
    <w:rsid w:val="0082391B"/>
    <w:rsid w:val="008239F0"/>
    <w:rsid w:val="008248D3"/>
    <w:rsid w:val="008256E7"/>
    <w:rsid w:val="00826504"/>
    <w:rsid w:val="00827613"/>
    <w:rsid w:val="00831EDE"/>
    <w:rsid w:val="008321E6"/>
    <w:rsid w:val="00833B01"/>
    <w:rsid w:val="00834757"/>
    <w:rsid w:val="00834AFC"/>
    <w:rsid w:val="00835A30"/>
    <w:rsid w:val="00835D9D"/>
    <w:rsid w:val="00836030"/>
    <w:rsid w:val="00836B56"/>
    <w:rsid w:val="008404C2"/>
    <w:rsid w:val="0084123A"/>
    <w:rsid w:val="00842378"/>
    <w:rsid w:val="00842B0D"/>
    <w:rsid w:val="00844255"/>
    <w:rsid w:val="00845B57"/>
    <w:rsid w:val="008462D3"/>
    <w:rsid w:val="00846680"/>
    <w:rsid w:val="00851853"/>
    <w:rsid w:val="00853731"/>
    <w:rsid w:val="00854A6F"/>
    <w:rsid w:val="00854B59"/>
    <w:rsid w:val="00856AB0"/>
    <w:rsid w:val="00857BD0"/>
    <w:rsid w:val="0086056F"/>
    <w:rsid w:val="008608C3"/>
    <w:rsid w:val="00861D75"/>
    <w:rsid w:val="0086546B"/>
    <w:rsid w:val="00865679"/>
    <w:rsid w:val="00866D2B"/>
    <w:rsid w:val="00867419"/>
    <w:rsid w:val="0086770C"/>
    <w:rsid w:val="00870D7A"/>
    <w:rsid w:val="0087241D"/>
    <w:rsid w:val="008727EB"/>
    <w:rsid w:val="00873C86"/>
    <w:rsid w:val="0087422D"/>
    <w:rsid w:val="008750DB"/>
    <w:rsid w:val="00881BE3"/>
    <w:rsid w:val="008833CC"/>
    <w:rsid w:val="008855B1"/>
    <w:rsid w:val="008900FC"/>
    <w:rsid w:val="008947DF"/>
    <w:rsid w:val="00894C6C"/>
    <w:rsid w:val="0089650B"/>
    <w:rsid w:val="008A069B"/>
    <w:rsid w:val="008A2D52"/>
    <w:rsid w:val="008A2F55"/>
    <w:rsid w:val="008A385D"/>
    <w:rsid w:val="008A3B6B"/>
    <w:rsid w:val="008A51C4"/>
    <w:rsid w:val="008A69A0"/>
    <w:rsid w:val="008A74C0"/>
    <w:rsid w:val="008A7BBC"/>
    <w:rsid w:val="008B0778"/>
    <w:rsid w:val="008B086E"/>
    <w:rsid w:val="008B14FC"/>
    <w:rsid w:val="008B1BCB"/>
    <w:rsid w:val="008B3385"/>
    <w:rsid w:val="008B3809"/>
    <w:rsid w:val="008B606D"/>
    <w:rsid w:val="008C1207"/>
    <w:rsid w:val="008C3E29"/>
    <w:rsid w:val="008C3E7E"/>
    <w:rsid w:val="008C44DA"/>
    <w:rsid w:val="008C6041"/>
    <w:rsid w:val="008C678C"/>
    <w:rsid w:val="008C6841"/>
    <w:rsid w:val="008C7944"/>
    <w:rsid w:val="008D2B1A"/>
    <w:rsid w:val="008D3C82"/>
    <w:rsid w:val="008D3E5B"/>
    <w:rsid w:val="008D52F8"/>
    <w:rsid w:val="008D5BD2"/>
    <w:rsid w:val="008D6F0E"/>
    <w:rsid w:val="008D6F86"/>
    <w:rsid w:val="008E0C21"/>
    <w:rsid w:val="008E1A31"/>
    <w:rsid w:val="008E3365"/>
    <w:rsid w:val="008E3A42"/>
    <w:rsid w:val="008E5D57"/>
    <w:rsid w:val="008E668F"/>
    <w:rsid w:val="008E6ECE"/>
    <w:rsid w:val="008F07A6"/>
    <w:rsid w:val="008F0DC3"/>
    <w:rsid w:val="008F281C"/>
    <w:rsid w:val="008F2B64"/>
    <w:rsid w:val="008F7413"/>
    <w:rsid w:val="0090091A"/>
    <w:rsid w:val="00900B16"/>
    <w:rsid w:val="009015A1"/>
    <w:rsid w:val="00901C13"/>
    <w:rsid w:val="00903506"/>
    <w:rsid w:val="009043ED"/>
    <w:rsid w:val="00906DA6"/>
    <w:rsid w:val="00906F5F"/>
    <w:rsid w:val="00910FCC"/>
    <w:rsid w:val="00914126"/>
    <w:rsid w:val="00914329"/>
    <w:rsid w:val="00920124"/>
    <w:rsid w:val="009222BE"/>
    <w:rsid w:val="00922B85"/>
    <w:rsid w:val="00924CC0"/>
    <w:rsid w:val="0093048D"/>
    <w:rsid w:val="00931BE6"/>
    <w:rsid w:val="00932A58"/>
    <w:rsid w:val="00932EB9"/>
    <w:rsid w:val="009345B1"/>
    <w:rsid w:val="00934BF1"/>
    <w:rsid w:val="0093776A"/>
    <w:rsid w:val="00937863"/>
    <w:rsid w:val="009379B6"/>
    <w:rsid w:val="00940A9F"/>
    <w:rsid w:val="00940CE8"/>
    <w:rsid w:val="009416D3"/>
    <w:rsid w:val="00942673"/>
    <w:rsid w:val="00942CBC"/>
    <w:rsid w:val="00943555"/>
    <w:rsid w:val="0094369D"/>
    <w:rsid w:val="00943815"/>
    <w:rsid w:val="00944600"/>
    <w:rsid w:val="00946039"/>
    <w:rsid w:val="009462B4"/>
    <w:rsid w:val="00951D1C"/>
    <w:rsid w:val="00953397"/>
    <w:rsid w:val="009535DB"/>
    <w:rsid w:val="00953B48"/>
    <w:rsid w:val="00953BFC"/>
    <w:rsid w:val="00955701"/>
    <w:rsid w:val="009561F6"/>
    <w:rsid w:val="0095641D"/>
    <w:rsid w:val="00960280"/>
    <w:rsid w:val="00961459"/>
    <w:rsid w:val="009632B0"/>
    <w:rsid w:val="0096497D"/>
    <w:rsid w:val="00964CB7"/>
    <w:rsid w:val="009732AC"/>
    <w:rsid w:val="00973A2D"/>
    <w:rsid w:val="00973B3A"/>
    <w:rsid w:val="00973EDA"/>
    <w:rsid w:val="00974429"/>
    <w:rsid w:val="00974CBB"/>
    <w:rsid w:val="0097582E"/>
    <w:rsid w:val="009767A1"/>
    <w:rsid w:val="00980EA0"/>
    <w:rsid w:val="00983EC9"/>
    <w:rsid w:val="00983F8F"/>
    <w:rsid w:val="009844A0"/>
    <w:rsid w:val="0098603F"/>
    <w:rsid w:val="00986C20"/>
    <w:rsid w:val="00987B82"/>
    <w:rsid w:val="00990268"/>
    <w:rsid w:val="009905A1"/>
    <w:rsid w:val="00991744"/>
    <w:rsid w:val="0099427B"/>
    <w:rsid w:val="00995480"/>
    <w:rsid w:val="009970E9"/>
    <w:rsid w:val="0099766E"/>
    <w:rsid w:val="009A0393"/>
    <w:rsid w:val="009A0EF7"/>
    <w:rsid w:val="009A1572"/>
    <w:rsid w:val="009A249A"/>
    <w:rsid w:val="009A5259"/>
    <w:rsid w:val="009A61A0"/>
    <w:rsid w:val="009A63E0"/>
    <w:rsid w:val="009A662F"/>
    <w:rsid w:val="009A6823"/>
    <w:rsid w:val="009B0B04"/>
    <w:rsid w:val="009B2F12"/>
    <w:rsid w:val="009B58C4"/>
    <w:rsid w:val="009B6BA4"/>
    <w:rsid w:val="009C1052"/>
    <w:rsid w:val="009C108C"/>
    <w:rsid w:val="009C31B2"/>
    <w:rsid w:val="009C3528"/>
    <w:rsid w:val="009C5796"/>
    <w:rsid w:val="009C66B2"/>
    <w:rsid w:val="009D03B5"/>
    <w:rsid w:val="009D0F54"/>
    <w:rsid w:val="009D1BC2"/>
    <w:rsid w:val="009D2377"/>
    <w:rsid w:val="009D2517"/>
    <w:rsid w:val="009D2621"/>
    <w:rsid w:val="009D2D99"/>
    <w:rsid w:val="009D4223"/>
    <w:rsid w:val="009E016F"/>
    <w:rsid w:val="009E076B"/>
    <w:rsid w:val="009E1C63"/>
    <w:rsid w:val="009E1E49"/>
    <w:rsid w:val="009E3E08"/>
    <w:rsid w:val="009E4D57"/>
    <w:rsid w:val="009E58B6"/>
    <w:rsid w:val="009E67C1"/>
    <w:rsid w:val="009E6E68"/>
    <w:rsid w:val="009E751C"/>
    <w:rsid w:val="009F0079"/>
    <w:rsid w:val="009F123A"/>
    <w:rsid w:val="009F2E45"/>
    <w:rsid w:val="009F3DED"/>
    <w:rsid w:val="009F5EC2"/>
    <w:rsid w:val="009F66DD"/>
    <w:rsid w:val="009F692D"/>
    <w:rsid w:val="00A000CF"/>
    <w:rsid w:val="00A008D1"/>
    <w:rsid w:val="00A03454"/>
    <w:rsid w:val="00A0374F"/>
    <w:rsid w:val="00A04990"/>
    <w:rsid w:val="00A10FB5"/>
    <w:rsid w:val="00A11EEA"/>
    <w:rsid w:val="00A122C5"/>
    <w:rsid w:val="00A132FC"/>
    <w:rsid w:val="00A2017C"/>
    <w:rsid w:val="00A2172F"/>
    <w:rsid w:val="00A23FB6"/>
    <w:rsid w:val="00A262FD"/>
    <w:rsid w:val="00A27CD9"/>
    <w:rsid w:val="00A31904"/>
    <w:rsid w:val="00A32C35"/>
    <w:rsid w:val="00A35D10"/>
    <w:rsid w:val="00A35D71"/>
    <w:rsid w:val="00A36F29"/>
    <w:rsid w:val="00A3744C"/>
    <w:rsid w:val="00A41E94"/>
    <w:rsid w:val="00A4496D"/>
    <w:rsid w:val="00A450FD"/>
    <w:rsid w:val="00A45E03"/>
    <w:rsid w:val="00A45E6B"/>
    <w:rsid w:val="00A5221C"/>
    <w:rsid w:val="00A526B2"/>
    <w:rsid w:val="00A5516F"/>
    <w:rsid w:val="00A55A76"/>
    <w:rsid w:val="00A565F3"/>
    <w:rsid w:val="00A571CA"/>
    <w:rsid w:val="00A605DE"/>
    <w:rsid w:val="00A631B8"/>
    <w:rsid w:val="00A63901"/>
    <w:rsid w:val="00A64BA7"/>
    <w:rsid w:val="00A666B7"/>
    <w:rsid w:val="00A66E9D"/>
    <w:rsid w:val="00A727A8"/>
    <w:rsid w:val="00A7694D"/>
    <w:rsid w:val="00A804D2"/>
    <w:rsid w:val="00A81C77"/>
    <w:rsid w:val="00A82E12"/>
    <w:rsid w:val="00A84555"/>
    <w:rsid w:val="00A84B99"/>
    <w:rsid w:val="00A85154"/>
    <w:rsid w:val="00A8656D"/>
    <w:rsid w:val="00A87582"/>
    <w:rsid w:val="00A909ED"/>
    <w:rsid w:val="00A92E86"/>
    <w:rsid w:val="00A931A4"/>
    <w:rsid w:val="00A934AB"/>
    <w:rsid w:val="00A93C6B"/>
    <w:rsid w:val="00A93F86"/>
    <w:rsid w:val="00A941B0"/>
    <w:rsid w:val="00A942C4"/>
    <w:rsid w:val="00A952B6"/>
    <w:rsid w:val="00A96269"/>
    <w:rsid w:val="00A97D76"/>
    <w:rsid w:val="00AA0557"/>
    <w:rsid w:val="00AA1538"/>
    <w:rsid w:val="00AA1DD4"/>
    <w:rsid w:val="00AA2B2B"/>
    <w:rsid w:val="00AA333F"/>
    <w:rsid w:val="00AA592A"/>
    <w:rsid w:val="00AA5C58"/>
    <w:rsid w:val="00AA71A7"/>
    <w:rsid w:val="00AA7407"/>
    <w:rsid w:val="00AA76BD"/>
    <w:rsid w:val="00AB1DE7"/>
    <w:rsid w:val="00AB4C5E"/>
    <w:rsid w:val="00AB4E43"/>
    <w:rsid w:val="00AB6173"/>
    <w:rsid w:val="00AB6AB8"/>
    <w:rsid w:val="00AC0C1D"/>
    <w:rsid w:val="00AC1285"/>
    <w:rsid w:val="00AC12CC"/>
    <w:rsid w:val="00AC13DE"/>
    <w:rsid w:val="00AC3448"/>
    <w:rsid w:val="00AC6069"/>
    <w:rsid w:val="00AC6970"/>
    <w:rsid w:val="00AC740C"/>
    <w:rsid w:val="00AD0D3C"/>
    <w:rsid w:val="00AD28EB"/>
    <w:rsid w:val="00AD4CFC"/>
    <w:rsid w:val="00AD544F"/>
    <w:rsid w:val="00AD5EFC"/>
    <w:rsid w:val="00AD6C7D"/>
    <w:rsid w:val="00AD6F14"/>
    <w:rsid w:val="00AE0AF8"/>
    <w:rsid w:val="00AE0E4F"/>
    <w:rsid w:val="00AE2961"/>
    <w:rsid w:val="00AE2ECC"/>
    <w:rsid w:val="00AE3877"/>
    <w:rsid w:val="00AE4202"/>
    <w:rsid w:val="00AE51A2"/>
    <w:rsid w:val="00AE6EB6"/>
    <w:rsid w:val="00AE7B17"/>
    <w:rsid w:val="00AF07DB"/>
    <w:rsid w:val="00AF0BF7"/>
    <w:rsid w:val="00AF333A"/>
    <w:rsid w:val="00AF3A65"/>
    <w:rsid w:val="00AF475F"/>
    <w:rsid w:val="00AF5B78"/>
    <w:rsid w:val="00AF6B76"/>
    <w:rsid w:val="00AF7674"/>
    <w:rsid w:val="00B006A3"/>
    <w:rsid w:val="00B016F1"/>
    <w:rsid w:val="00B02DB0"/>
    <w:rsid w:val="00B05979"/>
    <w:rsid w:val="00B0597A"/>
    <w:rsid w:val="00B05C2F"/>
    <w:rsid w:val="00B07CC9"/>
    <w:rsid w:val="00B11A31"/>
    <w:rsid w:val="00B1269B"/>
    <w:rsid w:val="00B12C14"/>
    <w:rsid w:val="00B15CFD"/>
    <w:rsid w:val="00B22048"/>
    <w:rsid w:val="00B22C40"/>
    <w:rsid w:val="00B23160"/>
    <w:rsid w:val="00B243EC"/>
    <w:rsid w:val="00B249E7"/>
    <w:rsid w:val="00B2703B"/>
    <w:rsid w:val="00B27630"/>
    <w:rsid w:val="00B27C73"/>
    <w:rsid w:val="00B311C7"/>
    <w:rsid w:val="00B312B5"/>
    <w:rsid w:val="00B3134D"/>
    <w:rsid w:val="00B31C89"/>
    <w:rsid w:val="00B32DC8"/>
    <w:rsid w:val="00B368AE"/>
    <w:rsid w:val="00B375A0"/>
    <w:rsid w:val="00B3767F"/>
    <w:rsid w:val="00B40422"/>
    <w:rsid w:val="00B408F8"/>
    <w:rsid w:val="00B42819"/>
    <w:rsid w:val="00B42AEF"/>
    <w:rsid w:val="00B456A0"/>
    <w:rsid w:val="00B4615F"/>
    <w:rsid w:val="00B46958"/>
    <w:rsid w:val="00B50A95"/>
    <w:rsid w:val="00B50C90"/>
    <w:rsid w:val="00B52C62"/>
    <w:rsid w:val="00B52FDC"/>
    <w:rsid w:val="00B541DF"/>
    <w:rsid w:val="00B542D6"/>
    <w:rsid w:val="00B568E8"/>
    <w:rsid w:val="00B56CA9"/>
    <w:rsid w:val="00B57AE7"/>
    <w:rsid w:val="00B57DDB"/>
    <w:rsid w:val="00B6001D"/>
    <w:rsid w:val="00B61427"/>
    <w:rsid w:val="00B6251D"/>
    <w:rsid w:val="00B638D3"/>
    <w:rsid w:val="00B6435A"/>
    <w:rsid w:val="00B64AA7"/>
    <w:rsid w:val="00B658C5"/>
    <w:rsid w:val="00B65C85"/>
    <w:rsid w:val="00B66392"/>
    <w:rsid w:val="00B67A77"/>
    <w:rsid w:val="00B67FF0"/>
    <w:rsid w:val="00B719D9"/>
    <w:rsid w:val="00B71FF7"/>
    <w:rsid w:val="00B73DFF"/>
    <w:rsid w:val="00B756D0"/>
    <w:rsid w:val="00B76A4C"/>
    <w:rsid w:val="00B82E02"/>
    <w:rsid w:val="00B85B46"/>
    <w:rsid w:val="00B87518"/>
    <w:rsid w:val="00B902FF"/>
    <w:rsid w:val="00B90D36"/>
    <w:rsid w:val="00B91286"/>
    <w:rsid w:val="00B918B7"/>
    <w:rsid w:val="00B933CF"/>
    <w:rsid w:val="00B93479"/>
    <w:rsid w:val="00B964A6"/>
    <w:rsid w:val="00B97A71"/>
    <w:rsid w:val="00B97DA5"/>
    <w:rsid w:val="00BA001A"/>
    <w:rsid w:val="00BA0195"/>
    <w:rsid w:val="00BA0603"/>
    <w:rsid w:val="00BA1A24"/>
    <w:rsid w:val="00BA1DD3"/>
    <w:rsid w:val="00BA2285"/>
    <w:rsid w:val="00BA3331"/>
    <w:rsid w:val="00BA6DAE"/>
    <w:rsid w:val="00BB146D"/>
    <w:rsid w:val="00BB1D4A"/>
    <w:rsid w:val="00BB2FB3"/>
    <w:rsid w:val="00BB4846"/>
    <w:rsid w:val="00BB6489"/>
    <w:rsid w:val="00BB7AB9"/>
    <w:rsid w:val="00BB7B3A"/>
    <w:rsid w:val="00BC0D68"/>
    <w:rsid w:val="00BC0E04"/>
    <w:rsid w:val="00BC16CA"/>
    <w:rsid w:val="00BC3DA7"/>
    <w:rsid w:val="00BC5880"/>
    <w:rsid w:val="00BC5A9A"/>
    <w:rsid w:val="00BC67F5"/>
    <w:rsid w:val="00BC744B"/>
    <w:rsid w:val="00BD25F9"/>
    <w:rsid w:val="00BD584D"/>
    <w:rsid w:val="00BD6CE2"/>
    <w:rsid w:val="00BD7579"/>
    <w:rsid w:val="00BD7E4F"/>
    <w:rsid w:val="00BD7E85"/>
    <w:rsid w:val="00BE1763"/>
    <w:rsid w:val="00BE3FF0"/>
    <w:rsid w:val="00BE6339"/>
    <w:rsid w:val="00BF0C99"/>
    <w:rsid w:val="00BF12F1"/>
    <w:rsid w:val="00BF6C2F"/>
    <w:rsid w:val="00BF72B8"/>
    <w:rsid w:val="00C00C98"/>
    <w:rsid w:val="00C03407"/>
    <w:rsid w:val="00C04AE3"/>
    <w:rsid w:val="00C054AA"/>
    <w:rsid w:val="00C05838"/>
    <w:rsid w:val="00C07312"/>
    <w:rsid w:val="00C075D6"/>
    <w:rsid w:val="00C07C82"/>
    <w:rsid w:val="00C1036B"/>
    <w:rsid w:val="00C108B8"/>
    <w:rsid w:val="00C11437"/>
    <w:rsid w:val="00C11720"/>
    <w:rsid w:val="00C11A06"/>
    <w:rsid w:val="00C11B59"/>
    <w:rsid w:val="00C12BE6"/>
    <w:rsid w:val="00C13D25"/>
    <w:rsid w:val="00C14709"/>
    <w:rsid w:val="00C14FE3"/>
    <w:rsid w:val="00C15BEF"/>
    <w:rsid w:val="00C15EC5"/>
    <w:rsid w:val="00C209C5"/>
    <w:rsid w:val="00C21170"/>
    <w:rsid w:val="00C25F31"/>
    <w:rsid w:val="00C270B4"/>
    <w:rsid w:val="00C2774E"/>
    <w:rsid w:val="00C304A1"/>
    <w:rsid w:val="00C35707"/>
    <w:rsid w:val="00C35BF1"/>
    <w:rsid w:val="00C41BCC"/>
    <w:rsid w:val="00C4486D"/>
    <w:rsid w:val="00C451BA"/>
    <w:rsid w:val="00C455F5"/>
    <w:rsid w:val="00C5100E"/>
    <w:rsid w:val="00C54ECA"/>
    <w:rsid w:val="00C574CD"/>
    <w:rsid w:val="00C5787E"/>
    <w:rsid w:val="00C57D1A"/>
    <w:rsid w:val="00C604FB"/>
    <w:rsid w:val="00C630AF"/>
    <w:rsid w:val="00C63D6A"/>
    <w:rsid w:val="00C64DF6"/>
    <w:rsid w:val="00C66000"/>
    <w:rsid w:val="00C6771C"/>
    <w:rsid w:val="00C7016E"/>
    <w:rsid w:val="00C7071D"/>
    <w:rsid w:val="00C712F7"/>
    <w:rsid w:val="00C738E6"/>
    <w:rsid w:val="00C7422C"/>
    <w:rsid w:val="00C745BF"/>
    <w:rsid w:val="00C74830"/>
    <w:rsid w:val="00C75D79"/>
    <w:rsid w:val="00C75FBB"/>
    <w:rsid w:val="00C76454"/>
    <w:rsid w:val="00C7794F"/>
    <w:rsid w:val="00C81C87"/>
    <w:rsid w:val="00C82D71"/>
    <w:rsid w:val="00C84550"/>
    <w:rsid w:val="00C847CC"/>
    <w:rsid w:val="00C8523F"/>
    <w:rsid w:val="00C85821"/>
    <w:rsid w:val="00C86D25"/>
    <w:rsid w:val="00C87335"/>
    <w:rsid w:val="00C902EE"/>
    <w:rsid w:val="00C9077D"/>
    <w:rsid w:val="00C92F56"/>
    <w:rsid w:val="00C93942"/>
    <w:rsid w:val="00C945D6"/>
    <w:rsid w:val="00CA0C50"/>
    <w:rsid w:val="00CA1874"/>
    <w:rsid w:val="00CA2B69"/>
    <w:rsid w:val="00CA44B0"/>
    <w:rsid w:val="00CA6CFB"/>
    <w:rsid w:val="00CA7E30"/>
    <w:rsid w:val="00CB2237"/>
    <w:rsid w:val="00CB4FE1"/>
    <w:rsid w:val="00CB5038"/>
    <w:rsid w:val="00CB565A"/>
    <w:rsid w:val="00CB580B"/>
    <w:rsid w:val="00CC03DF"/>
    <w:rsid w:val="00CC05EF"/>
    <w:rsid w:val="00CC0981"/>
    <w:rsid w:val="00CC4EC9"/>
    <w:rsid w:val="00CC653A"/>
    <w:rsid w:val="00CC6D90"/>
    <w:rsid w:val="00CC6ED4"/>
    <w:rsid w:val="00CC6EEF"/>
    <w:rsid w:val="00CC70CA"/>
    <w:rsid w:val="00CC7444"/>
    <w:rsid w:val="00CD1873"/>
    <w:rsid w:val="00CD2606"/>
    <w:rsid w:val="00CD506E"/>
    <w:rsid w:val="00CD5543"/>
    <w:rsid w:val="00CD7C19"/>
    <w:rsid w:val="00CE03F5"/>
    <w:rsid w:val="00CE17A3"/>
    <w:rsid w:val="00CE1B92"/>
    <w:rsid w:val="00CE249D"/>
    <w:rsid w:val="00CE2CCF"/>
    <w:rsid w:val="00CE35D3"/>
    <w:rsid w:val="00CE3E1C"/>
    <w:rsid w:val="00CE66DD"/>
    <w:rsid w:val="00CE7393"/>
    <w:rsid w:val="00CF089C"/>
    <w:rsid w:val="00CF2D02"/>
    <w:rsid w:val="00CF4363"/>
    <w:rsid w:val="00CF4711"/>
    <w:rsid w:val="00CF506D"/>
    <w:rsid w:val="00CF57AD"/>
    <w:rsid w:val="00CF6030"/>
    <w:rsid w:val="00CF6300"/>
    <w:rsid w:val="00CF6F4F"/>
    <w:rsid w:val="00CF71C6"/>
    <w:rsid w:val="00D0413F"/>
    <w:rsid w:val="00D04CDC"/>
    <w:rsid w:val="00D11559"/>
    <w:rsid w:val="00D1222C"/>
    <w:rsid w:val="00D129C1"/>
    <w:rsid w:val="00D13FBE"/>
    <w:rsid w:val="00D16412"/>
    <w:rsid w:val="00D20E73"/>
    <w:rsid w:val="00D2165C"/>
    <w:rsid w:val="00D233DB"/>
    <w:rsid w:val="00D2624F"/>
    <w:rsid w:val="00D26B9D"/>
    <w:rsid w:val="00D27F0C"/>
    <w:rsid w:val="00D3038F"/>
    <w:rsid w:val="00D31162"/>
    <w:rsid w:val="00D32C2A"/>
    <w:rsid w:val="00D349EF"/>
    <w:rsid w:val="00D3569B"/>
    <w:rsid w:val="00D35D06"/>
    <w:rsid w:val="00D36BE8"/>
    <w:rsid w:val="00D37511"/>
    <w:rsid w:val="00D37FF9"/>
    <w:rsid w:val="00D42BA8"/>
    <w:rsid w:val="00D44E91"/>
    <w:rsid w:val="00D47D2E"/>
    <w:rsid w:val="00D50186"/>
    <w:rsid w:val="00D5191D"/>
    <w:rsid w:val="00D52F09"/>
    <w:rsid w:val="00D53D3D"/>
    <w:rsid w:val="00D54FF9"/>
    <w:rsid w:val="00D5629F"/>
    <w:rsid w:val="00D5730D"/>
    <w:rsid w:val="00D6081B"/>
    <w:rsid w:val="00D61EAD"/>
    <w:rsid w:val="00D6215C"/>
    <w:rsid w:val="00D6542B"/>
    <w:rsid w:val="00D668C1"/>
    <w:rsid w:val="00D67ABF"/>
    <w:rsid w:val="00D70EBB"/>
    <w:rsid w:val="00D7194E"/>
    <w:rsid w:val="00D75C8A"/>
    <w:rsid w:val="00D76B47"/>
    <w:rsid w:val="00D775A6"/>
    <w:rsid w:val="00D81477"/>
    <w:rsid w:val="00D81638"/>
    <w:rsid w:val="00D81D0C"/>
    <w:rsid w:val="00D82027"/>
    <w:rsid w:val="00D85B06"/>
    <w:rsid w:val="00D85EE9"/>
    <w:rsid w:val="00D8603B"/>
    <w:rsid w:val="00D86EC5"/>
    <w:rsid w:val="00D87A8E"/>
    <w:rsid w:val="00D92EAC"/>
    <w:rsid w:val="00D942EA"/>
    <w:rsid w:val="00D9484D"/>
    <w:rsid w:val="00D95752"/>
    <w:rsid w:val="00D95D9E"/>
    <w:rsid w:val="00D9791E"/>
    <w:rsid w:val="00D97C68"/>
    <w:rsid w:val="00DA031C"/>
    <w:rsid w:val="00DA1A3B"/>
    <w:rsid w:val="00DA318A"/>
    <w:rsid w:val="00DA3CDE"/>
    <w:rsid w:val="00DA3FE1"/>
    <w:rsid w:val="00DA4A1E"/>
    <w:rsid w:val="00DA56EB"/>
    <w:rsid w:val="00DA7379"/>
    <w:rsid w:val="00DB13EF"/>
    <w:rsid w:val="00DB1E5F"/>
    <w:rsid w:val="00DB214E"/>
    <w:rsid w:val="00DB642C"/>
    <w:rsid w:val="00DB76B8"/>
    <w:rsid w:val="00DB7962"/>
    <w:rsid w:val="00DB7FDF"/>
    <w:rsid w:val="00DC01D3"/>
    <w:rsid w:val="00DC1A6C"/>
    <w:rsid w:val="00DC238F"/>
    <w:rsid w:val="00DC3D29"/>
    <w:rsid w:val="00DC531A"/>
    <w:rsid w:val="00DC7610"/>
    <w:rsid w:val="00DD25CD"/>
    <w:rsid w:val="00DD2784"/>
    <w:rsid w:val="00DD4807"/>
    <w:rsid w:val="00DD69A6"/>
    <w:rsid w:val="00DD6F8B"/>
    <w:rsid w:val="00DE1418"/>
    <w:rsid w:val="00DE3280"/>
    <w:rsid w:val="00DE4A34"/>
    <w:rsid w:val="00DE5F6B"/>
    <w:rsid w:val="00DE62A3"/>
    <w:rsid w:val="00DE656E"/>
    <w:rsid w:val="00DE6B42"/>
    <w:rsid w:val="00DE79BB"/>
    <w:rsid w:val="00DE7B9A"/>
    <w:rsid w:val="00DF0081"/>
    <w:rsid w:val="00DF0B50"/>
    <w:rsid w:val="00DF13BF"/>
    <w:rsid w:val="00DF2FCF"/>
    <w:rsid w:val="00DF3B0A"/>
    <w:rsid w:val="00DF455B"/>
    <w:rsid w:val="00DF52C6"/>
    <w:rsid w:val="00E01E1A"/>
    <w:rsid w:val="00E02C64"/>
    <w:rsid w:val="00E0414A"/>
    <w:rsid w:val="00E10FBC"/>
    <w:rsid w:val="00E12702"/>
    <w:rsid w:val="00E1292F"/>
    <w:rsid w:val="00E1299B"/>
    <w:rsid w:val="00E13A32"/>
    <w:rsid w:val="00E13B93"/>
    <w:rsid w:val="00E14E11"/>
    <w:rsid w:val="00E17E42"/>
    <w:rsid w:val="00E21FB1"/>
    <w:rsid w:val="00E230D5"/>
    <w:rsid w:val="00E23385"/>
    <w:rsid w:val="00E263E8"/>
    <w:rsid w:val="00E26524"/>
    <w:rsid w:val="00E27C41"/>
    <w:rsid w:val="00E302BA"/>
    <w:rsid w:val="00E30524"/>
    <w:rsid w:val="00E307A9"/>
    <w:rsid w:val="00E314F3"/>
    <w:rsid w:val="00E320E2"/>
    <w:rsid w:val="00E3253B"/>
    <w:rsid w:val="00E32A86"/>
    <w:rsid w:val="00E33AA2"/>
    <w:rsid w:val="00E33ACE"/>
    <w:rsid w:val="00E342FD"/>
    <w:rsid w:val="00E347B6"/>
    <w:rsid w:val="00E3531A"/>
    <w:rsid w:val="00E35A28"/>
    <w:rsid w:val="00E43F38"/>
    <w:rsid w:val="00E4527B"/>
    <w:rsid w:val="00E50209"/>
    <w:rsid w:val="00E52844"/>
    <w:rsid w:val="00E548F3"/>
    <w:rsid w:val="00E60949"/>
    <w:rsid w:val="00E62437"/>
    <w:rsid w:val="00E63E19"/>
    <w:rsid w:val="00E63F78"/>
    <w:rsid w:val="00E66789"/>
    <w:rsid w:val="00E66A8B"/>
    <w:rsid w:val="00E70C40"/>
    <w:rsid w:val="00E711B2"/>
    <w:rsid w:val="00E73DCA"/>
    <w:rsid w:val="00E74377"/>
    <w:rsid w:val="00E76214"/>
    <w:rsid w:val="00E77091"/>
    <w:rsid w:val="00E81050"/>
    <w:rsid w:val="00E81337"/>
    <w:rsid w:val="00E818E7"/>
    <w:rsid w:val="00E81FE9"/>
    <w:rsid w:val="00E82880"/>
    <w:rsid w:val="00E858FE"/>
    <w:rsid w:val="00E8667B"/>
    <w:rsid w:val="00E90C93"/>
    <w:rsid w:val="00E92E2E"/>
    <w:rsid w:val="00E95854"/>
    <w:rsid w:val="00E977C4"/>
    <w:rsid w:val="00E97B32"/>
    <w:rsid w:val="00EA0C68"/>
    <w:rsid w:val="00EA15A6"/>
    <w:rsid w:val="00EA16D8"/>
    <w:rsid w:val="00EA1751"/>
    <w:rsid w:val="00EA3B00"/>
    <w:rsid w:val="00EA3F92"/>
    <w:rsid w:val="00EA777A"/>
    <w:rsid w:val="00EB09CA"/>
    <w:rsid w:val="00EB0C7B"/>
    <w:rsid w:val="00EB198F"/>
    <w:rsid w:val="00EB1AB4"/>
    <w:rsid w:val="00EB4064"/>
    <w:rsid w:val="00EB6698"/>
    <w:rsid w:val="00EC18A6"/>
    <w:rsid w:val="00EC5C07"/>
    <w:rsid w:val="00EC5FAE"/>
    <w:rsid w:val="00EC62B1"/>
    <w:rsid w:val="00EC645C"/>
    <w:rsid w:val="00EC734F"/>
    <w:rsid w:val="00ED1BB3"/>
    <w:rsid w:val="00ED2A1B"/>
    <w:rsid w:val="00ED457F"/>
    <w:rsid w:val="00ED519A"/>
    <w:rsid w:val="00ED5296"/>
    <w:rsid w:val="00ED5600"/>
    <w:rsid w:val="00ED5601"/>
    <w:rsid w:val="00ED61D0"/>
    <w:rsid w:val="00EE15C5"/>
    <w:rsid w:val="00EE31C4"/>
    <w:rsid w:val="00EE67B2"/>
    <w:rsid w:val="00EE7C43"/>
    <w:rsid w:val="00EF1D64"/>
    <w:rsid w:val="00EF35BF"/>
    <w:rsid w:val="00EF3958"/>
    <w:rsid w:val="00EF636B"/>
    <w:rsid w:val="00EF6A72"/>
    <w:rsid w:val="00EF6CF9"/>
    <w:rsid w:val="00EF7B76"/>
    <w:rsid w:val="00F007B6"/>
    <w:rsid w:val="00F009EA"/>
    <w:rsid w:val="00F013DE"/>
    <w:rsid w:val="00F01A84"/>
    <w:rsid w:val="00F01AC9"/>
    <w:rsid w:val="00F0234B"/>
    <w:rsid w:val="00F02707"/>
    <w:rsid w:val="00F04BBA"/>
    <w:rsid w:val="00F05AF5"/>
    <w:rsid w:val="00F05C0A"/>
    <w:rsid w:val="00F0693D"/>
    <w:rsid w:val="00F06A82"/>
    <w:rsid w:val="00F136B2"/>
    <w:rsid w:val="00F13A91"/>
    <w:rsid w:val="00F13BC8"/>
    <w:rsid w:val="00F15300"/>
    <w:rsid w:val="00F16D3B"/>
    <w:rsid w:val="00F17152"/>
    <w:rsid w:val="00F17274"/>
    <w:rsid w:val="00F172FF"/>
    <w:rsid w:val="00F2127A"/>
    <w:rsid w:val="00F223D8"/>
    <w:rsid w:val="00F238C4"/>
    <w:rsid w:val="00F23D27"/>
    <w:rsid w:val="00F24667"/>
    <w:rsid w:val="00F256D5"/>
    <w:rsid w:val="00F25ACA"/>
    <w:rsid w:val="00F25C8F"/>
    <w:rsid w:val="00F301B7"/>
    <w:rsid w:val="00F31870"/>
    <w:rsid w:val="00F31AAD"/>
    <w:rsid w:val="00F32BBA"/>
    <w:rsid w:val="00F33B81"/>
    <w:rsid w:val="00F3474C"/>
    <w:rsid w:val="00F366A0"/>
    <w:rsid w:val="00F368B3"/>
    <w:rsid w:val="00F37C39"/>
    <w:rsid w:val="00F40C7E"/>
    <w:rsid w:val="00F40E10"/>
    <w:rsid w:val="00F411EB"/>
    <w:rsid w:val="00F465DA"/>
    <w:rsid w:val="00F46BEE"/>
    <w:rsid w:val="00F51049"/>
    <w:rsid w:val="00F513CA"/>
    <w:rsid w:val="00F51A1E"/>
    <w:rsid w:val="00F53BC2"/>
    <w:rsid w:val="00F54090"/>
    <w:rsid w:val="00F60895"/>
    <w:rsid w:val="00F64B1A"/>
    <w:rsid w:val="00F67872"/>
    <w:rsid w:val="00F7287E"/>
    <w:rsid w:val="00F775B8"/>
    <w:rsid w:val="00F776E5"/>
    <w:rsid w:val="00F77CEB"/>
    <w:rsid w:val="00F80BD4"/>
    <w:rsid w:val="00F80D26"/>
    <w:rsid w:val="00F81E00"/>
    <w:rsid w:val="00F82F64"/>
    <w:rsid w:val="00F83AA2"/>
    <w:rsid w:val="00F83C4B"/>
    <w:rsid w:val="00F84E65"/>
    <w:rsid w:val="00F904D1"/>
    <w:rsid w:val="00F914B8"/>
    <w:rsid w:val="00F9292A"/>
    <w:rsid w:val="00F92ED7"/>
    <w:rsid w:val="00F934A1"/>
    <w:rsid w:val="00F97AE0"/>
    <w:rsid w:val="00FA02F0"/>
    <w:rsid w:val="00FA43BF"/>
    <w:rsid w:val="00FA5C1C"/>
    <w:rsid w:val="00FA697E"/>
    <w:rsid w:val="00FA6DC7"/>
    <w:rsid w:val="00FB04E1"/>
    <w:rsid w:val="00FB21CC"/>
    <w:rsid w:val="00FB2594"/>
    <w:rsid w:val="00FB2716"/>
    <w:rsid w:val="00FB2CF1"/>
    <w:rsid w:val="00FB6A80"/>
    <w:rsid w:val="00FC2C6C"/>
    <w:rsid w:val="00FC3CDF"/>
    <w:rsid w:val="00FC438D"/>
    <w:rsid w:val="00FC46E3"/>
    <w:rsid w:val="00FC6ED2"/>
    <w:rsid w:val="00FD2030"/>
    <w:rsid w:val="00FD3FFC"/>
    <w:rsid w:val="00FD5777"/>
    <w:rsid w:val="00FD5E46"/>
    <w:rsid w:val="00FD6F96"/>
    <w:rsid w:val="00FD7AAC"/>
    <w:rsid w:val="00FE0D34"/>
    <w:rsid w:val="00FE2E74"/>
    <w:rsid w:val="00FE375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812FCD"/>
  <w15:chartTrackingRefBased/>
  <w15:docId w15:val="{A47C80B2-539F-4D8D-A23A-99D2D74E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41262D"/>
    <w:rPr>
      <w:sz w:val="24"/>
      <w:lang w:val="sk-SK" w:eastAsia="sl-SI"/>
    </w:rPr>
  </w:style>
  <w:style w:type="paragraph" w:styleId="Nadpis1">
    <w:name w:val="heading 1"/>
    <w:basedOn w:val="Normlny"/>
    <w:next w:val="Normlny"/>
    <w:qFormat/>
    <w:rsid w:val="00325207"/>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5562DE"/>
    <w:pPr>
      <w:keepNext/>
      <w:tabs>
        <w:tab w:val="left" w:pos="4300"/>
        <w:tab w:val="left" w:pos="5940"/>
        <w:tab w:val="left" w:pos="8180"/>
      </w:tabs>
      <w:spacing w:line="360" w:lineRule="atLeast"/>
      <w:outlineLvl w:val="1"/>
    </w:pPr>
    <w:rPr>
      <w:b/>
      <w:u w:val="single"/>
      <w:lang w:val="en-US"/>
    </w:rPr>
  </w:style>
  <w:style w:type="paragraph" w:styleId="Nadpis3">
    <w:name w:val="heading 3"/>
    <w:basedOn w:val="Normlny"/>
    <w:next w:val="Normlny"/>
    <w:qFormat/>
    <w:rsid w:val="005562DE"/>
    <w:pPr>
      <w:keepNext/>
      <w:tabs>
        <w:tab w:val="decimal" w:pos="6760"/>
      </w:tabs>
      <w:spacing w:line="480" w:lineRule="atLeast"/>
      <w:outlineLvl w:val="2"/>
    </w:pPr>
    <w:rPr>
      <w:b/>
      <w:lang w:val="en-US"/>
    </w:rPr>
  </w:style>
  <w:style w:type="paragraph" w:styleId="Nadpis4">
    <w:name w:val="heading 4"/>
    <w:basedOn w:val="Normlny"/>
    <w:next w:val="Normlny"/>
    <w:qFormat/>
    <w:rsid w:val="00526D57"/>
    <w:pPr>
      <w:keepNext/>
      <w:spacing w:before="240" w:after="60"/>
      <w:outlineLvl w:val="3"/>
    </w:pPr>
    <w:rPr>
      <w:b/>
      <w:bCs/>
      <w:sz w:val="28"/>
      <w:szCs w:val="28"/>
    </w:rPr>
  </w:style>
  <w:style w:type="paragraph" w:styleId="Nadpis6">
    <w:name w:val="heading 6"/>
    <w:basedOn w:val="Normlny"/>
    <w:next w:val="Normlny"/>
    <w:qFormat/>
    <w:rsid w:val="005562DE"/>
    <w:pPr>
      <w:keepNext/>
      <w:keepLines/>
      <w:tabs>
        <w:tab w:val="right" w:pos="4536"/>
        <w:tab w:val="left" w:pos="5180"/>
        <w:tab w:val="left" w:pos="5380"/>
        <w:tab w:val="left" w:pos="8222"/>
      </w:tabs>
      <w:outlineLvl w:val="5"/>
    </w:pPr>
    <w:rPr>
      <w:b/>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173E2B"/>
    <w:pPr>
      <w:tabs>
        <w:tab w:val="center" w:pos="4320"/>
        <w:tab w:val="right" w:pos="8640"/>
      </w:tabs>
    </w:pPr>
  </w:style>
  <w:style w:type="paragraph" w:styleId="Pta">
    <w:name w:val="footer"/>
    <w:basedOn w:val="Normlny"/>
    <w:link w:val="PtaChar"/>
    <w:uiPriority w:val="99"/>
    <w:rsid w:val="00173E2B"/>
    <w:pPr>
      <w:tabs>
        <w:tab w:val="center" w:pos="4320"/>
        <w:tab w:val="right" w:pos="8640"/>
      </w:tabs>
    </w:pPr>
  </w:style>
  <w:style w:type="table" w:styleId="Mriekatabuky">
    <w:name w:val="Table Grid"/>
    <w:basedOn w:val="Normlnatabuka"/>
    <w:rsid w:val="0017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AE4202"/>
  </w:style>
  <w:style w:type="character" w:styleId="Hypertextovprepojenie">
    <w:name w:val="Hyperlink"/>
    <w:rsid w:val="00C745BF"/>
    <w:rPr>
      <w:rFonts w:ascii="Times New Roman" w:hAnsi="Times New Roman"/>
      <w:color w:val="auto"/>
      <w:sz w:val="24"/>
      <w:szCs w:val="24"/>
      <w:u w:val="single"/>
      <w:lang w:val="en-US"/>
    </w:rPr>
  </w:style>
  <w:style w:type="character" w:styleId="PouitHypertextovPrepojenie">
    <w:name w:val="FollowedHyperlink"/>
    <w:rsid w:val="00C745BF"/>
    <w:rPr>
      <w:color w:val="800080"/>
      <w:u w:val="single"/>
    </w:rPr>
  </w:style>
  <w:style w:type="paragraph" w:styleId="Obyajntext">
    <w:name w:val="Plain Text"/>
    <w:basedOn w:val="Normlny"/>
    <w:rsid w:val="00660B27"/>
    <w:rPr>
      <w:rFonts w:ascii="Courier New" w:hAnsi="Courier New"/>
      <w:sz w:val="20"/>
      <w:lang w:val="en-GB"/>
    </w:rPr>
  </w:style>
  <w:style w:type="paragraph" w:styleId="Popis">
    <w:name w:val="caption"/>
    <w:basedOn w:val="Normlny"/>
    <w:next w:val="Normlny"/>
    <w:qFormat/>
    <w:rsid w:val="00660B27"/>
    <w:pPr>
      <w:jc w:val="both"/>
    </w:pPr>
    <w:rPr>
      <w:lang w:val="en-GB"/>
    </w:rPr>
  </w:style>
  <w:style w:type="paragraph" w:customStyle="1" w:styleId="Naslov1">
    <w:name w:val="Naslov1"/>
    <w:basedOn w:val="Nadpis1"/>
    <w:rsid w:val="00325207"/>
    <w:pPr>
      <w:spacing w:before="0" w:after="0"/>
    </w:pPr>
    <w:rPr>
      <w:rFonts w:ascii="Times New Roman" w:hAnsi="Times New Roman" w:cs="Times New Roman"/>
      <w:bCs w:val="0"/>
      <w:kern w:val="0"/>
      <w:sz w:val="22"/>
      <w:szCs w:val="20"/>
      <w:u w:val="single"/>
    </w:rPr>
  </w:style>
  <w:style w:type="paragraph" w:styleId="Obsah1">
    <w:name w:val="toc 1"/>
    <w:basedOn w:val="Normlny"/>
    <w:next w:val="Normlny"/>
    <w:autoRedefine/>
    <w:semiHidden/>
    <w:rsid w:val="00576EC6"/>
    <w:pPr>
      <w:spacing w:before="120"/>
    </w:pPr>
    <w:rPr>
      <w:b/>
      <w:bCs/>
      <w:i/>
      <w:iCs/>
      <w:szCs w:val="28"/>
    </w:rPr>
  </w:style>
  <w:style w:type="paragraph" w:styleId="Zkladntext">
    <w:name w:val="Body Text"/>
    <w:basedOn w:val="Normlny"/>
    <w:rsid w:val="00526D57"/>
    <w:pPr>
      <w:numPr>
        <w:ilvl w:val="12"/>
      </w:numPr>
      <w:tabs>
        <w:tab w:val="left" w:pos="8505"/>
      </w:tabs>
      <w:ind w:right="-2"/>
    </w:pPr>
    <w:rPr>
      <w:sz w:val="22"/>
    </w:rPr>
  </w:style>
  <w:style w:type="paragraph" w:styleId="Zkladntext2">
    <w:name w:val="Body Text 2"/>
    <w:basedOn w:val="Normlny"/>
    <w:rsid w:val="00AA1538"/>
    <w:pPr>
      <w:spacing w:after="120" w:line="480" w:lineRule="auto"/>
    </w:pPr>
  </w:style>
  <w:style w:type="paragraph" w:customStyle="1" w:styleId="EMEAEnBodyText">
    <w:name w:val="EMEA En Body Text"/>
    <w:basedOn w:val="Normlny"/>
    <w:rsid w:val="00C7794F"/>
    <w:pPr>
      <w:spacing w:before="120" w:after="120"/>
      <w:jc w:val="both"/>
    </w:pPr>
    <w:rPr>
      <w:sz w:val="22"/>
      <w:lang w:val="en-US" w:eastAsia="en-US"/>
    </w:rPr>
  </w:style>
  <w:style w:type="paragraph" w:customStyle="1" w:styleId="Default">
    <w:name w:val="Default"/>
    <w:rsid w:val="00C7794F"/>
    <w:pPr>
      <w:autoSpaceDE w:val="0"/>
      <w:autoSpaceDN w:val="0"/>
      <w:adjustRightInd w:val="0"/>
    </w:pPr>
    <w:rPr>
      <w:color w:val="000000"/>
      <w:sz w:val="24"/>
      <w:szCs w:val="24"/>
      <w:lang w:val="sl-SI" w:eastAsia="sl-SI"/>
    </w:rPr>
  </w:style>
  <w:style w:type="numbering" w:customStyle="1" w:styleId="Brezseznama1">
    <w:name w:val="Brez seznama1"/>
    <w:next w:val="Bezzoznamu"/>
    <w:semiHidden/>
    <w:rsid w:val="00C74830"/>
  </w:style>
  <w:style w:type="paragraph" w:styleId="Textvysvetlivky">
    <w:name w:val="endnote text"/>
    <w:basedOn w:val="Normlny"/>
    <w:semiHidden/>
    <w:rsid w:val="00C74830"/>
    <w:pPr>
      <w:tabs>
        <w:tab w:val="left" w:pos="567"/>
      </w:tabs>
    </w:pPr>
    <w:rPr>
      <w:sz w:val="22"/>
      <w:lang w:val="en-GB" w:eastAsia="en-US"/>
    </w:rPr>
  </w:style>
  <w:style w:type="numbering" w:customStyle="1" w:styleId="Brezseznama2">
    <w:name w:val="Brez seznama2"/>
    <w:next w:val="Bezzoznamu"/>
    <w:semiHidden/>
    <w:rsid w:val="00081F1F"/>
  </w:style>
  <w:style w:type="numbering" w:customStyle="1" w:styleId="Brezseznama3">
    <w:name w:val="Brez seznama3"/>
    <w:next w:val="Bezzoznamu"/>
    <w:semiHidden/>
    <w:rsid w:val="007D5D2F"/>
  </w:style>
  <w:style w:type="paragraph" w:styleId="Nzov">
    <w:name w:val="Title"/>
    <w:basedOn w:val="Normlny"/>
    <w:qFormat/>
    <w:rsid w:val="007D5D2F"/>
    <w:pPr>
      <w:jc w:val="center"/>
    </w:pPr>
    <w:rPr>
      <w:b/>
      <w:sz w:val="22"/>
      <w:lang w:val="en-GB" w:eastAsia="en-US"/>
    </w:rPr>
  </w:style>
  <w:style w:type="numbering" w:customStyle="1" w:styleId="Brezseznama4">
    <w:name w:val="Brez seznama4"/>
    <w:next w:val="Bezzoznamu"/>
    <w:semiHidden/>
    <w:rsid w:val="00F0234B"/>
  </w:style>
  <w:style w:type="numbering" w:customStyle="1" w:styleId="Brezseznama5">
    <w:name w:val="Brez seznama5"/>
    <w:next w:val="Bezzoznamu"/>
    <w:uiPriority w:val="99"/>
    <w:semiHidden/>
    <w:unhideWhenUsed/>
    <w:rsid w:val="003F6563"/>
  </w:style>
  <w:style w:type="character" w:customStyle="1" w:styleId="HlavikaChar">
    <w:name w:val="Hlavička Char"/>
    <w:link w:val="Hlavika"/>
    <w:uiPriority w:val="99"/>
    <w:rsid w:val="008462D3"/>
    <w:rPr>
      <w:sz w:val="24"/>
    </w:rPr>
  </w:style>
  <w:style w:type="paragraph" w:customStyle="1" w:styleId="TitleB">
    <w:name w:val="Title B"/>
    <w:basedOn w:val="Normlny"/>
    <w:qFormat/>
    <w:pPr>
      <w:widowControl w:val="0"/>
      <w:tabs>
        <w:tab w:val="left" w:pos="567"/>
      </w:tabs>
      <w:ind w:left="567" w:hanging="567"/>
    </w:pPr>
    <w:rPr>
      <w:b/>
      <w:bCs/>
      <w:noProof/>
      <w:sz w:val="22"/>
      <w:szCs w:val="22"/>
      <w:lang w:val="en-US" w:eastAsia="en-US"/>
    </w:rPr>
  </w:style>
  <w:style w:type="paragraph" w:customStyle="1" w:styleId="TitleA">
    <w:name w:val="Title A"/>
    <w:basedOn w:val="Normlny"/>
    <w:qFormat/>
    <w:pPr>
      <w:widowControl w:val="0"/>
      <w:jc w:val="center"/>
      <w:outlineLvl w:val="0"/>
    </w:pPr>
    <w:rPr>
      <w:b/>
      <w:noProof/>
      <w:sz w:val="22"/>
      <w:szCs w:val="22"/>
      <w:lang w:val="en-GB" w:eastAsia="en-US"/>
    </w:rPr>
  </w:style>
  <w:style w:type="paragraph" w:styleId="Revzia">
    <w:name w:val="Revision"/>
    <w:hidden/>
    <w:uiPriority w:val="99"/>
    <w:semiHidden/>
    <w:rsid w:val="00495E46"/>
    <w:rPr>
      <w:sz w:val="24"/>
      <w:lang w:val="sl-SI" w:eastAsia="sl-SI"/>
    </w:rPr>
  </w:style>
  <w:style w:type="paragraph" w:styleId="Textbubliny">
    <w:name w:val="Balloon Text"/>
    <w:basedOn w:val="Normlny"/>
    <w:link w:val="TextbublinyChar"/>
    <w:rsid w:val="00495E46"/>
    <w:rPr>
      <w:rFonts w:ascii="Tahoma" w:hAnsi="Tahoma" w:cs="Tahoma"/>
      <w:sz w:val="16"/>
      <w:szCs w:val="16"/>
    </w:rPr>
  </w:style>
  <w:style w:type="character" w:customStyle="1" w:styleId="TextbublinyChar">
    <w:name w:val="Text bubliny Char"/>
    <w:link w:val="Textbubliny"/>
    <w:rsid w:val="00495E46"/>
    <w:rPr>
      <w:rFonts w:ascii="Tahoma" w:hAnsi="Tahoma" w:cs="Tahoma"/>
      <w:sz w:val="16"/>
      <w:szCs w:val="16"/>
    </w:rPr>
  </w:style>
  <w:style w:type="numbering" w:customStyle="1" w:styleId="Brezseznama6">
    <w:name w:val="Brez seznama6"/>
    <w:next w:val="Bezzoznamu"/>
    <w:uiPriority w:val="99"/>
    <w:semiHidden/>
    <w:unhideWhenUsed/>
    <w:rsid w:val="005C5AB1"/>
  </w:style>
  <w:style w:type="paragraph" w:customStyle="1" w:styleId="BodytextAgency">
    <w:name w:val="Body text (Agency)"/>
    <w:basedOn w:val="Normlny"/>
    <w:link w:val="BodytextAgencyChar"/>
    <w:rsid w:val="005C5AB1"/>
    <w:pPr>
      <w:spacing w:after="140" w:line="280" w:lineRule="atLeast"/>
    </w:pPr>
    <w:rPr>
      <w:rFonts w:ascii="Verdana" w:eastAsia="Verdana" w:hAnsi="Verdana" w:cs="Verdana"/>
      <w:sz w:val="18"/>
      <w:szCs w:val="18"/>
      <w:lang w:val="en-GB" w:eastAsia="en-GB"/>
    </w:rPr>
  </w:style>
  <w:style w:type="character" w:customStyle="1" w:styleId="BodytextAgencyChar">
    <w:name w:val="Body text (Agency) Char"/>
    <w:link w:val="BodytextAgency"/>
    <w:rsid w:val="005C5AB1"/>
    <w:rPr>
      <w:rFonts w:ascii="Verdana" w:eastAsia="Verdana" w:hAnsi="Verdana" w:cs="Verdana"/>
      <w:sz w:val="18"/>
      <w:szCs w:val="18"/>
      <w:lang w:val="en-GB" w:eastAsia="en-GB"/>
    </w:rPr>
  </w:style>
  <w:style w:type="character" w:styleId="Odkaznakomentr">
    <w:name w:val="annotation reference"/>
    <w:rsid w:val="00F934A1"/>
    <w:rPr>
      <w:sz w:val="16"/>
      <w:szCs w:val="16"/>
    </w:rPr>
  </w:style>
  <w:style w:type="paragraph" w:styleId="Textkomentra">
    <w:name w:val="annotation text"/>
    <w:basedOn w:val="Normlny"/>
    <w:link w:val="TextkomentraChar"/>
    <w:uiPriority w:val="99"/>
    <w:rsid w:val="00F934A1"/>
    <w:rPr>
      <w:sz w:val="20"/>
    </w:rPr>
  </w:style>
  <w:style w:type="character" w:customStyle="1" w:styleId="TextkomentraChar">
    <w:name w:val="Text komentára Char"/>
    <w:basedOn w:val="Predvolenpsmoodseku"/>
    <w:link w:val="Textkomentra"/>
    <w:uiPriority w:val="99"/>
    <w:rsid w:val="00F934A1"/>
  </w:style>
  <w:style w:type="paragraph" w:styleId="Predmetkomentra">
    <w:name w:val="annotation subject"/>
    <w:basedOn w:val="Textkomentra"/>
    <w:next w:val="Textkomentra"/>
    <w:link w:val="PredmetkomentraChar"/>
    <w:rsid w:val="00F934A1"/>
    <w:rPr>
      <w:b/>
      <w:bCs/>
    </w:rPr>
  </w:style>
  <w:style w:type="character" w:customStyle="1" w:styleId="PredmetkomentraChar">
    <w:name w:val="Predmet komentára Char"/>
    <w:link w:val="Predmetkomentra"/>
    <w:rsid w:val="00F934A1"/>
    <w:rPr>
      <w:b/>
      <w:bCs/>
    </w:rPr>
  </w:style>
  <w:style w:type="paragraph" w:styleId="Odsekzoznamu">
    <w:name w:val="List Paragraph"/>
    <w:basedOn w:val="Normlny"/>
    <w:uiPriority w:val="34"/>
    <w:qFormat/>
    <w:rsid w:val="00906DA6"/>
    <w:pPr>
      <w:ind w:left="708"/>
    </w:pPr>
  </w:style>
  <w:style w:type="character" w:customStyle="1" w:styleId="PtaChar">
    <w:name w:val="Päta Char"/>
    <w:link w:val="Pta"/>
    <w:uiPriority w:val="99"/>
    <w:rsid w:val="000654F0"/>
    <w:rPr>
      <w:sz w:val="24"/>
      <w:lang w:val="sk-SK"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93802">
      <w:bodyDiv w:val="1"/>
      <w:marLeft w:val="0"/>
      <w:marRight w:val="0"/>
      <w:marTop w:val="0"/>
      <w:marBottom w:val="0"/>
      <w:divBdr>
        <w:top w:val="none" w:sz="0" w:space="0" w:color="auto"/>
        <w:left w:val="none" w:sz="0" w:space="0" w:color="auto"/>
        <w:bottom w:val="none" w:sz="0" w:space="0" w:color="auto"/>
        <w:right w:val="none" w:sz="0" w:space="0" w:color="auto"/>
      </w:divBdr>
    </w:div>
    <w:div w:id="96026956">
      <w:bodyDiv w:val="1"/>
      <w:marLeft w:val="0"/>
      <w:marRight w:val="0"/>
      <w:marTop w:val="0"/>
      <w:marBottom w:val="0"/>
      <w:divBdr>
        <w:top w:val="none" w:sz="0" w:space="0" w:color="auto"/>
        <w:left w:val="none" w:sz="0" w:space="0" w:color="auto"/>
        <w:bottom w:val="none" w:sz="0" w:space="0" w:color="auto"/>
        <w:right w:val="none" w:sz="0" w:space="0" w:color="auto"/>
      </w:divBdr>
    </w:div>
    <w:div w:id="101611091">
      <w:bodyDiv w:val="1"/>
      <w:marLeft w:val="0"/>
      <w:marRight w:val="0"/>
      <w:marTop w:val="0"/>
      <w:marBottom w:val="0"/>
      <w:divBdr>
        <w:top w:val="none" w:sz="0" w:space="0" w:color="auto"/>
        <w:left w:val="none" w:sz="0" w:space="0" w:color="auto"/>
        <w:bottom w:val="none" w:sz="0" w:space="0" w:color="auto"/>
        <w:right w:val="none" w:sz="0" w:space="0" w:color="auto"/>
      </w:divBdr>
    </w:div>
    <w:div w:id="170143708">
      <w:bodyDiv w:val="1"/>
      <w:marLeft w:val="0"/>
      <w:marRight w:val="0"/>
      <w:marTop w:val="0"/>
      <w:marBottom w:val="0"/>
      <w:divBdr>
        <w:top w:val="none" w:sz="0" w:space="0" w:color="auto"/>
        <w:left w:val="none" w:sz="0" w:space="0" w:color="auto"/>
        <w:bottom w:val="none" w:sz="0" w:space="0" w:color="auto"/>
        <w:right w:val="none" w:sz="0" w:space="0" w:color="auto"/>
      </w:divBdr>
    </w:div>
    <w:div w:id="316346537">
      <w:bodyDiv w:val="1"/>
      <w:marLeft w:val="0"/>
      <w:marRight w:val="0"/>
      <w:marTop w:val="0"/>
      <w:marBottom w:val="0"/>
      <w:divBdr>
        <w:top w:val="none" w:sz="0" w:space="0" w:color="auto"/>
        <w:left w:val="none" w:sz="0" w:space="0" w:color="auto"/>
        <w:bottom w:val="none" w:sz="0" w:space="0" w:color="auto"/>
        <w:right w:val="none" w:sz="0" w:space="0" w:color="auto"/>
      </w:divBdr>
    </w:div>
    <w:div w:id="614824782">
      <w:bodyDiv w:val="1"/>
      <w:marLeft w:val="0"/>
      <w:marRight w:val="0"/>
      <w:marTop w:val="0"/>
      <w:marBottom w:val="0"/>
      <w:divBdr>
        <w:top w:val="none" w:sz="0" w:space="0" w:color="auto"/>
        <w:left w:val="none" w:sz="0" w:space="0" w:color="auto"/>
        <w:bottom w:val="none" w:sz="0" w:space="0" w:color="auto"/>
        <w:right w:val="none" w:sz="0" w:space="0" w:color="auto"/>
      </w:divBdr>
    </w:div>
    <w:div w:id="640619203">
      <w:bodyDiv w:val="1"/>
      <w:marLeft w:val="0"/>
      <w:marRight w:val="0"/>
      <w:marTop w:val="0"/>
      <w:marBottom w:val="0"/>
      <w:divBdr>
        <w:top w:val="none" w:sz="0" w:space="0" w:color="auto"/>
        <w:left w:val="none" w:sz="0" w:space="0" w:color="auto"/>
        <w:bottom w:val="none" w:sz="0" w:space="0" w:color="auto"/>
        <w:right w:val="none" w:sz="0" w:space="0" w:color="auto"/>
      </w:divBdr>
    </w:div>
    <w:div w:id="715660468">
      <w:bodyDiv w:val="1"/>
      <w:marLeft w:val="0"/>
      <w:marRight w:val="0"/>
      <w:marTop w:val="0"/>
      <w:marBottom w:val="0"/>
      <w:divBdr>
        <w:top w:val="none" w:sz="0" w:space="0" w:color="auto"/>
        <w:left w:val="none" w:sz="0" w:space="0" w:color="auto"/>
        <w:bottom w:val="none" w:sz="0" w:space="0" w:color="auto"/>
        <w:right w:val="none" w:sz="0" w:space="0" w:color="auto"/>
      </w:divBdr>
    </w:div>
    <w:div w:id="798568876">
      <w:bodyDiv w:val="1"/>
      <w:marLeft w:val="0"/>
      <w:marRight w:val="0"/>
      <w:marTop w:val="0"/>
      <w:marBottom w:val="0"/>
      <w:divBdr>
        <w:top w:val="none" w:sz="0" w:space="0" w:color="auto"/>
        <w:left w:val="none" w:sz="0" w:space="0" w:color="auto"/>
        <w:bottom w:val="none" w:sz="0" w:space="0" w:color="auto"/>
        <w:right w:val="none" w:sz="0" w:space="0" w:color="auto"/>
      </w:divBdr>
    </w:div>
    <w:div w:id="1005086427">
      <w:bodyDiv w:val="1"/>
      <w:marLeft w:val="0"/>
      <w:marRight w:val="0"/>
      <w:marTop w:val="0"/>
      <w:marBottom w:val="0"/>
      <w:divBdr>
        <w:top w:val="none" w:sz="0" w:space="0" w:color="auto"/>
        <w:left w:val="none" w:sz="0" w:space="0" w:color="auto"/>
        <w:bottom w:val="none" w:sz="0" w:space="0" w:color="auto"/>
        <w:right w:val="none" w:sz="0" w:space="0" w:color="auto"/>
      </w:divBdr>
    </w:div>
    <w:div w:id="1059481408">
      <w:bodyDiv w:val="1"/>
      <w:marLeft w:val="0"/>
      <w:marRight w:val="0"/>
      <w:marTop w:val="0"/>
      <w:marBottom w:val="0"/>
      <w:divBdr>
        <w:top w:val="none" w:sz="0" w:space="0" w:color="auto"/>
        <w:left w:val="none" w:sz="0" w:space="0" w:color="auto"/>
        <w:bottom w:val="none" w:sz="0" w:space="0" w:color="auto"/>
        <w:right w:val="none" w:sz="0" w:space="0" w:color="auto"/>
      </w:divBdr>
    </w:div>
    <w:div w:id="1201354807">
      <w:bodyDiv w:val="1"/>
      <w:marLeft w:val="0"/>
      <w:marRight w:val="0"/>
      <w:marTop w:val="0"/>
      <w:marBottom w:val="0"/>
      <w:divBdr>
        <w:top w:val="none" w:sz="0" w:space="0" w:color="auto"/>
        <w:left w:val="none" w:sz="0" w:space="0" w:color="auto"/>
        <w:bottom w:val="none" w:sz="0" w:space="0" w:color="auto"/>
        <w:right w:val="none" w:sz="0" w:space="0" w:color="auto"/>
      </w:divBdr>
    </w:div>
    <w:div w:id="1551303828">
      <w:bodyDiv w:val="1"/>
      <w:marLeft w:val="0"/>
      <w:marRight w:val="0"/>
      <w:marTop w:val="0"/>
      <w:marBottom w:val="0"/>
      <w:divBdr>
        <w:top w:val="none" w:sz="0" w:space="0" w:color="auto"/>
        <w:left w:val="none" w:sz="0" w:space="0" w:color="auto"/>
        <w:bottom w:val="none" w:sz="0" w:space="0" w:color="auto"/>
        <w:right w:val="none" w:sz="0" w:space="0" w:color="auto"/>
      </w:divBdr>
    </w:div>
    <w:div w:id="1643073128">
      <w:bodyDiv w:val="1"/>
      <w:marLeft w:val="0"/>
      <w:marRight w:val="0"/>
      <w:marTop w:val="0"/>
      <w:marBottom w:val="0"/>
      <w:divBdr>
        <w:top w:val="none" w:sz="0" w:space="0" w:color="auto"/>
        <w:left w:val="none" w:sz="0" w:space="0" w:color="auto"/>
        <w:bottom w:val="none" w:sz="0" w:space="0" w:color="auto"/>
        <w:right w:val="none" w:sz="0" w:space="0" w:color="auto"/>
      </w:divBdr>
    </w:div>
    <w:div w:id="2018069778">
      <w:bodyDiv w:val="1"/>
      <w:marLeft w:val="0"/>
      <w:marRight w:val="0"/>
      <w:marTop w:val="0"/>
      <w:marBottom w:val="0"/>
      <w:divBdr>
        <w:top w:val="none" w:sz="0" w:space="0" w:color="auto"/>
        <w:left w:val="none" w:sz="0" w:space="0" w:color="auto"/>
        <w:bottom w:val="none" w:sz="0" w:space="0" w:color="auto"/>
        <w:right w:val="none" w:sz="0" w:space="0" w:color="auto"/>
      </w:divBdr>
    </w:div>
    <w:div w:id="207646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ocedure_number xmlns="82db5bd2-3f09-4eff-b4f8-de6a53cd5a02" xsi:nil="true"/>
    <IconOverlay xmlns="http://schemas.microsoft.com/sharepoint/v4" xsi:nil="true"/>
    <Trade_x0020_name xmlns="82db5bd2-3f09-4eff-b4f8-de6a53cd5a0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6161AA78E4354FBC4919F68D2AA10E" ma:contentTypeVersion="28" ma:contentTypeDescription="Create a new document." ma:contentTypeScope="" ma:versionID="f07d9413f6c2f1fd6f62c9c779925026">
  <xsd:schema xmlns:xsd="http://www.w3.org/2001/XMLSchema" xmlns:xs="http://www.w3.org/2001/XMLSchema" xmlns:p="http://schemas.microsoft.com/office/2006/metadata/properties" xmlns:ns2="http://schemas.microsoft.com/sharepoint/v4" xmlns:ns3="82db5bd2-3f09-4eff-b4f8-de6a53cd5a02" targetNamespace="http://schemas.microsoft.com/office/2006/metadata/properties" ma:root="true" ma:fieldsID="21c383961ba268f75156adb0319cd7aa" ns2:_="" ns3:_="">
    <xsd:import namespace="http://schemas.microsoft.com/sharepoint/v4"/>
    <xsd:import namespace="82db5bd2-3f09-4eff-b4f8-de6a53cd5a02"/>
    <xsd:element name="properties">
      <xsd:complexType>
        <xsd:sequence>
          <xsd:element name="documentManagement">
            <xsd:complexType>
              <xsd:all>
                <xsd:element ref="ns2:IconOverlay" minOccurs="0"/>
                <xsd:element ref="ns3:Procedure_number" minOccurs="0"/>
                <xsd:element ref="ns3:Trade_x0020_nam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b5bd2-3f09-4eff-b4f8-de6a53cd5a02" elementFormDefault="qualified">
    <xsd:import namespace="http://schemas.microsoft.com/office/2006/documentManagement/types"/>
    <xsd:import namespace="http://schemas.microsoft.com/office/infopath/2007/PartnerControls"/>
    <xsd:element name="Procedure_number" ma:index="9" nillable="true" ma:displayName="Procedure number" ma:internalName="Procedure_number">
      <xsd:simpleType>
        <xsd:restriction base="dms:Text">
          <xsd:maxLength value="255"/>
        </xsd:restriction>
      </xsd:simpleType>
    </xsd:element>
    <xsd:element name="Trade_x0020_name" ma:index="10" nillable="true" ma:displayName="Trade name" ma:internalName="Trade_x0020_name" ma:readOnly="false">
      <xsd:simpleType>
        <xsd:restriction base="dms:Text">
          <xsd:maxLength value="255"/>
        </xsd:restrictio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43893B-A1C7-4501-AF85-E092729542F5}">
  <ds:schemaRefs>
    <ds:schemaRef ds:uri="http://schemas.openxmlformats.org/officeDocument/2006/bibliography"/>
  </ds:schemaRefs>
</ds:datastoreItem>
</file>

<file path=customXml/itemProps2.xml><?xml version="1.0" encoding="utf-8"?>
<ds:datastoreItem xmlns:ds="http://schemas.openxmlformats.org/officeDocument/2006/customXml" ds:itemID="{2D4D2FB5-843E-408D-93C2-9D7BB6F772E7}">
  <ds:schemaRefs>
    <ds:schemaRef ds:uri="http://schemas.microsoft.com/office/2006/metadata/properties"/>
    <ds:schemaRef ds:uri="http://schemas.microsoft.com/office/infopath/2007/PartnerControls"/>
    <ds:schemaRef ds:uri="82db5bd2-3f09-4eff-b4f8-de6a53cd5a02"/>
    <ds:schemaRef ds:uri="http://schemas.microsoft.com/sharepoint/v4"/>
  </ds:schemaRefs>
</ds:datastoreItem>
</file>

<file path=customXml/itemProps3.xml><?xml version="1.0" encoding="utf-8"?>
<ds:datastoreItem xmlns:ds="http://schemas.openxmlformats.org/officeDocument/2006/customXml" ds:itemID="{3202E976-DD1F-40BF-BDEF-12B1C2B706D4}">
  <ds:schemaRefs>
    <ds:schemaRef ds:uri="http://schemas.microsoft.com/sharepoint/v3/contenttype/forms"/>
  </ds:schemaRefs>
</ds:datastoreItem>
</file>

<file path=customXml/itemProps4.xml><?xml version="1.0" encoding="utf-8"?>
<ds:datastoreItem xmlns:ds="http://schemas.openxmlformats.org/officeDocument/2006/customXml" ds:itemID="{05849CDD-C152-48FA-B4BF-1CDCB5D71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82db5bd2-3f09-4eff-b4f8-de6a53cd5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7803</Words>
  <Characters>50532</Characters>
  <Application>Microsoft Office Word</Application>
  <DocSecurity>0</DocSecurity>
  <Lines>421</Lines>
  <Paragraphs>116</Paragraphs>
  <ScaleCrop>false</ScaleCrop>
  <HeadingPairs>
    <vt:vector size="10" baseType="variant">
      <vt:variant>
        <vt:lpstr>Title</vt:lpstr>
      </vt:variant>
      <vt:variant>
        <vt:i4>1</vt:i4>
      </vt:variant>
      <vt:variant>
        <vt:lpstr>Cím</vt:lpstr>
      </vt:variant>
      <vt:variant>
        <vt:i4>1</vt:i4>
      </vt:variant>
      <vt:variant>
        <vt:lpstr>Názov</vt:lpstr>
      </vt:variant>
      <vt:variant>
        <vt:i4>1</vt:i4>
      </vt:variant>
      <vt:variant>
        <vt:lpstr>Tytuł</vt:lpstr>
      </vt:variant>
      <vt:variant>
        <vt:i4>1</vt:i4>
      </vt:variant>
      <vt:variant>
        <vt:lpstr>Naslov</vt:lpstr>
      </vt:variant>
      <vt:variant>
        <vt:i4>1</vt:i4>
      </vt:variant>
    </vt:vector>
  </HeadingPairs>
  <TitlesOfParts>
    <vt:vector size="5" baseType="lpstr">
      <vt:lpstr>PARTICULARS TO APPEAR ON &lt;THE OUTER PACKAGING&gt; &lt;AND&gt; &lt;THE IMMEDIATE PACKAGING&gt;</vt:lpstr>
      <vt:lpstr>PARTICULARS TO APPEAR ON &lt;THE OUTER PACKAGING&gt; &lt;AND&gt; &lt;THE IMMEDIATE PACKAGING&gt;</vt:lpstr>
      <vt:lpstr>PARTICULARS TO APPEAR ON &lt;THE OUTER PACKAGING&gt; &lt;AND&gt; &lt;THE IMMEDIATE PACKAGING&gt;</vt:lpstr>
      <vt:lpstr>PARTICULARS TO APPEAR ON &lt;THE OUTER PACKAGING&gt; &lt;AND&gt; &lt;THE IMMEDIATE PACKAGING&gt;</vt:lpstr>
      <vt:lpstr>PARTICULARS TO APPEAR ON &lt;THE OUTER PACKAGING&gt; &lt;AND&gt; &lt;THE IMMEDIATE PACKAGING&gt;</vt:lpstr>
    </vt:vector>
  </TitlesOfParts>
  <Company>Hewlett-Packard Company</Company>
  <LinksUpToDate>false</LinksUpToDate>
  <CharactersWithSpaces>58219</CharactersWithSpaces>
  <SharedDoc>false</SharedDoc>
  <HLinks>
    <vt:vector size="6" baseType="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PARTICULARS TO APPEAR ON &lt;THE OUTER PACKAGING&gt; &lt;AND&gt; &lt;THE IMMEDIATE PACKAGING&gt;</dc:title>
  <dc:subject/>
  <dc:creator>karmen</dc:creator>
  <cp:keywords/>
  <cp:lastModifiedBy>Zuzana Molnárová</cp:lastModifiedBy>
  <cp:revision>2</cp:revision>
  <cp:lastPrinted>2023-03-01T12:48:00Z</cp:lastPrinted>
  <dcterms:created xsi:type="dcterms:W3CDTF">2024-04-23T11:39:00Z</dcterms:created>
  <dcterms:modified xsi:type="dcterms:W3CDTF">2024-04-23T11:39:00Z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p_title">
    <vt:lpwstr>SPC, Labeling and Package Leaflet</vt:lpwstr>
  </property>
  <property fmtid="{D5CDD505-2E9C-101B-9397-08002B2CF9AE}" pid="3" name="ph_inn_name">
    <vt:lpwstr>Sitagliptin</vt:lpwstr>
  </property>
  <property fmtid="{D5CDD505-2E9C-101B-9397-08002B2CF9AE}" pid="4" name="ph_pharm_form">
    <vt:lpwstr>film-coated tablets, --, --</vt:lpwstr>
  </property>
  <property fmtid="{D5CDD505-2E9C-101B-9397-08002B2CF9AE}" pid="5" name="ph_unit_measure">
    <vt:lpwstr>mg, -, -</vt:lpwstr>
  </property>
  <property fmtid="{D5CDD505-2E9C-101B-9397-08002B2CF9AE}" pid="6" name="mp_first_effective_date">
    <vt:lpwstr>28.08.2019</vt:lpwstr>
  </property>
  <property fmtid="{D5CDD505-2E9C-101B-9397-08002B2CF9AE}" pid="7" name="mp_updated_effective_date">
    <vt:lpwstr>29.10.2019</vt:lpwstr>
  </property>
  <property fmtid="{D5CDD505-2E9C-101B-9397-08002B2CF9AE}" pid="8" name="object_name">
    <vt:lpwstr>SmPCPIL137651_2</vt:lpwstr>
  </property>
  <property fmtid="{D5CDD505-2E9C-101B-9397-08002B2CF9AE}" pid="9" name="ph_strength_custom">
    <vt:lpwstr>100, 25, 50</vt:lpwstr>
  </property>
  <property fmtid="{D5CDD505-2E9C-101B-9397-08002B2CF9AE}" pid="10" name="mp_document_code">
    <vt:lpwstr>1.3.1</vt:lpwstr>
  </property>
  <property fmtid="{D5CDD505-2E9C-101B-9397-08002B2CF9AE}" pid="11" name="drz1">
    <vt:lpwstr/>
  </property>
  <property fmtid="{D5CDD505-2E9C-101B-9397-08002B2CF9AE}" pid="12" name="drz2">
    <vt:lpwstr/>
  </property>
  <property fmtid="{D5CDD505-2E9C-101B-9397-08002B2CF9AE}" pid="13" name="drz3">
    <vt:lpwstr/>
  </property>
  <property fmtid="{D5CDD505-2E9C-101B-9397-08002B2CF9AE}" pid="14" name="drz4">
    <vt:lpwstr/>
  </property>
  <property fmtid="{D5CDD505-2E9C-101B-9397-08002B2CF9AE}" pid="15" name="drz5">
    <vt:lpwstr/>
  </property>
  <property fmtid="{D5CDD505-2E9C-101B-9397-08002B2CF9AE}" pid="16" name="drz6">
    <vt:lpwstr/>
  </property>
  <property fmtid="{D5CDD505-2E9C-101B-9397-08002B2CF9AE}" pid="17" name="drz7">
    <vt:lpwstr/>
  </property>
  <property fmtid="{D5CDD505-2E9C-101B-9397-08002B2CF9AE}" pid="18" name="drz8">
    <vt:lpwstr/>
  </property>
  <property fmtid="{D5CDD505-2E9C-101B-9397-08002B2CF9AE}" pid="19" name="drz9">
    <vt:lpwstr/>
  </property>
  <property fmtid="{D5CDD505-2E9C-101B-9397-08002B2CF9AE}" pid="20" name="drz10">
    <vt:lpwstr/>
  </property>
  <property fmtid="{D5CDD505-2E9C-101B-9397-08002B2CF9AE}" pid="21" name="RMS_drz1">
    <vt:lpwstr>SK</vt:lpwstr>
  </property>
  <property fmtid="{D5CDD505-2E9C-101B-9397-08002B2CF9AE}" pid="22" name="RMS_drz2">
    <vt:lpwstr/>
  </property>
  <property fmtid="{D5CDD505-2E9C-101B-9397-08002B2CF9AE}" pid="23" name="RMS_drz3">
    <vt:lpwstr/>
  </property>
  <property fmtid="{D5CDD505-2E9C-101B-9397-08002B2CF9AE}" pid="24" name="RMS_drz4">
    <vt:lpwstr/>
  </property>
  <property fmtid="{D5CDD505-2E9C-101B-9397-08002B2CF9AE}" pid="25" name="RMS_drz5">
    <vt:lpwstr/>
  </property>
  <property fmtid="{D5CDD505-2E9C-101B-9397-08002B2CF9AE}" pid="26" name="MSIP_Label_a218f8ef-edda-4200-92f6-f5bcb9ba49c8_Enabled">
    <vt:lpwstr>true</vt:lpwstr>
  </property>
  <property fmtid="{D5CDD505-2E9C-101B-9397-08002B2CF9AE}" pid="27" name="MSIP_Label_a218f8ef-edda-4200-92f6-f5bcb9ba49c8_SetDate">
    <vt:lpwstr>2021-02-05T06:28:06Z</vt:lpwstr>
  </property>
  <property fmtid="{D5CDD505-2E9C-101B-9397-08002B2CF9AE}" pid="28" name="MSIP_Label_a218f8ef-edda-4200-92f6-f5bcb9ba49c8_Method">
    <vt:lpwstr>Privileged</vt:lpwstr>
  </property>
  <property fmtid="{D5CDD505-2E9C-101B-9397-08002B2CF9AE}" pid="29" name="MSIP_Label_a218f8ef-edda-4200-92f6-f5bcb9ba49c8_Name">
    <vt:lpwstr>Wewnętrzne – Bez Oznaczeń</vt:lpwstr>
  </property>
  <property fmtid="{D5CDD505-2E9C-101B-9397-08002B2CF9AE}" pid="30" name="MSIP_Label_a218f8ef-edda-4200-92f6-f5bcb9ba49c8_SiteId">
    <vt:lpwstr>edf3cfc4-ee60-4b92-a2cb-da2c123fc895</vt:lpwstr>
  </property>
  <property fmtid="{D5CDD505-2E9C-101B-9397-08002B2CF9AE}" pid="31" name="MSIP_Label_a218f8ef-edda-4200-92f6-f5bcb9ba49c8_ActionId">
    <vt:lpwstr>495daed2-bfce-40c0-a7db-8352f7b655db</vt:lpwstr>
  </property>
  <property fmtid="{D5CDD505-2E9C-101B-9397-08002B2CF9AE}" pid="32" name="MSIP_Label_a218f8ef-edda-4200-92f6-f5bcb9ba49c8_ContentBits">
    <vt:lpwstr>0</vt:lpwstr>
  </property>
</Properties>
</file>