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06F3" w14:textId="77777777" w:rsidR="00DB1B2C" w:rsidRPr="00180C46" w:rsidRDefault="00DB1B2C" w:rsidP="00DB1B2C">
      <w:pPr>
        <w:spacing w:after="0" w:line="240" w:lineRule="auto"/>
        <w:rPr>
          <w:rFonts w:ascii="Times New Roman" w:eastAsia="Times New Roman" w:hAnsi="Times New Roman" w:cs="Times New Roman"/>
          <w:bCs/>
          <w:lang w:val="sk-SK" w:eastAsia="sk-SK"/>
        </w:rPr>
      </w:pPr>
    </w:p>
    <w:p w14:paraId="55D669B9" w14:textId="77777777" w:rsidR="00DB1B2C" w:rsidRPr="00180C46" w:rsidRDefault="00DB1B2C" w:rsidP="00DB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k-SK" w:eastAsia="sk-SK"/>
        </w:rPr>
      </w:pPr>
      <w:r w:rsidRPr="00180C46">
        <w:rPr>
          <w:rFonts w:ascii="Times New Roman" w:eastAsia="Times New Roman" w:hAnsi="Times New Roman" w:cs="Times New Roman"/>
          <w:b/>
          <w:caps/>
          <w:lang w:val="sk-SK" w:eastAsia="sk-SK"/>
        </w:rPr>
        <w:t>Súhrn charakteristických vlastností lieku</w:t>
      </w:r>
    </w:p>
    <w:p w14:paraId="417953AC" w14:textId="11DBCF7B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8B351DD" w14:textId="77777777" w:rsidR="00DB1B2C" w:rsidRPr="00180C46" w:rsidRDefault="00DB1B2C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68BC406" w14:textId="77777777" w:rsidR="00462291" w:rsidRPr="00180C46" w:rsidRDefault="00462291" w:rsidP="00462291">
      <w:pPr>
        <w:numPr>
          <w:ilvl w:val="0"/>
          <w:numId w:val="1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NÁZOV LIEKU</w:t>
      </w:r>
    </w:p>
    <w:p w14:paraId="1AEC1284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7F3D2D4" w14:textId="38DCF5CE" w:rsidR="00541A29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="004D0D63">
        <w:rPr>
          <w:rFonts w:ascii="Times New Roman" w:eastAsia="Times New Roman" w:hAnsi="Times New Roman" w:cs="Times New Roman"/>
          <w:color w:val="000000"/>
          <w:lang w:val="sk-SK" w:eastAsia="en-GB"/>
        </w:rPr>
        <w:t>9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0 mg</w:t>
      </w:r>
    </w:p>
    <w:p w14:paraId="6D8F20DA" w14:textId="0D6E9FC4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filmom obalené tablety</w:t>
      </w:r>
    </w:p>
    <w:p w14:paraId="26EC2F4D" w14:textId="4A951DBD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5A2BA25" w14:textId="77777777" w:rsidR="00F22142" w:rsidRPr="00180C46" w:rsidRDefault="00F22142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DDF6A39" w14:textId="77777777" w:rsidR="00462291" w:rsidRPr="00180C46" w:rsidRDefault="00462291" w:rsidP="00462291">
      <w:pPr>
        <w:numPr>
          <w:ilvl w:val="0"/>
          <w:numId w:val="1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KVALITATÍVNE A KVANTITATÍVNE ZLOŽENIE</w:t>
      </w:r>
    </w:p>
    <w:p w14:paraId="0EFAF0F7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BFAE88E" w14:textId="64A26BD1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Každá filmom obalená tableta obsahuje </w:t>
      </w:r>
      <w:r w:rsidR="004D0D63">
        <w:rPr>
          <w:rFonts w:ascii="Times New Roman" w:eastAsia="Times New Roman" w:hAnsi="Times New Roman" w:cs="Times New Roman"/>
          <w:color w:val="000000"/>
          <w:lang w:val="sk-SK" w:eastAsia="en-GB"/>
        </w:rPr>
        <w:t>9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61DBD824" w14:textId="77777777" w:rsidR="00F85132" w:rsidRPr="00180C46" w:rsidRDefault="00F85132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504A886" w14:textId="7219C65D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Úplný zoznam pomocných látok, pozri časť 6.1.</w:t>
      </w:r>
    </w:p>
    <w:p w14:paraId="1EC1CB5D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BA3687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6EC0B48" w14:textId="77777777" w:rsidR="00462291" w:rsidRPr="00180C46" w:rsidRDefault="00462291" w:rsidP="00462291">
      <w:pPr>
        <w:numPr>
          <w:ilvl w:val="0"/>
          <w:numId w:val="1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LIEKOVÁ FORMA</w:t>
      </w:r>
    </w:p>
    <w:p w14:paraId="78797F67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8197FB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Filmom obalená tableta (tableta).</w:t>
      </w:r>
    </w:p>
    <w:p w14:paraId="75AB3DEA" w14:textId="77777777" w:rsidR="00F85132" w:rsidRPr="00180C46" w:rsidRDefault="00F85132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5465019" w14:textId="5EC8FF28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Okrúhle bikonvexné </w:t>
      </w:r>
      <w:r w:rsidR="002C03EC">
        <w:rPr>
          <w:rFonts w:ascii="Times New Roman" w:eastAsia="Times New Roman" w:hAnsi="Times New Roman" w:cs="Times New Roman"/>
          <w:color w:val="000000"/>
          <w:lang w:val="sk-SK" w:eastAsia="en-GB"/>
        </w:rPr>
        <w:t>žlté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tablety s </w:t>
      </w:r>
      <w:r w:rsidRPr="004D0D63">
        <w:rPr>
          <w:rFonts w:ascii="Times New Roman" w:eastAsia="Times New Roman" w:hAnsi="Times New Roman" w:cs="Times New Roman"/>
          <w:color w:val="000000"/>
          <w:lang w:val="sk-SK" w:eastAsia="en-GB"/>
        </w:rPr>
        <w:t>označením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„</w:t>
      </w:r>
      <w:r w:rsidR="004D0D63">
        <w:rPr>
          <w:rFonts w:ascii="Times New Roman" w:eastAsia="Times New Roman" w:hAnsi="Times New Roman" w:cs="Times New Roman"/>
          <w:color w:val="000000"/>
          <w:lang w:val="sk-SK" w:eastAsia="en-GB"/>
        </w:rPr>
        <w:t>9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0“ na jednej strane </w:t>
      </w:r>
      <w:r w:rsidR="00F85132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 priemerom </w:t>
      </w:r>
      <w:r w:rsidR="004D0D63">
        <w:rPr>
          <w:rFonts w:ascii="Times New Roman" w:eastAsia="Times New Roman" w:hAnsi="Times New Roman" w:cs="Times New Roman"/>
          <w:color w:val="000000"/>
          <w:lang w:val="sk-SK" w:eastAsia="en-GB"/>
        </w:rPr>
        <w:t>9</w:t>
      </w:r>
      <w:r w:rsidR="00F85132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mm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657BB223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56DC780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F8B4AB8" w14:textId="77777777" w:rsidR="00462291" w:rsidRPr="00180C46" w:rsidRDefault="00462291" w:rsidP="00462291">
      <w:pPr>
        <w:numPr>
          <w:ilvl w:val="0"/>
          <w:numId w:val="1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KLINICKÉ ÚDAJE</w:t>
      </w:r>
    </w:p>
    <w:p w14:paraId="4DBE7126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E07A5D5" w14:textId="77777777" w:rsidR="00462291" w:rsidRPr="00180C46" w:rsidRDefault="00462291" w:rsidP="00462291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Terapeutické indikácie</w:t>
      </w:r>
    </w:p>
    <w:p w14:paraId="2671ACD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201042E" w14:textId="79C25A88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podávan</w:t>
      </w:r>
      <w:r w:rsidR="00F85132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á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spolu s kyselinou acetylsalicylovou (ASA) je indikovan</w:t>
      </w:r>
      <w:r w:rsidR="00F85132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á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 prevenciu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 u dospelých pacientov s</w:t>
      </w:r>
    </w:p>
    <w:p w14:paraId="2C0A4283" w14:textId="77777777" w:rsidR="00462291" w:rsidRPr="00180C46" w:rsidRDefault="00462291" w:rsidP="00F85132">
      <w:pPr>
        <w:numPr>
          <w:ilvl w:val="2"/>
          <w:numId w:val="1"/>
        </w:numPr>
        <w:spacing w:after="0" w:line="240" w:lineRule="auto"/>
        <w:ind w:left="567" w:right="12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akútnym koronárnym syndrómom (AKS) alebo</w:t>
      </w:r>
    </w:p>
    <w:p w14:paraId="20A6615A" w14:textId="77777777" w:rsidR="00462291" w:rsidRPr="00180C46" w:rsidRDefault="00462291" w:rsidP="00F85132">
      <w:pPr>
        <w:numPr>
          <w:ilvl w:val="2"/>
          <w:numId w:val="1"/>
        </w:numPr>
        <w:spacing w:after="0" w:line="240" w:lineRule="auto"/>
        <w:ind w:left="567" w:right="12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infarktom myokardu (IM) v anamnéze a vysokým rizikom vzniku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príhody (pozri časti 4.2 a 5.1).</w:t>
      </w:r>
    </w:p>
    <w:p w14:paraId="29F1714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E941B8B" w14:textId="77777777" w:rsidR="00462291" w:rsidRPr="00180C46" w:rsidRDefault="00462291" w:rsidP="00462291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Dávkovanie a spôsob podávania</w:t>
      </w:r>
    </w:p>
    <w:p w14:paraId="02F18069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5D7F89E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Dávkovanie</w:t>
      </w:r>
    </w:p>
    <w:p w14:paraId="496968E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Pacienti užívajúci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majú užívať aj nízku udržiavaciu dávku ASA 75 – 150 mg denne, pokiaľ to nie je výslovne kontraindikované.</w:t>
      </w:r>
    </w:p>
    <w:p w14:paraId="6BEACD96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9DDD653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Akútny koronárny syndróm</w:t>
      </w:r>
    </w:p>
    <w:p w14:paraId="3E73F81B" w14:textId="7FB57D4D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Liečba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má začať jednou 180 mg nárazovou dávkou (dve 90 mg tablety) a potom sa má pokračovať dávkou 90 mg dvakrát denne. Odporúča sa, aby liečba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90 mg dvakrát denne u pacientov s AKS trvala 12</w:t>
      </w:r>
      <w:r w:rsidR="00FC2493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mesiacov, pokiaľ nie je klinicky indikované ukončenie liečby (pozri časť 5.1).</w:t>
      </w:r>
    </w:p>
    <w:p w14:paraId="0202085E" w14:textId="77777777" w:rsidR="00462291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4C01D1B" w14:textId="77777777" w:rsidR="006C75A5" w:rsidRPr="008D4E0E" w:rsidRDefault="006C75A5" w:rsidP="006C75A5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Vysadenie ASA je možné zvážiť po 3 mesiacoch u pacientov s AKS, ktorí podstúpili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perkutánnu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koronárnu intervenciu (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percutaneous</w:t>
      </w:r>
      <w:proofErr w:type="spellEnd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 xml:space="preserve"> 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coronary</w:t>
      </w:r>
      <w:proofErr w:type="spellEnd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 xml:space="preserve"> 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intervention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PCI) a majú zvýšené riziko krvácania. V takom prípade sa má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ako jediná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protidoštičková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liečba podávať po dobu 9 mesiacov (pozri časť 4.4).</w:t>
      </w:r>
    </w:p>
    <w:p w14:paraId="78049E3C" w14:textId="77777777" w:rsidR="006C75A5" w:rsidRPr="00180C46" w:rsidRDefault="006C75A5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307A87C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Infarkt myokardu v anamnéze</w:t>
      </w:r>
    </w:p>
    <w:p w14:paraId="6BAE2761" w14:textId="4B2476D6" w:rsidR="0030366A" w:rsidRDefault="0030366A" w:rsidP="0030366A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*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Poznámka</w:t>
      </w:r>
      <w:r w:rsidRPr="000068A7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Nasledujúce 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6</w:t>
      </w:r>
      <w:r w:rsidRPr="000068A7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0 mg dávky nemožno </w:t>
      </w:r>
      <w:r w:rsidRPr="0053770D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zaistiť </w:t>
      </w:r>
      <w:r w:rsidRPr="000068A7">
        <w:rPr>
          <w:rFonts w:ascii="Times New Roman" w:eastAsia="Times New Roman" w:hAnsi="Times New Roman" w:cs="Times New Roman"/>
          <w:color w:val="000000"/>
          <w:lang w:val="sk-SK" w:eastAsia="en-GB"/>
        </w:rPr>
        <w:t>touto silou (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9</w:t>
      </w:r>
      <w:r w:rsidRPr="000068A7">
        <w:rPr>
          <w:rFonts w:ascii="Times New Roman" w:eastAsia="Times New Roman" w:hAnsi="Times New Roman" w:cs="Times New Roman"/>
          <w:color w:val="000000"/>
          <w:lang w:val="sk-SK" w:eastAsia="en-GB"/>
        </w:rPr>
        <w:t>0 mg). P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reto sa m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aj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>ú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> 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tomto prípade použiť filmom obalené tablety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k-SK" w:eastAsia="en-GB"/>
        </w:rPr>
        <w:t>Plategra</w:t>
      </w:r>
      <w:proofErr w:type="spellEnd"/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6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0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mg.</w:t>
      </w:r>
    </w:p>
    <w:p w14:paraId="1329925A" w14:textId="77777777" w:rsidR="0030366A" w:rsidRDefault="0030366A" w:rsidP="0030366A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7D76893" w14:textId="5F3F822E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60 mg</w:t>
      </w:r>
      <w:r w:rsidR="0030366A" w:rsidRPr="0030366A">
        <w:rPr>
          <w:rFonts w:ascii="Times New Roman" w:eastAsia="Times New Roman" w:hAnsi="Times New Roman" w:cs="Times New Roman"/>
          <w:color w:val="000000"/>
          <w:lang w:val="sk-SK" w:eastAsia="en-GB"/>
        </w:rPr>
        <w:t>*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dvakrát denne je odporúčanou dávkou na predĺženú liečbu pacientov s IM v anamnéze aspoň jeden rok a vysokým rizikom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príhody (pozri časť 5.1). Liečba </w:t>
      </w:r>
      <w:r w:rsidR="00FC2493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má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 xml:space="preserve">začať bez prerušenia ako liečba nasledujúca po úvodnej jednoročnej liečbe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90 mg alebo liečbe iným inhibítorom receptora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adenozíndifosfátu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(ADP) u pacientov s AKS s vysokým rizikom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príhody. Liečbu tiež možno začať až do 2 rokov po IM alebo v priebehu jedného roka po ukončení predchádzajúcej liečby inhibítorom receptora ADP. K dispozícii sú obmedzené údaje o účinnosti a bezpečnosti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pri predĺženej liečbe presahujúcej 3 roky.</w:t>
      </w:r>
    </w:p>
    <w:p w14:paraId="6B86908D" w14:textId="77777777" w:rsidR="00FC2493" w:rsidRPr="00180C46" w:rsidRDefault="00FC2493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DD3C3D8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Ak je potrebné prestaviť pacientov na liečbu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prvá dávka sa má podať 24 hodín po poslednej dávke predchádzajúceho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protidoštičkového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lieku.</w:t>
      </w:r>
    </w:p>
    <w:p w14:paraId="600CF36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BE3CB7A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Vynechaná dávka</w:t>
      </w:r>
    </w:p>
    <w:p w14:paraId="1D020594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Tiež je potrebné sa vyvarovať vynechaniu liečby. Pacient, ktorý vynechá dávku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má užiť iba jednu tabletu (svoju ďalšiu dávku) v obvyklom čase užitia ďalšej dávky.</w:t>
      </w:r>
    </w:p>
    <w:p w14:paraId="719CB4C9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3D081CD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Osobitné skupiny pacientov</w:t>
      </w:r>
    </w:p>
    <w:p w14:paraId="111055D7" w14:textId="646603E9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Starš</w:t>
      </w:r>
      <w:r w:rsidR="00C951FB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ie osoby</w:t>
      </w:r>
    </w:p>
    <w:p w14:paraId="3AB9CDB5" w14:textId="38B0F170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</w:t>
      </w:r>
      <w:r w:rsidR="00FC2EDD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starších </w:t>
      </w:r>
      <w:r w:rsidR="00C951FB">
        <w:rPr>
          <w:rFonts w:ascii="Times New Roman" w:eastAsia="Times New Roman" w:hAnsi="Times New Roman" w:cs="Times New Roman"/>
          <w:color w:val="000000"/>
          <w:lang w:val="sk-SK" w:eastAsia="en-GB"/>
        </w:rPr>
        <w:t>osôb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nie je potrebná žiadna úprava dávky (pozri časť 5.2).</w:t>
      </w:r>
    </w:p>
    <w:p w14:paraId="05155FDD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00B6339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Porucha funkcie obličiek</w:t>
      </w:r>
    </w:p>
    <w:p w14:paraId="6FEA558D" w14:textId="559A18BC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</w:t>
      </w:r>
      <w:r w:rsidR="00FC2EDD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pacientov s poruchou funkcie obličiek nie je potrebná žiadna úprava dávky (pozri časť 5.2).</w:t>
      </w:r>
    </w:p>
    <w:p w14:paraId="0BE0E5E1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DDFB2B1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Porucha funkcie pečene</w:t>
      </w:r>
    </w:p>
    <w:p w14:paraId="19D714DB" w14:textId="4ED69F32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neskúmal u pacientov s</w:t>
      </w:r>
      <w:r w:rsidR="00C951FB">
        <w:rPr>
          <w:rFonts w:ascii="Times New Roman" w:eastAsia="Times New Roman" w:hAnsi="Times New Roman" w:cs="Times New Roman"/>
          <w:color w:val="000000"/>
          <w:lang w:val="sk-SK" w:eastAsia="en-GB"/>
        </w:rPr>
        <w:t>o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="00C951FB">
        <w:rPr>
          <w:rFonts w:ascii="Times New Roman" w:eastAsia="Times New Roman" w:hAnsi="Times New Roman" w:cs="Times New Roman"/>
          <w:color w:val="000000"/>
          <w:lang w:val="sk-SK" w:eastAsia="en-GB"/>
        </w:rPr>
        <w:t>závažn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ou poruchou funkcie pečene a jeho použitie u týchto pacientov je preto kontraindikované (pozri časť 4.3). K dispozícii sú len obmedzené údaje u pacientov so stredne </w:t>
      </w:r>
      <w:r w:rsidR="00C951FB">
        <w:rPr>
          <w:rFonts w:ascii="Times New Roman" w:eastAsia="Times New Roman" w:hAnsi="Times New Roman" w:cs="Times New Roman"/>
          <w:color w:val="000000"/>
          <w:lang w:val="sk-SK" w:eastAsia="en-GB"/>
        </w:rPr>
        <w:t>závažn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ou poruchou funkcie pečene. Úprava dávky sa neodporúča,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však má používať s opatrnosťou (pozri časti 4.4 a 5.2). U pacientov s miernou poruchou funkcie pečene nie je potrebná žiadna úprava dávky (pozri časť 5.2).</w:t>
      </w:r>
    </w:p>
    <w:p w14:paraId="6B47E641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0593D81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Pediatrická populácia</w:t>
      </w:r>
    </w:p>
    <w:p w14:paraId="3A995B4D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Bezpečnosť a účinnosť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detí mladších ako 18 rokov neboli stanovené. Použitie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netýka detí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kosáčikovitou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anémiou (pozri časti 5.1 a 5.2).</w:t>
      </w:r>
    </w:p>
    <w:p w14:paraId="28505FD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E7A27F5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Spôsob podávania</w:t>
      </w:r>
    </w:p>
    <w:p w14:paraId="1F5B9BD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Na perorálne použitie.</w:t>
      </w:r>
    </w:p>
    <w:p w14:paraId="1876B65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môže podávať s jedlom alebo bez jedla.</w:t>
      </w:r>
    </w:p>
    <w:p w14:paraId="1D3EE228" w14:textId="59782F3F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Pre pacientov, ktorí nie sú schopní prehltnúť tabletu (tablety) vcelku, sa tablety môžu rozdrviť na</w:t>
      </w:r>
      <w:r w:rsidR="00D610CA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jemný prášok a zmiešať v pol pohári vody a ihneď vypiť. Pohár sa má opláchnuť ďalším pol pohárom vody a obsah sa má vypiť. Zmes sa môže podávať aj pomocou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nazogastrickej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sondy (CH8 alebo širšou). Po podaní zmesi je dôležité prepláchnuť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nazogastrickú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sondu vodou.</w:t>
      </w:r>
    </w:p>
    <w:p w14:paraId="1076E03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B85577B" w14:textId="77777777" w:rsidR="00462291" w:rsidRPr="00180C46" w:rsidRDefault="00462291" w:rsidP="00FC2ED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4.3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Kontraindikácie</w:t>
      </w:r>
    </w:p>
    <w:p w14:paraId="33BEEFD8" w14:textId="77777777" w:rsidR="00FC2EDD" w:rsidRPr="00180C46" w:rsidRDefault="00FC2EDD" w:rsidP="00FC2EDD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579E2ED" w14:textId="3FFEF9B8" w:rsidR="00462291" w:rsidRPr="00180C46" w:rsidRDefault="00462291" w:rsidP="00462291">
      <w:pPr>
        <w:numPr>
          <w:ilvl w:val="0"/>
          <w:numId w:val="2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Precitlivenosť na liečivo alebo na ktorúkoľvek z pomocných látok uvedených v časti 6.1 (pozri časť 4.8).</w:t>
      </w:r>
    </w:p>
    <w:p w14:paraId="30035E63" w14:textId="77777777" w:rsidR="00462291" w:rsidRPr="00180C46" w:rsidRDefault="00462291" w:rsidP="00462291">
      <w:pPr>
        <w:numPr>
          <w:ilvl w:val="0"/>
          <w:numId w:val="2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Aktívne patologické krvácanie.</w:t>
      </w:r>
    </w:p>
    <w:p w14:paraId="0C48CFF7" w14:textId="77777777" w:rsidR="00462291" w:rsidRPr="00180C46" w:rsidRDefault="00462291" w:rsidP="00462291">
      <w:pPr>
        <w:numPr>
          <w:ilvl w:val="0"/>
          <w:numId w:val="2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 v anamnéze (pozri časť 4.8).</w:t>
      </w:r>
    </w:p>
    <w:p w14:paraId="605EDB98" w14:textId="77777777" w:rsidR="00462291" w:rsidRPr="00180C46" w:rsidRDefault="00462291" w:rsidP="00462291">
      <w:pPr>
        <w:numPr>
          <w:ilvl w:val="0"/>
          <w:numId w:val="2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Ťažká porucha funkcie pečene (pozri časti 4.2, 4.4 a 5.2).</w:t>
      </w:r>
    </w:p>
    <w:p w14:paraId="321B3E25" w14:textId="77777777" w:rsidR="00462291" w:rsidRPr="00180C46" w:rsidRDefault="00462291" w:rsidP="00462291">
      <w:pPr>
        <w:numPr>
          <w:ilvl w:val="0"/>
          <w:numId w:val="2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Súbežné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so silnými inhibítormi CYP3A4 (napr.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ketokonazolom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klaritromycínom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nefazodónom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ritonavirom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atazanavirom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 môže viesť k podstatnému zvýšeniu expozície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(pozri časť 4.5).</w:t>
      </w:r>
    </w:p>
    <w:p w14:paraId="5A2BE8C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18F1F18" w14:textId="77777777" w:rsidR="00462291" w:rsidRPr="00180C46" w:rsidRDefault="00462291" w:rsidP="00FC2ED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4.4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Osobitné upozornenia a opatrenia pri používaní</w:t>
      </w:r>
    </w:p>
    <w:p w14:paraId="4AA8CA03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85ABD51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Riziko krvácania</w:t>
      </w:r>
    </w:p>
    <w:p w14:paraId="5C1D994D" w14:textId="77777777" w:rsidR="00462291" w:rsidRPr="00180C46" w:rsidRDefault="00462291" w:rsidP="00462291">
      <w:pPr>
        <w:spacing w:after="0" w:line="240" w:lineRule="auto"/>
        <w:ind w:right="178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 použití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pacientov so známym zvýšeným rizikom krvácania sa má zvážiť prínos z hľadiska prevencie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 (pozri časti 4.8 a 5.1). Pri klinickom opodstatnení sa má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používať s opatrnosťou v nasledujúcich skupinách pacientov:</w:t>
      </w:r>
    </w:p>
    <w:p w14:paraId="768F06BF" w14:textId="030CA9D4" w:rsidR="00462291" w:rsidRPr="00180C46" w:rsidRDefault="00462291" w:rsidP="00462291">
      <w:pPr>
        <w:numPr>
          <w:ilvl w:val="0"/>
          <w:numId w:val="3"/>
        </w:numPr>
        <w:spacing w:after="0" w:line="240" w:lineRule="auto"/>
        <w:ind w:right="145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 xml:space="preserve">Pacienti náchylní na krvácanie (napr. kvôli nedávnemu zraneniu, nedávnemu chirurgickému zákroku, poruchám koagulácie, aktívnemu alebo nedávnemu gastrointestinálnemu krvácaniu) alebo pacienti vystavení zvýšenému riziku úrazu. Použitie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kontraindikované u pacientov s aktívnym patologickým krvácaním, u pacientov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intrakraniálnym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krvácaním v anamnéze a</w:t>
      </w:r>
      <w:r w:rsidR="00634E0C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 pacientov s ťažkou poruchou funkcie pečene (pozri časť 4.3).</w:t>
      </w:r>
    </w:p>
    <w:p w14:paraId="6802BD2D" w14:textId="77777777" w:rsidR="00462291" w:rsidRPr="00180C46" w:rsidRDefault="00462291" w:rsidP="00462291">
      <w:pPr>
        <w:numPr>
          <w:ilvl w:val="0"/>
          <w:numId w:val="3"/>
        </w:numPr>
        <w:spacing w:after="0" w:line="240" w:lineRule="auto"/>
        <w:ind w:right="145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Pacienti súbežne liečení liekmi, ktoré môžu zvyšovať riziko krvácania (napr.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nesteroidové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protizápalové lieky (NSAID), perorálne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antikoagulanciá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a/alebo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fibrinolytiká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), v priebehu 24 hodín od podania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4C2067D9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AF68F29" w14:textId="77777777" w:rsidR="000E189F" w:rsidRDefault="000E189F" w:rsidP="000E189F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dvoch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randomizovaných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kontrolovaných štúdiách (TICO a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TWILIGHT) u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pacientov s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AKS, ktorí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podstúpili PCI so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stentom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uvoľňujúcim liečivo, sa preukázalo, že vysadenie ASA po 3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mesiacoch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duálnej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protidoštičkovej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liečby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ASA (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dual</w:t>
      </w:r>
      <w:proofErr w:type="spellEnd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 xml:space="preserve"> 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antiplatelet</w:t>
      </w:r>
      <w:proofErr w:type="spellEnd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 xml:space="preserve"> 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therapy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, DAPT) a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pokračovanie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s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ako jedinou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protidoštičkovou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liečbou (</w:t>
      </w:r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 xml:space="preserve">single 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antiplatelet</w:t>
      </w:r>
      <w:proofErr w:type="spellEnd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 xml:space="preserve"> 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therapy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, SAPT) po dobu 9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12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mesiacov (v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uvedenom poradí) znižuje riziko krvácania bez pozorovaného zvýšenia rizika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závažných nežiaducich kardiovaskulárnych príhod (</w:t>
      </w:r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 xml:space="preserve">major 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adverse</w:t>
      </w:r>
      <w:proofErr w:type="spellEnd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 xml:space="preserve"> 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cardiovascular</w:t>
      </w:r>
      <w:proofErr w:type="spellEnd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 xml:space="preserve"> </w:t>
      </w:r>
      <w:proofErr w:type="spellStart"/>
      <w:r w:rsidRPr="008D4E0E">
        <w:rPr>
          <w:rFonts w:ascii="Times New Roman" w:eastAsia="Times New Roman" w:hAnsi="Times New Roman" w:cs="Times New Roman"/>
          <w:i/>
          <w:iCs/>
          <w:color w:val="000000"/>
          <w:lang w:val="sk-SK" w:eastAsia="en-GB"/>
        </w:rPr>
        <w:t>events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, MACE)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porovnaní s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pokračujúcou DAPT. O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vysadení ASA po 3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mesiacoch a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pokračovaní v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liečbe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ako jedinou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protidoštičkovou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liečbou po dobu 9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mesiacov u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pacientov so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zvýšeným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rizikom krvácania sa má rozhodnúť na základe klinického posúdenia rizika krvácania oproti riziku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>trombotických</w:t>
      </w:r>
      <w:proofErr w:type="spellEnd"/>
      <w:r w:rsidRPr="008D4E0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 (pozri časť 4.2).</w:t>
      </w:r>
    </w:p>
    <w:p w14:paraId="3E8F3D7C" w14:textId="77777777" w:rsidR="000E189F" w:rsidRDefault="000E189F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23CDD61" w14:textId="421519E5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Transfúzia krvných doštičiek nezvrátila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protidoštičkový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účinok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zdravých dobrovoľníkov a preto pravdepodobne nepredstavuje klinický prínos pre pacientov s krvácaním. Keďže podávaním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spolu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dezmopresínom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štandardizovaný čas krvácania neskrátil, nie je pravdepodobné, že by bol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dezmopresín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účinný pri zvládaní klinických krvácavých príhod (pozri časť 4.5).</w:t>
      </w:r>
    </w:p>
    <w:p w14:paraId="6AF4E39D" w14:textId="77777777" w:rsidR="00634E0C" w:rsidRPr="00180C46" w:rsidRDefault="00634E0C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4059B25" w14:textId="17DBEBE1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Antifibrinolytická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liečba (kyselinou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aminokaprónovou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kyselinou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tranexámovou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 a/alebo liečba rekombinantným faktorom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VIIa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môže zvyšovať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hemostázu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možno znovu začať podávať po tom, ako bola príčina krvácania identifikovaná a je pod kontrolou.</w:t>
      </w:r>
    </w:p>
    <w:p w14:paraId="261DAA2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B15F149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Chirurgický zákrok</w:t>
      </w:r>
    </w:p>
    <w:p w14:paraId="73D66A2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Pacientov je potrebné poučiť, aby pred akýmkoľvek plánovaným chirurgickým zákrokom a pred užívaním akéhokoľvek nového lieku informovali lekárov a zubných lekárov, že užívajú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060B9E4B" w14:textId="77777777" w:rsidR="00634E0C" w:rsidRPr="00180C46" w:rsidRDefault="00634E0C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3B3B5A3" w14:textId="33B72842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 štúdii PLATO bol výskyt krvácania u pacientov, ktorí podstúpili koronárny artériový by-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pass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coronary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artery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bypass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grafting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CABG), vyšší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ako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pri jeho vysadení v priebehu 1</w:t>
      </w:r>
      <w:r w:rsidR="00634E0C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dňa pred chirurgickým zákrokom, ale výskyt veľkého krvácania pri vysadení liečby 2 alebo viac dní pred chirurgickým zákrokom bol podobný ako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(pozri časť 4.8). Ak má pacient podstúpiť plánovaný chirurgický zákrok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protidoštičkový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účinok nie je požadovaný,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má vysadiť 5</w:t>
      </w:r>
      <w:r w:rsidR="00634E0C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dní pred chirurgickým zákrokom (pozri časť 5.1).</w:t>
      </w:r>
    </w:p>
    <w:p w14:paraId="204BE2B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A46532A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Pacienti s predchádzajúcou ischemickou cievnou mozgovou príhodou</w:t>
      </w:r>
    </w:p>
    <w:p w14:paraId="16F1385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Pacienti s AKS s predchádzajúcou ischemickou cievnou mozgovou príhodou môžu byť liečení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až 12 mesiacov (štúdia PLATO).</w:t>
      </w:r>
    </w:p>
    <w:p w14:paraId="798C05DE" w14:textId="77777777" w:rsidR="00634E0C" w:rsidRPr="00180C46" w:rsidRDefault="00634E0C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F0A4EE5" w14:textId="14902945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Do štúdie PEGASUS neboli zahrnutí pacienti s IM v anamnéze a predchádzajúcou ischemickou cievnou mozgovou príhodou. Vzhľadom na chýbajúce údaje sa u týchto pacientov liečba presahujúca jeden rok neodporúča.</w:t>
      </w:r>
    </w:p>
    <w:p w14:paraId="09818E5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A3F8A8F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Porucha funkcie pečene</w:t>
      </w:r>
    </w:p>
    <w:p w14:paraId="02B364B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Použitie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kontraindikované u pacientov s ťažkou poruchou funkcie pečene (pozri časti 4.2 a 4.3). K dispozícii sú obmedzené skúsenosti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pacientov so stredne ťažkou poruchou funkcie pečene, u týchto pacientov sa preto odporúča opatrnosť (pozri časti 4.2 a 5.2).</w:t>
      </w:r>
    </w:p>
    <w:p w14:paraId="372AC4D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ECE9DE9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Pacienti s rizikom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bradykardických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 príhod</w:t>
      </w:r>
    </w:p>
    <w:p w14:paraId="578CE5C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Holterovo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monitorovanie EKG preukázalo zvýšenú frekvenciu väčšinou asymptomatických prípadov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ventrikulárnej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pauzy počas 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porovnaní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Z hlavných štúdií hodnotiacich bezpečnosť a účinnosť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boli vyradení pacienti so zvýšeným rizikom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>bradykardických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 (napr. pacienti bez kardiostimulátora so syndrómom chorého sínusového uzla, AV blokádou 2. alebo 3. stupňa alebo synkopou súvisiacou s bradykardiou). Vzhľadom na obmedzené klinické skúsenosti sa má preto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týchto pacientov používať s opatrnosťou (pozri časť 5.1).</w:t>
      </w:r>
    </w:p>
    <w:p w14:paraId="69A03298" w14:textId="77777777" w:rsidR="00563A7C" w:rsidRPr="00180C46" w:rsidRDefault="00563A7C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35735E4" w14:textId="6A1603E4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Okrem toho je potrebná opatrnosť aj 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liekmi, o ktorých je známe, že vyvolávajú bradykardiu. V štúdii PLATO sa však po súbežnom podaní s jedným alebo viacerými liekmi, o ktorých je známe, že vyvolávajú bradykardiu (napr. 96 %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betablokátory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33 %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blokátory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kalciových kanálov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diltiazem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verapamil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4 %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digoxín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), nepozorovali žiadne klinicky významné nežiaduce reakcie (pozri časť 4.5).</w:t>
      </w:r>
    </w:p>
    <w:p w14:paraId="53BB53A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4860A9C" w14:textId="0A505E86" w:rsidR="00462291" w:rsidRPr="00180C46" w:rsidRDefault="00462291" w:rsidP="00462291">
      <w:pPr>
        <w:spacing w:after="0" w:line="240" w:lineRule="auto"/>
        <w:ind w:right="129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V priebehu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podštúdie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Holterovým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monitorovaním v štúdii PLATO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ventrikulárne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pauzy trvajúce ≥ 3 sekundy vyskytli u väčšieho počtu pacientov užívajúcich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ako pacientov užívajúcich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akútnej fáze ich AKS. Nárast počtu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ventrikulárnych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páuz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odhalených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Holterovým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monitorovaním, bol u pacientov s chronickým srdcovým zlyhávaním (CHF) vyšší ako u celkového počtu pacientov v štúdii počas akútnej fázy AKS, avšak nie po </w:t>
      </w:r>
      <w:r w:rsidR="00563A7C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jednom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mesiaci 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v porovnaní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Z tejto nerovnováhy však u tejto skupiny pacientov nevyplývali žiadne nežiaduce klinické dôsledky (vrátane synkopy alebo zavedenia kardiostimulátora) (pozri časť 5.1).</w:t>
      </w:r>
    </w:p>
    <w:p w14:paraId="4489144A" w14:textId="77777777" w:rsidR="00E53A11" w:rsidRDefault="00E53A11" w:rsidP="00E53A11">
      <w:pPr>
        <w:spacing w:after="0" w:line="240" w:lineRule="auto"/>
        <w:ind w:right="129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9DC2C1B" w14:textId="77777777" w:rsidR="00E53A11" w:rsidRDefault="00E53A11" w:rsidP="00E53A11">
      <w:pPr>
        <w:spacing w:after="0" w:line="240" w:lineRule="auto"/>
        <w:ind w:right="129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Po uvedení lieku na trh sa u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pacientov užívajúcich </w:t>
      </w:r>
      <w:proofErr w:type="spellStart"/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zaznamenali </w:t>
      </w:r>
      <w:proofErr w:type="spellStart"/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bradyarytmické</w:t>
      </w:r>
      <w:proofErr w:type="spellEnd"/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príhody a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AV blokády (pozri časť 4.8), predovšetkým u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pacientov s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AKS, kde srdcová ischémia a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súbežne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podávané lieky znižujúce srdcovú frekvenciu alebo ovplyvňujúce vedenie vzruchu sú potenciálne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prispievajúce</w:t>
      </w:r>
      <w:proofErr w:type="spellEnd"/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faktory. Pred úpravou liečby sa má zhodnotiť klinický stav pacienta a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súbežná liečba ako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235EC9">
        <w:rPr>
          <w:rFonts w:ascii="Times New Roman" w:eastAsia="Times New Roman" w:hAnsi="Times New Roman" w:cs="Times New Roman"/>
          <w:color w:val="000000"/>
          <w:lang w:val="sk-SK" w:eastAsia="en-GB"/>
        </w:rPr>
        <w:t>potenciálne príčiny.</w:t>
      </w:r>
    </w:p>
    <w:p w14:paraId="3551D8B1" w14:textId="77777777" w:rsidR="00462291" w:rsidRPr="00180C46" w:rsidRDefault="00462291" w:rsidP="00462291">
      <w:pPr>
        <w:spacing w:after="0" w:line="240" w:lineRule="auto"/>
        <w:ind w:right="129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FF2C5DC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Dyspnoe</w:t>
      </w:r>
      <w:proofErr w:type="spellEnd"/>
    </w:p>
    <w:p w14:paraId="3F9D4E4E" w14:textId="4846E563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U pacientov liečených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hlásilo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zvyčajne miernej až stredne ťažkej intenzity a často ustúpi bez potreby ukončenia liečby. Absolútne riziko výskytu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pri užívaní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môže byť vyššie u pacientov s astmou/chronickou obštrukčnou chorobou pľúc (CHOCHP).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má používať opatrne u pacientov s astmou a/alebo CHOCHP v anamnéze. Mechanizmus nie je objasnený. Ak pacient hlási nové, dlhotrvajúce alebo zhoršené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má dôkladne vyšetriť a pri neznášanlivosti sa má liečba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ukončiť. Pre ďalšie informácie pozri časť 4.8.</w:t>
      </w:r>
    </w:p>
    <w:p w14:paraId="62DAF555" w14:textId="77777777" w:rsidR="00563A7C" w:rsidRPr="00180C46" w:rsidRDefault="00563A7C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0D1E7D2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Centrálne spánkové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apnoe</w:t>
      </w:r>
      <w:proofErr w:type="spellEnd"/>
    </w:p>
    <w:p w14:paraId="5FB722D4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 uvedení lieku na trh sa u pacientov užívajúcich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hlásilo centrálne spánkové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vrátane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Cheynovho-Stokesovho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dýchania. Pri podozrení na centrálne spánkové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má zvážiť ďalšie klinické zhodnotenie.</w:t>
      </w:r>
    </w:p>
    <w:p w14:paraId="0FBFFA0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2E8B929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Zvýšenie kreatinínu</w:t>
      </w:r>
    </w:p>
    <w:p w14:paraId="45143E13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Počas 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môžu zvýšiť hladiny kreatinínu. Mechanizmus nie je objasnený. Funkcia obličiek sa má kontrolovať v súlade s bežnou lekárskou praxou. U pacientov s AKS sa tiež odporúča skontrolovať funkciu obličiek jeden mesiac po začatí 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venovaním osobitnej pozornosti pacientom vo veku ≥ 75 rokov, pacientom so stredne ťažkou/ťažkou poruchou funkcie obličiek a pacientom súbežne liečeným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blokátorom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receptora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angiotenzínu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(ARB).</w:t>
      </w:r>
    </w:p>
    <w:p w14:paraId="349E331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41C0C65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Zvýšenie kyseliny močovej</w:t>
      </w:r>
    </w:p>
    <w:p w14:paraId="33145A41" w14:textId="77777777" w:rsidR="00462291" w:rsidRPr="00180C46" w:rsidRDefault="00462291" w:rsidP="00462291">
      <w:pPr>
        <w:spacing w:after="0" w:line="240" w:lineRule="auto"/>
        <w:ind w:right="710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Počas 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môže objaviť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hyperurikémia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(pozri časť 4.8). U pacientov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hyperurikémiou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dnovou artritídou v anamnéze sa odporúča opatrnosť. Ako preventívne opatrenie je potrebné zabrániť použitiu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pacientov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urátovou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nefropatiou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2ED7481B" w14:textId="77777777" w:rsidR="00462291" w:rsidRPr="00180C46" w:rsidRDefault="00462291" w:rsidP="00462291">
      <w:pPr>
        <w:spacing w:after="0" w:line="240" w:lineRule="auto"/>
        <w:ind w:right="71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3F5FB25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Trombotická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trombocytopenická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purpura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 (TTP)</w:t>
      </w:r>
    </w:p>
    <w:p w14:paraId="5EB06AE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Trombotická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trombocytopenická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purpura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(TTP) bola po užívaní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hlásená veľmi zriedkavo. Charakterizuje ju trombocytopénia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mikroangiopatická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hemolytická anémia sprevádzaná buď neurologickými príznakmi,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renálnou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dysfunkciou alebo horúčkou. TTP je stav, ktorý je potenciálne fatálny a vyžaduje si okamžitú liečbu vrátane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plazmaferézy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3102A738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DD5CDC2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Interferencia s funkčnými testami krvných doštičiek používanými na diagnostiku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heparínom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u w:color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indukovanej trombocytopénie (HIT)</w:t>
      </w:r>
    </w:p>
    <w:p w14:paraId="1C55F1CC" w14:textId="06A6125D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8C5915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teste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indukovanej aktivácie krvných doštičiek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heparin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induced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platelet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activation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HIPA), ktorý sa používa na diagnostiku HIT,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protidoštičkový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faktor 4/protilátky proti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sére pacienta aktivujú za prítomnosti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krvné doštičky zdravých darcov.</w:t>
      </w:r>
      <w:r w:rsidR="008C5915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</w:t>
      </w:r>
      <w:r w:rsidR="008C5915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pacientov, ktorým bol podaný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sa zaznamenali falošne negatívne výsledky funkčného testu krvných doštičiek na</w:t>
      </w:r>
      <w:r w:rsidR="008C5915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HIT (vrátane HIPA testu, a nielen jeho). Súvisí to s inhibíciou P2Y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12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receptora na krvných doštičkách zdravých darcov v teste spôsobenou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sére/plazme pacienta. Na interpretáciu funkčných HIT testov krvných doštičiek je potrebná informácia o súbežnej liečbe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2829D74F" w14:textId="62803AE4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</w:t>
      </w:r>
      <w:r w:rsidR="008C5915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pacientov, u ktorých sa vyvinula HIT, je potrebné zhodnotiť pomer prínosu a rizika pri pokračovaní v liečbe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pričom je potrebné vziať do úvahy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protrombotický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stav HIT a tiež zvýšené riziko krvácania pri súbežnej liečbe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antikoagulanciami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6835AE04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E61B1C2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Iné</w:t>
      </w:r>
    </w:p>
    <w:p w14:paraId="34ED454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Na základe vzťahu zaznamenaného v štúdii PLATO medzi udržiavacou dávkou ASA a relatívnou účinnosťou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porovnaní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súbežné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vysokej udržiavacej dávky ASA (&gt; 300 mg) neodporúča (pozri časť 5.1).</w:t>
      </w:r>
    </w:p>
    <w:p w14:paraId="0D88957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BDB68D9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Predčasné ukončenie liečby</w:t>
      </w:r>
    </w:p>
    <w:p w14:paraId="3B522C84" w14:textId="14DC9F12" w:rsidR="00462291" w:rsidRPr="00180C46" w:rsidRDefault="00462291" w:rsidP="00462291">
      <w:pPr>
        <w:spacing w:after="0" w:line="240" w:lineRule="auto"/>
        <w:ind w:right="418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Predčasné ukončenie akejkoľvek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liečby, vrátane </w:t>
      </w:r>
      <w:proofErr w:type="spellStart"/>
      <w:r w:rsidR="00AF46A0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môže viesť k zvýšenému riziku kardiovaskulárnej (KV) smrti, IM alebo cievnej mozgovej príhody v dôsledku základného ochorenia pacienta. Preto sa treba vyhnúť predčasnému ukončeniu liečby.</w:t>
      </w:r>
    </w:p>
    <w:p w14:paraId="5A829C11" w14:textId="737E9835" w:rsidR="00462291" w:rsidRPr="00180C46" w:rsidRDefault="00462291" w:rsidP="00462291">
      <w:pPr>
        <w:spacing w:after="0" w:line="240" w:lineRule="auto"/>
        <w:ind w:right="418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CB52BA2" w14:textId="1B8F731B" w:rsidR="00AF46A0" w:rsidRPr="00DF486E" w:rsidRDefault="00AF46A0" w:rsidP="00AF46A0">
      <w:pPr>
        <w:spacing w:after="0" w:line="240" w:lineRule="auto"/>
        <w:ind w:right="418"/>
        <w:rPr>
          <w:rFonts w:ascii="Times New Roman" w:eastAsia="Times New Roman" w:hAnsi="Times New Roman" w:cs="Times New Roman"/>
          <w:color w:val="000000"/>
          <w:u w:val="single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/>
          <w:lang w:val="sk-SK" w:eastAsia="en-GB"/>
        </w:rPr>
        <w:t>Pomocné látky</w:t>
      </w:r>
    </w:p>
    <w:p w14:paraId="1908C643" w14:textId="58061735" w:rsidR="00AF46A0" w:rsidRPr="00AF46A0" w:rsidRDefault="00AF46A0" w:rsidP="00AF46A0">
      <w:pPr>
        <w:spacing w:after="0" w:line="240" w:lineRule="auto"/>
        <w:ind w:right="418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Tento liek</w:t>
      </w:r>
      <w:r w:rsidRPr="00AF46A0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obsahuje menej ako 1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AF46A0">
        <w:rPr>
          <w:rFonts w:ascii="Times New Roman" w:eastAsia="Times New Roman" w:hAnsi="Times New Roman" w:cs="Times New Roman"/>
          <w:color w:val="000000"/>
          <w:lang w:val="sk-SK" w:eastAsia="en-GB"/>
        </w:rPr>
        <w:t>mmol sodíka (23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AF46A0">
        <w:rPr>
          <w:rFonts w:ascii="Times New Roman" w:eastAsia="Times New Roman" w:hAnsi="Times New Roman" w:cs="Times New Roman"/>
          <w:color w:val="000000"/>
          <w:lang w:val="sk-SK" w:eastAsia="en-GB"/>
        </w:rPr>
        <w:t>mg) v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AF46A0">
        <w:rPr>
          <w:rFonts w:ascii="Times New Roman" w:eastAsia="Times New Roman" w:hAnsi="Times New Roman" w:cs="Times New Roman"/>
          <w:color w:val="000000"/>
          <w:lang w:val="sk-SK" w:eastAsia="en-GB"/>
        </w:rPr>
        <w:t>jednej dávke, t.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AF46A0">
        <w:rPr>
          <w:rFonts w:ascii="Times New Roman" w:eastAsia="Times New Roman" w:hAnsi="Times New Roman" w:cs="Times New Roman"/>
          <w:color w:val="000000"/>
          <w:lang w:val="sk-SK" w:eastAsia="en-GB"/>
        </w:rPr>
        <w:t>j. v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AF46A0">
        <w:rPr>
          <w:rFonts w:ascii="Times New Roman" w:eastAsia="Times New Roman" w:hAnsi="Times New Roman" w:cs="Times New Roman"/>
          <w:color w:val="000000"/>
          <w:lang w:val="sk-SK" w:eastAsia="en-GB"/>
        </w:rPr>
        <w:t>podstate zanedbateľné množstvo sodíka.</w:t>
      </w:r>
    </w:p>
    <w:p w14:paraId="22CFCD6E" w14:textId="77777777" w:rsidR="00AF46A0" w:rsidRPr="00180C46" w:rsidRDefault="00AF46A0" w:rsidP="00462291">
      <w:pPr>
        <w:spacing w:after="0" w:line="240" w:lineRule="auto"/>
        <w:ind w:right="418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FAA2964" w14:textId="77777777" w:rsidR="00462291" w:rsidRPr="00180C46" w:rsidRDefault="00462291" w:rsidP="00FC2ED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4.5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Liekové a iné interakcie</w:t>
      </w:r>
    </w:p>
    <w:p w14:paraId="1E02CCC7" w14:textId="77777777" w:rsidR="00462291" w:rsidRPr="00180C46" w:rsidRDefault="00462291" w:rsidP="00462291">
      <w:pPr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C76B3E6" w14:textId="77777777" w:rsidR="00462291" w:rsidRPr="00180C46" w:rsidRDefault="00462291" w:rsidP="00462291">
      <w:pPr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predovšetkým substrátom CYP3A4 a miernym inhibítorom CYP3A4.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tiež substrátom P-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glykoproteínu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gp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 a slabým inhibítorom P-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gp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môže zvyšovať expozíciu substrátom P-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gp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20E074F2" w14:textId="77777777" w:rsidR="00462291" w:rsidRPr="00180C46" w:rsidRDefault="00462291" w:rsidP="00462291">
      <w:pPr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DF31B17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Účinky liekov a iných produktov na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tikagrelor</w:t>
      </w:r>
      <w:proofErr w:type="spellEnd"/>
    </w:p>
    <w:p w14:paraId="52631D84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Inhibítory CYP3A4</w:t>
      </w:r>
    </w:p>
    <w:p w14:paraId="4F8DA3BE" w14:textId="0F62AECE" w:rsidR="00462291" w:rsidRPr="00180C46" w:rsidRDefault="00462291" w:rsidP="00462291">
      <w:pPr>
        <w:numPr>
          <w:ilvl w:val="0"/>
          <w:numId w:val="4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 xml:space="preserve">Silné inhibítory CYP3A4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– 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ketokonazolu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zvýšil</w:t>
      </w:r>
      <w:r w:rsidR="00427718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2,4-násobne a AUC 7,3-násobne.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aktívneho metabolitu sa znížil</w:t>
      </w:r>
      <w:r w:rsidR="00427718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89 % a AUC o 56 %. Dá sa predpokladať, že účinky iných silných inhibítorov CYP3A4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klaritromycín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nefazodón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ritonavir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atazanavir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 sú podobné a preto je súbežné použitie silných inhibítorov CYP3A4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kontraindikované (pozri časť 4.3).</w:t>
      </w:r>
    </w:p>
    <w:p w14:paraId="07CF89DE" w14:textId="57D8C2C4" w:rsidR="00462291" w:rsidRPr="00180C46" w:rsidRDefault="00462291" w:rsidP="00462291">
      <w:pPr>
        <w:numPr>
          <w:ilvl w:val="0"/>
          <w:numId w:val="4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 xml:space="preserve">Stredne silné inhibítory CYP3A4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– 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diltiazemu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zvýšil</w:t>
      </w:r>
      <w:r w:rsidR="00427718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69 % a AUC 2,7-násobne a</w:t>
      </w:r>
      <w:r w:rsidR="00AF46A0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v prípade aktívneho metabolitu došlo k zníženiu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A11E25">
        <w:rPr>
          <w:rFonts w:ascii="Times New Roman" w:eastAsia="Times New Roman" w:hAnsi="Times New Roman" w:cs="Times New Roman"/>
          <w:color w:val="000000"/>
          <w:lang w:val="sk-SK" w:eastAsia="en-GB"/>
        </w:rPr>
        <w:t>o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38 % a AUC ostala nezmenená.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nemal žiadny vplyv na hladiny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diltiazemu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plazme. Podobný účinok možno predpokladať aj u iných stredne silných inhibítorov CYP3A4 (napr.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amprenavir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aprepitant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erytromycín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flukonazol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 a tiež ich možno podávať súbežne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3FE8B4F5" w14:textId="2D89F2B3" w:rsidR="00462291" w:rsidRPr="00180C46" w:rsidRDefault="00462291" w:rsidP="00462291">
      <w:pPr>
        <w:numPr>
          <w:ilvl w:val="0"/>
          <w:numId w:val="4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Pri dennej konzumácii väčšieho množstva grapefruitovej šťavy (3</w:t>
      </w:r>
      <w:r w:rsidR="00BF48B2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x</w:t>
      </w:r>
      <w:r w:rsidR="00BF48B2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200</w:t>
      </w:r>
      <w:r w:rsidR="00BF48B2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ml) sa pozorovalo 2</w:t>
      </w:r>
      <w:r w:rsidR="00BF48B2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noBreakHyphen/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násobné zvýšenie expozície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Neočakáva sa, že rozsah tejto zvýšenej expozície bude klinicky významný pre väčšinu pacientov.</w:t>
      </w:r>
    </w:p>
    <w:p w14:paraId="5D72F464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E1694EB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Induktory CYP3A4</w:t>
      </w:r>
    </w:p>
    <w:p w14:paraId="635BC71F" w14:textId="2431C518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rifampicínu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znížil</w:t>
      </w:r>
      <w:r w:rsidR="00427718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73 % a AUC o 86 %.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aktívneho metabolitu ostal</w:t>
      </w:r>
      <w:r w:rsidR="00427718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nezmenen</w:t>
      </w:r>
      <w:r w:rsidR="00427718">
        <w:rPr>
          <w:rFonts w:ascii="Times New Roman" w:eastAsia="Times New Roman" w:hAnsi="Times New Roman" w:cs="Times New Roman"/>
          <w:color w:val="000000"/>
          <w:lang w:val="sk-SK" w:eastAsia="en-GB"/>
        </w:rPr>
        <w:t>á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AUC sa znížila o 46 %. Dá sa predpokladať, že aj ďalšie induktory CYP3A4 (napr.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fenytoín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karbamazepín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fenobarbital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 znižujú expozíciu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Súbežné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so silnými induktormi CYP3A4 môže znižovať expozíciu a účinnosť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preto sa má zabrániť ich súbežnému použitiu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52F2E29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AEC0ED4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Cyklosporín</w:t>
      </w:r>
      <w:proofErr w:type="spellEnd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 xml:space="preserve"> (inhibítor P-</w:t>
      </w: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gp</w:t>
      </w:r>
      <w:proofErr w:type="spellEnd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 xml:space="preserve"> a CYP3A)</w:t>
      </w:r>
    </w:p>
    <w:p w14:paraId="5D01AF89" w14:textId="35FFAAD3" w:rsidR="00462291" w:rsidRPr="00180C46" w:rsidRDefault="00462291" w:rsidP="00462291">
      <w:pPr>
        <w:spacing w:after="0" w:line="240" w:lineRule="auto"/>
        <w:ind w:right="15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cyklosporínu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(600 mg)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zvýšil</w:t>
      </w:r>
      <w:r w:rsidR="00427718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2,3-násobne a AUC 2,8-násobne. V prítomnosti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cyklosporínu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AUC aktívneho metabolitu zvýšila o 32 %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sa znížil</w:t>
      </w:r>
      <w:r w:rsidR="00427718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15 %.</w:t>
      </w:r>
    </w:p>
    <w:p w14:paraId="03914EE5" w14:textId="77777777" w:rsidR="00BF48B2" w:rsidRPr="00180C46" w:rsidRDefault="00BF48B2" w:rsidP="00462291">
      <w:pPr>
        <w:spacing w:after="0" w:line="240" w:lineRule="auto"/>
        <w:ind w:right="157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4B7F06A" w14:textId="22707E32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</w:t>
      </w:r>
      <w:r w:rsidR="00BF48B2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dispozícii nie sú žiadne údaje týkajúce sa súbežného podávania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ďalších liečiv, ktoré sú tiež silnými inhibítormi P-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gp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stredne silnými inhibítormi CYP3A4 (napr.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verapamil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chinidín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), ktoré takisto môžu zvyšovať expozíciu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Ak sa takejto kombinácii nie je možné vyhnúť, ich súbežné použitie si vyžaduje opatrnosť.</w:t>
      </w:r>
    </w:p>
    <w:p w14:paraId="3F8EDD96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6D79D7B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Iné</w:t>
      </w:r>
    </w:p>
    <w:p w14:paraId="78C1574A" w14:textId="77777777" w:rsidR="00462291" w:rsidRPr="00180C46" w:rsidRDefault="00462291" w:rsidP="00462291">
      <w:pPr>
        <w:spacing w:after="0" w:line="240" w:lineRule="auto"/>
        <w:ind w:right="469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Klinické štúdie farmakologických interakcií preukázali, že súbežné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enoxaparínom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ASA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dezmopresínom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porovnaní s podávaním samotného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nemalo žiadny vplyv na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farmakokinetiku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jeho aktívneho metabolitu, alebo na agregáciu krvných doštičiek indukovanú ADP. Ak je to klinicky indikované, lieky ovplyvňujúce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hemostázu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majú v kombinácii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používať opatrne.</w:t>
      </w:r>
    </w:p>
    <w:p w14:paraId="0D92584B" w14:textId="77777777" w:rsidR="00BF48B2" w:rsidRPr="00180C46" w:rsidRDefault="00BF48B2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C3EA965" w14:textId="50A60ECB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Oneskorená a znížená expozícia perorálnym inhibítorom P2Y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12,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vrátane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jeho aktívnemu metabolitu, sa pozorovala u pacientov s AKS liečených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morfínom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(35 % zníženie expozície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). Táto interakcia môže súvisieť so zníženou gastrointestinálnou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motilitou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vzťahovať sa aj na iné opioidy. Klinický význam nie je známy, ale údaje naznačujú možnosť zníženej účinnosti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pacientov, ktorým sa súbežne podáva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morfín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U pacientov s AKS, u ktorých nie je možné prerušiť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morfínu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rýchla inhibícia P2Y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12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sa považuje za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kruciálnu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sa má zvážiť použitie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parenterálneho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inhibítora P2Y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12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7AF556BD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10D82B4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Účinky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 na iné lieky</w:t>
      </w:r>
    </w:p>
    <w:p w14:paraId="6E5BF88C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Liečivá metabolizované prostredníctvom CYP3A4</w:t>
      </w:r>
    </w:p>
    <w:p w14:paraId="595B05CC" w14:textId="228EF7A3" w:rsidR="00462291" w:rsidRPr="00180C46" w:rsidRDefault="00462291" w:rsidP="00462291">
      <w:pPr>
        <w:numPr>
          <w:ilvl w:val="0"/>
          <w:numId w:val="5"/>
        </w:numPr>
        <w:spacing w:after="0" w:line="240" w:lineRule="auto"/>
        <w:ind w:right="279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Simvastatín</w:t>
      </w:r>
      <w:proofErr w:type="spellEnd"/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– 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simvastatínu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simvastatínu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zvýšil</w:t>
      </w:r>
      <w:r w:rsidR="00427718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81 % a AUC o 56 %,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kyseliny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simvastatínovej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zvýšil</w:t>
      </w:r>
      <w:r w:rsidR="00646449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64 % a AUC o 52 %, v niektorých jednotlivých prípadoch boli zvýšenia 2- až 3-násobné. Súbežné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simvastatínom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dávkach vyšších ako 40 mg denne môže spôsobiť nežiaduce reakcie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simvastatínu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potenciálny prínos tejto kombinácie je potrebné zvážiť.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Simvastatín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nemal žiadny vplyv na hladiny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plazme.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môže mať podobný účinok na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lovastatín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Súbežné použitie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simvastatínom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lovastatínom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dávkach vyšších ako 40 mg sa neodporúča.</w:t>
      </w:r>
    </w:p>
    <w:p w14:paraId="13FA5587" w14:textId="61BEF35E" w:rsidR="00462291" w:rsidRPr="00180C46" w:rsidRDefault="00462291" w:rsidP="00462291">
      <w:pPr>
        <w:numPr>
          <w:ilvl w:val="0"/>
          <w:numId w:val="5"/>
        </w:numPr>
        <w:spacing w:after="0" w:line="240" w:lineRule="auto"/>
        <w:ind w:right="279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Atorvastatín</w:t>
      </w:r>
      <w:proofErr w:type="spellEnd"/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– 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atorvastatínu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kyseliny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atorvastatínovej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zvýšil</w:t>
      </w:r>
      <w:r w:rsidR="00646449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23 % a AUC o 36 %. Podobné zvýšenia AUC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sa pozorovali u všetkých metabolitov kyseliny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atorvastatínovej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Tieto zvýšenia sa nepovažujú za klinicky významné.</w:t>
      </w:r>
    </w:p>
    <w:p w14:paraId="05AFDD89" w14:textId="77777777" w:rsidR="00462291" w:rsidRPr="00180C46" w:rsidRDefault="00462291" w:rsidP="00462291">
      <w:pPr>
        <w:numPr>
          <w:ilvl w:val="0"/>
          <w:numId w:val="5"/>
        </w:numPr>
        <w:spacing w:after="0" w:line="240" w:lineRule="auto"/>
        <w:ind w:right="279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Podobný účinok na iné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statíny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metabolizované prostredníctvom CYP3A4 nemožno vylúčiť. U pacientov dostávajúcich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štúdii PLATO, ktorí užívali rôzne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statíny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nevznikli v súvislosti s bezpečnosťou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statínov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žiadne obavy u 93 % pacientov v kohorte štúdie PLATO užívajúcej tieto lieky.</w:t>
      </w:r>
    </w:p>
    <w:p w14:paraId="46D27ACE" w14:textId="77777777" w:rsidR="00462291" w:rsidRPr="00180C46" w:rsidRDefault="00462291" w:rsidP="00462291">
      <w:pPr>
        <w:spacing w:after="0" w:line="240" w:lineRule="auto"/>
        <w:ind w:right="279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3BE06DB" w14:textId="77777777" w:rsidR="00462291" w:rsidRPr="00180C46" w:rsidRDefault="00462291" w:rsidP="00462291">
      <w:pPr>
        <w:spacing w:after="0" w:line="240" w:lineRule="auto"/>
        <w:ind w:right="177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miernym inhibítorom CYP3A4. Súbežné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substrátov CYP3A4 s úzkym terapeutickým indexom (napr.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cisaprid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námeľové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alkaloidy) sa neodporúča, nakoľko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môže zvyšovať expozíciu týchto liekov.</w:t>
      </w:r>
    </w:p>
    <w:p w14:paraId="7C19C71D" w14:textId="77777777" w:rsidR="00462291" w:rsidRPr="00180C46" w:rsidRDefault="00462291" w:rsidP="00462291">
      <w:pPr>
        <w:spacing w:after="0" w:line="240" w:lineRule="auto"/>
        <w:ind w:right="177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3F88F49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Substráty P-</w:t>
      </w: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gp</w:t>
      </w:r>
      <w:proofErr w:type="spellEnd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 xml:space="preserve"> (vrátane </w:t>
      </w: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digoxínu</w:t>
      </w:r>
      <w:proofErr w:type="spellEnd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cyklosporínu</w:t>
      </w:r>
      <w:proofErr w:type="spellEnd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)</w:t>
      </w:r>
    </w:p>
    <w:p w14:paraId="719D9EC9" w14:textId="01F75FE1" w:rsidR="00462291" w:rsidRPr="00180C46" w:rsidRDefault="00462291" w:rsidP="00462291">
      <w:pPr>
        <w:spacing w:after="0" w:line="240" w:lineRule="auto"/>
        <w:ind w:right="130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digoxínu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zvýšil</w:t>
      </w:r>
      <w:r w:rsidR="00646449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75 % a AUC o 28 %. Priemerné hladiny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digoxínu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pred podaním ďalšej dávky sa pri súbežnom podávaní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zvýšili približne o 30 %, v niektorých jednotlivých prípadoch maximálne až na 2-násobok. V prítomnosti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digoxínu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nebol</w:t>
      </w:r>
      <w:r w:rsidR="00646449">
        <w:rPr>
          <w:rFonts w:ascii="Times New Roman" w:eastAsia="Times New Roman" w:hAnsi="Times New Roman" w:cs="Times New Roman"/>
          <w:color w:val="000000"/>
          <w:lang w:val="sk-SK" w:eastAsia="en-GB"/>
        </w:rPr>
        <w:t>i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ovplyvnen</w:t>
      </w:r>
      <w:r w:rsidR="00646449">
        <w:rPr>
          <w:rFonts w:ascii="Times New Roman" w:eastAsia="Times New Roman" w:hAnsi="Times New Roman" w:cs="Times New Roman"/>
          <w:color w:val="000000"/>
          <w:lang w:val="sk-SK" w:eastAsia="en-GB"/>
        </w:rPr>
        <w:t>é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a AUC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</w:t>
      </w:r>
      <w:r w:rsidR="00646449">
        <w:rPr>
          <w:rFonts w:ascii="Times New Roman" w:eastAsia="Times New Roman" w:hAnsi="Times New Roman" w:cs="Times New Roman"/>
          <w:color w:val="000000"/>
          <w:lang w:val="sk-SK" w:eastAsia="en-GB"/>
        </w:rPr>
        <w:t>ni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jeho aktívneho metabolitu. Pri podávaní P-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gp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dependentných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liečiv s úzkym terapeutickým indexom, ako je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digoxín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súbežne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preto odporúča náležité klinické a/alebo laboratórne monitorovanie.</w:t>
      </w:r>
    </w:p>
    <w:p w14:paraId="458B6EA8" w14:textId="77777777" w:rsidR="007C5EE4" w:rsidRPr="00180C46" w:rsidRDefault="007C5EE4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6E178DC" w14:textId="38D6F11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 xml:space="preserve">Nebol pozorovaný žiadny vplyv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 hladinu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cyklosporínu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krvi. Vplyv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</w:t>
      </w:r>
      <w:r w:rsidR="007C5EE4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ďalšie substráty P-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gp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neskúmal.</w:t>
      </w:r>
    </w:p>
    <w:p w14:paraId="52E662D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B6BBB68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Liečivá metabolizované CYP2C9</w:t>
      </w:r>
    </w:p>
    <w:p w14:paraId="1F01800A" w14:textId="77777777" w:rsidR="00462291" w:rsidRPr="00180C46" w:rsidRDefault="00462291" w:rsidP="00462291">
      <w:pPr>
        <w:spacing w:after="0" w:line="240" w:lineRule="auto"/>
        <w:ind w:right="494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Súbežné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tolbutamidu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neviedlo k zmenám plazmatických hladín žiadneho z liečiv, čo naznačuje, že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nie je inhibítorom CYP2C9 a nie je pravdepodobné, že by spôsoboval zmeny v metabolizme sprostredkovanom CYP2C9 u liečiv, akými sú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warfarín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tolbutamid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1799D1D5" w14:textId="77777777" w:rsidR="00462291" w:rsidRPr="00180C46" w:rsidRDefault="00462291" w:rsidP="00462291">
      <w:pPr>
        <w:spacing w:after="0" w:line="240" w:lineRule="auto"/>
        <w:ind w:right="494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31395D3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Rosuvastatín</w:t>
      </w:r>
      <w:proofErr w:type="spellEnd"/>
    </w:p>
    <w:p w14:paraId="21677108" w14:textId="77777777" w:rsidR="00462291" w:rsidRPr="00180C46" w:rsidRDefault="00462291" w:rsidP="00462291">
      <w:pPr>
        <w:spacing w:after="0" w:line="240" w:lineRule="auto"/>
        <w:ind w:right="211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môže ovplyvniť vylučovanie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rosuvastatínu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obličkami, a tým zvýšiť riziko kumulácie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rosuvastatínu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Aj keď presný mechanizmus nie je známy, v niektorých prípadoch súbežné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rosuvastatínu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viedlo k zníženej funkcii obličiek, zvýšeniu hladiny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kreatínfosfokinázy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rabdomyolýze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18680E49" w14:textId="77777777" w:rsidR="00462291" w:rsidRPr="00180C46" w:rsidRDefault="00462291" w:rsidP="00462291">
      <w:pPr>
        <w:spacing w:after="0" w:line="240" w:lineRule="auto"/>
        <w:ind w:right="211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AF8D0D9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 xml:space="preserve">Perorálne </w:t>
      </w: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kontraceptíva</w:t>
      </w:r>
      <w:proofErr w:type="spellEnd"/>
    </w:p>
    <w:p w14:paraId="6670F5DD" w14:textId="0A25F809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Pri súbežn</w:t>
      </w:r>
      <w:r w:rsidR="00C951FB">
        <w:rPr>
          <w:rFonts w:ascii="Times New Roman" w:eastAsia="Times New Roman" w:hAnsi="Times New Roman" w:cs="Times New Roman"/>
          <w:color w:val="000000"/>
          <w:lang w:val="sk-SK" w:eastAsia="en-GB"/>
        </w:rPr>
        <w:t>o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levonorgestrelu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etinylestradiolu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expozícia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etinylestradiolu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zvýšila približne o 20 %, ale k zmenám vo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farmakokinetike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levonorgestrelu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nedošlo. 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levonorgestrelu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etinylestradiolu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nepredpokladá žiadny klinicky významný vplyv na účinnosť perorálnych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kontraceptív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169501D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D73834B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Liečivá, ktoré vyvolávajú bradykardiu</w:t>
      </w:r>
    </w:p>
    <w:p w14:paraId="0380C252" w14:textId="77777777" w:rsidR="00462291" w:rsidRPr="00180C46" w:rsidRDefault="00462291" w:rsidP="00462291">
      <w:pPr>
        <w:spacing w:after="0" w:line="240" w:lineRule="auto"/>
        <w:ind w:right="155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liekmi, o ktorých je známe, že vyvolávajú bradykardiu, je potrebná opatrnosť vzhľadom na pozorované prípady zväčša asymptomatickej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ventrikulárnej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pauzy a bradykardie (pozri časť 4.4). V štúdii PLATO sa však po súbežnom podaní s jedným alebo viacerými liekmi, o ktorých je známe, že vyvolávajú bradykardiu (napr. 96 %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betablokátory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33 %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blokátory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kalciových kanálov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diltiazem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verapamil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4 %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digoxín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 nepozorovali žiadne klinicky významné nežiaduce reakcie.</w:t>
      </w:r>
    </w:p>
    <w:p w14:paraId="7DAB70D1" w14:textId="77777777" w:rsidR="00462291" w:rsidRPr="00180C46" w:rsidRDefault="00462291" w:rsidP="00462291">
      <w:pPr>
        <w:spacing w:after="0" w:line="240" w:lineRule="auto"/>
        <w:ind w:right="155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514087F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Ďalšia súbežná liečba</w:t>
      </w:r>
    </w:p>
    <w:p w14:paraId="5C96D2AA" w14:textId="2689CAC6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FC2EDD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klinických štúdiách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bežne podával spolu s ASA, inhibítormi protónovej pumpy,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statínmi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betablokátormi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inhibítormi enzýmu konvertujúceho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angiotenzín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(ACE) a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blokátormi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receptorov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angiotenzínu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dlhodobo, ak si to súbežné ochorenia vyžadovali a tiež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nízkomolekulovým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intravenóznymi inhibítormi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GpIIb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/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IIIa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pri krátkodobom podávaní (pozri časť 5.1). Nepozorovali sa žiadne klinicky významné nežiaduce interakcie s týmito liečivami.</w:t>
      </w:r>
    </w:p>
    <w:p w14:paraId="0F34D6B0" w14:textId="77777777" w:rsidR="007C5EE4" w:rsidRPr="00180C46" w:rsidRDefault="007C5EE4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11CBE7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Súbežné podávanie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enoxaparínom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dezmopresínom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nemalo žiadny vplyv na aktivovaný parciálny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tromboplastínový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čas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aPTT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), aktivovaný koagulačný čas (ACT) alebo na testy faktora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Xa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liekmi, o ktorých je známe, že ovplyvňujú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hemostázu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je však potrebné postupovať s opatrnosťou pre možné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farmakodynamické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interakcie.</w:t>
      </w:r>
    </w:p>
    <w:p w14:paraId="7ACD06C6" w14:textId="77777777" w:rsidR="007C5EE4" w:rsidRPr="00180C46" w:rsidRDefault="007C5EE4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6C4AF7A" w14:textId="28EBD813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Vzhľadom na hlásenia abnormalít kožného krvácania so SSRI (napr.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paroxetín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sertralín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citalopram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 sa pri súbežnom podávaní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so SSRI odporúča opatrnosť, pretože to môže zvýšiť riziko krvácania.</w:t>
      </w:r>
    </w:p>
    <w:p w14:paraId="228CD50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FD4609B" w14:textId="77777777" w:rsidR="00462291" w:rsidRPr="00180C46" w:rsidRDefault="00462291" w:rsidP="00FC2ED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4.6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proofErr w:type="spellStart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Fertilita</w:t>
      </w:r>
      <w:proofErr w:type="spellEnd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, gravidita a laktácia</w:t>
      </w:r>
    </w:p>
    <w:p w14:paraId="618ADA98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6F0F394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Ženy v reprodukčnom veku</w:t>
      </w:r>
    </w:p>
    <w:p w14:paraId="04BD3FF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Ženy v reprodukčnom veku majú počas 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používať vhodné antikoncepčné metódy na zabránenie gravidity.</w:t>
      </w:r>
    </w:p>
    <w:p w14:paraId="6B4CDB3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E820AE4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Gravidita</w:t>
      </w:r>
    </w:p>
    <w:p w14:paraId="5DE8C53D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Nie sú k dispozícii alebo je iba obmedzené množstvo údajov o použití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gravidných žien. Štúdie na zvieratách preukázali reprodukčnú toxicitu (pozri časť 5.3).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neodporúča užívať počas gravidity.</w:t>
      </w:r>
    </w:p>
    <w:p w14:paraId="45E38B1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55C4B66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lastRenderedPageBreak/>
        <w:t>Dojčenie</w:t>
      </w:r>
    </w:p>
    <w:p w14:paraId="00C55190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Dostupné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farmakodynamické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/toxikologické údaje u zvierat preukázali vylučovanie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jeho aktívnych metabolitov do mlieka (pozri časť 5.3). Riziko u novorodencov/dojčiat nemôže byť vylúčené. Rozhodnutie, či ukončiť dojčenie alebo či ukončiť/prerušiť liečbu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má urobiť po zvážení prínosu dojčenia pre dieťa a prínosu liečby pre ženu.</w:t>
      </w:r>
    </w:p>
    <w:p w14:paraId="2CD6BC0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4F94E83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Fertilita</w:t>
      </w:r>
      <w:proofErr w:type="spellEnd"/>
    </w:p>
    <w:p w14:paraId="2B45CC5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nemal žiadny vplyv na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fertilitu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samcov alebo samíc zvierat (pozri časť 5.3).</w:t>
      </w:r>
    </w:p>
    <w:p w14:paraId="2FBE3353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EC3D6B0" w14:textId="77777777" w:rsidR="00462291" w:rsidRPr="00180C46" w:rsidRDefault="00462291" w:rsidP="00FC2ED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4.7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Ovplyvnenie schopnosti viesť vozidlá a obsluhovať stroje</w:t>
      </w:r>
    </w:p>
    <w:p w14:paraId="2A0FE81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F4899F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nemá žiadny alebo má zanedbateľný vplyv na schopnosť viesť vozidlá a obsluhovať stroje. Počas 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hlásil závrat a zmätenosť. Pacienti, u ktorých sa objavia tieto príznaky, majú byť preto pri vedení vozidiel alebo obsluhe strojov opatrní.</w:t>
      </w:r>
    </w:p>
    <w:p w14:paraId="5F488FF8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DC8101B" w14:textId="77777777" w:rsidR="00462291" w:rsidRPr="00180C46" w:rsidRDefault="00462291" w:rsidP="00A36E77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4.8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Nežiaduce účinky</w:t>
      </w:r>
    </w:p>
    <w:p w14:paraId="7F1ED50A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CDFDCF0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Súhrn bezpečnostného profilu</w:t>
      </w:r>
    </w:p>
    <w:p w14:paraId="132BCA38" w14:textId="37A8DB8F" w:rsidR="00462291" w:rsidRPr="00180C46" w:rsidRDefault="00462291" w:rsidP="00462291">
      <w:pPr>
        <w:spacing w:after="0" w:line="240" w:lineRule="auto"/>
        <w:ind w:right="808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Bezpečnostný profil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hodnotil v dvoch rozsiahlych skúšaniach fázy 3 (PLATO a PEGASUS), ktoré zahŕňali viac ako 39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000 pacientov (pozri časť 5.1).</w:t>
      </w:r>
    </w:p>
    <w:p w14:paraId="2299651E" w14:textId="77777777" w:rsidR="00A36E77" w:rsidRPr="00180C46" w:rsidRDefault="00A36E77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1F97075" w14:textId="27E1330C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štúdii PLATO bol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vyšší výskyt pacientov, ktorí ukončili liečbu pre nežiaduce udalosti, ako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(7,4 % oproti 5,4 %). V štúdii PEGASUS bol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vyšší výskyt pacientov, ktorí ukončili liečbu pre nežiaduce udalosti, v porovnaní s liečbou samotnou ASA (16,1 % pre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ASA oproti 8,5 % pre liečbu samotnou ASA). Najčastejšie hlásenými nežiaducimi reakciami u pacientov liečených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boli krvácanie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(pozri časť 4.4).</w:t>
      </w:r>
    </w:p>
    <w:p w14:paraId="295BEF21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6F1886C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Tabuľkový zoznam nežiaducich reakcií</w:t>
      </w:r>
    </w:p>
    <w:p w14:paraId="3B0B835B" w14:textId="0F326D40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klinických štúdiách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v období po uvedení lieku na trh sa zistili a hlásili nasledujúce nežiaduce reakcie (tabuľka 1).</w:t>
      </w:r>
    </w:p>
    <w:p w14:paraId="3F031496" w14:textId="77777777" w:rsidR="00A36E77" w:rsidRPr="00180C46" w:rsidRDefault="00A36E77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3BB1805" w14:textId="2D67AC3A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Nežiaduce reakcie sú uvedené podľa tried orgánových systémov (TOS)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MedDRA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V rámci každej TOS sú nežiaduce reakcie usporiadané podľa kategórie frekvencie. Kategórie frekvencie sú definované podľa nasledovných pravidiel: veľmi časté (≥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1/10), časté (≥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1/100 až &lt;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1/10), menej časté (≥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1/1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000 až &lt;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1/100), zriedkavé (≥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1/10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000 až &lt;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1/1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000), veľmi zriedkavé (&lt;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1/10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000), neznáme (z</w:t>
      </w:r>
      <w:r w:rsidR="00A36E77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dostupných údajov).</w:t>
      </w:r>
    </w:p>
    <w:p w14:paraId="7B95491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922BA73" w14:textId="780DF990" w:rsidR="00462291" w:rsidRPr="00180C46" w:rsidRDefault="00462291" w:rsidP="008837E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Tabuľka 1</w:t>
      </w:r>
      <w:r w:rsidR="008837E8"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Nežiaduce reakcie podľa frekvencie a triedy orgánových systémov (TOS)</w:t>
      </w:r>
    </w:p>
    <w:tbl>
      <w:tblPr>
        <w:tblStyle w:val="TableGrid"/>
        <w:tblW w:w="9288" w:type="dxa"/>
        <w:tblInd w:w="-110" w:type="dxa"/>
        <w:tblCellMar>
          <w:top w:w="47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2116"/>
        <w:gridCol w:w="1554"/>
        <w:gridCol w:w="1842"/>
        <w:gridCol w:w="1835"/>
        <w:gridCol w:w="1941"/>
      </w:tblGrid>
      <w:tr w:rsidR="00462291" w:rsidRPr="00180C46" w14:paraId="6067B6F4" w14:textId="77777777" w:rsidTr="00161B2C">
        <w:trPr>
          <w:trHeight w:val="264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8A3F" w14:textId="77777777" w:rsidR="00462291" w:rsidRPr="00180C46" w:rsidRDefault="00462291" w:rsidP="00462291">
            <w:pPr>
              <w:ind w:right="24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TOS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5CC5" w14:textId="77777777" w:rsidR="00462291" w:rsidRPr="00180C46" w:rsidRDefault="00462291" w:rsidP="00462291">
            <w:pPr>
              <w:ind w:right="15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Veľmi časté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A8C9" w14:textId="77777777" w:rsidR="00462291" w:rsidRPr="00180C46" w:rsidRDefault="00462291" w:rsidP="00462291">
            <w:pPr>
              <w:ind w:right="25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Časté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2233" w14:textId="77777777" w:rsidR="00462291" w:rsidRPr="00180C46" w:rsidRDefault="00462291" w:rsidP="00462291">
            <w:pPr>
              <w:ind w:right="30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Menej časté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F00C" w14:textId="77777777" w:rsidR="00462291" w:rsidRPr="00180C46" w:rsidRDefault="00462291" w:rsidP="00462291">
            <w:pPr>
              <w:ind w:right="20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Neznáme</w:t>
            </w:r>
          </w:p>
        </w:tc>
      </w:tr>
      <w:tr w:rsidR="00462291" w:rsidRPr="00180C46" w14:paraId="63B262E4" w14:textId="77777777" w:rsidTr="00161B2C">
        <w:trPr>
          <w:trHeight w:val="1277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8A22" w14:textId="77777777" w:rsidR="00462291" w:rsidRPr="00180C46" w:rsidRDefault="00462291" w:rsidP="00462291">
            <w:pPr>
              <w:ind w:right="183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Benígne a malígne nádory, vrátane nešpecifikovaných novotvarov (cysty a polypy)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E582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9E0A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276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krvácanie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nádoru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a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BA3B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26DD7E2C" w14:textId="77777777" w:rsidTr="00161B2C">
        <w:trPr>
          <w:trHeight w:val="7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F9A" w14:textId="77777777" w:rsidR="00462291" w:rsidRPr="00180C46" w:rsidRDefault="00462291" w:rsidP="00462291">
            <w:pPr>
              <w:ind w:right="612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krvi a lymfatického systému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A92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krvácavá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porucha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b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DB6D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BAC4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6B2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trombotická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trombocytopenická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purpura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c</w:t>
            </w:r>
            <w:proofErr w:type="spellEnd"/>
          </w:p>
        </w:tc>
      </w:tr>
      <w:tr w:rsidR="00462291" w:rsidRPr="00180C46" w14:paraId="1D74AE12" w14:textId="77777777" w:rsidTr="00161B2C">
        <w:trPr>
          <w:trHeight w:val="7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9DB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imunitného systému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9F0E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B447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435C" w14:textId="26DB8199" w:rsidR="00462291" w:rsidRPr="00180C46" w:rsidRDefault="00462291" w:rsidP="00A36E77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precitlivenosť vrátane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angioedému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c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0CC5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7572689F" w14:textId="77777777" w:rsidTr="00161B2C">
        <w:trPr>
          <w:trHeight w:val="7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AD7A" w14:textId="77777777" w:rsidR="00462291" w:rsidRPr="00180C46" w:rsidRDefault="00462291" w:rsidP="00462291">
            <w:pPr>
              <w:ind w:right="610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metabolizmu a výživy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608A" w14:textId="7D46F96B" w:rsidR="00462291" w:rsidRPr="00180C46" w:rsidRDefault="00462291" w:rsidP="00A36E77">
            <w:pP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hyperurikémia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d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6EC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dna/dnová artritída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4EF0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39E9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6D8599F8" w14:textId="77777777" w:rsidTr="00161B2C">
        <w:trPr>
          <w:trHeight w:val="264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98D1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Psychické poruchy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69E9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D46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0CD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zmätenosť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FF0F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1E30C4BC" w14:textId="77777777" w:rsidTr="00161B2C">
        <w:trPr>
          <w:trHeight w:val="51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AFC9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lastRenderedPageBreak/>
              <w:t>Poruchy nervového systému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930E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3C2E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závrat, synkopa, bolesť hlavy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7E1D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intrakraniálne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krvácanie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m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EA5D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52B3DCA9" w14:textId="77777777" w:rsidTr="00161B2C">
        <w:trPr>
          <w:trHeight w:val="259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16B2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oka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7F8E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6312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8660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krvácanie do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oka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e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ECBD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1C8AF820" w14:textId="77777777" w:rsidTr="00161B2C">
        <w:trPr>
          <w:trHeight w:val="51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1C9B" w14:textId="77777777" w:rsidR="00462291" w:rsidRPr="00180C46" w:rsidRDefault="00462291" w:rsidP="00462291">
            <w:pPr>
              <w:ind w:right="514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ucha a labyrintu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3EA5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4611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vertigo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30C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krvácanie do ucha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A807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E53A11" w:rsidRPr="00180C46" w14:paraId="7A570D81" w14:textId="77777777" w:rsidTr="00161B2C">
        <w:trPr>
          <w:trHeight w:val="264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C6D5" w14:textId="59481C00" w:rsidR="00E53A11" w:rsidRPr="00180C46" w:rsidRDefault="00E53A1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E53A11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srdca a srdcovej činnosti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95FF" w14:textId="77777777" w:rsidR="00E53A11" w:rsidRPr="00180C46" w:rsidRDefault="00E53A1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F74" w14:textId="77777777" w:rsidR="00E53A11" w:rsidRPr="00180C46" w:rsidRDefault="00E53A1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4A7C" w14:textId="77777777" w:rsidR="00E53A11" w:rsidRPr="00180C46" w:rsidRDefault="00E53A1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4C9D" w14:textId="11CEE5A0" w:rsidR="00E53A11" w:rsidRPr="00180C46" w:rsidRDefault="00E53A11" w:rsidP="00E53A1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E53A11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bradyarytmia</w:t>
            </w:r>
            <w:proofErr w:type="spellEnd"/>
            <w:r w:rsidRPr="00E53A11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, AV</w:t>
            </w:r>
            <w:r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 </w:t>
            </w:r>
            <w:proofErr w:type="spellStart"/>
            <w:r w:rsidRPr="00E53A11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blokáda</w:t>
            </w:r>
            <w:r w:rsidRPr="00E53A11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c</w:t>
            </w:r>
            <w:proofErr w:type="spellEnd"/>
          </w:p>
        </w:tc>
      </w:tr>
      <w:tr w:rsidR="00462291" w:rsidRPr="00180C46" w14:paraId="488783E5" w14:textId="77777777" w:rsidTr="00161B2C">
        <w:trPr>
          <w:trHeight w:val="264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A677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ciev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D79C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2DE0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hypotenzia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B8AC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9791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79AE9920" w14:textId="77777777" w:rsidTr="00161B2C">
        <w:trPr>
          <w:trHeight w:val="7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C987" w14:textId="77777777" w:rsidR="00462291" w:rsidRPr="00180C46" w:rsidRDefault="00462291" w:rsidP="00462291">
            <w:pPr>
              <w:ind w:right="324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dýchacej sústavy, hrudníka a 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mediastína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F1A5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dyspnoe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2A39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krvácanie do dýchacích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ciest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f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9A08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1021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17F19661" w14:textId="77777777" w:rsidTr="00161B2C">
        <w:trPr>
          <w:trHeight w:val="102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6A58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Poruchy </w:t>
            </w:r>
          </w:p>
          <w:p w14:paraId="2E3D866A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gastrointestinálneho traktu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F30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5D45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gastrointestinálne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krvácanie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g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, hnačka, nauzea,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dyspepsia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, zápcha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200B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retroperitoneálne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 krvácanie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921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B21C94" w14:paraId="78A0966C" w14:textId="77777777" w:rsidTr="00161B2C">
        <w:trPr>
          <w:trHeight w:val="7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D457" w14:textId="77777777" w:rsidR="00462291" w:rsidRPr="00180C46" w:rsidRDefault="00462291" w:rsidP="00462291">
            <w:pPr>
              <w:ind w:right="684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kože a podkožného tkaniva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E3ED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B82A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podkožné alebo kožné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krvácanie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h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, vyrážka,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pruritus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E86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174C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2F1BC275" w14:textId="77777777" w:rsidTr="00161B2C">
        <w:trPr>
          <w:trHeight w:val="102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A8F1" w14:textId="77777777" w:rsidR="00462291" w:rsidRPr="00180C46" w:rsidRDefault="00462291" w:rsidP="00462291">
            <w:pPr>
              <w:ind w:right="149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kostrovej a svalovej sústavy a spojivového tkaniva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FB31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783E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BCAB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krvácanie do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svalu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i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8CF1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3BEE55A5" w14:textId="77777777" w:rsidTr="00161B2C">
        <w:trPr>
          <w:trHeight w:val="514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D23A" w14:textId="77777777" w:rsidR="00462291" w:rsidRPr="00180C46" w:rsidRDefault="00462291" w:rsidP="00462291">
            <w:pPr>
              <w:ind w:right="245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obličiek a močových ciest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DF1A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AEBB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krvácanie do močových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ciest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j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FDF1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07BB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456E5DC0" w14:textId="77777777" w:rsidTr="00161B2C">
        <w:trPr>
          <w:trHeight w:val="773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6412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Poruchy reprodukčného systému a prsníkov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EB2A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A849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E670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krvácanie do reprodukčného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systému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k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4283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6F8EAF2D" w14:textId="77777777" w:rsidTr="00161B2C">
        <w:trPr>
          <w:trHeight w:val="514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7780" w14:textId="77777777" w:rsidR="00462291" w:rsidRPr="00180C46" w:rsidRDefault="00462291" w:rsidP="00462291">
            <w:pPr>
              <w:ind w:right="94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Laboratórne a funkčné vyšetrenia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40CC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76AC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zvýšený kreatinín v 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krvi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d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96E6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DD68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B21C94" w14:paraId="1730508D" w14:textId="77777777" w:rsidTr="00161B2C">
        <w:trPr>
          <w:trHeight w:val="1022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4723" w14:textId="77777777" w:rsidR="00462291" w:rsidRPr="00180C46" w:rsidRDefault="00462291" w:rsidP="00462291">
            <w:pPr>
              <w:ind w:right="64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Úrazy, otravy a komplikácie liečebného postupu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EDE4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3E6A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krvácanie po zákroku, poúrazové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krvácanie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l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2248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95B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</w:tbl>
    <w:p w14:paraId="0E5EE801" w14:textId="77777777" w:rsidR="00161B2C" w:rsidRPr="00773327" w:rsidRDefault="00462291" w:rsidP="00161B2C">
      <w:p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vertAlign w:val="superscript"/>
          <w:lang w:val="sk-SK" w:eastAsia="en-GB"/>
        </w:rPr>
        <w:t>a</w:t>
      </w:r>
      <w:r w:rsidR="00161B2C" w:rsidRPr="00180C46">
        <w:rPr>
          <w:rFonts w:ascii="Times New Roman" w:eastAsia="Times New Roman" w:hAnsi="Times New Roman" w:cs="Times New Roman"/>
          <w:color w:val="000000"/>
          <w:vertAlign w:val="superscript"/>
          <w:lang w:val="sk-SK" w:eastAsia="en-GB"/>
        </w:rPr>
        <w:tab/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napr. krvácanie z nádoru močového mechúra, nádoru žalúdka, nádoru hrubého čreva</w:t>
      </w:r>
    </w:p>
    <w:p w14:paraId="49D50FD2" w14:textId="77777777" w:rsidR="00161B2C" w:rsidRPr="00773327" w:rsidRDefault="00462291" w:rsidP="00161B2C">
      <w:p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>b</w:t>
      </w:r>
      <w:r w:rsidR="00161B2C" w:rsidRPr="0077332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ab/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napr. zvýšený sklon k tvorbe krvných podliatin, spontánny hematóm,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hemoragická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diatéza</w:t>
      </w:r>
    </w:p>
    <w:p w14:paraId="338EF88E" w14:textId="1F4110B9" w:rsidR="00462291" w:rsidRPr="00773327" w:rsidRDefault="00462291" w:rsidP="00161B2C">
      <w:p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>c</w:t>
      </w:r>
      <w:r w:rsidR="00161B2C" w:rsidRPr="0077332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ab/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Identifikované v období po uvedení lieku na trh</w:t>
      </w:r>
    </w:p>
    <w:p w14:paraId="0EE2366E" w14:textId="55C358BE" w:rsidR="00462291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Frekvencie odvodené z laboratórnych pozorovaní (Zvýšenia kyseliny močovej </w:t>
      </w:r>
      <w:r w:rsidR="00161B2C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 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˃</w:t>
      </w:r>
      <w:r w:rsidR="00161B2C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horná hranica normálu oproti východiskovej hodnote, pod alebo v rámci referenčného rozmedzia. Zvýšenia kreatinínu </w:t>
      </w:r>
      <w:r w:rsidR="00161B2C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o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˃</w:t>
      </w:r>
      <w:r w:rsidR="00161B2C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50 % oproti východiskovej hodnote.) a nie neprepočítané frekvencie hlásených nežiaducich udalostí.</w:t>
      </w:r>
    </w:p>
    <w:p w14:paraId="7B82E2F2" w14:textId="77777777" w:rsidR="00161B2C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napr. krvácanie do spojovky, sietnice,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vnútroočné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krvácanie</w:t>
      </w:r>
    </w:p>
    <w:p w14:paraId="51BD94D2" w14:textId="77777777" w:rsidR="00161B2C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napr.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epistaxa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,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hemoptýza</w:t>
      </w:r>
      <w:proofErr w:type="spellEnd"/>
    </w:p>
    <w:p w14:paraId="5127B4B0" w14:textId="77777777" w:rsidR="00161B2C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napr. krvácanie ďasien, rektálne krvácanie, krvácanie žalúdkového vredu</w:t>
      </w:r>
    </w:p>
    <w:p w14:paraId="1F6687AA" w14:textId="77777777" w:rsidR="00161B2C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 xml:space="preserve"> 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napr.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ekchymóza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, krvácanie do kože,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petechie</w:t>
      </w:r>
      <w:proofErr w:type="spellEnd"/>
    </w:p>
    <w:p w14:paraId="1ADD7498" w14:textId="77777777" w:rsidR="00161B2C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napr.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hemartróza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, krvácanie do svalu</w:t>
      </w:r>
    </w:p>
    <w:p w14:paraId="14B04C08" w14:textId="6A742E2B" w:rsidR="00161B2C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napr.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hematúria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,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hemoragická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cystitída</w:t>
      </w:r>
      <w:proofErr w:type="spellEnd"/>
    </w:p>
    <w:p w14:paraId="60B5E149" w14:textId="1262917D" w:rsidR="00161B2C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napr. vaginálne krvácanie,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hematospermia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,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postmenopauzálne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krvácanie</w:t>
      </w:r>
    </w:p>
    <w:p w14:paraId="48163F54" w14:textId="77777777" w:rsidR="00161B2C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napr.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kontúzia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, poúrazový hematóm, poúrazové krvácanie</w:t>
      </w:r>
    </w:p>
    <w:p w14:paraId="174EE172" w14:textId="400DDCDB" w:rsidR="00462291" w:rsidRPr="00773327" w:rsidRDefault="00462291" w:rsidP="00161B2C">
      <w:pPr>
        <w:numPr>
          <w:ilvl w:val="0"/>
          <w:numId w:val="6"/>
        </w:numPr>
        <w:spacing w:after="0" w:line="240" w:lineRule="auto"/>
        <w:ind w:left="567" w:right="-4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napr. spontánne, súvisiace s liečebným postupom alebo traumatické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intrakraniálne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krvácanie</w:t>
      </w:r>
    </w:p>
    <w:p w14:paraId="482B90D4" w14:textId="77777777" w:rsidR="00462291" w:rsidRPr="00180C46" w:rsidRDefault="00462291" w:rsidP="00462291">
      <w:pPr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A5FFA9E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Popis vybraných nežiaducich reakcií</w:t>
      </w:r>
    </w:p>
    <w:p w14:paraId="5F1E64ED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Krvácanie</w:t>
      </w:r>
    </w:p>
    <w:p w14:paraId="2C12B6A9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Zistenia týkajúce sa krvácania v štúdii PLATO</w:t>
      </w:r>
    </w:p>
    <w:p w14:paraId="64F62DB6" w14:textId="56935871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FC2EDD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tabuľke 2 sú uvedené celkové výsledky miery krvácania v štúdii PLATO.</w:t>
      </w:r>
    </w:p>
    <w:p w14:paraId="4B641079" w14:textId="77777777" w:rsidR="00FC2EDD" w:rsidRPr="00180C46" w:rsidRDefault="00FC2EDD" w:rsidP="004622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sk-SK" w:eastAsia="en-GB"/>
        </w:rPr>
      </w:pPr>
    </w:p>
    <w:p w14:paraId="5344816C" w14:textId="1528CE01" w:rsidR="00462291" w:rsidRPr="00180C46" w:rsidRDefault="00462291" w:rsidP="008837E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lastRenderedPageBreak/>
        <w:t>Tabuľka 2</w:t>
      </w:r>
      <w:r w:rsidR="008837E8"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Analýza celkových krvácavých príhod, </w:t>
      </w:r>
      <w:proofErr w:type="spellStart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Kaplanov-Meierov</w:t>
      </w:r>
      <w:proofErr w:type="spellEnd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 odhad v 12.</w:t>
      </w:r>
      <w:r w:rsidR="00254D9C"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mesiaci (štúdia PLATO)</w:t>
      </w:r>
    </w:p>
    <w:tbl>
      <w:tblPr>
        <w:tblStyle w:val="TableGrid"/>
        <w:tblW w:w="5000" w:type="pct"/>
        <w:tblInd w:w="0" w:type="dxa"/>
        <w:tblCellMar>
          <w:top w:w="49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4416"/>
        <w:gridCol w:w="1792"/>
        <w:gridCol w:w="1489"/>
        <w:gridCol w:w="1363"/>
      </w:tblGrid>
      <w:tr w:rsidR="00462291" w:rsidRPr="00180C46" w14:paraId="2C995905" w14:textId="77777777" w:rsidTr="008837E8">
        <w:trPr>
          <w:trHeight w:val="1022"/>
        </w:trPr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F211" w14:textId="77777777" w:rsidR="00462291" w:rsidRPr="00180C46" w:rsidRDefault="00462291" w:rsidP="008837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23E1" w14:textId="77777777" w:rsidR="00462291" w:rsidRPr="00180C46" w:rsidRDefault="00462291" w:rsidP="008837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tikagrelor</w:t>
            </w:r>
            <w:proofErr w:type="spellEnd"/>
          </w:p>
          <w:p w14:paraId="17A1674D" w14:textId="77777777" w:rsidR="00462291" w:rsidRPr="00180C46" w:rsidRDefault="00462291" w:rsidP="008837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90 mg dvakrát denne</w:t>
            </w:r>
          </w:p>
          <w:p w14:paraId="2604B27E" w14:textId="2CC3B28B" w:rsidR="00462291" w:rsidRPr="00180C46" w:rsidRDefault="00FC2EDD" w:rsidP="008837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n</w:t>
            </w:r>
            <w:r w:rsidR="00C02F98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 = </w:t>
            </w:r>
            <w:r w:rsidR="00462291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9235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441F" w14:textId="60A5B62B" w:rsidR="00462291" w:rsidRPr="00180C46" w:rsidRDefault="00462291" w:rsidP="008837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klopidogrel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 xml:space="preserve"> </w:t>
            </w:r>
            <w:r w:rsidR="00FC2EDD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n</w:t>
            </w:r>
            <w:r w:rsidR="00C02F98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 = 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9186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2384" w14:textId="77777777" w:rsidR="00462291" w:rsidRPr="00180C46" w:rsidRDefault="00462291" w:rsidP="008837E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  <w:t>p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-hodnota*</w:t>
            </w:r>
          </w:p>
        </w:tc>
      </w:tr>
      <w:tr w:rsidR="00462291" w:rsidRPr="00180C46" w14:paraId="02B505A9" w14:textId="77777777" w:rsidTr="00FC2EDD">
        <w:trPr>
          <w:trHeight w:val="264"/>
        </w:trPr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508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krvácania podľa PLATO celkovo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60F0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11,6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802C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11,2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FF89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0,4336</w:t>
            </w:r>
          </w:p>
        </w:tc>
      </w:tr>
      <w:tr w:rsidR="00462291" w:rsidRPr="00180C46" w14:paraId="40646E8D" w14:textId="77777777" w:rsidTr="00FC2EDD">
        <w:trPr>
          <w:trHeight w:val="518"/>
        </w:trPr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E488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fatálne/život ohrozujúce krvácania podľa PLATO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21D5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5,8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AC7E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5,8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1586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0,6988</w:t>
            </w:r>
          </w:p>
        </w:tc>
      </w:tr>
      <w:tr w:rsidR="00462291" w:rsidRPr="00180C46" w14:paraId="2AAFD86D" w14:textId="77777777" w:rsidTr="00FC2EDD">
        <w:trPr>
          <w:trHeight w:val="514"/>
        </w:trPr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6D68" w14:textId="22CE324F" w:rsidR="00462291" w:rsidRPr="00180C46" w:rsidRDefault="00462291" w:rsidP="00FC2EDD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krvácania podľa PLATO nesúvisiace s</w:t>
            </w:r>
            <w:r w:rsidR="00FC2EDD"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CABG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17FC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4,5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D2EB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3,8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804D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0,0264</w:t>
            </w:r>
          </w:p>
        </w:tc>
      </w:tr>
      <w:tr w:rsidR="00462291" w:rsidRPr="00180C46" w14:paraId="3826E2CA" w14:textId="77777777" w:rsidTr="00FC2EDD">
        <w:trPr>
          <w:trHeight w:val="514"/>
        </w:trPr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87E5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krvácania podľa PLATO nesúvisiace s liečebným postupom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1BCE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3,1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8FD8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1B6D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0,0058</w:t>
            </w:r>
          </w:p>
        </w:tc>
      </w:tr>
      <w:tr w:rsidR="00462291" w:rsidRPr="00180C46" w14:paraId="01095238" w14:textId="77777777" w:rsidTr="00FC2EDD">
        <w:trPr>
          <w:trHeight w:val="518"/>
        </w:trPr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3015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+ malé krvácania podľa PLATO celkovo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6128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16,1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18F8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14,6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A8FA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0,0084</w:t>
            </w:r>
          </w:p>
        </w:tc>
      </w:tr>
      <w:tr w:rsidR="00462291" w:rsidRPr="00180C46" w14:paraId="71BAD4A6" w14:textId="77777777" w:rsidTr="00FC2EDD">
        <w:trPr>
          <w:trHeight w:val="514"/>
        </w:trPr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830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+ malé krvácania podľa PLATO nesúvisiace s liečebným postupom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5BF7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5,9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18EE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4,3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23A" w14:textId="532BDC5B" w:rsidR="00462291" w:rsidRPr="00180C46" w:rsidRDefault="008837E8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hAnsi="Times New Roman" w:cs="Times New Roman"/>
              </w:rPr>
              <w:t>&lt;</w:t>
            </w:r>
            <w:r w:rsidRPr="00180C46">
              <w:rPr>
                <w:rFonts w:ascii="Times New Roman" w:hAnsi="Times New Roman" w:cs="Times New Roman"/>
                <w:lang w:val="en-US"/>
              </w:rPr>
              <w:t> </w:t>
            </w:r>
            <w:r w:rsidR="00462291"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0,0001</w:t>
            </w:r>
          </w:p>
        </w:tc>
      </w:tr>
      <w:tr w:rsidR="00462291" w:rsidRPr="00180C46" w14:paraId="6C27A8D9" w14:textId="77777777" w:rsidTr="00FC2EDD">
        <w:trPr>
          <w:trHeight w:val="518"/>
        </w:trPr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8A9D" w14:textId="5B6CBC31" w:rsidR="00462291" w:rsidRPr="00180C46" w:rsidRDefault="00462291" w:rsidP="00FC2EDD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krvácania definované podľa kritérií TIMI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A005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7,9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ABD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7,7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9637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0,5669</w:t>
            </w:r>
          </w:p>
        </w:tc>
      </w:tr>
      <w:tr w:rsidR="00462291" w:rsidRPr="00180C46" w14:paraId="0C3A42BC" w14:textId="77777777" w:rsidTr="00FC2EDD">
        <w:trPr>
          <w:trHeight w:val="518"/>
        </w:trPr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8A1D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+ malé krvácania definované podľa kritérií TIMI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48FC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11,4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CC33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10,9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CCDE" w14:textId="77777777" w:rsidR="00462291" w:rsidRPr="00180C46" w:rsidRDefault="00462291" w:rsidP="00FC2E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0,3272</w:t>
            </w:r>
          </w:p>
        </w:tc>
      </w:tr>
    </w:tbl>
    <w:p w14:paraId="633F41FD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Definície kategórií krvácania:</w:t>
      </w:r>
    </w:p>
    <w:p w14:paraId="0CD37E59" w14:textId="7ED1E209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Veľké fatálne/život ohrozujúce krvácanie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: Klinicky zjavné krvácanie súvisiace s poklesom hemoglobínu o viac ako 50</w:t>
      </w:r>
      <w:r w:rsidR="00FC2EDD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g/l alebo s transfúziou ≥</w:t>
      </w:r>
      <w:r w:rsidR="00FC2EDD" w:rsidRPr="00180C46">
        <w:rPr>
          <w:rFonts w:ascii="Times New Roman" w:hAnsi="Times New Roman" w:cs="Times New Roman"/>
          <w:lang w:val="sk-SK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4 jednotiek erytrocytov 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alebo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fatálne 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intraperikardiálne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tamponádou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srdca</w:t>
      </w:r>
      <w:r w:rsidRPr="00180C46">
        <w:rPr>
          <w:rFonts w:ascii="Times New Roman" w:eastAsia="Segoe UI Symbol" w:hAnsi="Times New Roman" w:cs="Times New Roman"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hypovolemickým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šokom alebo ťažkou hypotenziou vyžadujúcou si podanie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vazopresorov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chirurgickú intervenciu.</w:t>
      </w:r>
    </w:p>
    <w:p w14:paraId="28A2E457" w14:textId="5DDC6C3B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Veľké iné: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Klinicky zjavné krvácanie súvisiace s poklesom hemoglobínu o</w:t>
      </w:r>
      <w:r w:rsid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30</w:t>
      </w:r>
      <w:r w:rsidR="00180C46">
        <w:rPr>
          <w:rFonts w:ascii="Times New Roman" w:eastAsia="Times New Roman" w:hAnsi="Times New Roman" w:cs="Times New Roman"/>
          <w:color w:val="000000"/>
          <w:lang w:val="sk-SK" w:eastAsia="en-GB"/>
        </w:rPr>
        <w:t> –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50</w:t>
      </w:r>
      <w:r w:rsidR="00FC2EDD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g/l alebo s transfúziou 2 až 3 jednotiek erytrocytov</w:t>
      </w:r>
      <w:r w:rsidRPr="00180C46">
        <w:rPr>
          <w:rFonts w:ascii="Times New Roman" w:eastAsia="Segoe UI Symbol" w:hAnsi="Times New Roman" w:cs="Times New Roman"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alebo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významne vysiľujúce krvácanie.</w:t>
      </w:r>
    </w:p>
    <w:p w14:paraId="0C1EA670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Malé krvácanie:</w:t>
      </w:r>
      <w:r w:rsidRPr="00180C46">
        <w:rPr>
          <w:rFonts w:ascii="Times New Roman" w:eastAsia="Times New Roman" w:hAnsi="Times New Roman" w:cs="Times New Roman"/>
          <w:bCs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Vyžaduje si lekársky zásah na zastavenie alebo zvládnutie krvácania.</w:t>
      </w:r>
    </w:p>
    <w:p w14:paraId="0EE3DF72" w14:textId="0D0F9B09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Veľké krvácanie podľa TIMI: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Klinicky zjavné krvácanie s poklesom hemoglobínu </w:t>
      </w:r>
      <w:r w:rsidR="00180C46" w:rsidRPr="00180C46">
        <w:rPr>
          <w:rFonts w:ascii="Times New Roman" w:eastAsia="Segoe UI Symbol" w:hAnsi="Times New Roman" w:cs="Times New Roman"/>
          <w:color w:val="000000"/>
          <w:lang w:val="sk-SK" w:eastAsia="en-GB"/>
        </w:rPr>
        <w:t>&gt;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50</w:t>
      </w:r>
      <w:r w:rsidR="00FC2EDD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g/l 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krvácanie.</w:t>
      </w:r>
    </w:p>
    <w:p w14:paraId="56FFDA33" w14:textId="1FE5A669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Malé krvácanie podľa TIMI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: Klinicky zjavné krvácanie súvisiace s poklesom hemoglobínu o</w:t>
      </w:r>
      <w:r w:rsid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30</w:t>
      </w:r>
      <w:r w:rsidR="00180C46">
        <w:rPr>
          <w:rFonts w:ascii="Times New Roman" w:eastAsia="Times New Roman" w:hAnsi="Times New Roman" w:cs="Times New Roman"/>
          <w:color w:val="000000"/>
          <w:lang w:val="sk-SK" w:eastAsia="en-GB"/>
        </w:rPr>
        <w:t> –</w:t>
      </w:r>
      <w:r w:rsidR="00180C46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50</w:t>
      </w:r>
      <w:r w:rsidR="00FC2B11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g/l.</w:t>
      </w:r>
    </w:p>
    <w:p w14:paraId="3062C2CD" w14:textId="482DC32A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*</w:t>
      </w: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p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-hodnota vypočítaná na základe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Coxovho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modelu proporcionálneho rizika s liečebnou skupinou ako jedinou vysvetľujúcou premennou</w:t>
      </w:r>
      <w:r w:rsid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677CE87A" w14:textId="77777777" w:rsidR="00FC2B11" w:rsidRPr="00180C46" w:rsidRDefault="00FC2B1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7D7F801" w14:textId="06402FF8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neodlišovali vo výskyte veľkého fatálneho/život ohrozujúceho krvácania podľa definície PLATO, veľkého krvácania podľa definície PLATO celkovo, veľkého krvácania podľa kritérií TIMI alebo malého krvácania podľa kritérií TIMI (tabuľka 2). V porovnaní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však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vyskytlo spolu viac veľkých a malých krvácaní podľa definície PLATO. Niekoľko pacientov v štúdii PLATO malo fatálne krvácania: 20 (0,2 %)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23 (0,3 %)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(pozri časť 4.4).</w:t>
      </w:r>
    </w:p>
    <w:p w14:paraId="25C28D51" w14:textId="77777777" w:rsidR="00FC2B11" w:rsidRPr="00180C46" w:rsidRDefault="00FC2B1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3522DC9" w14:textId="3DEF70AE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Vek, pohlavie, hmotnosť, rasa, geografické územie, súbežné ochorenia, súbežná liečba a anamnéza pacienta, vrátane prekonanej cievnej mozgovej príhody alebo prekonaného prechodného ischemického záchvatu, neboli prediktívne z hľadiska celkového výskytu krvácaní, ani z hľadiska výskytu veľkého krvácania podľa definície PLATO nesúvisiaceho s liečebným postupom. Preto pre žiaden podtyp krvácania nebola konkrétna skupina identifikovaná ako riziková.</w:t>
      </w:r>
    </w:p>
    <w:p w14:paraId="24EED863" w14:textId="77777777" w:rsidR="00F55C3C" w:rsidRDefault="00F55C3C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2B32F51" w14:textId="22F17A55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Krvácanie súvisiace s CABG:</w:t>
      </w:r>
    </w:p>
    <w:p w14:paraId="3F2B1237" w14:textId="750DCE58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FC2B11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štúdii PLATO sa u 42 % z</w:t>
      </w:r>
      <w:r w:rsidR="00F55C3C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</w:t>
      </w:r>
      <w:r w:rsidR="00F55C3C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584 pacientov (12 % kohorty), ktorí podstúpili zákrok CABG, vyskytlo veľké fatálne/život ohrozujúce krvácanie podľa definície PLATO, bez rozdielu medzi liečebnými skupinami. Fatálne krvácanie súvisiace s CABG sa vyskytlo v každej liečebnej skupine u 6 pacientov (pozri časť 4.4).</w:t>
      </w:r>
    </w:p>
    <w:p w14:paraId="3609B781" w14:textId="77777777" w:rsidR="00FC2B11" w:rsidRPr="00180C46" w:rsidRDefault="00FC2B1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2668F0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>Krvácanie nesúvisiace s CABG a krvácanie nesúvisiace s liečebným postupom:</w:t>
      </w:r>
    </w:p>
    <w:p w14:paraId="6389476B" w14:textId="0AA48282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neodlišovali vo výskyte veľkého fatálneho/život ohrozujúceho krvácania podľa definície PLATO nesúvisiaceho s CABG, ale výskyt veľkého krvácania podľa definície PLATO celkovo, veľkého krvácania podľa kritérií TIMI a výskyt veľkého a malého krvácania podľa kritérií TIMI bol častejší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Rovnako, po vylúčení všetkých krvácaní súvisiacich s liečebným postupom, sa viac krvácaní vyskytlo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ako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(tabuľka 2). Ukončenie liečby pre krvácanie nesúvisiace s liečebným postupom bolo častejšie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(2,9 %) ako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(1,2 %; p</w:t>
      </w:r>
      <w:r w:rsidR="00F55C3C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&lt;</w:t>
      </w:r>
      <w:r w:rsidR="00F55C3C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0,001).</w:t>
      </w:r>
    </w:p>
    <w:p w14:paraId="5C62F2DA" w14:textId="77777777" w:rsidR="00FC2B11" w:rsidRPr="00180C46" w:rsidRDefault="00FC2B1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485D247" w14:textId="2DD1958C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krvácanie:</w:t>
      </w:r>
    </w:p>
    <w:p w14:paraId="3CE0B1AE" w14:textId="44A5F816" w:rsidR="00462291" w:rsidRPr="00180C46" w:rsidRDefault="00462291" w:rsidP="00462291">
      <w:pPr>
        <w:spacing w:after="0" w:line="240" w:lineRule="auto"/>
        <w:ind w:right="32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F55C3C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skupine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vyskytlo viac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intrakraniálnych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krvácaní nesúvisiacich s liečebným postupom (n</w:t>
      </w:r>
      <w:r w:rsidR="00C02F9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=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27 krvácaní u 26 pacientov, 0,3 %) ako v skupine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(n</w:t>
      </w:r>
      <w:r w:rsidR="00C02F98" w:rsidRPr="00180C46">
        <w:rPr>
          <w:rFonts w:ascii="Times New Roman" w:hAnsi="Times New Roman" w:cs="Times New Roman"/>
          <w:lang w:val="sk-SK"/>
        </w:rPr>
        <w:t> =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14 krvácaní, 0,2 %), z ktorých bolo fatálnych 11 v skupine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1 v skupine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V celkovom výskyte fatálnych krvácaní nebol žiadny rozdiel.</w:t>
      </w:r>
    </w:p>
    <w:p w14:paraId="130D296B" w14:textId="77777777" w:rsidR="00462291" w:rsidRPr="00180C46" w:rsidRDefault="00462291" w:rsidP="00462291">
      <w:pPr>
        <w:spacing w:after="0" w:line="240" w:lineRule="auto"/>
        <w:ind w:right="32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AFAB31A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Zistenia týkajúce sa krvácania v štúdii PEGASUS</w:t>
      </w:r>
    </w:p>
    <w:p w14:paraId="7EB5E65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 tabuľke 3 sú uvedené celkové výsledky udalostí súvisiacich s krvácaním v štúdii PEGASUS.</w:t>
      </w:r>
    </w:p>
    <w:p w14:paraId="2352F8E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1240A57" w14:textId="680DDBB4" w:rsidR="00462291" w:rsidRPr="00180C46" w:rsidRDefault="00462291" w:rsidP="00F55C3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Tabuľka 3</w:t>
      </w:r>
      <w:r w:rsidR="00F55C3C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Analýza celkových krvácavých príhod, </w:t>
      </w:r>
      <w:proofErr w:type="spellStart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Kaplanov-Meierov</w:t>
      </w:r>
      <w:proofErr w:type="spellEnd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 odhad v 36.</w:t>
      </w:r>
      <w:r w:rsidR="00F55C3C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mesiaci (štúdia PEGASUS)</w:t>
      </w:r>
    </w:p>
    <w:tbl>
      <w:tblPr>
        <w:tblStyle w:val="TableGrid"/>
        <w:tblW w:w="9230" w:type="dxa"/>
        <w:tblInd w:w="-110" w:type="dxa"/>
        <w:tblCellMar>
          <w:top w:w="53" w:type="dxa"/>
          <w:left w:w="110" w:type="dxa"/>
          <w:right w:w="143" w:type="dxa"/>
        </w:tblCellMar>
        <w:tblLook w:val="04A0" w:firstRow="1" w:lastRow="0" w:firstColumn="1" w:lastColumn="0" w:noHBand="0" w:noVBand="1"/>
      </w:tblPr>
      <w:tblGrid>
        <w:gridCol w:w="3442"/>
        <w:gridCol w:w="1058"/>
        <w:gridCol w:w="1846"/>
        <w:gridCol w:w="1130"/>
        <w:gridCol w:w="1754"/>
      </w:tblGrid>
      <w:tr w:rsidR="00F55C3C" w:rsidRPr="00180C46" w14:paraId="4738EB09" w14:textId="77777777" w:rsidTr="00C951FB">
        <w:trPr>
          <w:trHeight w:val="768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8393" w14:textId="77777777" w:rsidR="00F55C3C" w:rsidRPr="00180C46" w:rsidRDefault="00F55C3C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8FD6" w14:textId="77777777" w:rsidR="00F55C3C" w:rsidRDefault="00F55C3C" w:rsidP="00FC2B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tikagrelor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 xml:space="preserve"> 60 mg</w:t>
            </w:r>
          </w:p>
          <w:p w14:paraId="019D5B53" w14:textId="709DB599" w:rsidR="00F55C3C" w:rsidRPr="00180C46" w:rsidRDefault="00F55C3C" w:rsidP="00FC2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dvakrát denne + ASA</w:t>
            </w:r>
          </w:p>
          <w:p w14:paraId="0CC5261E" w14:textId="083A7BFF" w:rsidR="00F55C3C" w:rsidRPr="00180C46" w:rsidRDefault="00F55C3C" w:rsidP="00FC2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n = 6 958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1C5A" w14:textId="77777777" w:rsidR="00F55C3C" w:rsidRDefault="00F55C3C" w:rsidP="00FC2B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samotná ASA</w:t>
            </w:r>
          </w:p>
          <w:p w14:paraId="78DB44E2" w14:textId="77777777" w:rsidR="00F55C3C" w:rsidRDefault="00F55C3C" w:rsidP="00FC2B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14:paraId="6E3A220B" w14:textId="6467B017" w:rsidR="00F55C3C" w:rsidRPr="00180C46" w:rsidRDefault="00F55C3C" w:rsidP="00FC2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 = 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6 996</w:t>
            </w:r>
          </w:p>
        </w:tc>
      </w:tr>
      <w:tr w:rsidR="00462291" w:rsidRPr="00180C46" w14:paraId="4FCD8250" w14:textId="77777777" w:rsidTr="003016E1">
        <w:trPr>
          <w:trHeight w:val="768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81C6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Koncový ukazovateľ bezpečnosti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6A09" w14:textId="77777777" w:rsidR="00462291" w:rsidRPr="00180C46" w:rsidRDefault="00462291" w:rsidP="00FC2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KM %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C4B1" w14:textId="77777777" w:rsidR="00462291" w:rsidRPr="00180C46" w:rsidRDefault="00462291" w:rsidP="00FC2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Pomer rizika</w:t>
            </w:r>
          </w:p>
          <w:p w14:paraId="027EA9F3" w14:textId="77777777" w:rsidR="00462291" w:rsidRPr="00180C46" w:rsidRDefault="00462291" w:rsidP="00FC2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(95 % IS)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751E" w14:textId="77777777" w:rsidR="00462291" w:rsidRPr="00180C46" w:rsidRDefault="00462291" w:rsidP="00FC2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KM %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CF53" w14:textId="77777777" w:rsidR="00462291" w:rsidRPr="00180C46" w:rsidRDefault="00462291" w:rsidP="00FC2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  <w:t>p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-hodnota</w:t>
            </w:r>
          </w:p>
        </w:tc>
      </w:tr>
      <w:tr w:rsidR="00462291" w:rsidRPr="00B21C94" w14:paraId="39BD4744" w14:textId="77777777" w:rsidTr="003016E1">
        <w:trPr>
          <w:trHeight w:val="264"/>
        </w:trPr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D04C4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Kategórie krvácania podľa kritérií TIMI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7C948B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B5AF5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462291" w:rsidRPr="00180C46" w14:paraId="12BC554A" w14:textId="77777777" w:rsidTr="003016E1">
        <w:trPr>
          <w:trHeight w:val="39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CDFA" w14:textId="77777777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krvácania podľa TIMI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B43A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0F0E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2,32 (1,68; 3,21)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5AD5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99E9" w14:textId="317818AA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&lt;</w:t>
            </w:r>
            <w:r w:rsidR="00F55C3C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0,0001</w:t>
            </w:r>
          </w:p>
        </w:tc>
      </w:tr>
      <w:tr w:rsidR="00462291" w:rsidRPr="00180C46" w14:paraId="69CE7CB4" w14:textId="77777777" w:rsidTr="003016E1">
        <w:trPr>
          <w:trHeight w:val="37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C2F6" w14:textId="77777777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Fatálne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315C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4FAB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1,00 (0,44; 2,27)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2445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3A0A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1,0000</w:t>
            </w:r>
          </w:p>
        </w:tc>
      </w:tr>
      <w:tr w:rsidR="00462291" w:rsidRPr="00180C46" w14:paraId="457C2762" w14:textId="77777777" w:rsidTr="003016E1">
        <w:trPr>
          <w:trHeight w:val="36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F4F6" w14:textId="77777777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ICH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4699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557D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1,33 (0,77; 2,31)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8AA2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23BF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0,3130</w:t>
            </w:r>
          </w:p>
        </w:tc>
      </w:tr>
      <w:tr w:rsidR="00462291" w:rsidRPr="00180C46" w14:paraId="2DC8533D" w14:textId="77777777" w:rsidTr="003016E1">
        <w:trPr>
          <w:trHeight w:val="34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D50" w14:textId="728BF073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Iné veľké krvácania podľa TIMI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84CF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BE82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3,61 (2,31; 5,65)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5BBE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4BAF" w14:textId="0F4576B3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&lt;</w:t>
            </w:r>
            <w:r w:rsidR="00F55C3C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0,0001</w:t>
            </w:r>
          </w:p>
        </w:tc>
      </w:tr>
      <w:tr w:rsidR="00462291" w:rsidRPr="00180C46" w14:paraId="194C77D5" w14:textId="77777777" w:rsidTr="003016E1">
        <w:trPr>
          <w:trHeight w:val="50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3437" w14:textId="5F97C357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alebo malé krvácania podľa TIMI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02DD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3,4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ACCE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2,54 (1,93; 3,35)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307B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A9C3" w14:textId="64F5236F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&lt;</w:t>
            </w:r>
            <w:r w:rsidR="003016E1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0,0001</w:t>
            </w:r>
          </w:p>
        </w:tc>
      </w:tr>
      <w:tr w:rsidR="00462291" w:rsidRPr="00180C46" w14:paraId="1117988D" w14:textId="77777777" w:rsidTr="003016E1">
        <w:trPr>
          <w:trHeight w:val="768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DFA0" w14:textId="77777777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alebo malé krvácania alebo krvácania vyžadujúce lekársku starostlivosť podľa TIMI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CE46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16,6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2267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2,64 (2,35; 2,97)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B47E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7,0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0EE8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&lt; 0,0001</w:t>
            </w:r>
          </w:p>
        </w:tc>
      </w:tr>
      <w:tr w:rsidR="00462291" w:rsidRPr="00B21C94" w14:paraId="3A54A473" w14:textId="77777777" w:rsidTr="003016E1">
        <w:trPr>
          <w:trHeight w:val="264"/>
        </w:trPr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0A86" w14:textId="77777777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Kategórie krvácania podľa definície PLATO</w:t>
            </w:r>
          </w:p>
        </w:tc>
      </w:tr>
      <w:tr w:rsidR="00462291" w:rsidRPr="00180C46" w14:paraId="0829DE53" w14:textId="77777777" w:rsidTr="003016E1">
        <w:trPr>
          <w:trHeight w:val="34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AD96" w14:textId="77777777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krvácania podľa PLATO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3D38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3,5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4C22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2,57 (1,95; 3,37)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966E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F13F" w14:textId="36156F2A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&lt;</w:t>
            </w:r>
            <w:r w:rsidR="003016E1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0,0001</w:t>
            </w:r>
          </w:p>
        </w:tc>
      </w:tr>
      <w:tr w:rsidR="00462291" w:rsidRPr="00180C46" w14:paraId="11F44701" w14:textId="77777777" w:rsidTr="003016E1">
        <w:trPr>
          <w:trHeight w:val="36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C0DC" w14:textId="77777777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Fatálne/život ohrozujúce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A64B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5413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2,38 (1,73; 3,26)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4C06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43F7" w14:textId="6435DE26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&lt;</w:t>
            </w:r>
            <w:r w:rsidR="003016E1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0,0001</w:t>
            </w:r>
          </w:p>
        </w:tc>
      </w:tr>
      <w:tr w:rsidR="00462291" w:rsidRPr="00180C46" w14:paraId="7B41B676" w14:textId="77777777" w:rsidTr="003016E1">
        <w:trPr>
          <w:trHeight w:val="358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5E9C" w14:textId="5C2DC6BB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Iné veľké krvácania podľa PLATO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6455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ECAA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3,37 (1,95; 5,83)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2327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7080" w14:textId="47BDCCB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&lt;</w:t>
            </w:r>
            <w:r w:rsidR="003016E1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0,0001</w:t>
            </w:r>
          </w:p>
        </w:tc>
      </w:tr>
      <w:tr w:rsidR="00462291" w:rsidRPr="00180C46" w14:paraId="4C95855F" w14:textId="77777777" w:rsidTr="003016E1">
        <w:trPr>
          <w:trHeight w:val="54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2CFE" w14:textId="632DE3E0" w:rsidR="00462291" w:rsidRPr="00180C46" w:rsidRDefault="00462291" w:rsidP="003016E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Veľké alebo malé krvácania podľa PLATO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D81A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15,2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3064" w14:textId="77777777" w:rsidR="00462291" w:rsidRPr="00180C46" w:rsidRDefault="00462291" w:rsidP="003016E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2,71 (2,40; 3,08)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4918" w14:textId="77777777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6,2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CC40" w14:textId="1B5AF9F2" w:rsidR="00462291" w:rsidRPr="00180C46" w:rsidRDefault="00462291" w:rsidP="003016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&lt;</w:t>
            </w:r>
            <w:r w:rsidR="003016E1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0,0001</w:t>
            </w:r>
          </w:p>
        </w:tc>
      </w:tr>
    </w:tbl>
    <w:p w14:paraId="393EB432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Definície kategórií krvácania:</w:t>
      </w:r>
    </w:p>
    <w:p w14:paraId="3593B02A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Veľké krvácanie podľa TIMI: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Fatálne krvácanie, ALEBO akékoľvek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krvácanie, ALEBO klinicky zjavné prejavy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hemorágie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spojené s poklesom hemoglobínu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Hgb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 ≥ 50 g/l, alebo 15 % pokles hematokritu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Hct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 v prípade nedostupnosti údajov o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Hgb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7DDA1877" w14:textId="60F7CE66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Fatálne krvácanie:</w:t>
      </w:r>
      <w:r w:rsidRPr="003016E1">
        <w:rPr>
          <w:rFonts w:ascii="Times New Roman" w:eastAsia="Times New Roman" w:hAnsi="Times New Roman" w:cs="Times New Roman"/>
          <w:bCs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Krvácavá príhoda, ktorá viedla priamo k smrti v priebehu 7</w:t>
      </w:r>
      <w:r w:rsidR="003016E1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dní.</w:t>
      </w:r>
    </w:p>
    <w:p w14:paraId="32E98BEF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ICH: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krvácanie.</w:t>
      </w:r>
    </w:p>
    <w:p w14:paraId="44AA2FA8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Iné veľké krvácanie podľa TIMI: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Veľké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non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-fatálne krvácanie podľa TIMI iné než ICH.</w:t>
      </w:r>
    </w:p>
    <w:p w14:paraId="4FF32615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Malé krvácanie podľa TIMI:</w:t>
      </w:r>
      <w:r w:rsidRPr="003016E1">
        <w:rPr>
          <w:rFonts w:ascii="Times New Roman" w:eastAsia="Times New Roman" w:hAnsi="Times New Roman" w:cs="Times New Roman"/>
          <w:bCs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Klinicky zjavné krvácanie s poklesom hemoglobínu o 30 – 50 g/l.</w:t>
      </w:r>
    </w:p>
    <w:p w14:paraId="3E08DC9B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lastRenderedPageBreak/>
        <w:t xml:space="preserve">Krvácanie vyžadujúce lekársku starostlivosť podľa TIMI: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Vyžadujúce zásah, ALEBO vedúce k hospitalizácii, ALEBO vyžadujúce vyšetrenie.</w:t>
      </w:r>
    </w:p>
    <w:p w14:paraId="7503EC24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Veľké fatálne/život ohrozujúce krvácanie podľa PLATO: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Fatálne krvácanie, ALEBO akékoľvek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krvácanie,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intraperikardiálne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tamponádou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srdca, ALEBO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hypovolemickým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šokom alebo ťažkou hypotenziou vyžadujúcou si podanie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vazopresorov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/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inotropík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chirurgickú intervenciu, ALEBO klinicky zjavné krvácanie s poklesom hemoglobínu ˃ 50 g/l alebo s transfúziou ≥ 4 jednotiek erytrocytov.</w:t>
      </w:r>
    </w:p>
    <w:p w14:paraId="32870602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Iné veľké krvácanie podľa PLATO: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Významne vysiľujúce krvácanie, ALEBO klinicky zjavné krvácanie s poklesom hemoglobínu o 30</w:t>
      </w:r>
      <w:bookmarkStart w:id="0" w:name="_Hlk91075003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– </w:t>
      </w:r>
      <w:bookmarkEnd w:id="0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50 g/l </w:t>
      </w:r>
      <w:r w:rsidRPr="003016E1">
        <w:rPr>
          <w:rFonts w:ascii="Times New Roman" w:eastAsia="Times New Roman" w:hAnsi="Times New Roman" w:cs="Times New Roman"/>
          <w:caps/>
          <w:color w:val="000000"/>
          <w:lang w:val="sk-SK" w:eastAsia="en-GB"/>
        </w:rPr>
        <w:t>alebo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transfúziou 2 – 3 jednotiek erytrocytov.</w:t>
      </w:r>
    </w:p>
    <w:p w14:paraId="00FE47FB" w14:textId="7D945114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Malé krvácanie podľa PLATO: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Vyžaduje si lekársky zásah na zastavenie alebo zvládnutie krvácania.</w:t>
      </w:r>
    </w:p>
    <w:p w14:paraId="3DF75C49" w14:textId="77777777" w:rsidR="00FC2B11" w:rsidRPr="00180C46" w:rsidRDefault="00FC2B1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61C2613" w14:textId="6A65EA60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FC2B11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štúdii PEGASUS bol výskyt veľkého krvácania podľa kritérií TIMI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dávke 60 mg dvakrát denne vyšší ako pri samotnej ASA. Nepozorovalo sa zvýšené riziko fatálneho krvácania a pozorovalo sa len menej významné zvýšenie výskytu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krvácania v porovnaní s liečbou samotnou ASA. V štúdii sa vyskytlo niekoľko fatálnych krvácavých príhod, 11 (0,3 %) pri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12 (0,3 %) pri liečbe samotnou ASA. Pozorované zvýšené riziko výskytu veľkého krvácania podľa kritérií TIMI pri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bolo zapríčinené predovšetkým vyššou frekvenciou výskytu iného veľkého krvácania podľa kritérií TIMI zastúpeného udalosťami v gastrointestinálnej TOS.</w:t>
      </w:r>
    </w:p>
    <w:p w14:paraId="62DD6334" w14:textId="77777777" w:rsidR="00FC2B11" w:rsidRPr="00180C46" w:rsidRDefault="00FC2B1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0ED8217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Podobne zvýšený výskyt veľkého krvácania podľa kritérií TIMI bol pozorovaný aj pri kategóriách krvácania zahŕňajúcich veľké alebo malé krvácania podľa kritérií TIMI, veľké krvácania podľa definície PLATO a veľké alebo malé krvácania podľa definície PLATO (pozri tabuľku 3). Ukončenie liečby pre krvácanie bolo častejšie pri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(6,2 %) v porovnaní s liečbou samotnou ASA (1,5 %). Väčšina týchto krvácaní bola menej závažná (klasifikované ako krvácania vyžadujúce lekársku starostlivosť podľa kritérií TIMI), napr.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epistaxa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tvorba krvných podliatin a hematómov.</w:t>
      </w:r>
    </w:p>
    <w:p w14:paraId="39F76A75" w14:textId="77777777" w:rsidR="00EE608B" w:rsidRDefault="00EE608B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2A493D4" w14:textId="7F2B44B2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Profil krvácania pri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 pre udalosti veľkého krvácania podľa kritérií TIMI, veľkého alebo malého krvácania podľa kritérií TIMI a veľkého krvácania podľa definície PLATO konzistentný v rámci viacerých vopred definovaných podskupín (napr. podľa veku, pohlavia, hmotnosti, rasy, geografického regiónu, súbežných ochorení, súbežnej liečby a anamnézy).</w:t>
      </w:r>
    </w:p>
    <w:p w14:paraId="7254564F" w14:textId="77777777" w:rsidR="00FC2B11" w:rsidRPr="00180C46" w:rsidRDefault="00FC2B1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EC8265F" w14:textId="6233A52B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krvácanie:</w:t>
      </w:r>
    </w:p>
    <w:p w14:paraId="3F74FC1A" w14:textId="15F0FA5B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Pre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liečbu samotnou ASA sa hlásili podobné miery výskytu spontánneho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krvácania (n</w:t>
      </w:r>
      <w:r w:rsidR="00C02F9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=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13, 0,2 % v oboch liečebných skupinách). Pri liečbe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(n</w:t>
      </w:r>
      <w:r w:rsidR="00C02F9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=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15, 0,2 %) v porovnaní s liečbou samotnou ASA (n</w:t>
      </w:r>
      <w:r w:rsidR="00C02F9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=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10, 0,1 %) sa preukázalo menej významné zvýšenie výskytu poúrazového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krvácania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krvácania súvisiaceho s liečebným postupom. Pri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vyskytlo 6 fatálnych prípadov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krvácania a pri liečbe samotnou ASA 5 prípadov. Výskyt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krvácania bol v oboch liečebných skupinách nízky vzhľadom na to, že populácia štúdie sa vyznačovala významnou mierou komorbidity a KV rizikových faktorov.</w:t>
      </w:r>
    </w:p>
    <w:p w14:paraId="05F85960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38968E1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Dyspnoe</w:t>
      </w:r>
      <w:proofErr w:type="spellEnd"/>
    </w:p>
    <w:p w14:paraId="698951A2" w14:textId="2AB66F0E" w:rsidR="00462291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Pacienti liečení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hlásili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pocit sťaženého dýchania. V štúdii PLATO nežiaduce udalosti týkajúce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kľudové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námahové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paroxyzmálne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nočné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nočné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 hlásili u 13,8 % pacientov liečených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</w:t>
      </w:r>
      <w:r w:rsidR="00EE608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 7,8 % pacientov liečených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V štúdii PLATO u 2,2 % pacientov užívajúcich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</w:t>
      </w:r>
      <w:r w:rsidR="00EE608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u 0,6 % pacientov užívajúcich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skúšajúci považovali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za príčinu súvisiacu s liečbou a málo prípadov bolo závažných (0,14 %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; 0,02 %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 (pozri časť 4.4). Väčšina hlásených príznakov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bola miernej až stredne ťažkej intenzity a väčšinou sa hlásili ako jedna epizóda krátko po začatí liečby.</w:t>
      </w:r>
    </w:p>
    <w:p w14:paraId="33CF366A" w14:textId="77777777" w:rsidR="00EE608B" w:rsidRPr="00180C46" w:rsidRDefault="00EE608B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40DA225" w14:textId="2F67618B" w:rsidR="00462291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FC2B11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porovnaní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bolo u pacientov s astmou/CHOCHP, ktorí boli liečení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zvýšené riziko výskytu nezávažného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(3,29 % v prípade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oproti 0,53 % v prípade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 a závažného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(0,38 % v prípade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oproti 0,0 % v prípade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). V absolútnom vyjadrení bolo toto riziko vyššie ako v celej populácii pacientov v štúdii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 xml:space="preserve">PLATO.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musí užívať opatrne u pacientov s anamnézou astmy a/alebo CHOCHP (pozri časť 4.4).</w:t>
      </w:r>
    </w:p>
    <w:p w14:paraId="2C15CD97" w14:textId="77777777" w:rsidR="00EE608B" w:rsidRPr="00180C46" w:rsidRDefault="00EE608B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A124DAB" w14:textId="1939F7C6" w:rsidR="00462291" w:rsidRPr="00180C46" w:rsidRDefault="00462291" w:rsidP="00462291">
      <w:pPr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Približne 30 % všetkých prípadov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upravilo v priebehu 7</w:t>
      </w:r>
      <w:r w:rsidR="005735AC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dní. Štúdie PLATO sa zúčastnili pacienti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kongestívnym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srdcovým zlyhaním, CHOCHP alebo astmou pred začatím skúšania; títo pacienti a starší pacienti hlásili najčastejšie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Kvôli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liečba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vysadila u 0,9 % pacientov a liečba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0,1 % pacientov. Vyšší výskyt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nesúvisí s novým alebo zhoršujúcim sa srdcovým alebo pľúcnym ochorením (pozri časť 4.4).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nemá vplyv na výsledky testov funkcie pľúc.</w:t>
      </w:r>
    </w:p>
    <w:p w14:paraId="1B3A6600" w14:textId="77777777" w:rsidR="00462291" w:rsidRPr="00180C46" w:rsidRDefault="00462291" w:rsidP="00462291">
      <w:pPr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A67CF6A" w14:textId="6333F226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FC2B11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štúdii PEGASUS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hlásilo u 14,2 % pacientov užívajúcich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dávke 60 mg dvakrát denne a u 5,5 % pacientov užívajúcich samotnú ASA. Rovnako ako v štúdii PLATO, väčšina hlásených prípadov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bola miernej až stredne ťažkej intenzity (pozri časť 4.4). Pacienti, ktorí hlásili dýchavičnosť boli starší a mali na začiatku častejšie dýchavičnosť, CHOCHP alebo astmu.</w:t>
      </w:r>
    </w:p>
    <w:p w14:paraId="6B8CDEE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6517754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Vyšetrenia</w:t>
      </w:r>
    </w:p>
    <w:p w14:paraId="4E5B98C6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Zvýšenie kyseliny močovej: v štúdii PLATO došlo k zvýšeniu kyseliny močovej v sére nad hornú hranicu normálu u 22 % pacientov dostávajúcich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v porovnaní s 13 % pacientov dostávajúcich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V štúdii PEGASUS boli príslušné hodnoty 9,1 % pre 90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8,8 % pre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5,5 % pre placebo. Priemerná hladina kyseliny močovej v sére sa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zvýšila približne o 15 % v porovnaní so zvýšením približne o 7,5 %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po ukončení liečby sa znížila približne o 7 % v prípade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v prípade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však žiadne zníženie nezistilo. V štúdii PEGASUS sa zistilo reverzibilné zvýšenie priemerných hladín kyseliny močovej v sére o 6,3 % pre 90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5,6 % pre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v porovnaní s 1,5 % znížením v skupine s placebom. V štúdii PLATO bola frekvencia dnovej artritídy 0,2 %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oproti 0,1 %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V štúdii PEGASUS boli príslušné hodnoty frekvencie dny/dnovej artritídy 1,6 % pre 90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1,5 % pre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1,1 % pre placebo.</w:t>
      </w:r>
    </w:p>
    <w:p w14:paraId="2B00B3C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4FEB170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Hlásenie podozrení na nežiaduce reakcie</w:t>
      </w:r>
    </w:p>
    <w:p w14:paraId="49E9FA17" w14:textId="21D57E69" w:rsidR="00462291" w:rsidRPr="005735AC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na </w:t>
      </w:r>
      <w:r w:rsidRPr="00180C46">
        <w:rPr>
          <w:rFonts w:ascii="Times New Roman" w:eastAsia="Times New Roman" w:hAnsi="Times New Roman" w:cs="Times New Roman"/>
          <w:color w:val="000000"/>
          <w:shd w:val="clear" w:color="auto" w:fill="C0C0C0"/>
          <w:lang w:val="sk-SK" w:eastAsia="en-GB"/>
        </w:rPr>
        <w:t>národné centrum hlásenia uvedené v </w:t>
      </w:r>
      <w:hyperlink r:id="rId7" w:history="1">
        <w:r w:rsidR="000E189F" w:rsidRPr="000E189F">
          <w:rPr>
            <w:rFonts w:ascii="Times New Roman" w:eastAsia="Times New Roman" w:hAnsi="Times New Roman" w:cs="Times New Roman"/>
            <w:noProof/>
            <w:color w:val="0000FF"/>
            <w:highlight w:val="lightGray"/>
            <w:u w:val="single"/>
            <w:lang w:val="sk-SK" w:eastAsia="sk-SK"/>
          </w:rPr>
          <w:t>Prílohe V</w:t>
        </w:r>
      </w:hyperlink>
      <w:hyperlink r:id="rId8">
        <w:r w:rsidRPr="005735AC">
          <w:rPr>
            <w:rFonts w:ascii="Times New Roman" w:eastAsia="Times New Roman" w:hAnsi="Times New Roman" w:cs="Times New Roman"/>
            <w:lang w:val="sk-SK" w:eastAsia="en-GB"/>
          </w:rPr>
          <w:t>.</w:t>
        </w:r>
      </w:hyperlink>
    </w:p>
    <w:p w14:paraId="302C2D7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9D99B75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4.9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Predávkovanie</w:t>
      </w:r>
    </w:p>
    <w:p w14:paraId="1C2D8DD4" w14:textId="77777777" w:rsidR="00462291" w:rsidRPr="00180C46" w:rsidRDefault="00462291" w:rsidP="00462291">
      <w:pPr>
        <w:spacing w:after="0" w:line="240" w:lineRule="auto"/>
        <w:ind w:right="39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AA6CBF2" w14:textId="77777777" w:rsidR="00462291" w:rsidRPr="00180C46" w:rsidRDefault="00462291" w:rsidP="00462291">
      <w:pPr>
        <w:spacing w:after="0" w:line="240" w:lineRule="auto"/>
        <w:ind w:right="39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v jednorazových dávkach až do 900 mg dobre znášaný. Gastrointestinálna toxicita bola určujúcim faktorom v štúdii zameranej na zvyšovanie jednorazovej dávky. Iné klinicky významné nežiaduce reakcie, ktoré sa môžu vyskytnúť pri predávkovaní, zahŕňajú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ventrikulárne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pauzy (pozri časť 4.8).</w:t>
      </w:r>
    </w:p>
    <w:p w14:paraId="55323E43" w14:textId="77777777" w:rsidR="005735AC" w:rsidRDefault="005735AC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BEAB2CC" w14:textId="503D27F2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5735AC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prípade predávkovania sa môžu objaviť vyššie uvedené potenciálne nežiaduce reakcie a je potrebné zvážiť monitorovanie EKG.</w:t>
      </w:r>
    </w:p>
    <w:p w14:paraId="45D9F235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52DBAA3" w14:textId="33C6863B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5735AC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súčasnosti nie je známe žiadne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antidotum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 zvrátenie účinkov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nie je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dialyzovateľný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(pozri časť 5.2). Liečba predávkovania sa má riadiť štandardnou lekárskou praxou na miestnej úrovni. Predpokladaným účinkom nadmerných dávok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predĺžené trvanie rizika krvácania, ktoré súvisí s inhibíciou krvných doštičiek. Transfúzia krvných doštičiek pravdepodobne nepredstavuje klinický prínos pre pacientov s krvácaním (pozri časť 4.4). Ak dôjde ku krvácaniu, je potrebné prijať ďalšie príslušné podporné opatrenia.</w:t>
      </w:r>
    </w:p>
    <w:p w14:paraId="565DE1D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AAD10A0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C63B414" w14:textId="77777777" w:rsidR="00462291" w:rsidRPr="00180C46" w:rsidRDefault="00462291" w:rsidP="00462291">
      <w:pPr>
        <w:numPr>
          <w:ilvl w:val="0"/>
          <w:numId w:val="7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FARMAKOLOGICKÉ VLASTNOSTI</w:t>
      </w:r>
    </w:p>
    <w:p w14:paraId="68001098" w14:textId="77777777" w:rsidR="00462291" w:rsidRPr="00180C46" w:rsidRDefault="00462291" w:rsidP="00462291">
      <w:pPr>
        <w:tabs>
          <w:tab w:val="center" w:pos="198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sk-SK" w:eastAsia="en-GB"/>
        </w:rPr>
      </w:pPr>
    </w:p>
    <w:p w14:paraId="6589934C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5.1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proofErr w:type="spellStart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Farmakodynamické</w:t>
      </w:r>
      <w:proofErr w:type="spellEnd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 vlastnosti</w:t>
      </w:r>
    </w:p>
    <w:p w14:paraId="69E4C304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81A6CB0" w14:textId="348B32BF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DF486E">
        <w:rPr>
          <w:rFonts w:ascii="Times New Roman" w:eastAsia="Times New Roman" w:hAnsi="Times New Roman" w:cs="Times New Roman"/>
          <w:color w:val="000000"/>
          <w:lang w:val="sk-SK" w:eastAsia="en-GB"/>
        </w:rPr>
        <w:t>Farmakoterapeutická</w:t>
      </w:r>
      <w:proofErr w:type="spellEnd"/>
      <w:r w:rsidRPr="00DF486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skupina: </w:t>
      </w:r>
      <w:proofErr w:type="spellStart"/>
      <w:r w:rsidR="00DF486E">
        <w:rPr>
          <w:rFonts w:ascii="Times New Roman" w:eastAsia="Times New Roman" w:hAnsi="Times New Roman" w:cs="Times New Roman"/>
          <w:color w:val="000000"/>
          <w:lang w:val="sk-SK" w:eastAsia="en-GB"/>
        </w:rPr>
        <w:t>Antitrombotiká</w:t>
      </w:r>
      <w:proofErr w:type="spellEnd"/>
      <w:r w:rsidR="00DF486E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="00DF486E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DF486E">
        <w:rPr>
          <w:rFonts w:ascii="Times New Roman" w:eastAsia="Times New Roman" w:hAnsi="Times New Roman" w:cs="Times New Roman"/>
          <w:color w:val="000000"/>
          <w:lang w:val="sk-SK" w:eastAsia="en-GB"/>
        </w:rPr>
        <w:t>ntiagreganciá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trombocytov okrem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heparínu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ATC kód: B01AC24</w:t>
      </w:r>
    </w:p>
    <w:p w14:paraId="78C8558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8871C93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Mechanizmus účinku</w:t>
      </w:r>
    </w:p>
    <w:p w14:paraId="32601423" w14:textId="72BE4BD8" w:rsidR="00462291" w:rsidRPr="00180C46" w:rsidRDefault="00462291" w:rsidP="00462291">
      <w:pPr>
        <w:spacing w:after="0" w:line="240" w:lineRule="auto"/>
        <w:ind w:right="106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obsahuje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patriaci do chemickej skupiny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cyklopentyltriazolopyrimidínov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(CPTP), ktorý je perorálnym, priamo pôsobiacim, selektívnym antagonistom, reverzibilne sa viažucim na</w:t>
      </w:r>
      <w:r w:rsidR="00DF486E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receptor P2Y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12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ktorý zabraňuje aktivácii a agregácii krvných doštičiek sprostredkovanej ADP a závislej na P2Y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12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nezabraňuje väzbe ADP, ale po naviazaní na receptor P2Y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12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zabraňuje signálnej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transdukcii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indukovanej ADP. Vzhľadom na to, že krvné doštičky sa podieľajú na vzniku a/alebo vývoji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trombotických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komplikácií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aterosklerotických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ochorení, preukázalo sa, že inhibícia funkcie krvných doštičiek znižuje riziko kardiovaskulárnych príhod, ako je smrť, IM alebo cievna mozgová príhoda.</w:t>
      </w:r>
    </w:p>
    <w:p w14:paraId="2AF1494D" w14:textId="77777777" w:rsidR="00462291" w:rsidRPr="00180C46" w:rsidRDefault="00462291" w:rsidP="00462291">
      <w:pPr>
        <w:spacing w:after="0" w:line="240" w:lineRule="auto"/>
        <w:ind w:right="106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595C680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tiež zvyšuje lokálne hladiny endogénneho adenozínu inhibíciou rovnovážnych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nukleozidových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transportérov-1 (ENT-1).</w:t>
      </w:r>
    </w:p>
    <w:p w14:paraId="5DECC077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EA07643" w14:textId="5C11B5CB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Zistilo sa, že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zdravých dobrovoľníkov a pacientov s AKS zvýrazňuje nasledujúce účinky indukované adenozínom: vazodilatácia (merané zvýšením koronárneho prietoku krvi u zdravých dobrovoľníkov a pacientov s AKS; bolesť hlavy), inhibícia funkcie krvných doštičiek (v</w:t>
      </w:r>
      <w:r w:rsidR="004C218B" w:rsidRPr="004C218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plnej ľudskej krvi </w:t>
      </w: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in vitro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Súvislosť medzi pozorovanými zvýšeniami adenozínu a klinickými výsledkami (napr. morbidita-mortalita) však nebola jasne vysvetlená.</w:t>
      </w:r>
    </w:p>
    <w:p w14:paraId="4CE5CAC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6A1C183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Farmakodynamické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 xml:space="preserve"> účinky</w:t>
      </w:r>
    </w:p>
    <w:p w14:paraId="26898A6B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Nástup účinku</w:t>
      </w:r>
    </w:p>
    <w:p w14:paraId="058FFDD2" w14:textId="77777777" w:rsidR="00462291" w:rsidRPr="00180C46" w:rsidRDefault="00462291" w:rsidP="00462291">
      <w:pPr>
        <w:spacing w:after="0" w:line="240" w:lineRule="auto"/>
        <w:ind w:right="123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pacientov so stabilnou koronárnou artériovou chorobou (CAD) užívajúcich ASA vykazuje rýchly nástup farmakologického účinku, čo sa preukázalo priemernou inhibíciou agregácie krvných doštičiek (IPA)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po 0,5 hodiny od podania nárazovej dávky 180 mg približne 41 %, s maximálnym účinkom na IPA 89 % po 2 – 4 hodinách od podania dávky a tento účinok pretrvával 2 – 8 hodín. U 90 % pacientov bol finálny rozsah IPA po 2 hodinách od podania dávky &gt; 70 %.</w:t>
      </w:r>
    </w:p>
    <w:p w14:paraId="000917B1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7DE8FD4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Odznievanie účinku</w:t>
      </w:r>
    </w:p>
    <w:p w14:paraId="3040B081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 plánovanom zákroku CABG existuje zvýšené riziko krvácania pre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oproti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pokiaľ je liečba vysadená v kratšej dobe ako 96 hodín pred zákrokom.</w:t>
      </w:r>
    </w:p>
    <w:p w14:paraId="3CC00920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E2AD64F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Údaje týkajúce sa prechodu na inú liečbu</w:t>
      </w:r>
    </w:p>
    <w:p w14:paraId="3C6C6BB1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Prechod z 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dávke 75 mg na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dávke 90 mg dvakrát denne má za následok absolútne zvýšenie IPA o 26,4 % a prechod z 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má za následok absolútne zníženie IPA o 24,5 %. Pacientov možno prestaviť z 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bez akéhokoľvek prerušenia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protidoštičkového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účinku (pozri časť 4.2).</w:t>
      </w:r>
    </w:p>
    <w:p w14:paraId="266C3AB9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1158162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Klinická účinnosť a bezpečnosť</w:t>
      </w:r>
    </w:p>
    <w:p w14:paraId="51114C97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Klinický dôkaz účinnosti a bezpečnosti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odvodený z dvoch skúšaní fázy 3:</w:t>
      </w:r>
    </w:p>
    <w:p w14:paraId="1FB41B58" w14:textId="77777777" w:rsidR="00462291" w:rsidRPr="00180C46" w:rsidRDefault="00462291" w:rsidP="00462291">
      <w:pPr>
        <w:numPr>
          <w:ilvl w:val="0"/>
          <w:numId w:val="8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Štúdia PLATO [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PLAT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elet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Inhibition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and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Patient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O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utcomes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], porovnávajúca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oproti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oba podávané v kombinácii s ASA a ďalšou štandardnou liečbou.</w:t>
      </w:r>
    </w:p>
    <w:p w14:paraId="5B89B451" w14:textId="77777777" w:rsidR="00462291" w:rsidRPr="00180C46" w:rsidRDefault="00462291" w:rsidP="00462291">
      <w:pPr>
        <w:numPr>
          <w:ilvl w:val="0"/>
          <w:numId w:val="8"/>
        </w:numPr>
        <w:spacing w:after="0" w:line="240" w:lineRule="auto"/>
        <w:ind w:right="12"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Štúdia PEGASUS TIMI-54 [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P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E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vention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with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Tica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G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of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Second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Thrombotic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Events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in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High-Ri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S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Ac</w:t>
      </w: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U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Coronary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S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yndrome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Patients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], porovnávajúca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kombinácii s ASA oproti liečbe samotnou ASA.</w:t>
      </w:r>
    </w:p>
    <w:p w14:paraId="4CD76DD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F9E29A5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Štúdia PLATO (akútny koronárny syndróm)</w:t>
      </w:r>
    </w:p>
    <w:p w14:paraId="71B09CE5" w14:textId="7015B07D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Do štúdie PLATO bolo zahrnutých 18</w:t>
      </w:r>
      <w:r w:rsidR="00760F0F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624 pacientov, u ktorých v priebehu ostatných 24 hodín došlo k nástupu príznakov nestabilnej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anginy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pectoris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unstable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angina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UA), infarktu myokardu bez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elevácie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ST segmentu (NSTEMI) alebo infarktu myokardu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eleváciou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ST segmentu (STEMI), a ktorí spočiatku dostávali medikamentóznu liečbu alebo sa u nich vykonala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perkutánna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koronárna intervencia (PCI) alebo CABG.</w:t>
      </w:r>
    </w:p>
    <w:p w14:paraId="1F7FE41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85D4927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Klinická účinnosť</w:t>
      </w:r>
    </w:p>
    <w:p w14:paraId="7DCC22F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 dennom podávaní ASA preukázal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dávke 90 mg dvakrát denne v prevencii výskytu združeného koncového ukazovateľa KV smrti, IM alebo cievnej mozgovej príhody, lepší účinok ako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>klopidogrel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dávke 75 mg denne, na tomto rozdiele sa podieľal najmä výskyt KV smrti a IM. Pacienti dostali 300 mg nárazovú dávku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(prípadne 600 mg v prípade PCI) alebo 180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1B679BE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0D5C6B6" w14:textId="4680F598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Výsledok liečby sa prejavil skoro (zníženie absolútneho rizika [ARR] 0,6 % a zníženie relatívneho rizika [RRR] 12 % po 30</w:t>
      </w:r>
      <w:r w:rsidR="00FC2B11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dňoch) a účinok liečby ostal rovnaký po celé obdobie 12</w:t>
      </w:r>
      <w:r w:rsidR="00FC2B11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mesiacov, ARR/rok bolo 1,9 % a RRR 16 %. To naznačuje, že je vhodné liečiť pacientov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90 mg dvakrát denne až 12 mesiacov (pozri časť 4.2). Liečbou 54 pacientov s AKS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namiesto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zabráni 1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príhode; liečbou 91 pacientov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namiesto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zabráni 1 KV smrti (pozri obrázok 1 a tabuľku 4).</w:t>
      </w:r>
    </w:p>
    <w:p w14:paraId="5435185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3F4CFDA" w14:textId="73660D14" w:rsidR="00462291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Účinok liečby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popri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ukazuje ako konzistentný v rámci rôznych podskupín pacientov, vrátane členenia podľa hmotnosti, pohlavia, diabetu v anamnéze, prechodného ischemického záchvatu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nehemoragickej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cievnej mozgovej príhody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revaskularizácie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súbežnej liečby zahŕňajúcej liečbu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heparínmi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inhibítormi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GpIIb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/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IIIa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inhibítormi protónovej pumpy (pozri časť 4.5), podľa diagnózy, u ktorej sa sledovali koncové ukazovatele (STEMI, NSTEMI alebo UA) a podľa zámeru liečebného postupu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randomizácii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(invazívny alebo medikamentózny).</w:t>
      </w:r>
    </w:p>
    <w:p w14:paraId="2D10AF7A" w14:textId="77777777" w:rsidR="00F42F4A" w:rsidRPr="00180C46" w:rsidRDefault="00F42F4A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1D6A1C8" w14:textId="044B6C4F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Pozorovala sa málo významná súčinnosť liečby a geografického územia, pričom podľa pomeru rizika (HR) pre primárny koncový ukazovateľ zo svetového hľadiska vychádza priaznivejšie účinok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výnimkou Severnej Ameriky, kde vychádza priaznivejšie účinok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ktorá predstavovala približne 10 % celkovej skúmanej populácie (p-hodnota interakcie</w:t>
      </w:r>
      <w:r w:rsidR="00C02F9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=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0,045). Výskumné analýzy poukázali na možnú súvislosť s dávkou ASA tak, že znížená účinnosť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pozorovala pri zvyšujúcich sa dávkach ASA. Pri dlhodobom podávaní ASA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má byť rozmedzie dennej dávky 75 – 150 mg (pozri časť 4.2 a 4.4).</w:t>
      </w:r>
    </w:p>
    <w:p w14:paraId="1209495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94FD76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Obrázok 1 vyjadruje odhad rizika prvého výskytu akejkoľvek udalosti zahrnutej do združeného koncového ukazovateľa účinnosti.</w:t>
      </w:r>
    </w:p>
    <w:p w14:paraId="5707CF8E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1B25074" w14:textId="58AF3815" w:rsidR="00462291" w:rsidRPr="00180C46" w:rsidRDefault="00462291" w:rsidP="00F42F4A">
      <w:pPr>
        <w:tabs>
          <w:tab w:val="left" w:pos="1134"/>
        </w:tabs>
        <w:spacing w:after="0" w:line="240" w:lineRule="auto"/>
        <w:ind w:right="109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Obrázok 1</w:t>
      </w:r>
      <w:r w:rsidR="00F42F4A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Analýza primárneho klinického združeného koncového ukazovateľa KV smrti, IM a cievnej mozgovej príhody (štúdia PLATO)</w:t>
      </w:r>
    </w:p>
    <w:p w14:paraId="10C55221" w14:textId="31E521A7" w:rsidR="00462291" w:rsidRPr="00180C46" w:rsidRDefault="00DB7A9F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val="sk-SK" w:eastAsia="sk-SK"/>
        </w:rPr>
        <w:drawing>
          <wp:inline distT="0" distB="0" distL="0" distR="0" wp14:anchorId="696C4175" wp14:editId="63ED1C2A">
            <wp:extent cx="4972050" cy="3543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2B217" w14:textId="77777777" w:rsidR="00F42F4A" w:rsidRDefault="00F42F4A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CEC633F" w14:textId="45EAF556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porovnaní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znížil výskyt primárneho združeného koncového ukazovateľa rovnako u pacientov s UA/NSTEMI ako aj u pacientov so STEMI (tabuľka 4). Liečbu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Plategrou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90 mg dvakrát denne spolu s nízkou dávkou ASA možno teda použiť u pacientov s AKS (nestabilná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>angina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pectoris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infarkt myokardu bez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elevácie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ST segmentu [NSTEMI] alebo infarkt myokardu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eleváciou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ST segmentu [STEMI]); vrátane pacientov, ktorí dostávajú medikamentóznu liečbu a pacientov, u ktorých sa vykonala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perkutánna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koronárna intervencia (PCI) alebo koronárny artériový by-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pass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(CABG).</w:t>
      </w:r>
    </w:p>
    <w:p w14:paraId="13A86EF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FB68034" w14:textId="687835AC" w:rsidR="00462291" w:rsidRPr="00180C46" w:rsidRDefault="00462291" w:rsidP="00F42F4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Tabuľka 4</w:t>
      </w:r>
      <w:r w:rsidR="00F42F4A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Analýza primárnych a sekundárnych koncových ukazovateľov účinnosti (štúdia PLATO)</w:t>
      </w:r>
    </w:p>
    <w:tbl>
      <w:tblPr>
        <w:tblStyle w:val="TableGrid"/>
        <w:tblW w:w="5000" w:type="pct"/>
        <w:tblInd w:w="0" w:type="dxa"/>
        <w:tblCellMar>
          <w:top w:w="57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2154"/>
        <w:gridCol w:w="1499"/>
        <w:gridCol w:w="1607"/>
        <w:gridCol w:w="1024"/>
        <w:gridCol w:w="1460"/>
        <w:gridCol w:w="1316"/>
      </w:tblGrid>
      <w:tr w:rsidR="00462291" w:rsidRPr="00180C46" w14:paraId="22D0B4B7" w14:textId="77777777" w:rsidTr="003D30F0">
        <w:trPr>
          <w:trHeight w:val="2030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2FBE" w14:textId="77777777" w:rsidR="00462291" w:rsidRPr="00180C46" w:rsidRDefault="00462291" w:rsidP="003D30F0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7898" w14:textId="77777777" w:rsidR="00462291" w:rsidRPr="00180C46" w:rsidRDefault="00462291" w:rsidP="003D30F0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tikagrelor</w:t>
            </w:r>
            <w:proofErr w:type="spellEnd"/>
          </w:p>
          <w:p w14:paraId="0A2C40A1" w14:textId="42DD9F41" w:rsidR="00462291" w:rsidRPr="00180C46" w:rsidRDefault="00462291" w:rsidP="003D30F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90 mg</w:t>
            </w:r>
          </w:p>
          <w:p w14:paraId="5EB8190F" w14:textId="4B335BE0" w:rsidR="00462291" w:rsidRPr="00180C46" w:rsidRDefault="00462291" w:rsidP="003D30F0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dvakrát</w:t>
            </w:r>
          </w:p>
          <w:p w14:paraId="57A6339B" w14:textId="77777777" w:rsidR="00462291" w:rsidRPr="00180C46" w:rsidRDefault="00462291" w:rsidP="003D30F0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denne</w:t>
            </w:r>
          </w:p>
          <w:p w14:paraId="69BE3171" w14:textId="0C4A2BAD" w:rsidR="00462291" w:rsidRPr="00180C46" w:rsidRDefault="00462291" w:rsidP="003D30F0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(%</w:t>
            </w:r>
            <w:r w:rsidR="003D30F0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 xml:space="preserve"> 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pacientov</w:t>
            </w:r>
            <w:r w:rsidR="003D30F0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 xml:space="preserve"> 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s</w:t>
            </w:r>
            <w:r w:rsidR="00C02F98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udalosťou)</w:t>
            </w:r>
          </w:p>
          <w:p w14:paraId="407B9A50" w14:textId="397EBD3F" w:rsidR="00462291" w:rsidRPr="00180C46" w:rsidRDefault="00C02F98" w:rsidP="003D30F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n = </w:t>
            </w:r>
            <w:r w:rsidR="00462291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9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 </w:t>
            </w:r>
            <w:r w:rsidR="00462291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333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B5DE" w14:textId="291E93B8" w:rsidR="00462291" w:rsidRPr="00180C46" w:rsidRDefault="00462291" w:rsidP="003D30F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klopidogrel</w:t>
            </w:r>
            <w:proofErr w:type="spellEnd"/>
          </w:p>
          <w:p w14:paraId="67DCF870" w14:textId="1515CF6A" w:rsidR="00462291" w:rsidRPr="00180C46" w:rsidRDefault="00462291" w:rsidP="003D30F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75 mg</w:t>
            </w:r>
          </w:p>
          <w:p w14:paraId="2333C505" w14:textId="77777777" w:rsidR="00462291" w:rsidRPr="00180C46" w:rsidRDefault="00462291" w:rsidP="003D30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jedenkrát denne</w:t>
            </w:r>
          </w:p>
          <w:p w14:paraId="141A0C9D" w14:textId="77777777" w:rsidR="00462291" w:rsidRPr="00180C46" w:rsidRDefault="00462291" w:rsidP="003D30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(% pacientov s udalosťou)</w:t>
            </w:r>
          </w:p>
          <w:p w14:paraId="46629490" w14:textId="768323B1" w:rsidR="00462291" w:rsidRPr="00180C46" w:rsidRDefault="00C02F98" w:rsidP="003D30F0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n = </w:t>
            </w:r>
            <w:r w:rsidR="00462291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9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 </w:t>
            </w:r>
            <w:r w:rsidR="00462291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291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34A0" w14:textId="77777777" w:rsidR="00462291" w:rsidRPr="00180C46" w:rsidRDefault="00462291" w:rsidP="003D30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ARR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sk-SK"/>
              </w:rPr>
              <w:t>a</w:t>
            </w:r>
            <w:proofErr w:type="spellEnd"/>
          </w:p>
          <w:p w14:paraId="09F1AF93" w14:textId="77777777" w:rsidR="00462291" w:rsidRPr="00180C46" w:rsidRDefault="00462291" w:rsidP="003D30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(%/rok)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5EE4" w14:textId="77777777" w:rsidR="00462291" w:rsidRPr="00180C46" w:rsidRDefault="00462291" w:rsidP="003D30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RRR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sk-SK"/>
              </w:rPr>
              <w:t>a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val="sk-SK"/>
              </w:rPr>
              <w:t xml:space="preserve"> 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(%) (95 % IS)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050D" w14:textId="77777777" w:rsidR="00462291" w:rsidRPr="00180C46" w:rsidRDefault="00462291" w:rsidP="003D30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  <w:t>p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-hodnota</w:t>
            </w:r>
          </w:p>
        </w:tc>
      </w:tr>
      <w:tr w:rsidR="00462291" w:rsidRPr="00180C46" w14:paraId="65A72568" w14:textId="77777777" w:rsidTr="003D30F0">
        <w:trPr>
          <w:trHeight w:val="1051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A706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KV smrť/IM </w:t>
            </w:r>
          </w:p>
          <w:p w14:paraId="29616327" w14:textId="2F0D59A6" w:rsidR="00462291" w:rsidRPr="00180C46" w:rsidRDefault="00462291" w:rsidP="00462291">
            <w:pPr>
              <w:ind w:right="53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(s</w:t>
            </w:r>
            <w:r w:rsidR="003D30F0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vylúčením tichého IM) alebo cievna mozgová príhoda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9E12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9,3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D647" w14:textId="77777777" w:rsidR="00462291" w:rsidRPr="00180C46" w:rsidRDefault="00462291" w:rsidP="00FC2B11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10,9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5568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5B1C" w14:textId="77777777" w:rsidR="00462291" w:rsidRPr="00180C46" w:rsidRDefault="00462291" w:rsidP="00FC2B11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16 (8; 23)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2355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0,0003</w:t>
            </w:r>
          </w:p>
        </w:tc>
      </w:tr>
      <w:tr w:rsidR="00462291" w:rsidRPr="00180C46" w14:paraId="6D4C8D46" w14:textId="77777777" w:rsidTr="003D30F0">
        <w:trPr>
          <w:trHeight w:val="528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E317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So zámerom invazívneho zákroku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E12A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8,5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F31B" w14:textId="77777777" w:rsidR="00462291" w:rsidRPr="00180C46" w:rsidRDefault="00462291" w:rsidP="00FC2B11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2D8C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1,7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2C6D" w14:textId="77777777" w:rsidR="00462291" w:rsidRPr="00180C46" w:rsidRDefault="00462291" w:rsidP="00FC2B11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16 (6; 25)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1FE6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0,0025</w:t>
            </w:r>
          </w:p>
        </w:tc>
      </w:tr>
      <w:tr w:rsidR="00462291" w:rsidRPr="00180C46" w14:paraId="46B13C62" w14:textId="77777777" w:rsidTr="003D30F0">
        <w:trPr>
          <w:trHeight w:val="792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A4A7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So zámerom medikamentóznej liečby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55A2" w14:textId="77777777" w:rsidR="00462291" w:rsidRPr="00180C46" w:rsidRDefault="00462291" w:rsidP="00FC2B11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11,3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262F" w14:textId="77777777" w:rsidR="00462291" w:rsidRPr="00180C46" w:rsidRDefault="00462291" w:rsidP="00FC2B11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13,2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9624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BE57" w14:textId="77777777" w:rsidR="00462291" w:rsidRPr="00180C46" w:rsidRDefault="00462291" w:rsidP="00FC2B11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15 (0,3; 27)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F296" w14:textId="77777777" w:rsidR="00462291" w:rsidRPr="00180C46" w:rsidRDefault="00462291" w:rsidP="00FC2B1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0,0444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d</w:t>
            </w:r>
          </w:p>
        </w:tc>
      </w:tr>
      <w:tr w:rsidR="00462291" w:rsidRPr="00180C46" w14:paraId="009EF562" w14:textId="77777777" w:rsidTr="003D30F0">
        <w:trPr>
          <w:trHeight w:val="269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57EA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KV smrť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7D75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3,8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B5FD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4,8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857F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4A22" w14:textId="77777777" w:rsidR="00462291" w:rsidRPr="00180C46" w:rsidRDefault="00462291" w:rsidP="00FC2B11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21 (9; 31)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AA88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0,0013</w:t>
            </w:r>
          </w:p>
        </w:tc>
      </w:tr>
      <w:tr w:rsidR="00462291" w:rsidRPr="00180C46" w14:paraId="60F5069F" w14:textId="77777777" w:rsidTr="003D30F0">
        <w:trPr>
          <w:trHeight w:val="53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5923" w14:textId="7A2802C8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IM (s</w:t>
            </w:r>
            <w:r w:rsidR="003D30F0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vylúčením tichého IM)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b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77D2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5,4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8C14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6,4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BE79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EE50" w14:textId="77777777" w:rsidR="00462291" w:rsidRPr="00180C46" w:rsidRDefault="00462291" w:rsidP="00FC2B11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16 (5; 25)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6268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0,0045</w:t>
            </w:r>
          </w:p>
        </w:tc>
      </w:tr>
      <w:tr w:rsidR="00462291" w:rsidRPr="00180C46" w14:paraId="780F0386" w14:textId="77777777" w:rsidTr="003D30F0">
        <w:trPr>
          <w:trHeight w:val="528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EF9C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Cievna mozgová príhoda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F216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1B99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7BBF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−0,2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2CF3" w14:textId="77777777" w:rsidR="00462291" w:rsidRPr="00180C46" w:rsidRDefault="00462291" w:rsidP="00FC2B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−17 (−52; 9)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2298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0,2249</w:t>
            </w:r>
          </w:p>
        </w:tc>
      </w:tr>
      <w:tr w:rsidR="00462291" w:rsidRPr="00180C46" w14:paraId="203653BD" w14:textId="77777777" w:rsidTr="003D30F0">
        <w:trPr>
          <w:trHeight w:val="1310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7FE9" w14:textId="4A4421D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Úmrtnosť zo všetkých príčin, IM (s</w:t>
            </w:r>
            <w:r w:rsidR="003D30F0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vylúčením tichého IM) alebo cievna mozgová príhoda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CD1C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9,7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7F3E" w14:textId="77777777" w:rsidR="00462291" w:rsidRPr="00180C46" w:rsidRDefault="00462291" w:rsidP="00FC2B11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11,5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3FB9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59A7" w14:textId="77777777" w:rsidR="00462291" w:rsidRPr="00180C46" w:rsidRDefault="00462291" w:rsidP="00FC2B11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16 (8; 23)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0D0B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0,0001</w:t>
            </w:r>
          </w:p>
        </w:tc>
      </w:tr>
      <w:tr w:rsidR="00462291" w:rsidRPr="00180C46" w14:paraId="2DE8605C" w14:textId="77777777" w:rsidTr="003D30F0">
        <w:trPr>
          <w:trHeight w:val="1310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2CFC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KV smrť, IM celkovo, cievna mozgová príhoda, SRI, RI, TIA alebo iná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ATE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c</w:t>
            </w:r>
            <w:proofErr w:type="spell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A9A5" w14:textId="77777777" w:rsidR="00462291" w:rsidRPr="00180C46" w:rsidRDefault="00462291" w:rsidP="00FC2B11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13,8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0092" w14:textId="77777777" w:rsidR="00462291" w:rsidRPr="00180C46" w:rsidRDefault="00462291" w:rsidP="00FC2B11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15,7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D4E1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8E8A" w14:textId="77777777" w:rsidR="00462291" w:rsidRPr="00180C46" w:rsidRDefault="00462291" w:rsidP="00FC2B11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12 (5; 19)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EC99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0,0006</w:t>
            </w:r>
          </w:p>
        </w:tc>
      </w:tr>
      <w:tr w:rsidR="00462291" w:rsidRPr="00180C46" w14:paraId="4DD30B91" w14:textId="77777777" w:rsidTr="003D30F0">
        <w:trPr>
          <w:trHeight w:val="528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62CF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Úmrtnosť zo všetkých príčin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6F0A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4,3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8788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5,4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4F64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60C8" w14:textId="77777777" w:rsidR="00462291" w:rsidRPr="00180C46" w:rsidRDefault="00462291" w:rsidP="00FC2B11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22 (11; 31)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AE00" w14:textId="77777777" w:rsidR="00462291" w:rsidRPr="00180C46" w:rsidRDefault="00462291" w:rsidP="00FC2B11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0,0003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d</w:t>
            </w:r>
          </w:p>
        </w:tc>
      </w:tr>
      <w:tr w:rsidR="00462291" w:rsidRPr="00180C46" w14:paraId="0226526E" w14:textId="77777777" w:rsidTr="003D30F0">
        <w:trPr>
          <w:trHeight w:val="533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A426" w14:textId="77777777" w:rsidR="00462291" w:rsidRPr="00180C46" w:rsidRDefault="00462291" w:rsidP="00462291">
            <w:pPr>
              <w:ind w:right="12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Definitívna trombóza </w:t>
            </w:r>
            <w:proofErr w:type="spellStart"/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stentu</w:t>
            </w:r>
            <w:proofErr w:type="spell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3EA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A73E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CA32" w14:textId="77777777" w:rsidR="00462291" w:rsidRPr="00180C46" w:rsidRDefault="00462291" w:rsidP="00FC2B11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9D62" w14:textId="77777777" w:rsidR="00462291" w:rsidRPr="00180C46" w:rsidRDefault="00462291" w:rsidP="00FC2B11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32 (8; 49)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7B6F" w14:textId="77777777" w:rsidR="00462291" w:rsidRPr="00180C46" w:rsidRDefault="00462291" w:rsidP="00FC2B11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0,0123</w:t>
            </w:r>
            <w:r w:rsidRPr="00180C46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sk-SK"/>
              </w:rPr>
              <w:t>d</w:t>
            </w:r>
          </w:p>
        </w:tc>
      </w:tr>
    </w:tbl>
    <w:p w14:paraId="4429B6A3" w14:textId="77777777" w:rsidR="00A02021" w:rsidRPr="00A02021" w:rsidRDefault="00462291" w:rsidP="00A02021">
      <w:pPr>
        <w:spacing w:after="0" w:line="240" w:lineRule="auto"/>
        <w:ind w:left="567" w:right="35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A02021">
        <w:rPr>
          <w:rFonts w:ascii="Times New Roman" w:eastAsia="Times New Roman" w:hAnsi="Times New Roman" w:cs="Times New Roman"/>
          <w:color w:val="000000"/>
          <w:vertAlign w:val="superscript"/>
          <w:lang w:val="sk-SK" w:eastAsia="en-GB"/>
        </w:rPr>
        <w:t>a</w:t>
      </w:r>
      <w:r w:rsidR="00A02021">
        <w:rPr>
          <w:rFonts w:ascii="Times New Roman" w:eastAsia="Times New Roman" w:hAnsi="Times New Roman" w:cs="Times New Roman"/>
          <w:color w:val="000000"/>
          <w:vertAlign w:val="superscript"/>
          <w:lang w:val="sk-SK" w:eastAsia="en-GB"/>
        </w:rPr>
        <w:tab/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ARR</w:t>
      </w:r>
      <w:r w:rsidR="00C02F98"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zníženie absolútneho rizika; RRR</w:t>
      </w:r>
      <w:r w:rsidR="00C02F98"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zníženie relatívneho rizika</w:t>
      </w:r>
      <w:r w:rsidR="00C02F98"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(1 − pomer rizika) x 100 %. Hodnoty s negatívnym RRR naznačujú zvýšenie relatívneho rizika.</w:t>
      </w:r>
    </w:p>
    <w:p w14:paraId="1334F82A" w14:textId="0F505E50" w:rsidR="00462291" w:rsidRPr="00A02021" w:rsidRDefault="00462291" w:rsidP="00A02021">
      <w:pPr>
        <w:spacing w:after="0" w:line="240" w:lineRule="auto"/>
        <w:ind w:left="567" w:right="35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>b</w:t>
      </w:r>
      <w:r w:rsidR="00A02021" w:rsidRPr="00A020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ab/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S vylúčením tichého IM.</w:t>
      </w:r>
    </w:p>
    <w:p w14:paraId="7221318F" w14:textId="60BB70D7" w:rsidR="00462291" w:rsidRPr="00A02021" w:rsidRDefault="00462291" w:rsidP="00A020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>c</w:t>
      </w:r>
      <w:r w:rsidR="00A02021" w:rsidRPr="00A020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ab/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SRI</w:t>
      </w:r>
      <w:r w:rsidR="00C02F98"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ťažká 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rekurentná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ischémia (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serious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recurrent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ischaemia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); RI</w:t>
      </w:r>
      <w:r w:rsidR="00C02F98"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rekurentná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ischémia (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recurrent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ischaemia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); TIA</w:t>
      </w:r>
      <w:r w:rsidR="00C02F98"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prechodný ischemický záchvat (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transient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ischaemic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attack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); ATE</w:t>
      </w:r>
      <w:r w:rsidR="00C02F98"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arteriálna 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trombotická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príhoda. IM celkovo zahŕňa tichý IM, s dátumom, kedy bol zistený.</w:t>
      </w:r>
    </w:p>
    <w:p w14:paraId="7E7724AB" w14:textId="11E4DFFE" w:rsidR="00462291" w:rsidRPr="00A02021" w:rsidRDefault="00462291" w:rsidP="00A020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>d</w:t>
      </w:r>
      <w:r w:rsidR="00A02021" w:rsidRPr="00A020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sk-SK" w:eastAsia="en-GB"/>
        </w:rPr>
        <w:tab/>
      </w:r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Nominálna hladina významnosti (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significance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</w:t>
      </w:r>
      <w:proofErr w:type="spellStart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value</w:t>
      </w:r>
      <w:proofErr w:type="spellEnd"/>
      <w:r w:rsidRPr="00A02021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); všetky ostatné sú formálne štatisticky významné vopred definovaným hierarchickým testovaním.</w:t>
      </w:r>
    </w:p>
    <w:p w14:paraId="3BC6BFB7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2B5923E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lastRenderedPageBreak/>
        <w:t xml:space="preserve">Genetická </w:t>
      </w:r>
      <w:proofErr w:type="spellStart"/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podštúdia</w:t>
      </w:r>
      <w:proofErr w:type="spellEnd"/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 xml:space="preserve"> štúdie PLATO</w:t>
      </w:r>
    </w:p>
    <w:p w14:paraId="1AB8284C" w14:textId="5D2F27F8" w:rsidR="00462291" w:rsidRPr="00180C46" w:rsidRDefault="00462291" w:rsidP="00462291">
      <w:pPr>
        <w:spacing w:after="0" w:line="240" w:lineRule="auto"/>
        <w:ind w:right="170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Genotypizáciou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CYP2C19 a ABCB1 u</w:t>
      </w:r>
      <w:r w:rsidR="00A02021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10</w:t>
      </w:r>
      <w:r w:rsidR="00A02021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285 pacientov v štúdii PLATO sa zistili súvislosti medzi skupinami genotypu a výsledkami štúdie PLATO. Lepší účinok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oproti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znížení výskytu závažných KV príhod nebol významne ovplyvnený genotypom CYP2C19 alebo ABCB1 pacienta. Podobne ako v celej štúdii PLATO sa celkový výskyt veľkých krvácaní podľa definície PLATO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neodlišoval, bez ohľadu na genotyp CYP2C19 alebo ABCB1. Výskyt veľkých krvácaní podľa definície PLATO nesúvisiacich s CABG bol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porovnaní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zvýšený u pacientov s jednou alebo viacerými nefunkčnými alelami CYP2C19, ale podobný ako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pacientov bez nefunkčnej alely.</w:t>
      </w:r>
    </w:p>
    <w:p w14:paraId="25EEA1EF" w14:textId="77777777" w:rsidR="00462291" w:rsidRPr="00180C46" w:rsidRDefault="00462291" w:rsidP="00462291">
      <w:pPr>
        <w:spacing w:after="0" w:line="240" w:lineRule="auto"/>
        <w:ind w:right="17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EC71BC0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Združený ukazovateľ účinnosti a bezpečnosti</w:t>
      </w:r>
    </w:p>
    <w:p w14:paraId="47806AFE" w14:textId="69611204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Združený ukazovateľ účinnosti a bezpečnosti (KV smrť, IM, cievna mozgová príhoda alebo veľké krvácanie podľa definície PLATO celkovo) naznačuje, že klinický prínos účinnosti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porovnaní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nie je kompenzovaný udalosťami súvisiacimi s veľkým krvácaním (ARR 1,4 %, RRR 8 %, HR 0,92; p</w:t>
      </w:r>
      <w:r w:rsidR="00C02F9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=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0,0257) v priebehu 12 mesiacov od AKS.</w:t>
      </w:r>
    </w:p>
    <w:p w14:paraId="24956EBD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3C601AF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Klinická bezpečnosť</w:t>
      </w:r>
    </w:p>
    <w:p w14:paraId="2E3B52D1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Podštúdia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Holterovým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monitorovaním:</w:t>
      </w:r>
    </w:p>
    <w:p w14:paraId="34E4F744" w14:textId="6B25BFCE" w:rsidR="00462291" w:rsidRPr="00180C46" w:rsidRDefault="00462291" w:rsidP="00462291">
      <w:pPr>
        <w:spacing w:after="0" w:line="240" w:lineRule="auto"/>
        <w:ind w:right="321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Na sledovanie výskytu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ventrikulárnych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páuz a iných epizód arytmií počas štúdie PLATO skúšajúci vykonali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Holterovo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monitorovanie u podskupiny takmer 3</w:t>
      </w:r>
      <w:r w:rsidR="00E53A11">
        <w:rPr>
          <w:rFonts w:ascii="Times New Roman" w:eastAsia="Times New Roman" w:hAnsi="Times New Roman" w:cs="Times New Roman"/>
          <w:color w:val="000000"/>
          <w:lang w:val="en-US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000 pacientov, z ktorých približne 2</w:t>
      </w:r>
      <w:r w:rsidR="00F553F4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000 malo záznam aj v akútnej fáze ich AKS a aj po jednom mesiaci. Primárnym sledovaným ukazovateľom bol výskyt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ventrikulárnych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páuz ≥</w:t>
      </w:r>
      <w:r w:rsidR="00F553F4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3</w:t>
      </w:r>
      <w:r w:rsidR="00F553F4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sekundy.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Ventrikulárne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pauzy sa u pacientov v akútnej fáze vyskytovali častejšie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(6,0 %) ako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(3,5 %); a po 1</w:t>
      </w:r>
      <w:r w:rsidR="00F553F4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mesiaci to bolo 2,2 %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1,6 %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(pozri časť 4.4). Nárast výskytu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ventrikulárnych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páuz v akútnej fáze AKS bol v skupine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výraznejší u pacientov s chronickým srdcovým zlyhávaním (CHF) v anamnéze (9,2 % oproti 5,4 % u pacientov bez CHF v anamnéze; v skupine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to bolo 4,0 % u pacientov s CHF v anamnéze oproti 3,6 % u pacientov bez CHF v anamnéze). Tento rozdiel sa po 1</w:t>
      </w:r>
      <w:r w:rsidR="00F553F4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mesiaci nevyskytoval: 2,0 % oproti 2,1 %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pre pacientov s a bez CHF v anamnéze a 3,8 % oproti 1,4 %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klopidogrele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Tento rozdiel nesúvisel so žiadnymi nežiaducimi klinickými dôsledkami (vrátane zavedenia kardiostimulátora) v tejto populácii pacientov.</w:t>
      </w:r>
    </w:p>
    <w:p w14:paraId="4EEEAF4A" w14:textId="77777777" w:rsidR="00462291" w:rsidRPr="00180C46" w:rsidRDefault="00462291" w:rsidP="00462291">
      <w:pPr>
        <w:spacing w:after="0" w:line="240" w:lineRule="auto"/>
        <w:ind w:right="321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5C77D94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Štúdia PEGASUS (anamnéza infarktu myokardu)</w:t>
      </w:r>
    </w:p>
    <w:p w14:paraId="41296C7C" w14:textId="02514928" w:rsidR="00462291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Štúdia PEGASUS TIMI-54 bola medzinárodná,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multicentrická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randomizovaná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dvojito zaslepená, placebom kontrolovaná štúdia s paralelnou skupinou a</w:t>
      </w:r>
      <w:r w:rsidR="00F553F4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 dĺžkou určenou počtom udalostí potrebných pre štatistické vyhodnotenie (event-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driven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), zahŕňajúca 21 162 pacientov, ktorá hodnotila prevenciu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 pri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podávanom v 2 dávkach (buď 90 mg dvakrát denne alebo 60 mg dvakrát denne) v kombinácii s nízkou dávkou ASA (75 – 150 mg), v porovnaní s liečbou samotnou ASA u pacientov s IM v anamnéze a ďalšími rizikovými faktormi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aterotrombózy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0370440C" w14:textId="77777777" w:rsidR="00F553F4" w:rsidRPr="00180C46" w:rsidRDefault="00F553F4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D33A317" w14:textId="77777777" w:rsidR="00462291" w:rsidRPr="00180C46" w:rsidRDefault="00462291" w:rsidP="00462291">
      <w:pPr>
        <w:spacing w:after="0" w:line="240" w:lineRule="auto"/>
        <w:ind w:right="123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Pacienti boli vhodní na zaradenie do štúdie, ak boli vo veku 50 rokov alebo starší, mali IM v anamnéze (1 až 3 roky pred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randomizáciou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) a mali aspoň jeden z nasledujúcich rizikových faktorov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aterotrombózy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: vek ≥ 65 rokov, diabetes mellitus vyžadujúci liečbu, druhý predchádzajúci IM, potvrdenú CAD postihujúcu viaceré cievy alebo chronickú dysfunkciu obličiek v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non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-terminálnom štádiu.</w:t>
      </w:r>
    </w:p>
    <w:p w14:paraId="7104A595" w14:textId="77777777" w:rsidR="00462291" w:rsidRPr="00180C46" w:rsidRDefault="00462291" w:rsidP="00462291">
      <w:pPr>
        <w:spacing w:after="0" w:line="240" w:lineRule="auto"/>
        <w:ind w:right="123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A514BA0" w14:textId="2844723C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Pacienti neboli vhodní na zaradenie do štúdie, ak sa u nich počas obdobia štúdie plánoval použiť antagonista receptorov P2Y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12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dipyridamol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cilostazol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antikoagulačná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liečba; ak mali krvácavú poruchu alebo ischemickú cievnu mozgovú príhodu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krvácanie v anamnéze, nádor centrálneho nervového systému alebo abnormalitu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intrakraniálnych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ciev; ak mali v priebehu predchádzajúcich 6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mesiacov gastrointestinálne krvácanie alebo veľký chirurgický zákrok v priebehu predchádzajúcich 30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dní.</w:t>
      </w:r>
    </w:p>
    <w:p w14:paraId="7BCF14C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25C5C4C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Klinická účinnosť</w:t>
      </w:r>
    </w:p>
    <w:p w14:paraId="69B5CEF4" w14:textId="77777777" w:rsidR="00F553F4" w:rsidRPr="00F553F4" w:rsidRDefault="00F553F4" w:rsidP="00F553F4">
      <w:pPr>
        <w:tabs>
          <w:tab w:val="left" w:pos="1134"/>
        </w:tabs>
        <w:spacing w:after="5"/>
        <w:rPr>
          <w:rFonts w:ascii="Times New Roman" w:eastAsia="Times New Roman" w:hAnsi="Times New Roman" w:cs="Times New Roman"/>
          <w:bCs/>
          <w:color w:val="000000"/>
          <w:lang w:val="sk-SK" w:eastAsia="en-GB"/>
        </w:rPr>
      </w:pPr>
    </w:p>
    <w:p w14:paraId="3C4DB955" w14:textId="20048D84" w:rsidR="00462291" w:rsidRPr="00180C46" w:rsidRDefault="00462291" w:rsidP="00F553F4">
      <w:pPr>
        <w:tabs>
          <w:tab w:val="left" w:pos="1134"/>
        </w:tabs>
        <w:spacing w:after="5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Obrázok 2</w:t>
      </w:r>
      <w:r w:rsidR="00F553F4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Analýza primárneho klinického združeného koncového ukazovateľa KV smrti, IM a cievnej mozgovej príhody (štúdia PEGASUS)</w:t>
      </w:r>
    </w:p>
    <w:p w14:paraId="0CCBD709" w14:textId="342EA22C" w:rsidR="00462291" w:rsidRPr="00180C46" w:rsidRDefault="001E527F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val="sk-SK" w:eastAsia="sk-SK"/>
        </w:rPr>
        <w:lastRenderedPageBreak/>
        <w:drawing>
          <wp:inline distT="0" distB="0" distL="0" distR="0" wp14:anchorId="2DBA53B8" wp14:editId="5AA70BCC">
            <wp:extent cx="5416550" cy="3390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91237" w14:textId="77777777" w:rsidR="00F553F4" w:rsidRPr="00F553F4" w:rsidRDefault="00F553F4" w:rsidP="00F553F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sk-SK" w:eastAsia="en-GB"/>
        </w:rPr>
      </w:pPr>
    </w:p>
    <w:p w14:paraId="03052FFE" w14:textId="297AD20D" w:rsidR="00462291" w:rsidRPr="00180C46" w:rsidRDefault="00462291" w:rsidP="001E527F">
      <w:pPr>
        <w:keepNext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Tabuľka 5</w:t>
      </w:r>
      <w:r w:rsidR="00F553F4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Analýza primárnych a sekundárnych koncových ukazovateľov účinnosti (štúdia PEGASUS)</w:t>
      </w:r>
    </w:p>
    <w:tbl>
      <w:tblPr>
        <w:tblStyle w:val="TableGrid"/>
        <w:tblW w:w="9288" w:type="dxa"/>
        <w:tblInd w:w="-110" w:type="dxa"/>
        <w:tblCellMar>
          <w:top w:w="47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1678"/>
        <w:gridCol w:w="1443"/>
        <w:gridCol w:w="953"/>
        <w:gridCol w:w="1396"/>
        <w:gridCol w:w="1443"/>
        <w:gridCol w:w="1169"/>
        <w:gridCol w:w="1206"/>
      </w:tblGrid>
      <w:tr w:rsidR="00462291" w:rsidRPr="00180C46" w14:paraId="4F85C0F8" w14:textId="77777777" w:rsidTr="00773327">
        <w:trPr>
          <w:trHeight w:val="46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CDD4" w14:textId="77777777" w:rsidR="00462291" w:rsidRPr="00180C46" w:rsidRDefault="00462291" w:rsidP="001E527F">
            <w:pPr>
              <w:keepNext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44D0" w14:textId="32D0048D" w:rsidR="00462291" w:rsidRPr="00180C46" w:rsidRDefault="00462291" w:rsidP="001E527F">
            <w:pPr>
              <w:keepNext/>
              <w:ind w:right="130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proofErr w:type="spellStart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tikagrelor</w:t>
            </w:r>
            <w:proofErr w:type="spellEnd"/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 xml:space="preserve"> 60 mg dvakrát denne + ASA </w:t>
            </w:r>
            <w:r w:rsidR="008C7D18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n</w:t>
            </w:r>
            <w:r w:rsidR="00C02F98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 = 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7</w:t>
            </w:r>
            <w:r w:rsidR="008C7D18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045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C7A4" w14:textId="74108014" w:rsidR="00462291" w:rsidRPr="00180C46" w:rsidRDefault="00462291" w:rsidP="001E527F">
            <w:pPr>
              <w:keepNext/>
              <w:ind w:right="562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 xml:space="preserve">samotná ASA </w:t>
            </w:r>
            <w:r w:rsidR="008C7D18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n</w:t>
            </w:r>
            <w:r w:rsidR="00C02F98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 = 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7</w:t>
            </w:r>
            <w:r w:rsidR="008C7D18"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 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067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9D85" w14:textId="77777777" w:rsidR="00462291" w:rsidRPr="00180C46" w:rsidRDefault="00462291" w:rsidP="001E527F">
            <w:pPr>
              <w:keepNext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  <w:t>p</w:t>
            </w: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-hodnota</w:t>
            </w:r>
          </w:p>
        </w:tc>
      </w:tr>
      <w:tr w:rsidR="00462291" w:rsidRPr="00180C46" w14:paraId="5B1659AB" w14:textId="77777777" w:rsidTr="00773327">
        <w:trPr>
          <w:trHeight w:val="47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D923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Charakteristika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F4E5" w14:textId="77777777" w:rsidR="00462291" w:rsidRPr="00180C46" w:rsidRDefault="00462291" w:rsidP="00F553F4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Pacienti s udalosťami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E595" w14:textId="77777777" w:rsidR="00462291" w:rsidRPr="00180C46" w:rsidRDefault="00462291" w:rsidP="00F553F4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KM 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70A7" w14:textId="77777777" w:rsidR="00462291" w:rsidRPr="00180C46" w:rsidRDefault="00462291" w:rsidP="00F553F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HR</w:t>
            </w:r>
          </w:p>
          <w:p w14:paraId="7CBF8351" w14:textId="77777777" w:rsidR="00462291" w:rsidRPr="00180C46" w:rsidRDefault="00462291" w:rsidP="00F553F4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(95 % IS)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B3A9" w14:textId="77777777" w:rsidR="00462291" w:rsidRPr="00180C46" w:rsidRDefault="00462291" w:rsidP="00F553F4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Pacienti s udalosťami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3056" w14:textId="77777777" w:rsidR="00462291" w:rsidRPr="00180C46" w:rsidRDefault="00462291" w:rsidP="00F553F4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b/>
                <w:color w:val="000000"/>
                <w:lang w:val="sk-SK"/>
              </w:rPr>
              <w:t>KM 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3A31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</w:p>
        </w:tc>
      </w:tr>
      <w:tr w:rsidR="00773327" w:rsidRPr="00180C46" w14:paraId="35EFDA13" w14:textId="77777777" w:rsidTr="00C951FB">
        <w:trPr>
          <w:trHeight w:val="240"/>
        </w:trPr>
        <w:tc>
          <w:tcPr>
            <w:tcW w:w="9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C96B" w14:textId="1114299D" w:rsidR="00773327" w:rsidRPr="00180C46" w:rsidRDefault="00773327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Primárny koncový ukazovateľ</w:t>
            </w:r>
          </w:p>
        </w:tc>
      </w:tr>
      <w:tr w:rsidR="00462291" w:rsidRPr="00180C46" w14:paraId="4CF01246" w14:textId="77777777" w:rsidTr="00773327">
        <w:trPr>
          <w:trHeight w:val="1162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90AC" w14:textId="0D9CAB7D" w:rsidR="00462291" w:rsidRPr="00180C46" w:rsidRDefault="00462291" w:rsidP="00F553F4">
            <w:pPr>
              <w:ind w:right="47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Združený pre KV </w:t>
            </w:r>
          </w:p>
          <w:p w14:paraId="7BA3ED3F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smrť/IM/cievnu mozgovú príhodu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9720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487 (6,9 %)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8F9A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7,8 %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1D49" w14:textId="77777777" w:rsidR="00773327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0,84</w:t>
            </w:r>
          </w:p>
          <w:p w14:paraId="4554CCC7" w14:textId="3794E46E" w:rsidR="00462291" w:rsidRPr="00180C46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(0,74; 0,95)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D338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578 (8,2 %)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FEE3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9,0 %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0163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0,0043 (s)</w:t>
            </w:r>
          </w:p>
        </w:tc>
      </w:tr>
      <w:tr w:rsidR="00462291" w:rsidRPr="00180C46" w14:paraId="3A8D0097" w14:textId="77777777" w:rsidTr="00773327">
        <w:trPr>
          <w:trHeight w:val="47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E311" w14:textId="77777777" w:rsidR="00462291" w:rsidRPr="00180C46" w:rsidRDefault="00462291" w:rsidP="00462291">
            <w:pPr>
              <w:ind w:right="37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KV smrť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E2A2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174 (2,5 %)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4A6E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2,9 %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E2E4" w14:textId="77777777" w:rsidR="00773327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0,83</w:t>
            </w:r>
          </w:p>
          <w:p w14:paraId="3A130EE4" w14:textId="3141A417" w:rsidR="00462291" w:rsidRPr="00180C46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(0,68; 1,01)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0BC3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210 (3,0 %)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DD88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3,4 %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6BE6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0,0676</w:t>
            </w:r>
          </w:p>
        </w:tc>
      </w:tr>
      <w:tr w:rsidR="00462291" w:rsidRPr="00180C46" w14:paraId="3843B914" w14:textId="77777777" w:rsidTr="00773327">
        <w:trPr>
          <w:trHeight w:val="47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76DF" w14:textId="77777777" w:rsidR="00462291" w:rsidRPr="00180C46" w:rsidRDefault="00462291" w:rsidP="00462291">
            <w:pPr>
              <w:ind w:right="40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IM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36EE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285 (4,0 %)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3436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4,5 %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F3E0" w14:textId="77777777" w:rsidR="00773327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0,84</w:t>
            </w:r>
          </w:p>
          <w:p w14:paraId="6E58B6BC" w14:textId="5D7E6232" w:rsidR="00462291" w:rsidRPr="00180C46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(0,72; 0,98)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3033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338 (4,8 %)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EF90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5,2 %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5BC1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0,0314</w:t>
            </w:r>
          </w:p>
        </w:tc>
      </w:tr>
      <w:tr w:rsidR="00462291" w:rsidRPr="00180C46" w14:paraId="3A37A516" w14:textId="77777777" w:rsidTr="00773327">
        <w:trPr>
          <w:trHeight w:val="47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166D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Cievna mozgová príhoda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051F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91 (1,3 %)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78F0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1,5 %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92B1" w14:textId="77777777" w:rsidR="00773327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0,75</w:t>
            </w:r>
          </w:p>
          <w:p w14:paraId="312A60A3" w14:textId="666DA3EC" w:rsidR="00462291" w:rsidRPr="00180C46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(0,57; 0,98)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11B3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122 (1,7 %)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DA9F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1,9 %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AA06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0,0337</w:t>
            </w:r>
          </w:p>
        </w:tc>
      </w:tr>
      <w:tr w:rsidR="00773327" w:rsidRPr="00180C46" w14:paraId="2E603560" w14:textId="77777777" w:rsidTr="00773327">
        <w:trPr>
          <w:trHeight w:val="240"/>
        </w:trPr>
        <w:tc>
          <w:tcPr>
            <w:tcW w:w="9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94B2" w14:textId="7CC52C4F" w:rsidR="00773327" w:rsidRPr="00180C46" w:rsidRDefault="00773327" w:rsidP="00773327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Sekundárny koncový ukazovateľ</w:t>
            </w:r>
          </w:p>
        </w:tc>
      </w:tr>
      <w:tr w:rsidR="00462291" w:rsidRPr="00180C46" w14:paraId="143C034E" w14:textId="77777777" w:rsidTr="00773327">
        <w:trPr>
          <w:trHeight w:val="47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6D01" w14:textId="77777777" w:rsidR="00462291" w:rsidRPr="00180C46" w:rsidRDefault="00462291" w:rsidP="00462291">
            <w:pPr>
              <w:ind w:right="37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KV smrť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A3FD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174 (2,5 %)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1EF0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2,9 %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3E35" w14:textId="77777777" w:rsidR="00773327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0,83</w:t>
            </w:r>
          </w:p>
          <w:p w14:paraId="165DCB1C" w14:textId="3E744498" w:rsidR="00462291" w:rsidRPr="00180C46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(0,68; 1,01)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B68F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210 (3,0 %)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4712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3,4 %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3D15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-</w:t>
            </w:r>
          </w:p>
        </w:tc>
      </w:tr>
      <w:tr w:rsidR="00462291" w:rsidRPr="00180C46" w14:paraId="4FC31C0A" w14:textId="77777777" w:rsidTr="00773327">
        <w:trPr>
          <w:trHeight w:val="59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9569" w14:textId="77777777" w:rsidR="00462291" w:rsidRPr="00180C46" w:rsidRDefault="00462291" w:rsidP="00462291">
            <w:pPr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Úmrtnosť zo všetkých príčin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C154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289 (4,1 %)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615F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4,7 %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0F0C" w14:textId="77777777" w:rsidR="00773327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0,89</w:t>
            </w:r>
          </w:p>
          <w:p w14:paraId="0D1859A6" w14:textId="1F684000" w:rsidR="00462291" w:rsidRPr="00180C46" w:rsidRDefault="00462291" w:rsidP="008C7D18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(0,76; 1,04)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EA80" w14:textId="77777777" w:rsidR="00462291" w:rsidRPr="00180C46" w:rsidRDefault="00462291" w:rsidP="008C7D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326 (4,6 %)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2F5B" w14:textId="77777777" w:rsidR="00462291" w:rsidRPr="00180C46" w:rsidRDefault="00462291" w:rsidP="008C7D18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5,2 %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7D78" w14:textId="77777777" w:rsidR="00462291" w:rsidRPr="00180C46" w:rsidRDefault="00462291" w:rsidP="008C7D1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val="sk-SK"/>
              </w:rPr>
            </w:pPr>
            <w:r w:rsidRPr="00180C46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-</w:t>
            </w:r>
          </w:p>
        </w:tc>
      </w:tr>
    </w:tbl>
    <w:p w14:paraId="0B17955C" w14:textId="11960194" w:rsidR="00462291" w:rsidRPr="00773327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Pomer rizika (HR) a </w:t>
      </w:r>
      <w:r w:rsidRPr="0077332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sk-SK" w:eastAsia="en-GB"/>
        </w:rPr>
        <w:t>p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-hodnota sú vypočítané osobitne pre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tikagrelor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oproti liečbe samotnou ASA na</w:t>
      </w:r>
      <w:r w:rsidR="00773327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základe 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Coxovho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modelu proporcionálneho rizika s liečebnou skupinou ako jedinou vysvetľujúcou premennou.</w:t>
      </w:r>
    </w:p>
    <w:p w14:paraId="22C9A937" w14:textId="1ED57500" w:rsidR="00462291" w:rsidRPr="00773327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Percentá KM vypočítané po 36</w:t>
      </w:r>
      <w:r w:rsidR="008C7D18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mesiacoch.</w:t>
      </w:r>
    </w:p>
    <w:p w14:paraId="2D6D5EB3" w14:textId="77777777" w:rsidR="00462291" w:rsidRPr="00773327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Poznámka: počty prvých udalostí pre zložky KV smrť, IM a cievna mozgová príhoda sú skutočné počty prvých udalostí pre každú zo zložiek a nesčítavajú sa do počtu udalostí v združenom koncovom ukazovateli.</w:t>
      </w:r>
    </w:p>
    <w:p w14:paraId="57D6C9F3" w14:textId="77777777" w:rsidR="00462291" w:rsidRPr="00773327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(s) Predstavuje štatistickú významnosť (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significance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).</w:t>
      </w:r>
    </w:p>
    <w:p w14:paraId="4E14CA30" w14:textId="746E96DE" w:rsidR="00462291" w:rsidRPr="00773327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</w:pP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IS</w:t>
      </w:r>
      <w:r w:rsidR="00C02F98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interval spoľahlivosti; KV</w:t>
      </w:r>
      <w:r w:rsidR="00C02F98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kardiovaskulárna; HR</w:t>
      </w:r>
      <w:r w:rsidR="00C02F98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pomer rizika; KM</w:t>
      </w:r>
      <w:r w:rsidR="00C02F98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proofErr w:type="spellStart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Kaplanov-Meierov</w:t>
      </w:r>
      <w:proofErr w:type="spellEnd"/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 xml:space="preserve"> odhad; IM</w:t>
      </w:r>
      <w:r w:rsidR="00C02F98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infarkt myokardu; N</w:t>
      </w:r>
      <w:r w:rsidR="00C02F98"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 = </w:t>
      </w:r>
      <w:r w:rsidRPr="00773327">
        <w:rPr>
          <w:rFonts w:ascii="Times New Roman" w:eastAsia="Times New Roman" w:hAnsi="Times New Roman" w:cs="Times New Roman"/>
          <w:color w:val="000000"/>
          <w:sz w:val="20"/>
          <w:szCs w:val="20"/>
          <w:lang w:val="sk-SK" w:eastAsia="en-GB"/>
        </w:rPr>
        <w:t>počet pacientov.</w:t>
      </w:r>
    </w:p>
    <w:p w14:paraId="519EC2ED" w14:textId="77777777" w:rsidR="00773327" w:rsidRPr="00180C46" w:rsidRDefault="00773327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E9D81CF" w14:textId="2C271C37" w:rsidR="00462291" w:rsidRDefault="00462291" w:rsidP="00462291">
      <w:pPr>
        <w:spacing w:after="0" w:line="240" w:lineRule="auto"/>
        <w:ind w:right="238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>Oba režimy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60 mg dvakrát denne a 90 mg dvakrát denne, v kombinácii s ASA preukázali lepší účinok v prevencii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 v porovnaní so samotnou ASA (združený koncový ukazovateľ: KV smrť, IM a cievna mozgová príhoda), s konzistentným účinkom liečby počas celého obdobia štúdie a dosiahnutím RRR 16 % a ARR 1,27 % pre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RRR 15 % a ARR 1,19 % pre 90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73722552" w14:textId="77777777" w:rsidR="000010FB" w:rsidRPr="00180C46" w:rsidRDefault="000010FB" w:rsidP="00462291">
      <w:pPr>
        <w:spacing w:after="0" w:line="240" w:lineRule="auto"/>
        <w:ind w:right="238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B89AB07" w14:textId="0A8C77BB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Hoci bol profil účinnosti 90 mg a 60 mg dávky podobný, bolo dokázané, že nižšia dávka je lepšie znášaná a má lepší bezpečnostný profil v súvislosti s rizikom krvácania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dyspnoe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Preto sa na prevenciu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 (KV smrť, IM a cievna mozgová príhoda) u pacientov s IM v anamnéze a vysokým rizikom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aterotrombotickej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príhody odporúča iba </w:t>
      </w:r>
      <w:proofErr w:type="spellStart"/>
      <w:r w:rsidR="00C951FB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60 mg dvakrát denne podávaný súbežne s ASA.</w:t>
      </w:r>
    </w:p>
    <w:p w14:paraId="38597D55" w14:textId="77777777" w:rsidR="000010FB" w:rsidRDefault="000010FB" w:rsidP="00462291">
      <w:pPr>
        <w:spacing w:after="0" w:line="240" w:lineRule="auto"/>
        <w:ind w:right="277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B731AA9" w14:textId="71C7A0B7" w:rsidR="00462291" w:rsidRPr="00180C46" w:rsidRDefault="00462291" w:rsidP="00462291">
      <w:pPr>
        <w:spacing w:after="0" w:line="240" w:lineRule="auto"/>
        <w:ind w:right="27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0010F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porovnaní so samotnou ASA,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dávke 60 mg dvakrát denne významne znížil primárny združený koncový ukazovateľ KV smrti, IM a cievnej mozgovej príhody. Každá zo zložiek prispela k zníženiu primárneho združeného koncového ukazovateľa (RRR KV smrti 17 %, RRR IM 16 % a RRR cievnej mozgovej príhody 25 %).</w:t>
      </w:r>
    </w:p>
    <w:p w14:paraId="51BA0DB9" w14:textId="77777777" w:rsidR="000010FB" w:rsidRDefault="000010FB" w:rsidP="00462291">
      <w:pPr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9D2AD8C" w14:textId="7A8B4702" w:rsidR="00462291" w:rsidRPr="00180C46" w:rsidRDefault="00462291" w:rsidP="00462291">
      <w:pPr>
        <w:spacing w:after="0" w:line="240" w:lineRule="auto"/>
        <w:ind w:right="99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RRR pre združený koncový ukazovateľ od 1. do 360.</w:t>
      </w:r>
      <w:r w:rsidR="000010F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dňa (RRR 17 %) a od 361. dňa ďalej (RRR 16 %) bolo podobné. K dispozícii sú obmedzené údaje o účinnosti a bezpečnosti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za</w:t>
      </w:r>
      <w:r w:rsidR="000010F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3 roky predĺženej liečby.</w:t>
      </w:r>
    </w:p>
    <w:p w14:paraId="391FF076" w14:textId="77777777" w:rsidR="000010FB" w:rsidRDefault="000010FB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25899EA" w14:textId="6986547D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Nebol nájdený žiadny dôkaz o prínose (neprišlo k zníženiu primárneho koncového ukazovateľa zloženého z KV úmrtia, infarktu myokardu a cievnej mozgovej príhody, ale zvýšeniu závažného krvácania), pri užívaní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60 mg dvakrát denne u klinicky stabilných pacientov &gt; 2 roky od</w:t>
      </w:r>
      <w:r w:rsidR="000010F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infarktu myokardu alebo viac ako jeden rok po ukončení predchádzajúcej liečby inhibítorom receptora ADP (pozri tiež časť 4.2).</w:t>
      </w:r>
    </w:p>
    <w:p w14:paraId="4C159FD7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4A1E26E" w14:textId="77777777" w:rsidR="00462291" w:rsidRPr="00180C46" w:rsidRDefault="00462291" w:rsidP="0046229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>Klinická bezpečnosť</w:t>
      </w:r>
    </w:p>
    <w:p w14:paraId="01788250" w14:textId="77777777" w:rsidR="00462291" w:rsidRPr="00180C46" w:rsidRDefault="00462291" w:rsidP="00462291">
      <w:pPr>
        <w:spacing w:after="0" w:line="240" w:lineRule="auto"/>
        <w:ind w:right="204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Počet prerušení liečby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60 mg kvôli krvácaniu a dýchavičnosti bola vyššia u pacientov &gt; 75 rokov (42 %) ako u mladších pacientov (rozmedzie: 23 – 31 %), s rozdielom v porovnaní s placebom vyšším ako 10 % (42 %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29 %), u pacientov &gt; 75 rokov.</w:t>
      </w:r>
    </w:p>
    <w:p w14:paraId="072BDD5B" w14:textId="77777777" w:rsidR="00462291" w:rsidRPr="00180C46" w:rsidRDefault="00462291" w:rsidP="00462291">
      <w:pPr>
        <w:spacing w:after="0" w:line="240" w:lineRule="auto"/>
        <w:ind w:right="204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8D79891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Pediatrická populácia</w:t>
      </w:r>
    </w:p>
    <w:p w14:paraId="4204D3F8" w14:textId="368B9094" w:rsidR="00462291" w:rsidRPr="00180C46" w:rsidRDefault="00462291" w:rsidP="00462291">
      <w:pPr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randomizovanej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, dvojito zaslepenej štúdii fázy III s paralelnými skupinami (HESTIA</w:t>
      </w:r>
      <w:r w:rsidR="000010F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3) bolo 193</w:t>
      </w:r>
      <w:r w:rsidR="000010F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pediatrických pacientov (vo veku 2 rokov do menej ako 18 rokov)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kosáčikovitou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anémiou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randomizovaných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 užívanie placeba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dávkach od 15 mg do 45 mg dvakrát denne v závislosti od telesnej hmotnosti.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viedol k strednej inhibícii krvných doštičiek 35 % pred podaním dávky a 56 % inhibícii krvných doštičiek 2 hodiny po podaní dávky v rovnovážnom stave.</w:t>
      </w:r>
    </w:p>
    <w:p w14:paraId="4E44B8CB" w14:textId="77777777" w:rsidR="00462291" w:rsidRPr="00180C46" w:rsidRDefault="00462291" w:rsidP="00462291">
      <w:pPr>
        <w:spacing w:after="0" w:line="240" w:lineRule="auto"/>
        <w:ind w:right="138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D722C92" w14:textId="57DC1922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</w:t>
      </w:r>
      <w:r w:rsidR="000010FB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porovnaní s placebom sa nezaznamenal žiadny klinický prínos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miere výskytu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vazookluzívnych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kríz.</w:t>
      </w:r>
    </w:p>
    <w:p w14:paraId="6024BB4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C323FC7" w14:textId="19090B5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Európska agentúra pre lieky udelila výnimku z povinnosti predložiť výsledky štúdií s </w:t>
      </w:r>
      <w:r w:rsidR="00590828" w:rsidRPr="00590828">
        <w:rPr>
          <w:rFonts w:ascii="Times New Roman" w:eastAsia="Times New Roman" w:hAnsi="Times New Roman" w:cs="Times New Roman"/>
          <w:color w:val="000000"/>
          <w:lang w:val="sk-SK" w:eastAsia="en-GB"/>
        </w:rPr>
        <w:t>referenčný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m</w:t>
      </w:r>
      <w:r w:rsidR="00590828" w:rsidRPr="00590828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liek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om</w:t>
      </w:r>
      <w:r w:rsidR="00590828" w:rsidRPr="00590828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obsahujúci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m </w:t>
      </w:r>
      <w:proofErr w:type="spellStart"/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="00590828" w:rsidRPr="00590828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vo všetkých podskupinách pediatrickej populácie s akútnym koronárnym syndrómom (AKS) a infarktom myokardu (IM) v anamnéze (informácie o použití v pediatrickej populácii, pozri časť 4.2).</w:t>
      </w:r>
    </w:p>
    <w:p w14:paraId="2EC5A816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FCE11F5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5.2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</w:r>
      <w:proofErr w:type="spellStart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Farmakokinetické</w:t>
      </w:r>
      <w:proofErr w:type="spellEnd"/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 xml:space="preserve"> vlastnosti</w:t>
      </w:r>
    </w:p>
    <w:p w14:paraId="4F93C629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325EAEF" w14:textId="697E9B88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Farmakokinetika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lineárna a expozícia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aktívnemu metabolitu (AR-C124910XX) je približne úmerná dávke až po dávku 1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260 mg.</w:t>
      </w:r>
    </w:p>
    <w:p w14:paraId="10B2BD13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40C4B42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Absorpcia</w:t>
      </w:r>
    </w:p>
    <w:p w14:paraId="56AFF625" w14:textId="57D21E62" w:rsidR="00462291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absorpcii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dochádza rýchlo, s mediánom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približne 1,5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hodiny. Tvorba hlavného cirkulujúceho metabolitu AR-C124910XX (tiež aktívneho) z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rýchla s mediánom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približne 2,5 hodín. Po perorálnom podaní jednorazovej dávky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90 mg nalačno zdravým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 xml:space="preserve">dobrovoľníkom je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529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/ml a AUC 3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451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*h/ml. Pomer metabolit/pôvodné liečivo pre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je 0,28 a pre AUC 0,42.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Farmakokinetika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AR-C124910XX u pacientov s IM v anamnéze bola vo všeobecnosti podobná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farmakokinetike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populácii s AKS. Na základe populačnej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farmakokinetickej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analýzy štúdie PEGASUS bol medián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rovnovážnom stave 391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/ml a AUC 3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801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*h/ml pre dávku 60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Pre dávku 90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590828">
        <w:rPr>
          <w:rFonts w:ascii="Times New Roman" w:eastAsia="Times New Roman" w:hAnsi="Times New Roman" w:cs="Times New Roman"/>
          <w:color w:val="000000"/>
          <w:lang w:val="sk-SK" w:eastAsia="en-GB"/>
        </w:rPr>
        <w:t>v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rovnovážnom stave 627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/ml a AUC 6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255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*h/ml.</w:t>
      </w:r>
    </w:p>
    <w:p w14:paraId="32E48AA4" w14:textId="77777777" w:rsidR="00590828" w:rsidRPr="00180C46" w:rsidRDefault="00590828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782DB1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Priemerná absolútna biologická dostupnosť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odhadla na 36 %. Príjem potravy s vysokým obsahom tukov mal za následok zvýšenie AUC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21 % a zníženie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aktívneho metabolitu o 22 %, na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na AUC aktívneho metabolitu však nemal žiadny vplyv. Tieto malé zmeny sa považujú za klinicky minimálne významné, preto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môže užívať s jedlom alebo bez jedla.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ako aj jeho aktívny metabolit sú substrátmi P-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gp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299D9FE9" w14:textId="77777777" w:rsidR="00590828" w:rsidRDefault="00590828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21C89B4" w14:textId="26BF0B1B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, vo forme rozdrvených tabliet zmiešaných s vodou, podávaný perorálne alebo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nazogastrickou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sondou do žalúdka má porovnateľnú biologickú dostupnosť s celými tabletami s ohľadom na AUC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aktívneho metabolitu. Úvodná expozícia (0,5 a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hodinu po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podaní dávky) po podaní rozdrvených tabliet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zmiešaných s vodou bola vyššia v porovnaní s celými tabletami, pričom neskôr (o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2 až 48 hodín) bol koncentračný profil vo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všeobecnosti identický.</w:t>
      </w:r>
    </w:p>
    <w:p w14:paraId="0BDB91A4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16EEC7E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Distribúcia</w:t>
      </w:r>
    </w:p>
    <w:p w14:paraId="17733BD3" w14:textId="292EAA51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Distribučný objem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rovnovážnom stave je 87,5 l</w:t>
      </w:r>
      <w:r w:rsidR="00590828">
        <w:rPr>
          <w:rFonts w:ascii="Times New Roman" w:eastAsia="Times New Roman" w:hAnsi="Times New Roman" w:cs="Times New Roman"/>
          <w:color w:val="000000"/>
          <w:lang w:val="sk-SK" w:eastAsia="en-GB"/>
        </w:rPr>
        <w:t>itrov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aktívny metabolit sa vo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veľkej miere viaže na bielkoviny ľudskej plazmy (&gt; 99,0 %).</w:t>
      </w:r>
    </w:p>
    <w:p w14:paraId="3ACABAE9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E7156E6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Biotransformácia</w:t>
      </w:r>
      <w:proofErr w:type="spellEnd"/>
    </w:p>
    <w:p w14:paraId="2D1F740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CYP3A4 je hlavným enzýmom zodpovedným za metabolizmus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tvorbu aktívneho metabolitu a ich interakcie s inými substrátmi CYP3A sú v rozmedzí od aktivácie po inhibíciu.</w:t>
      </w:r>
    </w:p>
    <w:p w14:paraId="11212EE6" w14:textId="77777777" w:rsidR="00EE1208" w:rsidRDefault="00EE1208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AB3B692" w14:textId="63DC2FC3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Hlavným metabolitom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AR-C124910XX, ktorý je na základe dôkazu jeho väzby na doštičkový receptor P2Y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12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pre ADP v podmienkach </w:t>
      </w:r>
      <w:r w:rsidRPr="00180C46">
        <w:rPr>
          <w:rFonts w:ascii="Times New Roman" w:eastAsia="Times New Roman" w:hAnsi="Times New Roman" w:cs="Times New Roman"/>
          <w:i/>
          <w:color w:val="000000"/>
          <w:lang w:val="sk-SK" w:eastAsia="en-GB"/>
        </w:rPr>
        <w:t xml:space="preserve">in vitro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tiež aktívny. Systémová expozícia aktívnemu metabolitu predstavuje približne 30 – 40 % systémovej expozície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</w:t>
      </w:r>
    </w:p>
    <w:p w14:paraId="4B6FBA15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8429691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Eliminácia</w:t>
      </w:r>
    </w:p>
    <w:p w14:paraId="4D96F179" w14:textId="77777777" w:rsidR="00462291" w:rsidRPr="00180C46" w:rsidRDefault="00462291" w:rsidP="00462291">
      <w:pPr>
        <w:spacing w:after="0" w:line="240" w:lineRule="auto"/>
        <w:ind w:right="181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Primárnou cestou eliminácie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je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metabolizácia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pečeni. V prípade podávania rádioizotopom značeného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zachytí v priemere približne 84 % rádioizotopom značenej dávky (57,8 % v stolici, 26,5 % v moči). Detegované množstvá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aktívneho metabolitu v moči v obidvoch prípadoch predstavovali menej ako 1 % dávky. Primárnou cestou eliminácie aktívneho metabolitu je s najväčšou pravdepodobnosťou biliárna sekrécia. Priemerná hodnota t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1/2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bola približne 7 hodín a pre aktívny metabolit 8,5 hodín.</w:t>
      </w:r>
    </w:p>
    <w:p w14:paraId="32BA7CA9" w14:textId="77777777" w:rsidR="00462291" w:rsidRPr="00180C46" w:rsidRDefault="00462291" w:rsidP="00462291">
      <w:pPr>
        <w:spacing w:after="0" w:line="240" w:lineRule="auto"/>
        <w:ind w:right="181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74D20BC" w14:textId="77777777" w:rsidR="00462291" w:rsidRPr="00180C46" w:rsidRDefault="00462291" w:rsidP="004622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Osobitné skupiny pacientov</w:t>
      </w:r>
    </w:p>
    <w:p w14:paraId="24ED8EC3" w14:textId="49DA0199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Starš</w:t>
      </w:r>
      <w:r w:rsidR="003A744C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ie osoby</w:t>
      </w:r>
    </w:p>
    <w:p w14:paraId="488A86BC" w14:textId="4942BF0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starších osôb (≥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75 rokov) s AKS v porovnaní s mladšími pacientmi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farmakokinetickou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analýzou populácie zistilo zvýšenie expozície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(približne 25 % pre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aj AUC) a aktívnemu metabolitu. Tieto rozdiely sa nepovažujú za klinicky významné (pozri časť 4.2).</w:t>
      </w:r>
    </w:p>
    <w:p w14:paraId="055FC779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6741305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Pediatrická populácia</w:t>
      </w:r>
    </w:p>
    <w:p w14:paraId="5D5770F0" w14:textId="77777777" w:rsidR="00EE1208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dispozícii je iba obmedzené množstvo údajov u detí s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kosáčikovitou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anémiou (pozri časti 4.2 a 5.1).</w:t>
      </w:r>
    </w:p>
    <w:p w14:paraId="241DC496" w14:textId="77777777" w:rsidR="00EE1208" w:rsidRDefault="00EE1208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E0A8B25" w14:textId="41D3EC18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 štúdii HESTIA</w:t>
      </w:r>
      <w:r w:rsidR="00EE120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3 sa pacientom vo veku 2 rokov do menej ako 18 rokov s telesnou hmotnosťou ≥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12 až ≤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24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kg podával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vo forme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dispergovateľných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15 mg tabliet určených deťom v dávke 15 mg dvakrát denne, s telesnou hmotnosťou &gt; 24 až ≤ 48 kg v dávke 30 mg dvakrát denne a s telesnou hmotnosťou &gt; 48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kg v dávke 45 mg dvakrát denne. Na základe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farmakokinetickej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analýzy populácie bol medián AUC v rozmedzí od 1 095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*h/ml do 1 458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*h/ml a medián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 rozmedzí od 143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/ml do 206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ng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/ml v rovnovážnom stave.</w:t>
      </w:r>
    </w:p>
    <w:p w14:paraId="2588EC99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0E981A0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Pohlavie</w:t>
      </w:r>
    </w:p>
    <w:p w14:paraId="691E9B0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 xml:space="preserve">U žien sa v porovnaní s mužmi zaznamenalo zvýšenie expozície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aktívnemu metabolitu. Tieto rozdiely sa nepovažujú za klinicky významné.</w:t>
      </w:r>
    </w:p>
    <w:p w14:paraId="562D8B4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C45A7D8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Porucha funkcie obličiek</w:t>
      </w:r>
    </w:p>
    <w:p w14:paraId="0744DD05" w14:textId="4B7C1B0E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 pacientov s</w:t>
      </w:r>
      <w:r w:rsidR="003A744C">
        <w:rPr>
          <w:rFonts w:ascii="Times New Roman" w:eastAsia="Times New Roman" w:hAnsi="Times New Roman" w:cs="Times New Roman"/>
          <w:color w:val="000000"/>
          <w:lang w:val="sk-SK" w:eastAsia="en-GB"/>
        </w:rPr>
        <w:t>o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="003A744C">
        <w:rPr>
          <w:rFonts w:ascii="Times New Roman" w:eastAsia="Times New Roman" w:hAnsi="Times New Roman" w:cs="Times New Roman"/>
          <w:color w:val="000000"/>
          <w:lang w:val="sk-SK" w:eastAsia="en-GB"/>
        </w:rPr>
        <w:t>závažn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ou poruchou funkcie obličiek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klírens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kreatinínu &lt; 30 ml/min) v porovnaní s osobami s normálnou funkciou obličiek bola expozícia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približne o 20 % nižšia a expozícia aktívnemu metabolitu približne o 17 % vyššia.</w:t>
      </w:r>
    </w:p>
    <w:p w14:paraId="168E9951" w14:textId="77777777" w:rsidR="00EE1208" w:rsidRDefault="00EE1208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7DFAA3B" w14:textId="29731C1A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</w:t>
      </w:r>
      <w:r w:rsidR="00EE120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pacientov v terminálnom štádiu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renálneho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ochorenia na hemodialýze bola hodnota AUC po podaní 90 mg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deň bez dialýzy o 38 % vyššia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EE1208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51 % vyššia v porovnaní s osobami s normálnou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renálnou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funkciou. Podobné zvýšenie expozície sa pozorovalo po podaní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bezprostredne pred dialýzou (49 % a 61 %, v uvedenom poradí), čo svedčí o tom, že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nie je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dialyzovateľný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. Expozícia aktívneho metabolitu sa zvýšila v menšej miere (AUC 13 – 14 %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17 – 36 %). Vplyv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 inhibíciu agregácie krvných doštičiek (IPA) nezávisel od dialýzy u pacientov v terminálnom štádiu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renálneho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ochorenia a bol podobný ako u pacientov s normálnou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renálnou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funkciou (pozri časť 4.2).</w:t>
      </w:r>
    </w:p>
    <w:p w14:paraId="5A929A16" w14:textId="77777777" w:rsidR="00462291" w:rsidRPr="00180C46" w:rsidRDefault="00462291" w:rsidP="00462291">
      <w:pPr>
        <w:spacing w:after="0" w:line="240" w:lineRule="auto"/>
        <w:ind w:right="148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52E1330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Porucha funkcie pečene</w:t>
      </w:r>
    </w:p>
    <w:p w14:paraId="13A2E012" w14:textId="31632D5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bol</w:t>
      </w:r>
      <w:r w:rsidR="00646449">
        <w:rPr>
          <w:rFonts w:ascii="Times New Roman" w:eastAsia="Times New Roman" w:hAnsi="Times New Roman" w:cs="Times New Roman"/>
          <w:color w:val="000000"/>
          <w:lang w:val="sk-SK" w:eastAsia="en-GB"/>
        </w:rPr>
        <w:t>a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 12 % a AUC o 23 % vyššia u pacientov s miernou poruchou funkcie pečene v porovnaní s kontrolnými zdravými osobami, účinok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na IPA bol však u oboch skupín podobný. U pacientov s miernou poruchou funkcie pečene nie je potrebná žiadna úprava dávky.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neskúmal u pacientov s</w:t>
      </w:r>
      <w:r w:rsidR="003A744C">
        <w:rPr>
          <w:rFonts w:ascii="Times New Roman" w:eastAsia="Times New Roman" w:hAnsi="Times New Roman" w:cs="Times New Roman"/>
          <w:color w:val="000000"/>
          <w:lang w:val="sk-SK" w:eastAsia="en-GB"/>
        </w:rPr>
        <w:t>o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="003A744C">
        <w:rPr>
          <w:rFonts w:ascii="Times New Roman" w:eastAsia="Times New Roman" w:hAnsi="Times New Roman" w:cs="Times New Roman"/>
          <w:color w:val="000000"/>
          <w:lang w:val="sk-SK" w:eastAsia="en-GB"/>
        </w:rPr>
        <w:t>závažn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ou poruchou funkcie pečene a nie sú k dispozícii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farmakokinetické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údaje u pacientov so stredne </w:t>
      </w:r>
      <w:r w:rsidR="003A744C">
        <w:rPr>
          <w:rFonts w:ascii="Times New Roman" w:eastAsia="Times New Roman" w:hAnsi="Times New Roman" w:cs="Times New Roman"/>
          <w:color w:val="000000"/>
          <w:lang w:val="sk-SK" w:eastAsia="en-GB"/>
        </w:rPr>
        <w:t>závažn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ou poruchou funkcie pečene. U pacientov, ktorí mali stredne závažné alebo závažné východiskové zvýšenie jedného alebo viacerých vyšetrení funkcie pečene, boli plazmatické koncentrácie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 priemere podobné alebo mierne vyššie v porovnaní s pacientmi bez východiskových zvýšení. U pacientov so stredne ťažkou poruchou funkcie pečene sa neodporúča žiadna úprava dávky (pozri časti 4.2 a 4.4).</w:t>
      </w:r>
    </w:p>
    <w:p w14:paraId="6A7ADEE4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6C5AE31" w14:textId="77777777" w:rsidR="00462291" w:rsidRPr="00180C46" w:rsidRDefault="00462291" w:rsidP="0046229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i/>
          <w:color w:val="000000"/>
          <w:u w:val="single" w:color="000000"/>
          <w:lang w:val="sk-SK" w:eastAsia="en-GB"/>
        </w:rPr>
        <w:t>Etnická príslušnosť</w:t>
      </w:r>
    </w:p>
    <w:p w14:paraId="68B84DB6" w14:textId="54A02334" w:rsidR="00462291" w:rsidRPr="00180C46" w:rsidRDefault="00462291" w:rsidP="00462291">
      <w:pPr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Priemerná biologická dostupnosť je u pacientov ázijského pôvodu o 39 % vyššia ako u belochov. Biologická dostupnosť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pacientov, ktorí sami uviedli černošský pôvod bola o 18 % nižšia ako u belochov, v klinických farmakologických štúdiách bola expozícia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C</w:t>
      </w:r>
      <w:r w:rsidRPr="00180C46">
        <w:rPr>
          <w:rFonts w:ascii="Times New Roman" w:eastAsia="Times New Roman" w:hAnsi="Times New Roman" w:cs="Times New Roman"/>
          <w:color w:val="000000"/>
          <w:vertAlign w:val="subscript"/>
          <w:lang w:val="sk-SK" w:eastAsia="en-GB"/>
        </w:rPr>
        <w:t>max</w:t>
      </w:r>
      <w:proofErr w:type="spellEnd"/>
      <w:r w:rsidRPr="00EE1208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AUC)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u Japoncov približne o 40 % (o</w:t>
      </w:r>
      <w:r w:rsidR="00EE1208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20 % po úprave podľa telesnej hmotnosti) vyššia ako u belochov. Expozícia u pacientov, ktorí sami uviedli hispánsky alebo latinskoamerický pôvod bola podobná ako u belochov.</w:t>
      </w:r>
    </w:p>
    <w:p w14:paraId="018A3D00" w14:textId="77777777" w:rsidR="00462291" w:rsidRPr="00180C46" w:rsidRDefault="00462291" w:rsidP="00462291">
      <w:pPr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F52E279" w14:textId="77777777" w:rsidR="00462291" w:rsidRPr="00180C46" w:rsidRDefault="00462291" w:rsidP="0046229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5.3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Predklinické údaje o bezpečnosti</w:t>
      </w:r>
    </w:p>
    <w:p w14:paraId="19C6FBA6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1B0DD6C" w14:textId="73CA138D" w:rsidR="00462291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Predklinické údaje týkajúce sa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a jeho hlavného metabolitu nepreukázali neprijateľné riziko nežiaducich účinkov u ľudí na základe obvyklých farmakologických štúdií bezpečnosti, toxicity po jednorazovom a opakovanom podávaní a 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genotoxického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potenciálu.</w:t>
      </w:r>
    </w:p>
    <w:p w14:paraId="2A5D10BE" w14:textId="77777777" w:rsidR="00510ECD" w:rsidRPr="00180C46" w:rsidRDefault="00510ECD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92B2659" w14:textId="77777777" w:rsidR="00462291" w:rsidRPr="00180C46" w:rsidRDefault="00462291" w:rsidP="00462291">
      <w:pPr>
        <w:spacing w:after="0" w:line="240" w:lineRule="auto"/>
        <w:ind w:right="85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Pri klinicky relevantných hladinách expozície sa pozorovalo gastrointestinálne podráždenie u niekoľkých druhov zvierat (pozri časť 4.8).</w:t>
      </w:r>
    </w:p>
    <w:p w14:paraId="076B300B" w14:textId="77777777" w:rsidR="00462291" w:rsidRPr="00180C46" w:rsidRDefault="00462291" w:rsidP="00462291">
      <w:pPr>
        <w:spacing w:after="0" w:line="240" w:lineRule="auto"/>
        <w:ind w:right="856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61EC0A2" w14:textId="02F94D11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Pri vysokých dávkach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 u samíc potkanov preukázal zvýšený výskyt nádorov maternice (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adenokarcinómov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) a zvýšený výskyt adenómov pečene. Pravdepodobným mechanizmom vzniku nádorov maternice je hormonálna nerovnováha, ktorá u potkanov môže viesť k vzniku nádorov. Pravdepodobným mechanizmom vzniku adenómov pečene je indukcia enzýmov v pečeni špecifických pre hlodavce. Relevantnosť týchto zistení týkajúcich sa karcinogenity sa preto považuje za</w:t>
      </w:r>
      <w:r w:rsidR="00510ECD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nepravdepodobnú pre ľudí.</w:t>
      </w:r>
    </w:p>
    <w:p w14:paraId="54D0C7E3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89142C7" w14:textId="2C33CE0E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U</w:t>
      </w:r>
      <w:r w:rsidR="008C7D18"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 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potkanov sa pozorovali menej významné vývinové anomálie pri dávkach toxických pre samicu (bezpečnostný pomer 5,1). U králikov sa pozorovalo mierne oneskorenie dozrievania pečene a vývoja skeletu plodu u samíc, ktorým boli podávané vysoké dávky, bez známok materskej toxicity (bezpečnostný pomer 4,5).</w:t>
      </w:r>
    </w:p>
    <w:p w14:paraId="27BBBB0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80333F0" w14:textId="77777777" w:rsidR="00462291" w:rsidRPr="00180C46" w:rsidRDefault="00462291" w:rsidP="00462291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lastRenderedPageBreak/>
        <w:t xml:space="preserve">Štúdie na potkanoch a králikoch sa preukázali reprodukčnú toxicitu s mierne zníženým nárastom telesnej hmotnosti brezivých samíc a so zníženou životaschopnosťou a zníženou pôrodnou hmotnosťou mláďat s oneskoreným rastom.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spôsoboval nepravidelné cykly (najmä predĺžené cykly) u samíc potkanov, nemal však vplyv na celkovú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fertilitu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samcov a samíc potkanov.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Farmakokinetické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štúdie s rádioizotopom značeným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tikagrelorom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preukázali, že pôvodné liečivo a jeho metabolity sa u potkanov vylučujú do materského mlieka (pozri časť 4.6).</w:t>
      </w:r>
    </w:p>
    <w:p w14:paraId="5DEC7F10" w14:textId="77777777" w:rsidR="00462291" w:rsidRPr="00180C46" w:rsidRDefault="00462291" w:rsidP="00462291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4D372D6" w14:textId="77777777" w:rsidR="00462291" w:rsidRPr="00180C46" w:rsidRDefault="00462291" w:rsidP="00462291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EE95668" w14:textId="77777777" w:rsidR="00462291" w:rsidRPr="00180C46" w:rsidRDefault="00462291" w:rsidP="008C7D18">
      <w:pPr>
        <w:numPr>
          <w:ilvl w:val="0"/>
          <w:numId w:val="9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FARMACEUTICKÉ INFORMÁCIE</w:t>
      </w:r>
    </w:p>
    <w:p w14:paraId="68A4A560" w14:textId="77777777" w:rsidR="00462291" w:rsidRPr="00180C46" w:rsidRDefault="00462291" w:rsidP="00462291">
      <w:pPr>
        <w:tabs>
          <w:tab w:val="center" w:pos="178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sk-SK" w:eastAsia="en-GB"/>
        </w:rPr>
      </w:pPr>
    </w:p>
    <w:p w14:paraId="0F694CAA" w14:textId="77777777" w:rsidR="00462291" w:rsidRPr="00180C46" w:rsidRDefault="00462291" w:rsidP="0046229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6.1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Zoznam pomocných látok</w:t>
      </w:r>
    </w:p>
    <w:p w14:paraId="55AEC1BD" w14:textId="77777777" w:rsidR="00462291" w:rsidRPr="00180C46" w:rsidRDefault="00462291" w:rsidP="00462291">
      <w:pPr>
        <w:spacing w:after="0" w:line="240" w:lineRule="auto"/>
        <w:ind w:right="5241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C4B6167" w14:textId="77777777" w:rsidR="00462291" w:rsidRPr="00180C46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Jadro tablety</w:t>
      </w:r>
    </w:p>
    <w:p w14:paraId="405B9645" w14:textId="77777777" w:rsidR="00510ECD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manitol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(E421)</w:t>
      </w:r>
    </w:p>
    <w:p w14:paraId="4D7934A1" w14:textId="079F4CBD" w:rsidR="00510ECD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dihydrát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hydrogenfosforečnanu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vápenatého</w:t>
      </w:r>
      <w:r w:rsidR="00510ECD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(E341)</w:t>
      </w:r>
    </w:p>
    <w:p w14:paraId="7DE253E6" w14:textId="00AC5B6C" w:rsidR="00510ECD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sodná soľ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karboxymetylškrobu</w:t>
      </w:r>
      <w:proofErr w:type="spellEnd"/>
    </w:p>
    <w:p w14:paraId="62E47BEA" w14:textId="048F1EAA" w:rsidR="00462291" w:rsidRPr="00180C46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hypro</w:t>
      </w:r>
      <w:r w:rsidR="000B4FFB">
        <w:rPr>
          <w:rFonts w:ascii="Times New Roman" w:eastAsia="Times New Roman" w:hAnsi="Times New Roman" w:cs="Times New Roman"/>
          <w:color w:val="000000"/>
          <w:lang w:val="sk-SK" w:eastAsia="en-GB"/>
        </w:rPr>
        <w:t>me</w:t>
      </w:r>
      <w:r w:rsidR="004D0D63">
        <w:rPr>
          <w:rFonts w:ascii="Times New Roman" w:eastAsia="Times New Roman" w:hAnsi="Times New Roman" w:cs="Times New Roman"/>
          <w:color w:val="000000"/>
          <w:lang w:val="sk-SK" w:eastAsia="en-GB"/>
        </w:rPr>
        <w:t>l</w:t>
      </w: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óza</w:t>
      </w:r>
      <w:proofErr w:type="spellEnd"/>
    </w:p>
    <w:p w14:paraId="6FF24DC1" w14:textId="77777777" w:rsidR="000B4FFB" w:rsidRDefault="000B4FFB" w:rsidP="000B4FFB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stear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át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horečnatý</w:t>
      </w:r>
      <w:proofErr w:type="spellEnd"/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(E470b)</w:t>
      </w:r>
    </w:p>
    <w:p w14:paraId="7272B57E" w14:textId="77777777" w:rsidR="00462291" w:rsidRPr="00180C46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5A99BC9" w14:textId="77777777" w:rsidR="00462291" w:rsidRPr="00180C46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u w:val="single" w:color="000000"/>
          <w:lang w:val="sk-SK" w:eastAsia="en-GB"/>
        </w:rPr>
        <w:t>Obal tablety</w:t>
      </w:r>
    </w:p>
    <w:p w14:paraId="716B2AD3" w14:textId="2AFECF27" w:rsidR="000B4FFB" w:rsidRDefault="000B4FFB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sk-SK" w:eastAsia="en-GB"/>
        </w:rPr>
        <w:t>h</w:t>
      </w:r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>ypromelóza</w:t>
      </w:r>
      <w:proofErr w:type="spellEnd"/>
    </w:p>
    <w:p w14:paraId="09138974" w14:textId="77777777" w:rsidR="000B4FFB" w:rsidRDefault="000B4FFB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oxid </w:t>
      </w:r>
      <w:proofErr w:type="spellStart"/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>titaničitý</w:t>
      </w:r>
      <w:proofErr w:type="spellEnd"/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(E171)</w:t>
      </w:r>
    </w:p>
    <w:p w14:paraId="3644B3F3" w14:textId="77777777" w:rsidR="000B4FFB" w:rsidRDefault="000B4FFB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proofErr w:type="spellStart"/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>makrogol</w:t>
      </w:r>
      <w:proofErr w:type="spellEnd"/>
    </w:p>
    <w:p w14:paraId="25C60A10" w14:textId="470C56AE" w:rsidR="000B4FFB" w:rsidRDefault="004D0D63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r>
        <w:rPr>
          <w:rFonts w:ascii="Times New Roman" w:eastAsia="Times New Roman" w:hAnsi="Times New Roman" w:cs="Times New Roman"/>
          <w:color w:val="000000"/>
          <w:lang w:val="sk-SK" w:eastAsia="en-GB"/>
        </w:rPr>
        <w:t>žltý</w:t>
      </w:r>
      <w:r w:rsidR="000B4FFB"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oxid železitý (E172)</w:t>
      </w:r>
    </w:p>
    <w:p w14:paraId="278710E9" w14:textId="02BC1570" w:rsidR="00462291" w:rsidRDefault="004D0D63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r>
        <w:rPr>
          <w:rFonts w:ascii="Times New Roman" w:eastAsia="Times New Roman" w:hAnsi="Times New Roman" w:cs="Times New Roman"/>
          <w:color w:val="000000"/>
          <w:lang w:val="sk-SK" w:eastAsia="en-GB"/>
        </w:rPr>
        <w:t>mastenec</w:t>
      </w:r>
      <w:r w:rsidR="000B4FFB"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(E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553b</w:t>
      </w:r>
      <w:r w:rsidR="000B4FFB"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>)</w:t>
      </w:r>
    </w:p>
    <w:p w14:paraId="5868B39E" w14:textId="77777777" w:rsidR="000B4FFB" w:rsidRPr="00180C46" w:rsidRDefault="000B4FFB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color w:val="000000"/>
          <w:lang w:val="sk-SK" w:eastAsia="en-GB"/>
        </w:rPr>
      </w:pPr>
    </w:p>
    <w:p w14:paraId="03A07F95" w14:textId="77777777" w:rsidR="00462291" w:rsidRPr="00180C46" w:rsidRDefault="00462291" w:rsidP="00462291">
      <w:pPr>
        <w:spacing w:after="0" w:line="240" w:lineRule="auto"/>
        <w:ind w:left="567" w:right="50" w:hanging="567"/>
        <w:rPr>
          <w:rFonts w:ascii="Times New Roman" w:eastAsia="Times New Roman" w:hAnsi="Times New Roman" w:cs="Times New Roman"/>
          <w:b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6.2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Inkompatibility</w:t>
      </w:r>
    </w:p>
    <w:p w14:paraId="3F4B2ECD" w14:textId="77777777" w:rsidR="00462291" w:rsidRPr="00180C46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color w:val="000000"/>
          <w:lang w:val="sk-SK" w:eastAsia="en-GB"/>
        </w:rPr>
      </w:pPr>
    </w:p>
    <w:p w14:paraId="424F46BD" w14:textId="77777777" w:rsidR="00462291" w:rsidRPr="00180C46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Neaplikovateľné.</w:t>
      </w:r>
    </w:p>
    <w:p w14:paraId="76599972" w14:textId="77777777" w:rsidR="00462291" w:rsidRPr="00180C46" w:rsidRDefault="00462291" w:rsidP="00462291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660B3FB" w14:textId="77777777" w:rsidR="00462291" w:rsidRPr="00180C46" w:rsidRDefault="00462291" w:rsidP="0046229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6.3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Čas použiteľnosti</w:t>
      </w:r>
    </w:p>
    <w:p w14:paraId="6A13488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6E590E8" w14:textId="1C14EEA1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3 roky</w:t>
      </w:r>
    </w:p>
    <w:p w14:paraId="4FF4DD43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7FD92A07" w14:textId="77777777" w:rsidR="00462291" w:rsidRPr="00180C46" w:rsidRDefault="00462291" w:rsidP="0046229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6.4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Špeciálne upozornenia na uchovávanie</w:t>
      </w:r>
    </w:p>
    <w:p w14:paraId="492E54D0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1789C96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Tento liek nevyžaduje žiadne zvláštne podmienky na uchovávanie.</w:t>
      </w:r>
    </w:p>
    <w:p w14:paraId="5B1BE4FB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82C5DC1" w14:textId="77777777" w:rsidR="00462291" w:rsidRPr="00180C46" w:rsidRDefault="00462291" w:rsidP="0046229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6.5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Druh obalu a obsah balenia</w:t>
      </w:r>
    </w:p>
    <w:p w14:paraId="39159685" w14:textId="77777777" w:rsidR="00462291" w:rsidRPr="00180C46" w:rsidRDefault="00462291" w:rsidP="00462291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1C1FF8EB" w14:textId="68D9E981" w:rsidR="000B4FFB" w:rsidRPr="000B4FFB" w:rsidRDefault="000B4FFB" w:rsidP="000B4FFB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bookmarkStart w:id="1" w:name="_Hlk93065707"/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>Škatuľka obsahujúca priehľadn</w:t>
      </w:r>
      <w:r w:rsidR="00E518F7">
        <w:rPr>
          <w:rFonts w:ascii="Times New Roman" w:eastAsia="Times New Roman" w:hAnsi="Times New Roman" w:cs="Times New Roman"/>
          <w:color w:val="000000"/>
          <w:lang w:val="sk-SK" w:eastAsia="en-GB"/>
        </w:rPr>
        <w:t>é</w:t>
      </w:r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PVC-PVDC/Al </w:t>
      </w:r>
      <w:proofErr w:type="spellStart"/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>blistr</w:t>
      </w:r>
      <w:r w:rsidR="00E518F7">
        <w:rPr>
          <w:rFonts w:ascii="Times New Roman" w:eastAsia="Times New Roman" w:hAnsi="Times New Roman" w:cs="Times New Roman"/>
          <w:color w:val="000000"/>
          <w:lang w:val="sk-SK" w:eastAsia="en-GB"/>
        </w:rPr>
        <w:t>e</w:t>
      </w:r>
      <w:proofErr w:type="spellEnd"/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</w:t>
      </w:r>
      <w:r w:rsidR="00E518F7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po </w:t>
      </w:r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>14 filmom obalený</w:t>
      </w:r>
      <w:r w:rsidR="00E518F7">
        <w:rPr>
          <w:rFonts w:ascii="Times New Roman" w:eastAsia="Times New Roman" w:hAnsi="Times New Roman" w:cs="Times New Roman"/>
          <w:color w:val="000000"/>
          <w:lang w:val="sk-SK" w:eastAsia="en-GB"/>
        </w:rPr>
        <w:t>ch</w:t>
      </w:r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 tabl</w:t>
      </w:r>
      <w:r w:rsidR="00E518F7">
        <w:rPr>
          <w:rFonts w:ascii="Times New Roman" w:eastAsia="Times New Roman" w:hAnsi="Times New Roman" w:cs="Times New Roman"/>
          <w:color w:val="000000"/>
          <w:lang w:val="sk-SK" w:eastAsia="en-GB"/>
        </w:rPr>
        <w:t>i</w:t>
      </w:r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>et.</w:t>
      </w:r>
    </w:p>
    <w:bookmarkEnd w:id="1"/>
    <w:p w14:paraId="119D05B3" w14:textId="77777777" w:rsidR="000B4FFB" w:rsidRPr="000B4FFB" w:rsidRDefault="000B4FFB" w:rsidP="000B4FFB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0B4FFB">
        <w:rPr>
          <w:rFonts w:ascii="Times New Roman" w:eastAsia="Times New Roman" w:hAnsi="Times New Roman" w:cs="Times New Roman"/>
          <w:color w:val="000000"/>
          <w:lang w:val="sk-SK" w:eastAsia="en-GB"/>
        </w:rPr>
        <w:t>Veľkosť balenia 56 filmom obalených tabliet.</w:t>
      </w:r>
    </w:p>
    <w:p w14:paraId="3D67282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97CF0D5" w14:textId="77777777" w:rsidR="00462291" w:rsidRPr="00180C46" w:rsidRDefault="00462291" w:rsidP="0046229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6.6</w:t>
      </w: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ab/>
        <w:t>Špeciálne opatrenia na likvidáciu</w:t>
      </w:r>
    </w:p>
    <w:p w14:paraId="092FF4D9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FD0D7AA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>Všetok nepoužitý liek alebo odpad vzniknutý z lieku sa má zlikvidovať v súlade s národnými požiadavkami.</w:t>
      </w:r>
    </w:p>
    <w:p w14:paraId="59EE5C63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285B34AF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E00D492" w14:textId="77777777" w:rsidR="00462291" w:rsidRPr="00180C46" w:rsidRDefault="00462291" w:rsidP="00C11800">
      <w:pPr>
        <w:numPr>
          <w:ilvl w:val="0"/>
          <w:numId w:val="11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DRŽITEĽ ROZHODNUTIA O REGISTRÁCII</w:t>
      </w:r>
    </w:p>
    <w:p w14:paraId="10E7CB52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52233AD" w14:textId="77777777" w:rsidR="00F22142" w:rsidRPr="00180C46" w:rsidRDefault="00F22142" w:rsidP="00F22142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  <w:proofErr w:type="spellStart"/>
      <w:r w:rsidRPr="00180C46">
        <w:rPr>
          <w:rFonts w:ascii="Times New Roman" w:eastAsia="Times New Roman" w:hAnsi="Times New Roman" w:cs="Times New Roman"/>
          <w:lang w:val="sk-SK"/>
        </w:rPr>
        <w:t>Egis</w:t>
      </w:r>
      <w:proofErr w:type="spellEnd"/>
      <w:r w:rsidRPr="00180C46">
        <w:rPr>
          <w:rFonts w:ascii="Times New Roman" w:eastAsia="Times New Roman" w:hAnsi="Times New Roman" w:cs="Times New Roman"/>
          <w:lang w:val="sk-SK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lang w:val="sk-SK"/>
        </w:rPr>
        <w:t>Pharmaceuticals</w:t>
      </w:r>
      <w:proofErr w:type="spellEnd"/>
      <w:r w:rsidRPr="00180C46">
        <w:rPr>
          <w:rFonts w:ascii="Times New Roman" w:eastAsia="Times New Roman" w:hAnsi="Times New Roman" w:cs="Times New Roman"/>
          <w:lang w:val="sk-SK"/>
        </w:rPr>
        <w:t xml:space="preserve"> PLC</w:t>
      </w:r>
    </w:p>
    <w:p w14:paraId="0C252514" w14:textId="77777777" w:rsidR="00F22142" w:rsidRPr="00180C46" w:rsidRDefault="00F22142" w:rsidP="00F22142">
      <w:pPr>
        <w:tabs>
          <w:tab w:val="left" w:pos="-1440"/>
          <w:tab w:val="left" w:pos="-72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sk-SK"/>
        </w:rPr>
      </w:pPr>
      <w:r w:rsidRPr="00180C46">
        <w:rPr>
          <w:rFonts w:ascii="Times New Roman" w:eastAsia="Times New Roman" w:hAnsi="Times New Roman" w:cs="Times New Roman"/>
          <w:lang w:val="sk-SK"/>
        </w:rPr>
        <w:t xml:space="preserve">1106 Budapešť, </w:t>
      </w:r>
      <w:proofErr w:type="spellStart"/>
      <w:r w:rsidRPr="00180C46">
        <w:rPr>
          <w:rFonts w:ascii="Times New Roman" w:eastAsia="Times New Roman" w:hAnsi="Times New Roman" w:cs="Times New Roman"/>
          <w:lang w:val="sk-SK"/>
        </w:rPr>
        <w:t>Keresztúri</w:t>
      </w:r>
      <w:proofErr w:type="spellEnd"/>
      <w:r w:rsidRPr="00180C46">
        <w:rPr>
          <w:rFonts w:ascii="Times New Roman" w:eastAsia="Times New Roman" w:hAnsi="Times New Roman" w:cs="Times New Roman"/>
          <w:lang w:val="sk-SK"/>
        </w:rPr>
        <w:t xml:space="preserve"> </w:t>
      </w:r>
      <w:proofErr w:type="spellStart"/>
      <w:r w:rsidRPr="00180C46">
        <w:rPr>
          <w:rFonts w:ascii="Times New Roman" w:eastAsia="Times New Roman" w:hAnsi="Times New Roman" w:cs="Times New Roman"/>
          <w:lang w:val="sk-SK"/>
        </w:rPr>
        <w:t>út</w:t>
      </w:r>
      <w:proofErr w:type="spellEnd"/>
      <w:r w:rsidRPr="00180C46">
        <w:rPr>
          <w:rFonts w:ascii="Times New Roman" w:eastAsia="Times New Roman" w:hAnsi="Times New Roman" w:cs="Times New Roman"/>
          <w:lang w:val="sk-SK"/>
        </w:rPr>
        <w:t xml:space="preserve"> 30-38.</w:t>
      </w:r>
    </w:p>
    <w:p w14:paraId="276FB9F2" w14:textId="12829165" w:rsidR="00462291" w:rsidRPr="00180C46" w:rsidRDefault="00F22142" w:rsidP="00F2214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lang w:val="sk-SK"/>
        </w:rPr>
        <w:t>Maďarsko</w:t>
      </w:r>
    </w:p>
    <w:p w14:paraId="043D3263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3AC2BFA8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C3F52A4" w14:textId="77777777" w:rsidR="00462291" w:rsidRPr="00180C46" w:rsidRDefault="00462291" w:rsidP="00077C3F">
      <w:pPr>
        <w:keepNext/>
        <w:numPr>
          <w:ilvl w:val="0"/>
          <w:numId w:val="11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lastRenderedPageBreak/>
        <w:t>REGISTRAČNÉ ČÍSLO (ČÍSLA)</w:t>
      </w:r>
    </w:p>
    <w:p w14:paraId="045249C7" w14:textId="77777777" w:rsidR="00462291" w:rsidRPr="00180C46" w:rsidRDefault="00462291" w:rsidP="00077C3F">
      <w:pPr>
        <w:keepNext/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3E515DB" w14:textId="27E35E1E" w:rsidR="00462291" w:rsidRDefault="00C27E05" w:rsidP="00077C3F">
      <w:pPr>
        <w:keepNext/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C27E05">
        <w:rPr>
          <w:rFonts w:ascii="Times New Roman" w:eastAsia="Times New Roman" w:hAnsi="Times New Roman" w:cs="Times New Roman"/>
          <w:color w:val="000000"/>
          <w:lang w:val="sk-SK" w:eastAsia="en-GB"/>
        </w:rPr>
        <w:t>16/010</w:t>
      </w:r>
      <w:r>
        <w:rPr>
          <w:rFonts w:ascii="Times New Roman" w:eastAsia="Times New Roman" w:hAnsi="Times New Roman" w:cs="Times New Roman"/>
          <w:color w:val="000000"/>
          <w:lang w:val="sk-SK" w:eastAsia="en-GB"/>
        </w:rPr>
        <w:t>5</w:t>
      </w:r>
      <w:r w:rsidRPr="00C27E05">
        <w:rPr>
          <w:rFonts w:ascii="Times New Roman" w:eastAsia="Times New Roman" w:hAnsi="Times New Roman" w:cs="Times New Roman"/>
          <w:color w:val="000000"/>
          <w:lang w:val="sk-SK" w:eastAsia="en-GB"/>
        </w:rPr>
        <w:t>/22-S</w:t>
      </w:r>
    </w:p>
    <w:p w14:paraId="04D6F28D" w14:textId="77777777" w:rsidR="00C27E05" w:rsidRPr="00180C46" w:rsidRDefault="00C27E05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66846619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004DAA5F" w14:textId="77777777" w:rsidR="00462291" w:rsidRPr="00180C46" w:rsidRDefault="00462291" w:rsidP="00C11800">
      <w:pPr>
        <w:numPr>
          <w:ilvl w:val="0"/>
          <w:numId w:val="11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DÁTUM PRVEJ REGISTRÁCIE/PREDĹŽENIA REGISTRÁCIE</w:t>
      </w:r>
    </w:p>
    <w:p w14:paraId="3E8DB775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5DC3DF24" w14:textId="762C9740" w:rsidR="00462291" w:rsidRPr="0030366A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color w:val="000000"/>
          <w:lang w:val="sk-SK" w:eastAsia="en-GB"/>
        </w:rPr>
        <w:t xml:space="preserve">Dátum prvej registrácie: </w:t>
      </w:r>
      <w:bookmarkStart w:id="2" w:name="_Hlk115432625"/>
      <w:r w:rsidR="00E53A11">
        <w:rPr>
          <w:rFonts w:ascii="Times New Roman" w:eastAsia="Times New Roman" w:hAnsi="Times New Roman" w:cs="Times New Roman"/>
          <w:color w:val="000000"/>
          <w:lang w:val="sk-SK" w:eastAsia="en-GB"/>
        </w:rPr>
        <w:t>14. mája 2022</w:t>
      </w:r>
      <w:bookmarkEnd w:id="2"/>
    </w:p>
    <w:p w14:paraId="3E5455EC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4712383" w14:textId="77777777" w:rsidR="00462291" w:rsidRPr="00180C46" w:rsidRDefault="00462291" w:rsidP="00462291">
      <w:pPr>
        <w:spacing w:after="0" w:line="240" w:lineRule="auto"/>
        <w:ind w:right="12"/>
        <w:rPr>
          <w:rFonts w:ascii="Times New Roman" w:eastAsia="Times New Roman" w:hAnsi="Times New Roman" w:cs="Times New Roman"/>
          <w:color w:val="000000"/>
          <w:lang w:val="sk-SK" w:eastAsia="en-GB"/>
        </w:rPr>
      </w:pPr>
    </w:p>
    <w:p w14:paraId="436C3E31" w14:textId="77777777" w:rsidR="00462291" w:rsidRPr="00180C46" w:rsidRDefault="00462291" w:rsidP="00C11800">
      <w:pPr>
        <w:numPr>
          <w:ilvl w:val="0"/>
          <w:numId w:val="11"/>
        </w:numPr>
        <w:spacing w:after="0" w:line="240" w:lineRule="auto"/>
        <w:ind w:hanging="566"/>
        <w:rPr>
          <w:rFonts w:ascii="Times New Roman" w:eastAsia="Times New Roman" w:hAnsi="Times New Roman" w:cs="Times New Roman"/>
          <w:color w:val="000000"/>
          <w:lang w:val="sk-SK" w:eastAsia="en-GB"/>
        </w:rPr>
      </w:pPr>
      <w:r w:rsidRPr="00180C46">
        <w:rPr>
          <w:rFonts w:ascii="Times New Roman" w:eastAsia="Times New Roman" w:hAnsi="Times New Roman" w:cs="Times New Roman"/>
          <w:b/>
          <w:color w:val="000000"/>
          <w:lang w:val="sk-SK" w:eastAsia="en-GB"/>
        </w:rPr>
        <w:t>DÁTUM REVÍZIE TEXTU</w:t>
      </w:r>
    </w:p>
    <w:p w14:paraId="4A59E23C" w14:textId="77777777" w:rsidR="008849A2" w:rsidRDefault="008849A2" w:rsidP="00490C5D">
      <w:pPr>
        <w:spacing w:after="0"/>
        <w:rPr>
          <w:rFonts w:ascii="Times New Roman" w:hAnsi="Times New Roman" w:cs="Times New Roman"/>
        </w:rPr>
      </w:pPr>
    </w:p>
    <w:p w14:paraId="65A63485" w14:textId="165F36AC" w:rsidR="003A744C" w:rsidRPr="00180C46" w:rsidRDefault="00551C36" w:rsidP="0046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12/2024</w:t>
      </w:r>
    </w:p>
    <w:sectPr w:rsidR="003A744C" w:rsidRPr="00180C46" w:rsidSect="00462291">
      <w:headerReference w:type="default" r:id="rId11"/>
      <w:footerReference w:type="default" r:id="rId12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E516" w14:textId="77777777" w:rsidR="00C951FB" w:rsidRDefault="00C951FB" w:rsidP="00462291">
      <w:pPr>
        <w:spacing w:after="0" w:line="240" w:lineRule="auto"/>
      </w:pPr>
      <w:r>
        <w:separator/>
      </w:r>
    </w:p>
  </w:endnote>
  <w:endnote w:type="continuationSeparator" w:id="0">
    <w:p w14:paraId="73D71143" w14:textId="77777777" w:rsidR="00C951FB" w:rsidRDefault="00C951FB" w:rsidP="0046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42827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37271" w14:textId="0B605713" w:rsidR="00C951FB" w:rsidRPr="00462291" w:rsidRDefault="00C951FB">
        <w:pPr>
          <w:pStyle w:val="Pta"/>
          <w:jc w:val="center"/>
          <w:rPr>
            <w:sz w:val="18"/>
            <w:szCs w:val="18"/>
          </w:rPr>
        </w:pPr>
        <w:r w:rsidRPr="00462291">
          <w:rPr>
            <w:sz w:val="18"/>
            <w:szCs w:val="18"/>
          </w:rPr>
          <w:fldChar w:fldCharType="begin"/>
        </w:r>
        <w:r w:rsidRPr="00462291">
          <w:rPr>
            <w:sz w:val="18"/>
            <w:szCs w:val="18"/>
          </w:rPr>
          <w:instrText xml:space="preserve"> PAGE   \* MERGEFORMAT </w:instrText>
        </w:r>
        <w:r w:rsidRPr="00462291">
          <w:rPr>
            <w:sz w:val="18"/>
            <w:szCs w:val="18"/>
          </w:rPr>
          <w:fldChar w:fldCharType="separate"/>
        </w:r>
        <w:r w:rsidR="00864665">
          <w:rPr>
            <w:noProof/>
            <w:sz w:val="18"/>
            <w:szCs w:val="18"/>
          </w:rPr>
          <w:t>23</w:t>
        </w:r>
        <w:r w:rsidRPr="00462291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9334" w14:textId="77777777" w:rsidR="00C951FB" w:rsidRDefault="00C951FB" w:rsidP="00462291">
      <w:pPr>
        <w:spacing w:after="0" w:line="240" w:lineRule="auto"/>
      </w:pPr>
      <w:r>
        <w:separator/>
      </w:r>
    </w:p>
  </w:footnote>
  <w:footnote w:type="continuationSeparator" w:id="0">
    <w:p w14:paraId="6FA1C880" w14:textId="77777777" w:rsidR="00C951FB" w:rsidRDefault="00C951FB" w:rsidP="0046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718B" w14:textId="458B05F8" w:rsidR="00C951FB" w:rsidRPr="00FC2EDD" w:rsidRDefault="003A02F0">
    <w:pPr>
      <w:pStyle w:val="Hlavika"/>
      <w:rPr>
        <w:rFonts w:ascii="Times New Roman" w:hAnsi="Times New Roman" w:cs="Times New Roman"/>
        <w:sz w:val="18"/>
        <w:szCs w:val="18"/>
        <w:lang w:val="sk-SK"/>
      </w:rPr>
    </w:pPr>
    <w:bookmarkStart w:id="3" w:name="_Hlk91165327"/>
    <w:bookmarkStart w:id="4" w:name="_Hlk91165328"/>
    <w:r w:rsidRPr="003A02F0">
      <w:rPr>
        <w:rFonts w:ascii="Times New Roman" w:hAnsi="Times New Roman" w:cs="Times New Roman"/>
        <w:sz w:val="18"/>
        <w:szCs w:val="18"/>
        <w:lang w:val="sk-SK"/>
      </w:rPr>
      <w:t xml:space="preserve">Príloha č. </w:t>
    </w:r>
    <w:r>
      <w:rPr>
        <w:rFonts w:ascii="Times New Roman" w:hAnsi="Times New Roman" w:cs="Times New Roman"/>
        <w:sz w:val="18"/>
        <w:szCs w:val="18"/>
        <w:lang w:val="sk-SK"/>
      </w:rPr>
      <w:t>1</w:t>
    </w:r>
    <w:r w:rsidRPr="003A02F0">
      <w:rPr>
        <w:rFonts w:ascii="Times New Roman" w:hAnsi="Times New Roman" w:cs="Times New Roman"/>
        <w:sz w:val="18"/>
        <w:szCs w:val="18"/>
        <w:lang w:val="sk-SK"/>
      </w:rPr>
      <w:t xml:space="preserve"> k notifikácii o zmene, ev. č.: </w:t>
    </w:r>
    <w:r w:rsidR="00485174" w:rsidRPr="00485174">
      <w:rPr>
        <w:rFonts w:ascii="Times New Roman" w:hAnsi="Times New Roman" w:cs="Times New Roman"/>
        <w:sz w:val="18"/>
        <w:szCs w:val="18"/>
        <w:lang w:val="sk-SK"/>
      </w:rPr>
      <w:t>2024/04959-Z1B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8DE"/>
    <w:multiLevelType w:val="hybridMultilevel"/>
    <w:tmpl w:val="3F9257E4"/>
    <w:lvl w:ilvl="0" w:tplc="36C0D126">
      <w:start w:val="4"/>
      <w:numFmt w:val="low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16203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F19236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0A6E58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1F89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939C2B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B00B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CA6065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09C2E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3BF4116"/>
    <w:multiLevelType w:val="hybridMultilevel"/>
    <w:tmpl w:val="7B5E2B9E"/>
    <w:lvl w:ilvl="0" w:tplc="A7ECB29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5C8F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00C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C69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E07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C60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E8C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66D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070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955EA"/>
    <w:multiLevelType w:val="hybridMultilevel"/>
    <w:tmpl w:val="7A1AC7F8"/>
    <w:lvl w:ilvl="0" w:tplc="F7ECDC24">
      <w:start w:val="7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22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AD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45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08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569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4E0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89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8F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E7053"/>
    <w:multiLevelType w:val="hybridMultilevel"/>
    <w:tmpl w:val="F7B0B3FA"/>
    <w:lvl w:ilvl="0" w:tplc="1CCACDCA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F213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0E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A3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87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21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0BE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A2C0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E1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FF3148"/>
    <w:multiLevelType w:val="hybridMultilevel"/>
    <w:tmpl w:val="C1E4DC3A"/>
    <w:lvl w:ilvl="0" w:tplc="42FE639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CC7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CC0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6B8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C8BC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A6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EE3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0AD3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0BB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477940"/>
    <w:multiLevelType w:val="hybridMultilevel"/>
    <w:tmpl w:val="B212CA76"/>
    <w:lvl w:ilvl="0" w:tplc="9C24B73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27E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50B0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2A0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6870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627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7243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0C9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3617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4534CC"/>
    <w:multiLevelType w:val="hybridMultilevel"/>
    <w:tmpl w:val="6ADC15EA"/>
    <w:lvl w:ilvl="0" w:tplc="27BA53E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4F0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88C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FA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010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D6D8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02E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215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8AC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3428FB"/>
    <w:multiLevelType w:val="hybridMultilevel"/>
    <w:tmpl w:val="CAC0D702"/>
    <w:lvl w:ilvl="0" w:tplc="10D06E5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CA0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2AC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E48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EABB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7ACC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6D9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827C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61F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47636A"/>
    <w:multiLevelType w:val="multilevel"/>
    <w:tmpl w:val="4F94739C"/>
    <w:lvl w:ilvl="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183221"/>
    <w:multiLevelType w:val="hybridMultilevel"/>
    <w:tmpl w:val="C82243A4"/>
    <w:lvl w:ilvl="0" w:tplc="69D21730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D0A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CBF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42C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46E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A3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6A4A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A0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AE3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CF1EFC"/>
    <w:multiLevelType w:val="hybridMultilevel"/>
    <w:tmpl w:val="BD109CE4"/>
    <w:lvl w:ilvl="0" w:tplc="634CC93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4CFB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2FF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AEB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08F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5B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841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20B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E47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1998717">
    <w:abstractNumId w:val="8"/>
  </w:num>
  <w:num w:numId="2" w16cid:durableId="1910192303">
    <w:abstractNumId w:val="7"/>
  </w:num>
  <w:num w:numId="3" w16cid:durableId="1217815522">
    <w:abstractNumId w:val="6"/>
  </w:num>
  <w:num w:numId="4" w16cid:durableId="1946500292">
    <w:abstractNumId w:val="10"/>
  </w:num>
  <w:num w:numId="5" w16cid:durableId="799887228">
    <w:abstractNumId w:val="1"/>
  </w:num>
  <w:num w:numId="6" w16cid:durableId="1096294760">
    <w:abstractNumId w:val="0"/>
  </w:num>
  <w:num w:numId="7" w16cid:durableId="1217010687">
    <w:abstractNumId w:val="3"/>
  </w:num>
  <w:num w:numId="8" w16cid:durableId="1416319488">
    <w:abstractNumId w:val="4"/>
  </w:num>
  <w:num w:numId="9" w16cid:durableId="1808012577">
    <w:abstractNumId w:val="9"/>
  </w:num>
  <w:num w:numId="10" w16cid:durableId="736322734">
    <w:abstractNumId w:val="5"/>
  </w:num>
  <w:num w:numId="11" w16cid:durableId="39998052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91"/>
    <w:rsid w:val="000010FB"/>
    <w:rsid w:val="00077C3F"/>
    <w:rsid w:val="000B4FFB"/>
    <w:rsid w:val="000E189F"/>
    <w:rsid w:val="00161B2C"/>
    <w:rsid w:val="00180C46"/>
    <w:rsid w:val="001E527F"/>
    <w:rsid w:val="00212471"/>
    <w:rsid w:val="00254D9C"/>
    <w:rsid w:val="002C03EC"/>
    <w:rsid w:val="003016E1"/>
    <w:rsid w:val="0030366A"/>
    <w:rsid w:val="00313927"/>
    <w:rsid w:val="00353E32"/>
    <w:rsid w:val="003A02F0"/>
    <w:rsid w:val="003A744C"/>
    <w:rsid w:val="003D30F0"/>
    <w:rsid w:val="00427718"/>
    <w:rsid w:val="00434AB7"/>
    <w:rsid w:val="00462291"/>
    <w:rsid w:val="00485174"/>
    <w:rsid w:val="00490C5D"/>
    <w:rsid w:val="004A1A8B"/>
    <w:rsid w:val="004C218B"/>
    <w:rsid w:val="004D0D63"/>
    <w:rsid w:val="004F5540"/>
    <w:rsid w:val="00500828"/>
    <w:rsid w:val="00510ECD"/>
    <w:rsid w:val="00541A29"/>
    <w:rsid w:val="00551C36"/>
    <w:rsid w:val="00563A7C"/>
    <w:rsid w:val="005735AC"/>
    <w:rsid w:val="00590828"/>
    <w:rsid w:val="00634E0C"/>
    <w:rsid w:val="00646449"/>
    <w:rsid w:val="006C75A5"/>
    <w:rsid w:val="00760F0F"/>
    <w:rsid w:val="00773327"/>
    <w:rsid w:val="007C5EE4"/>
    <w:rsid w:val="008328D9"/>
    <w:rsid w:val="00864665"/>
    <w:rsid w:val="008837E8"/>
    <w:rsid w:val="008849A2"/>
    <w:rsid w:val="008C5915"/>
    <w:rsid w:val="008C7D18"/>
    <w:rsid w:val="009162C3"/>
    <w:rsid w:val="00996ED4"/>
    <w:rsid w:val="00A02021"/>
    <w:rsid w:val="00A11E25"/>
    <w:rsid w:val="00A12E7E"/>
    <w:rsid w:val="00A36E77"/>
    <w:rsid w:val="00A53682"/>
    <w:rsid w:val="00AF46A0"/>
    <w:rsid w:val="00B21C94"/>
    <w:rsid w:val="00B924BA"/>
    <w:rsid w:val="00BF48B2"/>
    <w:rsid w:val="00C02F98"/>
    <w:rsid w:val="00C11800"/>
    <w:rsid w:val="00C27E05"/>
    <w:rsid w:val="00C95051"/>
    <w:rsid w:val="00C951FB"/>
    <w:rsid w:val="00CA6D21"/>
    <w:rsid w:val="00D610CA"/>
    <w:rsid w:val="00DB1B2C"/>
    <w:rsid w:val="00DB7A9F"/>
    <w:rsid w:val="00DD1A1F"/>
    <w:rsid w:val="00DF486E"/>
    <w:rsid w:val="00E518F7"/>
    <w:rsid w:val="00E53A11"/>
    <w:rsid w:val="00ED6C85"/>
    <w:rsid w:val="00EE1208"/>
    <w:rsid w:val="00EE608B"/>
    <w:rsid w:val="00F22142"/>
    <w:rsid w:val="00F42F4A"/>
    <w:rsid w:val="00F553F4"/>
    <w:rsid w:val="00F55C3C"/>
    <w:rsid w:val="00F85132"/>
    <w:rsid w:val="00F92184"/>
    <w:rsid w:val="00FC2493"/>
    <w:rsid w:val="00FC2B11"/>
    <w:rsid w:val="00F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DDF23A"/>
  <w15:chartTrackingRefBased/>
  <w15:docId w15:val="{DF6E9DE9-F37E-4653-B067-B3F9876C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qFormat/>
    <w:rsid w:val="00462291"/>
    <w:pPr>
      <w:keepNext/>
      <w:keepLines/>
      <w:spacing w:after="14" w:line="24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en-GB"/>
    </w:rPr>
  </w:style>
  <w:style w:type="paragraph" w:styleId="Nadpis2">
    <w:name w:val="heading 2"/>
    <w:next w:val="Normlny"/>
    <w:link w:val="Nadpis2Char"/>
    <w:uiPriority w:val="9"/>
    <w:unhideWhenUsed/>
    <w:qFormat/>
    <w:rsid w:val="00462291"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i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2291"/>
    <w:rPr>
      <w:rFonts w:ascii="Times New Roman" w:eastAsia="Times New Roman" w:hAnsi="Times New Roman" w:cs="Times New Roman"/>
      <w:color w:val="000000"/>
      <w:u w:val="single" w:color="000000"/>
      <w:lang w:eastAsia="en-GB"/>
    </w:rPr>
  </w:style>
  <w:style w:type="character" w:customStyle="1" w:styleId="Nadpis2Char">
    <w:name w:val="Nadpis 2 Char"/>
    <w:basedOn w:val="Predvolenpsmoodseku"/>
    <w:link w:val="Nadpis2"/>
    <w:uiPriority w:val="9"/>
    <w:rsid w:val="00462291"/>
    <w:rPr>
      <w:rFonts w:ascii="Times New Roman" w:eastAsia="Times New Roman" w:hAnsi="Times New Roman" w:cs="Times New Roman"/>
      <w:i/>
      <w:color w:val="000000"/>
      <w:lang w:eastAsia="en-GB"/>
    </w:rPr>
  </w:style>
  <w:style w:type="numbering" w:customStyle="1" w:styleId="NoList1">
    <w:name w:val="No List1"/>
    <w:next w:val="Bezzoznamu"/>
    <w:uiPriority w:val="99"/>
    <w:semiHidden/>
    <w:unhideWhenUsed/>
    <w:rsid w:val="00462291"/>
  </w:style>
  <w:style w:type="table" w:customStyle="1" w:styleId="TableGrid">
    <w:name w:val="TableGrid"/>
    <w:rsid w:val="0046229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462291"/>
    <w:pPr>
      <w:spacing w:after="5"/>
      <w:ind w:left="720" w:hanging="10"/>
      <w:contextualSpacing/>
    </w:pPr>
    <w:rPr>
      <w:rFonts w:ascii="Times New Roman" w:eastAsia="Times New Roman" w:hAnsi="Times New Roman" w:cs="Times New Roman"/>
      <w:color w:val="000000"/>
      <w:lang w:eastAsia="en-GB"/>
    </w:rPr>
  </w:style>
  <w:style w:type="paragraph" w:styleId="Pta">
    <w:name w:val="footer"/>
    <w:basedOn w:val="Normlny"/>
    <w:link w:val="PtaChar"/>
    <w:uiPriority w:val="99"/>
    <w:unhideWhenUsed/>
    <w:rsid w:val="00462291"/>
    <w:pPr>
      <w:tabs>
        <w:tab w:val="center" w:pos="4536"/>
        <w:tab w:val="right" w:pos="9072"/>
      </w:tabs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sid w:val="00462291"/>
    <w:rPr>
      <w:rFonts w:ascii="Times New Roman" w:eastAsia="Times New Roman" w:hAnsi="Times New Roman" w:cs="Times New Roman"/>
      <w:color w:val="000000"/>
      <w:lang w:eastAsia="en-GB"/>
    </w:rPr>
  </w:style>
  <w:style w:type="paragraph" w:styleId="Hlavika">
    <w:name w:val="header"/>
    <w:basedOn w:val="Normlny"/>
    <w:link w:val="HlavikaChar"/>
    <w:uiPriority w:val="99"/>
    <w:unhideWhenUsed/>
    <w:rsid w:val="0046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291"/>
  </w:style>
  <w:style w:type="character" w:styleId="Odkaznakomentr">
    <w:name w:val="annotation reference"/>
    <w:basedOn w:val="Predvolenpsmoodseku"/>
    <w:uiPriority w:val="99"/>
    <w:semiHidden/>
    <w:unhideWhenUsed/>
    <w:rsid w:val="00C95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5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5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5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51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1FB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A0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documents/template-form/qrd-appendix-v-adverse-drug-reaction-reporting-details_en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10090</Words>
  <Characters>57516</Characters>
  <Application>Microsoft Office Word</Application>
  <DocSecurity>0</DocSecurity>
  <Lines>479</Lines>
  <Paragraphs>134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Rovna, Katarina SVK</dc:creator>
  <cp:keywords/>
  <dc:description/>
  <cp:lastModifiedBy>Zuzana Molnárová</cp:lastModifiedBy>
  <cp:revision>8</cp:revision>
  <cp:lastPrinted>2024-12-19T15:01:00Z</cp:lastPrinted>
  <dcterms:created xsi:type="dcterms:W3CDTF">2023-02-10T09:32:00Z</dcterms:created>
  <dcterms:modified xsi:type="dcterms:W3CDTF">2024-12-19T15:01:00Z</dcterms:modified>
</cp:coreProperties>
</file>