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07D" w:rsidRPr="00C56547" w:rsidRDefault="0037707D" w:rsidP="00CB0C67">
      <w:pPr>
        <w:pStyle w:val="Title"/>
        <w:spacing w:before="120"/>
        <w:jc w:val="left"/>
        <w:rPr>
          <w:rFonts w:ascii="Times New Roman" w:hAnsi="Times New Roman"/>
          <w:b w:val="0"/>
          <w:sz w:val="18"/>
          <w:szCs w:val="18"/>
          <w:lang w:val="sk-SK"/>
        </w:rPr>
      </w:pPr>
      <w:bookmarkStart w:id="0" w:name="_GoBack"/>
      <w:bookmarkEnd w:id="0"/>
      <w:r w:rsidRPr="00C56547">
        <w:rPr>
          <w:rFonts w:ascii="Times New Roman" w:hAnsi="Times New Roman"/>
          <w:b w:val="0"/>
          <w:sz w:val="18"/>
          <w:szCs w:val="18"/>
          <w:lang w:val="sk-SK"/>
        </w:rPr>
        <w:t>Schválený text k rozhodnutiu o zmene, ev.č.: 2013/03564</w:t>
      </w:r>
    </w:p>
    <w:p w:rsidR="0037707D" w:rsidRDefault="0037707D" w:rsidP="00CB0C67">
      <w:pPr>
        <w:pStyle w:val="Title"/>
        <w:jc w:val="left"/>
        <w:rPr>
          <w:rFonts w:ascii="Times New Roman" w:hAnsi="Times New Roman"/>
          <w:b w:val="0"/>
          <w:sz w:val="20"/>
          <w:lang w:val="sk-SK"/>
        </w:rPr>
      </w:pPr>
    </w:p>
    <w:p w:rsidR="0037707D" w:rsidRPr="00BD58C3" w:rsidRDefault="0037707D" w:rsidP="00CB0C67">
      <w:pPr>
        <w:pStyle w:val="Title"/>
        <w:jc w:val="left"/>
        <w:rPr>
          <w:rFonts w:ascii="Times New Roman" w:hAnsi="Times New Roman"/>
          <w:b w:val="0"/>
          <w:sz w:val="20"/>
          <w:lang w:val="sk-SK"/>
        </w:rPr>
      </w:pPr>
    </w:p>
    <w:p w:rsidR="0037707D" w:rsidRPr="0040314B" w:rsidRDefault="0037707D" w:rsidP="00CB0C67">
      <w:pPr>
        <w:pStyle w:val="Title"/>
        <w:rPr>
          <w:rFonts w:ascii="Times New Roman" w:hAnsi="Times New Roman"/>
          <w:szCs w:val="22"/>
          <w:lang w:val="sk-SK"/>
        </w:rPr>
      </w:pPr>
      <w:r w:rsidRPr="0040314B">
        <w:rPr>
          <w:rFonts w:ascii="Times New Roman" w:hAnsi="Times New Roman"/>
          <w:szCs w:val="22"/>
          <w:lang w:val="sk-SK"/>
        </w:rPr>
        <w:t>SÚHRN CHARAKTERISTICKÝCH VLASTNOSTÍ LIEKU</w:t>
      </w:r>
    </w:p>
    <w:p w:rsidR="0037707D" w:rsidRPr="0040314B" w:rsidRDefault="0037707D" w:rsidP="00CB0C67">
      <w:pPr>
        <w:pStyle w:val="Title"/>
        <w:rPr>
          <w:rFonts w:ascii="Times New Roman" w:hAnsi="Times New Roman"/>
          <w:szCs w:val="22"/>
          <w:lang w:val="sk-SK"/>
        </w:rPr>
      </w:pPr>
    </w:p>
    <w:p w:rsidR="0037707D" w:rsidRPr="0040314B" w:rsidRDefault="0037707D" w:rsidP="00CB0C67">
      <w:pPr>
        <w:pStyle w:val="Title"/>
        <w:jc w:val="both"/>
        <w:rPr>
          <w:rFonts w:ascii="Times New Roman" w:hAnsi="Times New Roman"/>
          <w:szCs w:val="22"/>
          <w:lang w:val="sk-SK"/>
        </w:rPr>
      </w:pPr>
    </w:p>
    <w:p w:rsidR="0037707D" w:rsidRPr="0040314B" w:rsidRDefault="0037707D" w:rsidP="00CB0C67">
      <w:pPr>
        <w:pStyle w:val="Title"/>
        <w:jc w:val="both"/>
        <w:rPr>
          <w:rFonts w:ascii="Times New Roman" w:hAnsi="Times New Roman"/>
          <w:szCs w:val="22"/>
          <w:lang w:val="sk-SK"/>
        </w:rPr>
      </w:pPr>
      <w:r w:rsidRPr="0040314B">
        <w:rPr>
          <w:rFonts w:ascii="Times New Roman" w:hAnsi="Times New Roman"/>
          <w:szCs w:val="22"/>
          <w:lang w:val="sk-SK"/>
        </w:rPr>
        <w:t>1.</w:t>
      </w:r>
      <w:r w:rsidRPr="0040314B">
        <w:rPr>
          <w:rFonts w:ascii="Times New Roman" w:hAnsi="Times New Roman"/>
          <w:szCs w:val="22"/>
          <w:lang w:val="sk-SK"/>
        </w:rPr>
        <w:tab/>
        <w:t>NÁZOV LIEKU</w:t>
      </w:r>
    </w:p>
    <w:p w:rsidR="0037707D" w:rsidRPr="0040314B" w:rsidRDefault="0037707D" w:rsidP="00CB0C67">
      <w:pPr>
        <w:rPr>
          <w:sz w:val="22"/>
          <w:szCs w:val="22"/>
        </w:rPr>
      </w:pPr>
    </w:p>
    <w:p w:rsidR="0037707D" w:rsidRPr="0040314B" w:rsidRDefault="0037707D" w:rsidP="00CB0C67">
      <w:pPr>
        <w:rPr>
          <w:sz w:val="22"/>
          <w:szCs w:val="22"/>
        </w:rPr>
      </w:pPr>
      <w:r w:rsidRPr="0040314B">
        <w:rPr>
          <w:sz w:val="22"/>
          <w:szCs w:val="22"/>
        </w:rPr>
        <w:t>Minirin</w:t>
      </w:r>
      <w:r w:rsidRPr="0040314B">
        <w:rPr>
          <w:sz w:val="22"/>
          <w:szCs w:val="22"/>
          <w:vertAlign w:val="superscript"/>
        </w:rPr>
        <w:t xml:space="preserve"> </w:t>
      </w:r>
      <w:r w:rsidRPr="0040314B">
        <w:rPr>
          <w:sz w:val="22"/>
          <w:szCs w:val="22"/>
        </w:rPr>
        <w:t>spray</w:t>
      </w:r>
    </w:p>
    <w:p w:rsidR="0037707D" w:rsidRPr="0040314B" w:rsidRDefault="0037707D" w:rsidP="00CB0C67">
      <w:pPr>
        <w:rPr>
          <w:sz w:val="22"/>
          <w:szCs w:val="22"/>
        </w:rPr>
      </w:pPr>
    </w:p>
    <w:p w:rsidR="0037707D" w:rsidRPr="0040314B" w:rsidRDefault="0037707D" w:rsidP="00CB0C67">
      <w:pPr>
        <w:rPr>
          <w:sz w:val="22"/>
          <w:szCs w:val="22"/>
        </w:rPr>
      </w:pPr>
    </w:p>
    <w:p w:rsidR="0037707D" w:rsidRPr="0040314B" w:rsidRDefault="0037707D" w:rsidP="00CB0C67">
      <w:pPr>
        <w:rPr>
          <w:b/>
          <w:sz w:val="22"/>
          <w:szCs w:val="22"/>
        </w:rPr>
      </w:pPr>
      <w:r w:rsidRPr="0040314B">
        <w:rPr>
          <w:b/>
          <w:sz w:val="22"/>
          <w:szCs w:val="22"/>
        </w:rPr>
        <w:t xml:space="preserve">2. </w:t>
      </w:r>
      <w:r w:rsidRPr="0040314B">
        <w:rPr>
          <w:b/>
          <w:sz w:val="22"/>
          <w:szCs w:val="22"/>
        </w:rPr>
        <w:tab/>
        <w:t xml:space="preserve">KVALITATÍVNE A KVANTITATÍVNE ZLOŽENIE </w:t>
      </w:r>
    </w:p>
    <w:p w:rsidR="0037707D" w:rsidRPr="0040314B" w:rsidRDefault="0037707D" w:rsidP="00CB0C67">
      <w:pPr>
        <w:rPr>
          <w:sz w:val="22"/>
          <w:szCs w:val="22"/>
        </w:rPr>
      </w:pPr>
    </w:p>
    <w:p w:rsidR="0037707D" w:rsidRPr="0040314B" w:rsidRDefault="0037707D" w:rsidP="00CB0C67">
      <w:pPr>
        <w:rPr>
          <w:sz w:val="22"/>
          <w:szCs w:val="22"/>
        </w:rPr>
      </w:pPr>
      <w:r w:rsidRPr="0040314B">
        <w:rPr>
          <w:sz w:val="22"/>
          <w:szCs w:val="22"/>
        </w:rPr>
        <w:t>1 ml nosovej roztokovej aerodisperzie obsahuje 0,1 mg dezmopresín acetátu ekvivalentného 89</w:t>
      </w:r>
      <w:r>
        <w:rPr>
          <w:sz w:val="22"/>
          <w:szCs w:val="22"/>
        </w:rPr>
        <w:t> </w:t>
      </w:r>
      <w:r w:rsidRPr="0040314B">
        <w:rPr>
          <w:sz w:val="22"/>
          <w:szCs w:val="22"/>
        </w:rPr>
        <w:t>mikrogramom dezmopresínu.</w:t>
      </w:r>
    </w:p>
    <w:p w:rsidR="0037707D" w:rsidRPr="0040314B" w:rsidRDefault="0037707D" w:rsidP="00CB0C67">
      <w:pPr>
        <w:pStyle w:val="Title"/>
        <w:jc w:val="left"/>
        <w:rPr>
          <w:rFonts w:ascii="Times New Roman" w:hAnsi="Times New Roman"/>
          <w:b w:val="0"/>
          <w:szCs w:val="22"/>
          <w:lang w:val="sk-SK"/>
        </w:rPr>
      </w:pPr>
    </w:p>
    <w:p w:rsidR="0037707D" w:rsidRPr="0040314B" w:rsidRDefault="0037707D" w:rsidP="00CB0C67">
      <w:pPr>
        <w:pStyle w:val="Title"/>
        <w:jc w:val="left"/>
        <w:rPr>
          <w:rFonts w:ascii="Times New Roman" w:hAnsi="Times New Roman"/>
          <w:b w:val="0"/>
          <w:szCs w:val="22"/>
          <w:lang w:val="sk-SK"/>
        </w:rPr>
      </w:pPr>
      <w:r w:rsidRPr="0040314B">
        <w:rPr>
          <w:rFonts w:ascii="Times New Roman" w:hAnsi="Times New Roman"/>
          <w:b w:val="0"/>
          <w:szCs w:val="22"/>
          <w:lang w:val="sk-SK"/>
        </w:rPr>
        <w:t>Pomocná látka so známym účinkom:</w:t>
      </w:r>
    </w:p>
    <w:p w:rsidR="0037707D" w:rsidRPr="0040314B" w:rsidRDefault="0037707D" w:rsidP="00CB0C67">
      <w:pPr>
        <w:pStyle w:val="Title"/>
        <w:jc w:val="left"/>
        <w:rPr>
          <w:rFonts w:ascii="Times New Roman" w:hAnsi="Times New Roman"/>
          <w:b w:val="0"/>
          <w:szCs w:val="22"/>
          <w:lang w:val="sk-SK"/>
        </w:rPr>
      </w:pPr>
      <w:r w:rsidRPr="0040314B">
        <w:rPr>
          <w:rFonts w:ascii="Times New Roman" w:hAnsi="Times New Roman"/>
          <w:b w:val="0"/>
          <w:szCs w:val="22"/>
          <w:lang w:val="sk-SK"/>
        </w:rPr>
        <w:t>1 ml Minirinu spray obsahuje 0,1 mg benzalkóniumchlo</w:t>
      </w:r>
      <w:r>
        <w:rPr>
          <w:rFonts w:ascii="Times New Roman" w:hAnsi="Times New Roman"/>
          <w:b w:val="0"/>
          <w:szCs w:val="22"/>
          <w:lang w:val="sk-SK"/>
        </w:rPr>
        <w:t>r</w:t>
      </w:r>
      <w:r w:rsidRPr="0040314B">
        <w:rPr>
          <w:rFonts w:ascii="Times New Roman" w:hAnsi="Times New Roman"/>
          <w:b w:val="0"/>
          <w:szCs w:val="22"/>
          <w:lang w:val="sk-SK"/>
        </w:rPr>
        <w:t>idu.</w:t>
      </w:r>
    </w:p>
    <w:p w:rsidR="0037707D" w:rsidRPr="0040314B" w:rsidRDefault="0037707D" w:rsidP="00CB0C67">
      <w:pPr>
        <w:pStyle w:val="Title"/>
        <w:jc w:val="left"/>
        <w:rPr>
          <w:rFonts w:ascii="Times New Roman" w:hAnsi="Times New Roman"/>
          <w:b w:val="0"/>
          <w:szCs w:val="22"/>
          <w:lang w:val="sk-SK"/>
        </w:rPr>
      </w:pPr>
    </w:p>
    <w:p w:rsidR="0037707D" w:rsidRPr="0040314B" w:rsidRDefault="0037707D" w:rsidP="00CB0C67">
      <w:pPr>
        <w:pStyle w:val="Title"/>
        <w:jc w:val="left"/>
        <w:rPr>
          <w:rFonts w:ascii="Times New Roman" w:hAnsi="Times New Roman"/>
          <w:b w:val="0"/>
          <w:szCs w:val="22"/>
          <w:lang w:val="sk-SK"/>
        </w:rPr>
      </w:pPr>
      <w:r w:rsidRPr="0040314B">
        <w:rPr>
          <w:rFonts w:ascii="Times New Roman" w:hAnsi="Times New Roman"/>
          <w:b w:val="0"/>
          <w:szCs w:val="22"/>
          <w:lang w:val="sk-SK"/>
        </w:rPr>
        <w:t>Úplný zoznam pomocných látok, pozri časť 6.1.</w:t>
      </w:r>
    </w:p>
    <w:p w:rsidR="0037707D" w:rsidRPr="0040314B" w:rsidRDefault="0037707D" w:rsidP="00CB0C67">
      <w:pPr>
        <w:rPr>
          <w:sz w:val="22"/>
          <w:szCs w:val="22"/>
        </w:rPr>
      </w:pPr>
    </w:p>
    <w:p w:rsidR="0037707D" w:rsidRPr="0040314B" w:rsidRDefault="0037707D" w:rsidP="00CB0C67">
      <w:pPr>
        <w:rPr>
          <w:sz w:val="22"/>
          <w:szCs w:val="22"/>
        </w:rPr>
      </w:pPr>
    </w:p>
    <w:p w:rsidR="0037707D" w:rsidRPr="0040314B" w:rsidRDefault="0037707D" w:rsidP="00CB0C67">
      <w:pPr>
        <w:rPr>
          <w:b/>
          <w:sz w:val="22"/>
          <w:szCs w:val="22"/>
        </w:rPr>
      </w:pPr>
      <w:r w:rsidRPr="0040314B">
        <w:rPr>
          <w:b/>
          <w:sz w:val="22"/>
          <w:szCs w:val="22"/>
        </w:rPr>
        <w:t xml:space="preserve">3. </w:t>
      </w:r>
      <w:r w:rsidRPr="0040314B">
        <w:rPr>
          <w:b/>
          <w:sz w:val="22"/>
          <w:szCs w:val="22"/>
        </w:rPr>
        <w:tab/>
        <w:t>LIEKOVÁ FORMA</w:t>
      </w:r>
    </w:p>
    <w:p w:rsidR="0037707D" w:rsidRPr="0040314B" w:rsidRDefault="0037707D" w:rsidP="00CB0C67">
      <w:pPr>
        <w:rPr>
          <w:sz w:val="22"/>
          <w:szCs w:val="22"/>
        </w:rPr>
      </w:pPr>
    </w:p>
    <w:p w:rsidR="0037707D" w:rsidRPr="0040314B" w:rsidRDefault="0037707D" w:rsidP="00CB0C67">
      <w:pPr>
        <w:rPr>
          <w:sz w:val="22"/>
          <w:szCs w:val="22"/>
        </w:rPr>
      </w:pPr>
      <w:r w:rsidRPr="0040314B">
        <w:rPr>
          <w:sz w:val="22"/>
          <w:szCs w:val="22"/>
        </w:rPr>
        <w:t>Nosová roztoková aerodisperzia</w:t>
      </w:r>
    </w:p>
    <w:p w:rsidR="0037707D" w:rsidRPr="0040314B" w:rsidRDefault="0037707D" w:rsidP="00CB0C67">
      <w:pPr>
        <w:rPr>
          <w:sz w:val="22"/>
          <w:szCs w:val="22"/>
        </w:rPr>
      </w:pPr>
    </w:p>
    <w:p w:rsidR="0037707D" w:rsidRPr="0040314B" w:rsidRDefault="0037707D" w:rsidP="00CB0C67">
      <w:pPr>
        <w:rPr>
          <w:sz w:val="22"/>
          <w:szCs w:val="22"/>
        </w:rPr>
      </w:pPr>
    </w:p>
    <w:p w:rsidR="0037707D" w:rsidRPr="0040314B" w:rsidRDefault="0037707D" w:rsidP="00CB0C67">
      <w:pPr>
        <w:rPr>
          <w:b/>
          <w:sz w:val="22"/>
          <w:szCs w:val="22"/>
        </w:rPr>
      </w:pPr>
      <w:r w:rsidRPr="0040314B">
        <w:rPr>
          <w:b/>
          <w:sz w:val="22"/>
          <w:szCs w:val="22"/>
        </w:rPr>
        <w:t xml:space="preserve">4. </w:t>
      </w:r>
      <w:r w:rsidRPr="0040314B">
        <w:rPr>
          <w:b/>
          <w:sz w:val="22"/>
          <w:szCs w:val="22"/>
        </w:rPr>
        <w:tab/>
        <w:t>KLINICKÉ ÚDAJE</w:t>
      </w:r>
    </w:p>
    <w:p w:rsidR="0037707D" w:rsidRPr="0040314B" w:rsidRDefault="0037707D" w:rsidP="00CB0C67">
      <w:pPr>
        <w:rPr>
          <w:b/>
          <w:sz w:val="22"/>
          <w:szCs w:val="22"/>
        </w:rPr>
      </w:pPr>
    </w:p>
    <w:p w:rsidR="0037707D" w:rsidRPr="0040314B" w:rsidRDefault="0037707D" w:rsidP="00CB0C67">
      <w:pPr>
        <w:rPr>
          <w:b/>
          <w:sz w:val="22"/>
          <w:szCs w:val="22"/>
        </w:rPr>
      </w:pPr>
      <w:r w:rsidRPr="0040314B">
        <w:rPr>
          <w:b/>
          <w:sz w:val="22"/>
          <w:szCs w:val="22"/>
        </w:rPr>
        <w:t>4.1</w:t>
      </w:r>
      <w:r w:rsidRPr="0040314B">
        <w:rPr>
          <w:b/>
          <w:sz w:val="22"/>
          <w:szCs w:val="22"/>
        </w:rPr>
        <w:tab/>
        <w:t xml:space="preserve"> Terapeutické indikácie</w:t>
      </w:r>
    </w:p>
    <w:p w:rsidR="0037707D" w:rsidRPr="0040314B" w:rsidRDefault="0037707D" w:rsidP="00CB0C67">
      <w:pPr>
        <w:rPr>
          <w:sz w:val="22"/>
          <w:szCs w:val="22"/>
        </w:rPr>
      </w:pPr>
    </w:p>
    <w:p w:rsidR="0037707D" w:rsidRPr="0040314B" w:rsidRDefault="0037707D" w:rsidP="00CB0C67">
      <w:pPr>
        <w:numPr>
          <w:ilvl w:val="0"/>
          <w:numId w:val="13"/>
        </w:numPr>
        <w:rPr>
          <w:sz w:val="22"/>
          <w:szCs w:val="22"/>
        </w:rPr>
      </w:pPr>
      <w:r w:rsidRPr="0040314B">
        <w:rPr>
          <w:sz w:val="22"/>
          <w:szCs w:val="22"/>
        </w:rPr>
        <w:t xml:space="preserve">Centrálny diabetes insipidus (CDI). </w:t>
      </w:r>
    </w:p>
    <w:p w:rsidR="0037707D" w:rsidRPr="0040314B" w:rsidRDefault="0037707D" w:rsidP="00CB0C67">
      <w:pPr>
        <w:numPr>
          <w:ilvl w:val="0"/>
          <w:numId w:val="13"/>
        </w:numPr>
        <w:rPr>
          <w:sz w:val="22"/>
          <w:szCs w:val="22"/>
        </w:rPr>
      </w:pPr>
      <w:r w:rsidRPr="0040314B">
        <w:rPr>
          <w:sz w:val="22"/>
          <w:szCs w:val="22"/>
        </w:rPr>
        <w:t xml:space="preserve">Testovanie koncentračnej schopnosti obličiek. </w:t>
      </w:r>
    </w:p>
    <w:p w:rsidR="0037707D" w:rsidRPr="0040314B" w:rsidRDefault="0037707D" w:rsidP="00CB0C67">
      <w:pPr>
        <w:numPr>
          <w:ilvl w:val="0"/>
          <w:numId w:val="13"/>
        </w:numPr>
        <w:rPr>
          <w:sz w:val="22"/>
          <w:szCs w:val="22"/>
        </w:rPr>
      </w:pPr>
      <w:r w:rsidRPr="0040314B">
        <w:rPr>
          <w:sz w:val="22"/>
          <w:szCs w:val="22"/>
        </w:rPr>
        <w:t xml:space="preserve">Primárna nočná enuréza (PNE) (od 5. roku), keď nočné budenie nie je dostatočne účinné alebo je nevhodné u pacientov s normálnou schopnosťou koncentrovať moč. </w:t>
      </w:r>
    </w:p>
    <w:p w:rsidR="0037707D" w:rsidRPr="0040314B" w:rsidRDefault="0037707D" w:rsidP="00CB0C67">
      <w:pPr>
        <w:rPr>
          <w:sz w:val="22"/>
          <w:szCs w:val="22"/>
        </w:rPr>
      </w:pPr>
    </w:p>
    <w:p w:rsidR="0037707D" w:rsidRPr="0040314B" w:rsidRDefault="0037707D" w:rsidP="00CB0C67">
      <w:pPr>
        <w:pStyle w:val="Title"/>
        <w:jc w:val="both"/>
        <w:rPr>
          <w:rFonts w:ascii="Times New Roman" w:hAnsi="Times New Roman"/>
          <w:szCs w:val="22"/>
          <w:lang w:val="sk-SK"/>
        </w:rPr>
      </w:pPr>
      <w:r w:rsidRPr="0040314B">
        <w:rPr>
          <w:rFonts w:ascii="Times New Roman" w:hAnsi="Times New Roman"/>
          <w:szCs w:val="22"/>
          <w:lang w:val="sk-SK"/>
        </w:rPr>
        <w:t xml:space="preserve">4.2 </w:t>
      </w:r>
      <w:r w:rsidRPr="0040314B">
        <w:rPr>
          <w:rFonts w:ascii="Times New Roman" w:hAnsi="Times New Roman"/>
          <w:szCs w:val="22"/>
          <w:lang w:val="sk-SK"/>
        </w:rPr>
        <w:tab/>
        <w:t>Dávkovanie a spôsob podávania</w:t>
      </w:r>
    </w:p>
    <w:p w:rsidR="0037707D" w:rsidRPr="0040314B" w:rsidRDefault="0037707D" w:rsidP="00CB0C67">
      <w:pPr>
        <w:jc w:val="both"/>
        <w:rPr>
          <w:sz w:val="22"/>
          <w:szCs w:val="22"/>
        </w:rPr>
      </w:pPr>
    </w:p>
    <w:p w:rsidR="0037707D" w:rsidRPr="0040314B" w:rsidRDefault="0037707D" w:rsidP="0040314B">
      <w:pPr>
        <w:rPr>
          <w:b/>
          <w:sz w:val="22"/>
          <w:szCs w:val="22"/>
        </w:rPr>
      </w:pPr>
      <w:r w:rsidRPr="0040314B">
        <w:rPr>
          <w:b/>
          <w:sz w:val="22"/>
          <w:szCs w:val="22"/>
        </w:rPr>
        <w:t>Všeobecné údaje</w:t>
      </w:r>
    </w:p>
    <w:p w:rsidR="0037707D" w:rsidRPr="0040314B" w:rsidRDefault="0037707D" w:rsidP="0040314B">
      <w:pPr>
        <w:rPr>
          <w:sz w:val="22"/>
          <w:szCs w:val="22"/>
        </w:rPr>
      </w:pPr>
      <w:r w:rsidRPr="0040314B">
        <w:rPr>
          <w:sz w:val="22"/>
          <w:szCs w:val="22"/>
        </w:rPr>
        <w:t>Jedna dávka aerodisperzie predstavuje 0,1ml, čo zodpovedá 10 mikrogramom dezmopresín acetátu.</w:t>
      </w:r>
    </w:p>
    <w:p w:rsidR="0037707D" w:rsidRPr="0040314B" w:rsidRDefault="0037707D" w:rsidP="0040314B">
      <w:pPr>
        <w:rPr>
          <w:i/>
          <w:sz w:val="22"/>
          <w:szCs w:val="22"/>
          <w:u w:val="single"/>
        </w:rPr>
      </w:pPr>
    </w:p>
    <w:p w:rsidR="0037707D" w:rsidRPr="0040314B" w:rsidRDefault="0037707D" w:rsidP="0040314B">
      <w:pPr>
        <w:rPr>
          <w:sz w:val="22"/>
          <w:szCs w:val="22"/>
        </w:rPr>
      </w:pPr>
      <w:r w:rsidRPr="0040314B">
        <w:rPr>
          <w:sz w:val="22"/>
          <w:szCs w:val="22"/>
          <w:u w:val="single"/>
        </w:rPr>
        <w:t>Spôsob podávania</w:t>
      </w:r>
      <w:r w:rsidRPr="0040314B">
        <w:rPr>
          <w:sz w:val="22"/>
          <w:szCs w:val="22"/>
        </w:rPr>
        <w:t>: pozri časť 6.5 a 6.6.</w:t>
      </w:r>
    </w:p>
    <w:p w:rsidR="0037707D" w:rsidRPr="0040314B" w:rsidRDefault="0037707D" w:rsidP="0040314B">
      <w:pPr>
        <w:rPr>
          <w:sz w:val="22"/>
          <w:szCs w:val="22"/>
        </w:rPr>
      </w:pPr>
    </w:p>
    <w:p w:rsidR="0037707D" w:rsidRPr="0040314B" w:rsidRDefault="0037707D" w:rsidP="0040314B">
      <w:pPr>
        <w:rPr>
          <w:sz w:val="22"/>
          <w:szCs w:val="22"/>
        </w:rPr>
      </w:pPr>
      <w:r w:rsidRPr="0040314B">
        <w:rPr>
          <w:sz w:val="22"/>
          <w:szCs w:val="22"/>
        </w:rPr>
        <w:t>Minirin spray sa má použiť len u pacientov, u ktorých nemožno použiť perorálnu formu dezmopresínu a liečba má začať vždy najnižšou dávkou (pozri časť 4.4).</w:t>
      </w:r>
    </w:p>
    <w:p w:rsidR="0037707D" w:rsidRPr="0040314B" w:rsidRDefault="0037707D" w:rsidP="0040314B">
      <w:pPr>
        <w:rPr>
          <w:sz w:val="22"/>
          <w:szCs w:val="22"/>
        </w:rPr>
      </w:pPr>
    </w:p>
    <w:p w:rsidR="0037707D" w:rsidRPr="0040314B" w:rsidRDefault="0037707D" w:rsidP="0040314B">
      <w:pPr>
        <w:rPr>
          <w:sz w:val="22"/>
          <w:szCs w:val="22"/>
        </w:rPr>
      </w:pPr>
      <w:r w:rsidRPr="0040314B">
        <w:rPr>
          <w:sz w:val="22"/>
          <w:szCs w:val="22"/>
        </w:rPr>
        <w:t>Je potrebné dodržiavať obmedzenie príjmu tekutín (pozri časť 4.4).</w:t>
      </w:r>
    </w:p>
    <w:p w:rsidR="0037707D" w:rsidRPr="0040314B" w:rsidRDefault="0037707D" w:rsidP="0040314B">
      <w:pPr>
        <w:rPr>
          <w:sz w:val="22"/>
          <w:szCs w:val="22"/>
        </w:rPr>
      </w:pPr>
    </w:p>
    <w:p w:rsidR="0037707D" w:rsidRPr="0040314B" w:rsidRDefault="0037707D" w:rsidP="0040314B">
      <w:pPr>
        <w:rPr>
          <w:sz w:val="22"/>
          <w:szCs w:val="22"/>
        </w:rPr>
      </w:pPr>
      <w:r w:rsidRPr="0040314B">
        <w:rPr>
          <w:sz w:val="22"/>
          <w:szCs w:val="22"/>
        </w:rPr>
        <w:t>V prípade výskytu znakov a príznakov retencie vody a/alebo hyponatriémie (bolesť hlavy, nevoľnosť/vracanie a v závažných prípadoch kŕče) liečba sa musí prerušiť, až kým sa pacient celkom nezotaví. Keď sa liečba obnoví, pacient musí striktne dodržiavať obmedzenie príjmu tekutín (pozri časť 4.4).</w:t>
      </w:r>
    </w:p>
    <w:p w:rsidR="0037707D" w:rsidRPr="0040314B" w:rsidRDefault="0037707D" w:rsidP="0040314B">
      <w:pPr>
        <w:rPr>
          <w:sz w:val="22"/>
          <w:szCs w:val="22"/>
        </w:rPr>
      </w:pPr>
    </w:p>
    <w:p w:rsidR="0037707D" w:rsidRPr="0040314B" w:rsidRDefault="0037707D" w:rsidP="0040314B">
      <w:pPr>
        <w:rPr>
          <w:b/>
          <w:sz w:val="22"/>
          <w:szCs w:val="22"/>
        </w:rPr>
      </w:pPr>
      <w:r w:rsidRPr="0040314B">
        <w:rPr>
          <w:b/>
          <w:sz w:val="22"/>
          <w:szCs w:val="22"/>
        </w:rPr>
        <w:t>Indikácie</w:t>
      </w:r>
    </w:p>
    <w:p w:rsidR="0037707D" w:rsidRPr="0040314B" w:rsidRDefault="0037707D" w:rsidP="0040314B">
      <w:pPr>
        <w:rPr>
          <w:sz w:val="22"/>
          <w:szCs w:val="22"/>
        </w:rPr>
      </w:pPr>
      <w:r w:rsidRPr="0040314B">
        <w:rPr>
          <w:sz w:val="22"/>
          <w:szCs w:val="22"/>
          <w:u w:val="single"/>
        </w:rPr>
        <w:t>Centrálny diabetes insipidus</w:t>
      </w:r>
      <w:r w:rsidRPr="0040314B">
        <w:rPr>
          <w:sz w:val="22"/>
          <w:szCs w:val="22"/>
        </w:rPr>
        <w:t xml:space="preserve"> </w:t>
      </w:r>
    </w:p>
    <w:p w:rsidR="0037707D" w:rsidRPr="0040314B" w:rsidRDefault="0037707D" w:rsidP="0040314B">
      <w:pPr>
        <w:rPr>
          <w:sz w:val="22"/>
          <w:szCs w:val="22"/>
        </w:rPr>
      </w:pPr>
      <w:r w:rsidRPr="0040314B">
        <w:rPr>
          <w:sz w:val="22"/>
          <w:szCs w:val="22"/>
        </w:rPr>
        <w:t xml:space="preserve">Dávkovanie je individuálne. Odporúčaná dávka u dospelých je 10 </w:t>
      </w:r>
      <w:r w:rsidRPr="0040314B">
        <w:rPr>
          <w:sz w:val="22"/>
          <w:szCs w:val="22"/>
        </w:rPr>
        <w:sym w:font="Symbol" w:char="F06D"/>
      </w:r>
      <w:r w:rsidRPr="0040314B">
        <w:rPr>
          <w:sz w:val="22"/>
          <w:szCs w:val="22"/>
        </w:rPr>
        <w:t xml:space="preserve">g až 20 </w:t>
      </w:r>
      <w:r w:rsidRPr="0040314B">
        <w:rPr>
          <w:sz w:val="22"/>
          <w:szCs w:val="22"/>
        </w:rPr>
        <w:sym w:font="Symbol" w:char="F06D"/>
      </w:r>
      <w:r w:rsidRPr="0040314B">
        <w:rPr>
          <w:sz w:val="22"/>
          <w:szCs w:val="22"/>
        </w:rPr>
        <w:t xml:space="preserve">g 1 – 2 krát denne. U detí je odporúčaná dávka 5 </w:t>
      </w:r>
      <w:r w:rsidRPr="0040314B">
        <w:rPr>
          <w:sz w:val="22"/>
          <w:szCs w:val="22"/>
        </w:rPr>
        <w:sym w:font="Symbol" w:char="F06D"/>
      </w:r>
      <w:r w:rsidRPr="0040314B">
        <w:rPr>
          <w:sz w:val="22"/>
          <w:szCs w:val="22"/>
        </w:rPr>
        <w:t xml:space="preserve">g až 10 </w:t>
      </w:r>
      <w:r w:rsidRPr="0040314B">
        <w:rPr>
          <w:sz w:val="22"/>
          <w:szCs w:val="22"/>
        </w:rPr>
        <w:sym w:font="Symbol" w:char="F06D"/>
      </w:r>
      <w:r w:rsidRPr="0040314B">
        <w:rPr>
          <w:sz w:val="22"/>
          <w:szCs w:val="22"/>
        </w:rPr>
        <w:t>g 1 – 2 krát denne. Keď sa objavia príznaky retencie vody, dávka sa musí upraviť.</w:t>
      </w:r>
    </w:p>
    <w:p w:rsidR="0037707D" w:rsidRPr="0040314B" w:rsidRDefault="0037707D" w:rsidP="0040314B">
      <w:pPr>
        <w:rPr>
          <w:sz w:val="22"/>
          <w:szCs w:val="22"/>
        </w:rPr>
      </w:pPr>
    </w:p>
    <w:p w:rsidR="0037707D" w:rsidRPr="0040314B" w:rsidRDefault="0037707D" w:rsidP="0040314B">
      <w:pPr>
        <w:rPr>
          <w:sz w:val="22"/>
          <w:szCs w:val="22"/>
        </w:rPr>
      </w:pPr>
      <w:r w:rsidRPr="0040314B">
        <w:rPr>
          <w:sz w:val="22"/>
          <w:szCs w:val="22"/>
          <w:u w:val="single"/>
        </w:rPr>
        <w:t>Primárna nočná enuréza</w:t>
      </w:r>
      <w:r w:rsidRPr="0040314B">
        <w:rPr>
          <w:sz w:val="22"/>
          <w:szCs w:val="22"/>
        </w:rPr>
        <w:t xml:space="preserve"> </w:t>
      </w:r>
    </w:p>
    <w:p w:rsidR="0037707D" w:rsidRPr="0040314B" w:rsidRDefault="0037707D" w:rsidP="0040314B">
      <w:pPr>
        <w:rPr>
          <w:sz w:val="22"/>
          <w:szCs w:val="22"/>
        </w:rPr>
      </w:pPr>
      <w:r w:rsidRPr="0040314B">
        <w:rPr>
          <w:sz w:val="22"/>
          <w:szCs w:val="22"/>
        </w:rPr>
        <w:t xml:space="preserve">Klinicky účinná dávka je individuálna a môže sa pohybovať od 10 </w:t>
      </w:r>
      <w:r w:rsidRPr="0040314B">
        <w:rPr>
          <w:sz w:val="22"/>
          <w:szCs w:val="22"/>
        </w:rPr>
        <w:sym w:font="Symbol" w:char="F06D"/>
      </w:r>
      <w:r w:rsidRPr="0040314B">
        <w:rPr>
          <w:sz w:val="22"/>
          <w:szCs w:val="22"/>
        </w:rPr>
        <w:t xml:space="preserve">g do 20 </w:t>
      </w:r>
      <w:r w:rsidRPr="0040314B">
        <w:rPr>
          <w:sz w:val="22"/>
          <w:szCs w:val="22"/>
        </w:rPr>
        <w:sym w:font="Symbol" w:char="F06D"/>
      </w:r>
      <w:r w:rsidRPr="0040314B">
        <w:rPr>
          <w:sz w:val="22"/>
          <w:szCs w:val="22"/>
        </w:rPr>
        <w:t xml:space="preserve">g intranazálne pred spaním. </w:t>
      </w:r>
    </w:p>
    <w:p w:rsidR="0037707D" w:rsidRPr="0040314B" w:rsidRDefault="0037707D" w:rsidP="0040314B">
      <w:pPr>
        <w:rPr>
          <w:sz w:val="22"/>
          <w:szCs w:val="22"/>
        </w:rPr>
      </w:pPr>
    </w:p>
    <w:p w:rsidR="0037707D" w:rsidRPr="0040314B" w:rsidRDefault="0037707D" w:rsidP="0040314B">
      <w:pPr>
        <w:rPr>
          <w:sz w:val="22"/>
          <w:szCs w:val="22"/>
        </w:rPr>
      </w:pPr>
      <w:r w:rsidRPr="0040314B">
        <w:rPr>
          <w:sz w:val="22"/>
          <w:szCs w:val="22"/>
        </w:rPr>
        <w:t xml:space="preserve">Dávkovanie má byť postupné s počiatočnou dávkou 10 </w:t>
      </w:r>
      <w:r w:rsidRPr="0040314B">
        <w:rPr>
          <w:sz w:val="22"/>
          <w:szCs w:val="22"/>
        </w:rPr>
        <w:sym w:font="Symbol" w:char="F06D"/>
      </w:r>
      <w:r w:rsidRPr="0040314B">
        <w:rPr>
          <w:sz w:val="22"/>
          <w:szCs w:val="22"/>
        </w:rPr>
        <w:t xml:space="preserve">g pred spaním. Ak sa po minimálne 1 týždni nedostaví klinická odpoveď, dávku možno zvýšiť na 20 </w:t>
      </w:r>
      <w:r w:rsidRPr="0040314B">
        <w:rPr>
          <w:sz w:val="22"/>
          <w:szCs w:val="22"/>
        </w:rPr>
        <w:sym w:font="Symbol" w:char="F06D"/>
      </w:r>
      <w:r w:rsidRPr="0040314B">
        <w:rPr>
          <w:sz w:val="22"/>
          <w:szCs w:val="22"/>
        </w:rPr>
        <w:t>g. Maximálna dávka nesmie presiahnuť 20</w:t>
      </w:r>
      <w:r>
        <w:rPr>
          <w:sz w:val="22"/>
          <w:szCs w:val="22"/>
        </w:rPr>
        <w:t> </w:t>
      </w:r>
      <w:r w:rsidRPr="0040314B">
        <w:rPr>
          <w:sz w:val="22"/>
          <w:szCs w:val="22"/>
        </w:rPr>
        <w:sym w:font="Symbol" w:char="F06D"/>
      </w:r>
      <w:r w:rsidRPr="0040314B">
        <w:rPr>
          <w:sz w:val="22"/>
          <w:szCs w:val="22"/>
        </w:rPr>
        <w:t>g. Po troch mesiacoch sa liečba na týždeň vynechá a lekár posúdi, či je nutné v nej pokračovať.</w:t>
      </w:r>
    </w:p>
    <w:p w:rsidR="0037707D" w:rsidRPr="0040314B" w:rsidRDefault="0037707D" w:rsidP="0040314B">
      <w:pPr>
        <w:rPr>
          <w:sz w:val="22"/>
          <w:szCs w:val="22"/>
        </w:rPr>
      </w:pPr>
    </w:p>
    <w:p w:rsidR="0037707D" w:rsidRPr="0040314B" w:rsidRDefault="0037707D" w:rsidP="0040314B">
      <w:pPr>
        <w:rPr>
          <w:sz w:val="22"/>
          <w:szCs w:val="22"/>
        </w:rPr>
      </w:pPr>
      <w:r w:rsidRPr="0040314B">
        <w:rPr>
          <w:sz w:val="22"/>
          <w:szCs w:val="22"/>
        </w:rPr>
        <w:t>Potrebné je dodržiavať obmedzenie príjmu tekutín, ako sa uvádza v časti 4.4. Pri objavení sa príznakov retencie vody/</w:t>
      </w:r>
      <w:r w:rsidRPr="0040314B">
        <w:rPr>
          <w:sz w:val="22"/>
          <w:szCs w:val="22"/>
          <w:lang w:val="cs-CZ"/>
        </w:rPr>
        <w:t>hyponatriémie</w:t>
      </w:r>
      <w:r w:rsidRPr="0040314B">
        <w:rPr>
          <w:sz w:val="22"/>
          <w:szCs w:val="22"/>
        </w:rPr>
        <w:t xml:space="preserve"> je potrebné liečbu prerušiť. Liečba enurézy je symptomatická. </w:t>
      </w:r>
    </w:p>
    <w:p w:rsidR="0037707D" w:rsidRPr="0040314B" w:rsidRDefault="0037707D" w:rsidP="0040314B">
      <w:pPr>
        <w:pStyle w:val="Title"/>
        <w:jc w:val="left"/>
        <w:rPr>
          <w:rFonts w:ascii="Times New Roman" w:hAnsi="Times New Roman"/>
          <w:b w:val="0"/>
          <w:i/>
          <w:szCs w:val="22"/>
          <w:u w:val="single"/>
          <w:lang w:val="sk-SK"/>
        </w:rPr>
      </w:pPr>
    </w:p>
    <w:p w:rsidR="0037707D" w:rsidRPr="0040314B" w:rsidRDefault="0037707D" w:rsidP="0040314B">
      <w:pPr>
        <w:pStyle w:val="Title"/>
        <w:jc w:val="left"/>
        <w:rPr>
          <w:rFonts w:ascii="Times New Roman" w:hAnsi="Times New Roman"/>
          <w:b w:val="0"/>
          <w:szCs w:val="22"/>
          <w:u w:val="single"/>
          <w:lang w:val="sk-SK"/>
        </w:rPr>
      </w:pPr>
      <w:r w:rsidRPr="0040314B">
        <w:rPr>
          <w:rFonts w:ascii="Times New Roman" w:hAnsi="Times New Roman"/>
          <w:b w:val="0"/>
          <w:szCs w:val="22"/>
          <w:u w:val="single"/>
          <w:lang w:val="sk-SK"/>
        </w:rPr>
        <w:t>Diagnostické použitie</w:t>
      </w:r>
    </w:p>
    <w:p w:rsidR="0037707D" w:rsidRPr="0040314B" w:rsidRDefault="0037707D" w:rsidP="0040314B">
      <w:pPr>
        <w:pStyle w:val="Title"/>
        <w:jc w:val="left"/>
        <w:rPr>
          <w:rFonts w:ascii="Times New Roman" w:hAnsi="Times New Roman"/>
          <w:b w:val="0"/>
          <w:szCs w:val="22"/>
          <w:lang w:val="sk-SK"/>
        </w:rPr>
      </w:pPr>
      <w:r w:rsidRPr="0040314B">
        <w:rPr>
          <w:rFonts w:ascii="Times New Roman" w:hAnsi="Times New Roman"/>
          <w:b w:val="0"/>
          <w:szCs w:val="22"/>
          <w:lang w:val="sk-SK"/>
        </w:rPr>
        <w:t xml:space="preserve">Na testovanie koncentračnej schopnosti obličiek sa odporúčajú nasledovné jednorazové dávky: normálna dávka u dospelých je 40 </w:t>
      </w:r>
      <w:r w:rsidRPr="0040314B">
        <w:rPr>
          <w:rFonts w:ascii="Times New Roman" w:hAnsi="Times New Roman"/>
          <w:b w:val="0"/>
          <w:szCs w:val="22"/>
          <w:lang w:val="sk-SK"/>
        </w:rPr>
        <w:sym w:font="Symbol" w:char="F06D"/>
      </w:r>
      <w:r w:rsidRPr="0040314B">
        <w:rPr>
          <w:rFonts w:ascii="Times New Roman" w:hAnsi="Times New Roman"/>
          <w:b w:val="0"/>
          <w:szCs w:val="22"/>
          <w:lang w:val="sk-SK"/>
        </w:rPr>
        <w:t xml:space="preserve">g, u detí starších ako 1 rok 20 </w:t>
      </w:r>
      <w:r w:rsidRPr="0040314B">
        <w:rPr>
          <w:rFonts w:ascii="Times New Roman" w:hAnsi="Times New Roman"/>
          <w:b w:val="0"/>
          <w:szCs w:val="22"/>
          <w:lang w:val="sk-SK"/>
        </w:rPr>
        <w:sym w:font="Symbol" w:char="F06D"/>
      </w:r>
      <w:r w:rsidRPr="0040314B">
        <w:rPr>
          <w:rFonts w:ascii="Times New Roman" w:hAnsi="Times New Roman"/>
          <w:b w:val="0"/>
          <w:szCs w:val="22"/>
          <w:lang w:val="sk-SK"/>
        </w:rPr>
        <w:t xml:space="preserve">g a u detí mladších ako 1 rok je to dávka 10 </w:t>
      </w:r>
      <w:r w:rsidRPr="0040314B">
        <w:rPr>
          <w:rFonts w:ascii="Times New Roman" w:hAnsi="Times New Roman"/>
          <w:b w:val="0"/>
          <w:szCs w:val="22"/>
          <w:lang w:val="sk-SK"/>
        </w:rPr>
        <w:sym w:font="Symbol" w:char="F06D"/>
      </w:r>
      <w:r w:rsidRPr="0040314B">
        <w:rPr>
          <w:rFonts w:ascii="Times New Roman" w:hAnsi="Times New Roman"/>
          <w:b w:val="0"/>
          <w:szCs w:val="22"/>
          <w:lang w:val="sk-SK"/>
        </w:rPr>
        <w:t>g. Moč vytvorený v priebehu 1 hodiny po použití Minirinu spray sa vyleje. Počas nasledujúcich 8 hodín sa zberajú dve dávky moču na vyšetrenie osmolality. Je potrebné dodržiavať obmedzenia príjmu tekutín, pozri časť 4.4.</w:t>
      </w:r>
    </w:p>
    <w:p w:rsidR="0037707D" w:rsidRPr="0040314B" w:rsidRDefault="0037707D" w:rsidP="0040314B">
      <w:pPr>
        <w:pStyle w:val="Title"/>
        <w:jc w:val="left"/>
        <w:rPr>
          <w:rFonts w:ascii="Times New Roman" w:hAnsi="Times New Roman"/>
          <w:szCs w:val="22"/>
          <w:lang w:val="sk-SK"/>
        </w:rPr>
      </w:pPr>
    </w:p>
    <w:p w:rsidR="0037707D" w:rsidRPr="0040314B" w:rsidRDefault="0037707D" w:rsidP="0040314B">
      <w:pPr>
        <w:pStyle w:val="Title"/>
        <w:jc w:val="left"/>
        <w:rPr>
          <w:rFonts w:ascii="Times New Roman" w:hAnsi="Times New Roman"/>
          <w:szCs w:val="22"/>
          <w:lang w:val="sk-SK"/>
        </w:rPr>
      </w:pPr>
      <w:r w:rsidRPr="0040314B">
        <w:rPr>
          <w:rFonts w:ascii="Times New Roman" w:hAnsi="Times New Roman"/>
          <w:szCs w:val="22"/>
          <w:lang w:val="sk-SK"/>
        </w:rPr>
        <w:t>Osobitné skupiny pacientov</w:t>
      </w:r>
    </w:p>
    <w:p w:rsidR="0037707D" w:rsidRPr="0040314B" w:rsidRDefault="0037707D" w:rsidP="0040314B">
      <w:pPr>
        <w:pStyle w:val="Title"/>
        <w:jc w:val="left"/>
        <w:rPr>
          <w:rFonts w:ascii="Times New Roman" w:hAnsi="Times New Roman"/>
          <w:b w:val="0"/>
          <w:i/>
          <w:szCs w:val="22"/>
          <w:lang w:val="sk-SK"/>
        </w:rPr>
      </w:pPr>
    </w:p>
    <w:p w:rsidR="0037707D" w:rsidRPr="0040314B" w:rsidRDefault="0037707D" w:rsidP="0040314B">
      <w:pPr>
        <w:pStyle w:val="Title"/>
        <w:jc w:val="left"/>
        <w:rPr>
          <w:rFonts w:ascii="Times New Roman" w:hAnsi="Times New Roman"/>
          <w:b w:val="0"/>
          <w:szCs w:val="22"/>
          <w:lang w:val="sk-SK"/>
        </w:rPr>
      </w:pPr>
      <w:r w:rsidRPr="0040314B">
        <w:rPr>
          <w:rFonts w:ascii="Times New Roman" w:hAnsi="Times New Roman"/>
          <w:b w:val="0"/>
          <w:i/>
          <w:szCs w:val="22"/>
          <w:lang w:val="sk-SK"/>
        </w:rPr>
        <w:t xml:space="preserve">Starší pacienti: </w:t>
      </w:r>
      <w:r w:rsidRPr="0040314B">
        <w:rPr>
          <w:rFonts w:ascii="Times New Roman" w:hAnsi="Times New Roman"/>
          <w:b w:val="0"/>
          <w:szCs w:val="22"/>
          <w:lang w:val="sk-SK"/>
        </w:rPr>
        <w:t>pozri časť 4.4.</w:t>
      </w:r>
    </w:p>
    <w:p w:rsidR="0037707D" w:rsidRPr="0040314B" w:rsidRDefault="0037707D" w:rsidP="0040314B">
      <w:pPr>
        <w:pStyle w:val="Title"/>
        <w:jc w:val="left"/>
        <w:rPr>
          <w:rFonts w:ascii="Times New Roman" w:hAnsi="Times New Roman"/>
          <w:b w:val="0"/>
          <w:i/>
          <w:szCs w:val="22"/>
          <w:lang w:val="sk-SK"/>
        </w:rPr>
      </w:pPr>
    </w:p>
    <w:p w:rsidR="0037707D" w:rsidRPr="0040314B" w:rsidRDefault="0037707D" w:rsidP="0040314B">
      <w:pPr>
        <w:pStyle w:val="Title"/>
        <w:jc w:val="left"/>
        <w:rPr>
          <w:rFonts w:ascii="Times New Roman" w:hAnsi="Times New Roman"/>
          <w:b w:val="0"/>
          <w:szCs w:val="22"/>
          <w:lang w:val="sk-SK"/>
        </w:rPr>
      </w:pPr>
      <w:r w:rsidRPr="0040314B">
        <w:rPr>
          <w:rFonts w:ascii="Times New Roman" w:hAnsi="Times New Roman"/>
          <w:b w:val="0"/>
          <w:i/>
          <w:szCs w:val="22"/>
          <w:lang w:val="sk-SK"/>
        </w:rPr>
        <w:t xml:space="preserve">Porucha funkcie obličiek: </w:t>
      </w:r>
      <w:r w:rsidRPr="0040314B">
        <w:rPr>
          <w:rFonts w:ascii="Times New Roman" w:hAnsi="Times New Roman"/>
          <w:b w:val="0"/>
          <w:szCs w:val="22"/>
          <w:lang w:val="sk-SK"/>
        </w:rPr>
        <w:t>pozri časť 4.3.</w:t>
      </w:r>
    </w:p>
    <w:p w:rsidR="0037707D" w:rsidRPr="0040314B" w:rsidRDefault="0037707D" w:rsidP="0040314B">
      <w:pPr>
        <w:pStyle w:val="Title"/>
        <w:jc w:val="left"/>
        <w:rPr>
          <w:rFonts w:ascii="Times New Roman" w:hAnsi="Times New Roman"/>
          <w:b w:val="0"/>
          <w:i/>
          <w:szCs w:val="22"/>
          <w:lang w:val="sk-SK"/>
        </w:rPr>
      </w:pPr>
    </w:p>
    <w:p w:rsidR="0037707D" w:rsidRPr="0040314B" w:rsidRDefault="0037707D" w:rsidP="0040314B">
      <w:pPr>
        <w:pStyle w:val="Title"/>
        <w:jc w:val="left"/>
        <w:rPr>
          <w:rFonts w:ascii="Times New Roman" w:hAnsi="Times New Roman"/>
          <w:b w:val="0"/>
          <w:szCs w:val="22"/>
          <w:lang w:val="sk-SK"/>
        </w:rPr>
      </w:pPr>
      <w:r w:rsidRPr="0040314B">
        <w:rPr>
          <w:rFonts w:ascii="Times New Roman" w:hAnsi="Times New Roman"/>
          <w:b w:val="0"/>
          <w:i/>
          <w:szCs w:val="22"/>
          <w:lang w:val="sk-SK"/>
        </w:rPr>
        <w:t xml:space="preserve">Porucha funkcie pečene: </w:t>
      </w:r>
      <w:r w:rsidRPr="0040314B">
        <w:rPr>
          <w:rFonts w:ascii="Times New Roman" w:hAnsi="Times New Roman"/>
          <w:b w:val="0"/>
          <w:szCs w:val="22"/>
          <w:lang w:val="sk-SK"/>
        </w:rPr>
        <w:t>pozri časť 4.5.</w:t>
      </w:r>
    </w:p>
    <w:p w:rsidR="0037707D" w:rsidRPr="0040314B" w:rsidRDefault="0037707D" w:rsidP="0040314B">
      <w:pPr>
        <w:pStyle w:val="Title"/>
        <w:jc w:val="left"/>
        <w:rPr>
          <w:rFonts w:ascii="Times New Roman" w:hAnsi="Times New Roman"/>
          <w:b w:val="0"/>
          <w:i/>
          <w:szCs w:val="22"/>
          <w:lang w:val="sk-SK"/>
        </w:rPr>
      </w:pPr>
    </w:p>
    <w:p w:rsidR="0037707D" w:rsidRPr="0040314B" w:rsidRDefault="0037707D" w:rsidP="0040314B">
      <w:pPr>
        <w:pStyle w:val="Title"/>
        <w:jc w:val="left"/>
        <w:rPr>
          <w:rFonts w:ascii="Times New Roman" w:hAnsi="Times New Roman"/>
          <w:b w:val="0"/>
          <w:i/>
          <w:szCs w:val="22"/>
          <w:lang w:val="sk-SK"/>
        </w:rPr>
      </w:pPr>
      <w:r w:rsidRPr="0040314B">
        <w:rPr>
          <w:rFonts w:ascii="Times New Roman" w:hAnsi="Times New Roman"/>
          <w:b w:val="0"/>
          <w:i/>
          <w:szCs w:val="22"/>
          <w:lang w:val="sk-SK"/>
        </w:rPr>
        <w:t>Pediatrická populácia</w:t>
      </w:r>
    </w:p>
    <w:p w:rsidR="0037707D" w:rsidRPr="0040314B" w:rsidRDefault="0037707D" w:rsidP="0040314B">
      <w:pPr>
        <w:pStyle w:val="Title"/>
        <w:jc w:val="left"/>
        <w:rPr>
          <w:rFonts w:ascii="Times New Roman" w:hAnsi="Times New Roman"/>
          <w:b w:val="0"/>
          <w:szCs w:val="22"/>
          <w:lang w:val="sk-SK"/>
        </w:rPr>
      </w:pPr>
      <w:r w:rsidRPr="0040314B">
        <w:rPr>
          <w:rFonts w:ascii="Times New Roman" w:hAnsi="Times New Roman"/>
          <w:b w:val="0"/>
          <w:szCs w:val="22"/>
          <w:lang w:val="sk-SK"/>
        </w:rPr>
        <w:t xml:space="preserve">Minirin spray je indikovaný u detí na liečbu centrálneho diabetu insipidus a primárnej nočnej enurézy a na testovanie koncentračnej schopnosti obličiek (pozri časť 4.1 a 4.2). </w:t>
      </w:r>
    </w:p>
    <w:p w:rsidR="0037707D" w:rsidRPr="0040314B" w:rsidRDefault="0037707D" w:rsidP="0040314B">
      <w:pPr>
        <w:pStyle w:val="Title"/>
        <w:jc w:val="left"/>
        <w:rPr>
          <w:rFonts w:ascii="Times New Roman" w:hAnsi="Times New Roman"/>
          <w:b w:val="0"/>
          <w:szCs w:val="22"/>
          <w:lang w:val="sk-SK"/>
        </w:rPr>
      </w:pPr>
    </w:p>
    <w:p w:rsidR="0037707D" w:rsidRPr="0040314B" w:rsidRDefault="0037707D" w:rsidP="00CB0C67">
      <w:pPr>
        <w:numPr>
          <w:ilvl w:val="1"/>
          <w:numId w:val="14"/>
        </w:numPr>
        <w:rPr>
          <w:b/>
          <w:sz w:val="22"/>
          <w:szCs w:val="22"/>
        </w:rPr>
      </w:pPr>
      <w:r w:rsidRPr="0040314B">
        <w:rPr>
          <w:b/>
          <w:sz w:val="22"/>
          <w:szCs w:val="22"/>
        </w:rPr>
        <w:t>Kontraindikácie</w:t>
      </w:r>
    </w:p>
    <w:p w:rsidR="0037707D" w:rsidRPr="0040314B" w:rsidRDefault="0037707D" w:rsidP="00CB0C67">
      <w:pPr>
        <w:rPr>
          <w:b/>
          <w:sz w:val="22"/>
          <w:szCs w:val="22"/>
        </w:rPr>
      </w:pPr>
    </w:p>
    <w:p w:rsidR="0037707D" w:rsidRPr="0040314B" w:rsidRDefault="0037707D" w:rsidP="00CB0C67">
      <w:pPr>
        <w:pStyle w:val="Title"/>
        <w:jc w:val="left"/>
        <w:rPr>
          <w:rFonts w:ascii="Times New Roman" w:hAnsi="Times New Roman"/>
          <w:b w:val="0"/>
          <w:szCs w:val="22"/>
          <w:lang w:val="sk-SK"/>
        </w:rPr>
      </w:pPr>
      <w:r w:rsidRPr="0040314B">
        <w:rPr>
          <w:rFonts w:ascii="Times New Roman" w:hAnsi="Times New Roman"/>
          <w:b w:val="0"/>
          <w:szCs w:val="22"/>
          <w:lang w:val="sk-SK"/>
        </w:rPr>
        <w:t>Minirin spray je kontraindikovaný v nasledujúcich prípadoch:</w:t>
      </w:r>
    </w:p>
    <w:p w:rsidR="0037707D" w:rsidRPr="0040314B" w:rsidRDefault="0037707D" w:rsidP="00CB0C67">
      <w:pPr>
        <w:numPr>
          <w:ilvl w:val="0"/>
          <w:numId w:val="7"/>
        </w:numPr>
        <w:rPr>
          <w:sz w:val="22"/>
          <w:szCs w:val="22"/>
        </w:rPr>
      </w:pPr>
      <w:r w:rsidRPr="0040314B">
        <w:rPr>
          <w:sz w:val="22"/>
          <w:szCs w:val="22"/>
        </w:rPr>
        <w:t>habituálna alebo psychogénna polydipsia (s následnou tvorbou moču presahujúcou 40 ml/kg/24 h),</w:t>
      </w:r>
    </w:p>
    <w:p w:rsidR="0037707D" w:rsidRPr="0040314B" w:rsidRDefault="0037707D" w:rsidP="00CB0C67">
      <w:pPr>
        <w:numPr>
          <w:ilvl w:val="0"/>
          <w:numId w:val="8"/>
        </w:numPr>
        <w:rPr>
          <w:sz w:val="22"/>
          <w:szCs w:val="22"/>
        </w:rPr>
      </w:pPr>
      <w:r w:rsidRPr="0040314B">
        <w:rPr>
          <w:sz w:val="22"/>
          <w:szCs w:val="22"/>
        </w:rPr>
        <w:t>syndróm neprimeraného vylučovania ADH (SIADH),</w:t>
      </w:r>
    </w:p>
    <w:p w:rsidR="0037707D" w:rsidRPr="0040314B" w:rsidRDefault="0037707D" w:rsidP="00CB0C67">
      <w:pPr>
        <w:numPr>
          <w:ilvl w:val="0"/>
          <w:numId w:val="9"/>
        </w:numPr>
        <w:rPr>
          <w:sz w:val="22"/>
          <w:szCs w:val="22"/>
        </w:rPr>
      </w:pPr>
      <w:r w:rsidRPr="0040314B">
        <w:rPr>
          <w:sz w:val="22"/>
          <w:szCs w:val="22"/>
        </w:rPr>
        <w:t>diagnostikovaná hyponatriémia,</w:t>
      </w:r>
    </w:p>
    <w:p w:rsidR="0037707D" w:rsidRPr="0040314B" w:rsidRDefault="0037707D" w:rsidP="00CB0C67">
      <w:pPr>
        <w:numPr>
          <w:ilvl w:val="0"/>
          <w:numId w:val="10"/>
        </w:numPr>
        <w:rPr>
          <w:sz w:val="22"/>
          <w:szCs w:val="22"/>
        </w:rPr>
      </w:pPr>
      <w:r w:rsidRPr="0040314B">
        <w:rPr>
          <w:sz w:val="22"/>
          <w:szCs w:val="22"/>
        </w:rPr>
        <w:t>diagnostikovaná alebo suspektná srdcová insuficiencia v anamnéze a iné stavy vyžadujúce liečbu diuretikami,</w:t>
      </w:r>
    </w:p>
    <w:p w:rsidR="0037707D" w:rsidRPr="0040314B" w:rsidRDefault="0037707D" w:rsidP="00CB0C67">
      <w:pPr>
        <w:numPr>
          <w:ilvl w:val="0"/>
          <w:numId w:val="11"/>
        </w:numPr>
        <w:rPr>
          <w:sz w:val="22"/>
          <w:szCs w:val="22"/>
        </w:rPr>
      </w:pPr>
      <w:r w:rsidRPr="0040314B">
        <w:rPr>
          <w:sz w:val="22"/>
          <w:szCs w:val="22"/>
        </w:rPr>
        <w:t>mierna alebo ťažká renálna insuficiencia (klírens kreatinínu pod 50 ml/min),</w:t>
      </w:r>
    </w:p>
    <w:p w:rsidR="0037707D" w:rsidRPr="0040314B" w:rsidRDefault="0037707D" w:rsidP="00CB0C67">
      <w:pPr>
        <w:numPr>
          <w:ilvl w:val="0"/>
          <w:numId w:val="12"/>
        </w:numPr>
        <w:rPr>
          <w:sz w:val="22"/>
          <w:szCs w:val="22"/>
        </w:rPr>
      </w:pPr>
      <w:r w:rsidRPr="0040314B">
        <w:rPr>
          <w:sz w:val="22"/>
          <w:szCs w:val="22"/>
        </w:rPr>
        <w:t xml:space="preserve">precitlivenosť na dezmopresín alebo na ktorúkoľvek z pomocných látok uvedených v časti 6.1.  </w:t>
      </w:r>
    </w:p>
    <w:p w:rsidR="0037707D" w:rsidRPr="0040314B" w:rsidRDefault="0037707D" w:rsidP="00CB0C67">
      <w:pPr>
        <w:jc w:val="both"/>
        <w:rPr>
          <w:sz w:val="22"/>
          <w:szCs w:val="22"/>
        </w:rPr>
      </w:pPr>
    </w:p>
    <w:p w:rsidR="0037707D" w:rsidRPr="0040314B" w:rsidRDefault="0037707D" w:rsidP="00CB0C67">
      <w:pPr>
        <w:jc w:val="both"/>
        <w:rPr>
          <w:b/>
          <w:sz w:val="22"/>
          <w:szCs w:val="22"/>
        </w:rPr>
      </w:pPr>
      <w:r w:rsidRPr="0040314B">
        <w:rPr>
          <w:b/>
          <w:sz w:val="22"/>
          <w:szCs w:val="22"/>
        </w:rPr>
        <w:t>4.4</w:t>
      </w:r>
      <w:r w:rsidRPr="0040314B">
        <w:rPr>
          <w:b/>
          <w:sz w:val="22"/>
          <w:szCs w:val="22"/>
        </w:rPr>
        <w:tab/>
        <w:t>Osobitné upozornenia a opatrenia pri používaní</w:t>
      </w:r>
    </w:p>
    <w:p w:rsidR="0037707D" w:rsidRPr="0040314B" w:rsidRDefault="0037707D" w:rsidP="00CB0C67">
      <w:pPr>
        <w:jc w:val="both"/>
        <w:rPr>
          <w:b/>
          <w:sz w:val="22"/>
          <w:szCs w:val="22"/>
        </w:rPr>
      </w:pPr>
    </w:p>
    <w:p w:rsidR="0037707D" w:rsidRPr="0040314B" w:rsidRDefault="0037707D" w:rsidP="0040314B">
      <w:pPr>
        <w:rPr>
          <w:sz w:val="22"/>
          <w:szCs w:val="22"/>
        </w:rPr>
      </w:pPr>
      <w:r w:rsidRPr="0040314B">
        <w:rPr>
          <w:sz w:val="22"/>
          <w:szCs w:val="22"/>
        </w:rPr>
        <w:t>Minirin spray sa má aplikovať so zvýšenou opatrnosťou:</w:t>
      </w:r>
    </w:p>
    <w:p w:rsidR="0037707D" w:rsidRPr="0040314B" w:rsidRDefault="0037707D" w:rsidP="0040314B">
      <w:pPr>
        <w:rPr>
          <w:sz w:val="22"/>
          <w:szCs w:val="22"/>
        </w:rPr>
      </w:pPr>
      <w:r w:rsidRPr="0040314B">
        <w:rPr>
          <w:sz w:val="22"/>
          <w:szCs w:val="22"/>
        </w:rPr>
        <w:t xml:space="preserve">- pri liečbe mladistvých a starších pacientov, </w:t>
      </w:r>
      <w:r w:rsidRPr="0040314B">
        <w:rPr>
          <w:sz w:val="22"/>
          <w:szCs w:val="22"/>
        </w:rPr>
        <w:br/>
        <w:t>- pri stavoch charakterizovaných nerovnováhou tekutín a/alebo elektrolytov,</w:t>
      </w:r>
      <w:r w:rsidRPr="0040314B">
        <w:rPr>
          <w:sz w:val="22"/>
          <w:szCs w:val="22"/>
        </w:rPr>
        <w:br/>
        <w:t>- v prípade potenciálneho rizika intrakraniálnej hypertenzie.</w:t>
      </w:r>
    </w:p>
    <w:p w:rsidR="0037707D" w:rsidRPr="0040314B" w:rsidRDefault="0037707D" w:rsidP="0040314B">
      <w:pPr>
        <w:rPr>
          <w:i/>
          <w:iCs/>
          <w:sz w:val="22"/>
          <w:szCs w:val="22"/>
        </w:rPr>
      </w:pPr>
    </w:p>
    <w:p w:rsidR="0037707D" w:rsidRPr="0040314B" w:rsidRDefault="0037707D" w:rsidP="0040314B">
      <w:pPr>
        <w:rPr>
          <w:iCs/>
          <w:sz w:val="22"/>
          <w:szCs w:val="22"/>
        </w:rPr>
      </w:pPr>
      <w:r w:rsidRPr="0040314B">
        <w:rPr>
          <w:iCs/>
          <w:sz w:val="22"/>
          <w:szCs w:val="22"/>
          <w:u w:val="single"/>
        </w:rPr>
        <w:t>Osobitné upozornenia</w:t>
      </w:r>
    </w:p>
    <w:p w:rsidR="0037707D" w:rsidRPr="0040314B" w:rsidRDefault="0037707D" w:rsidP="0040314B">
      <w:pPr>
        <w:rPr>
          <w:sz w:val="22"/>
          <w:szCs w:val="22"/>
        </w:rPr>
      </w:pPr>
      <w:r w:rsidRPr="0040314B">
        <w:rPr>
          <w:sz w:val="22"/>
          <w:szCs w:val="22"/>
        </w:rPr>
        <w:t xml:space="preserve">Minirin spray sa má používať len u pacientov, u ktorých sa nedajú použiť perorálne formy. </w:t>
      </w:r>
    </w:p>
    <w:p w:rsidR="0037707D" w:rsidRPr="0040314B" w:rsidRDefault="0037707D" w:rsidP="0040314B">
      <w:pPr>
        <w:rPr>
          <w:sz w:val="22"/>
          <w:szCs w:val="22"/>
        </w:rPr>
      </w:pPr>
    </w:p>
    <w:p w:rsidR="0037707D" w:rsidRPr="0040314B" w:rsidRDefault="0037707D" w:rsidP="0040314B">
      <w:pPr>
        <w:rPr>
          <w:sz w:val="22"/>
          <w:szCs w:val="22"/>
        </w:rPr>
      </w:pPr>
      <w:r w:rsidRPr="0040314B">
        <w:rPr>
          <w:sz w:val="22"/>
          <w:szCs w:val="22"/>
        </w:rPr>
        <w:t xml:space="preserve">Pri predpísaní Minirinu spray sa odporúča </w:t>
      </w:r>
    </w:p>
    <w:p w:rsidR="0037707D" w:rsidRPr="0040314B" w:rsidRDefault="0037707D" w:rsidP="0040314B">
      <w:pPr>
        <w:numPr>
          <w:ilvl w:val="0"/>
          <w:numId w:val="3"/>
        </w:numPr>
        <w:rPr>
          <w:sz w:val="22"/>
          <w:szCs w:val="22"/>
        </w:rPr>
      </w:pPr>
      <w:r w:rsidRPr="0040314B">
        <w:rPr>
          <w:sz w:val="22"/>
          <w:szCs w:val="22"/>
        </w:rPr>
        <w:t xml:space="preserve">začať s najnižšou dávkou, </w:t>
      </w:r>
    </w:p>
    <w:p w:rsidR="0037707D" w:rsidRPr="0040314B" w:rsidRDefault="0037707D" w:rsidP="0040314B">
      <w:pPr>
        <w:numPr>
          <w:ilvl w:val="0"/>
          <w:numId w:val="4"/>
        </w:numPr>
        <w:rPr>
          <w:sz w:val="22"/>
          <w:szCs w:val="22"/>
        </w:rPr>
      </w:pPr>
      <w:r w:rsidRPr="0040314B">
        <w:rPr>
          <w:sz w:val="22"/>
          <w:szCs w:val="22"/>
        </w:rPr>
        <w:t>zabezpečiť dodržiavanie pokynov o obmedzení tekutín,</w:t>
      </w:r>
    </w:p>
    <w:p w:rsidR="0037707D" w:rsidRPr="0040314B" w:rsidRDefault="0037707D" w:rsidP="0040314B">
      <w:pPr>
        <w:numPr>
          <w:ilvl w:val="0"/>
          <w:numId w:val="5"/>
        </w:numPr>
        <w:rPr>
          <w:sz w:val="22"/>
          <w:szCs w:val="22"/>
        </w:rPr>
      </w:pPr>
      <w:r w:rsidRPr="0040314B">
        <w:rPr>
          <w:sz w:val="22"/>
          <w:szCs w:val="22"/>
        </w:rPr>
        <w:t>zvyšovať dávku postupne a opatrne,</w:t>
      </w:r>
    </w:p>
    <w:p w:rsidR="0037707D" w:rsidRPr="0040314B" w:rsidRDefault="0037707D" w:rsidP="0040314B">
      <w:pPr>
        <w:numPr>
          <w:ilvl w:val="0"/>
          <w:numId w:val="6"/>
        </w:numPr>
        <w:rPr>
          <w:sz w:val="22"/>
          <w:szCs w:val="22"/>
        </w:rPr>
      </w:pPr>
      <w:r w:rsidRPr="0040314B">
        <w:rPr>
          <w:sz w:val="22"/>
          <w:szCs w:val="22"/>
        </w:rPr>
        <w:t>deťom podávať liek len pod dohľadom dospelých, aby sa zabezpečilo podanie správnej dávky.</w:t>
      </w:r>
    </w:p>
    <w:p w:rsidR="0037707D" w:rsidRPr="0040314B" w:rsidRDefault="0037707D" w:rsidP="0040314B">
      <w:pPr>
        <w:rPr>
          <w:sz w:val="22"/>
          <w:szCs w:val="22"/>
        </w:rPr>
      </w:pPr>
    </w:p>
    <w:p w:rsidR="0037707D" w:rsidRPr="0040314B" w:rsidRDefault="0037707D" w:rsidP="0040314B">
      <w:pPr>
        <w:rPr>
          <w:sz w:val="22"/>
          <w:szCs w:val="22"/>
        </w:rPr>
      </w:pPr>
      <w:r w:rsidRPr="0040314B">
        <w:rPr>
          <w:sz w:val="22"/>
          <w:szCs w:val="22"/>
        </w:rPr>
        <w:t>Pri použití tohto lieku na liečbu enurézy je nevyhnutné, aby 1 hodinu pred podaním Minirinu spray až do nasledujúceho rána po podaní (najmenej 8 hodín) pacient obmedzil príjem tekutín na minimum. Liečba bez súčasného zníženia príjmu tekutín môže viesť k retencii vody a/alebo hyponatriémii so sprievodnými varovnými znakmi a príznakmi alebo bez nich (bolesť hlavy, nevoľnosť a vracanie, prírastok telesnej hmotnosti a vo vážnych prípadoch kŕče).</w:t>
      </w:r>
    </w:p>
    <w:p w:rsidR="0037707D" w:rsidRPr="0040314B" w:rsidRDefault="0037707D" w:rsidP="0040314B">
      <w:pPr>
        <w:rPr>
          <w:sz w:val="22"/>
          <w:szCs w:val="22"/>
        </w:rPr>
      </w:pPr>
    </w:p>
    <w:p w:rsidR="0037707D" w:rsidRPr="0040314B" w:rsidRDefault="0037707D" w:rsidP="0040314B">
      <w:pPr>
        <w:rPr>
          <w:sz w:val="22"/>
          <w:szCs w:val="22"/>
        </w:rPr>
      </w:pPr>
      <w:r w:rsidRPr="0040314B">
        <w:rPr>
          <w:sz w:val="22"/>
          <w:szCs w:val="22"/>
        </w:rPr>
        <w:t>Všetci pacienti a/alebo osoby, ktoré sa o nich starajú, majú byť dôsledne poučení o nutnosti dodržiavania obmedzeného príjmu tekutín.</w:t>
      </w:r>
    </w:p>
    <w:p w:rsidR="0037707D" w:rsidRPr="0040314B" w:rsidRDefault="0037707D" w:rsidP="0040314B">
      <w:pPr>
        <w:rPr>
          <w:sz w:val="22"/>
          <w:szCs w:val="22"/>
        </w:rPr>
      </w:pPr>
    </w:p>
    <w:p w:rsidR="0037707D" w:rsidRPr="0040314B" w:rsidRDefault="0037707D" w:rsidP="0040314B">
      <w:pPr>
        <w:rPr>
          <w:sz w:val="22"/>
          <w:szCs w:val="22"/>
        </w:rPr>
      </w:pPr>
      <w:r w:rsidRPr="0040314B">
        <w:rPr>
          <w:sz w:val="22"/>
          <w:szCs w:val="22"/>
        </w:rPr>
        <w:t xml:space="preserve">Testovanie koncentračnej schopnosti obličiek u detí do jedného roka sa môže vykonať len v nemocnici a pod starostlivým lekárskym dohľadom. Pri použití na diagnostické účely je možný príjem tekutín najviac 0,5 l na uhasenie smädu 1 hodinu pred a 8 hodín po podaní lieku.   </w:t>
      </w:r>
    </w:p>
    <w:p w:rsidR="0037707D" w:rsidRPr="0040314B" w:rsidRDefault="0037707D" w:rsidP="0040314B">
      <w:pPr>
        <w:rPr>
          <w:sz w:val="22"/>
          <w:szCs w:val="22"/>
        </w:rPr>
      </w:pPr>
    </w:p>
    <w:p w:rsidR="0037707D" w:rsidRPr="0040314B" w:rsidRDefault="0037707D" w:rsidP="0040314B">
      <w:pPr>
        <w:rPr>
          <w:sz w:val="22"/>
          <w:szCs w:val="22"/>
          <w:u w:val="single"/>
        </w:rPr>
      </w:pPr>
      <w:r w:rsidRPr="0040314B">
        <w:rPr>
          <w:sz w:val="22"/>
          <w:szCs w:val="22"/>
          <w:u w:val="single"/>
        </w:rPr>
        <w:t>Bezpečnostné opatrenia</w:t>
      </w:r>
    </w:p>
    <w:p w:rsidR="0037707D" w:rsidRPr="0040314B" w:rsidRDefault="0037707D" w:rsidP="0040314B">
      <w:pPr>
        <w:rPr>
          <w:sz w:val="22"/>
          <w:szCs w:val="22"/>
        </w:rPr>
      </w:pPr>
      <w:r w:rsidRPr="0040314B">
        <w:rPr>
          <w:sz w:val="22"/>
          <w:szCs w:val="22"/>
        </w:rPr>
        <w:t xml:space="preserve">Pred začiatkom liečby sa má vylúčiť závažná dysfunkcia močového mechúra a obštrukcia odtoku. </w:t>
      </w:r>
    </w:p>
    <w:p w:rsidR="0037707D" w:rsidRPr="0040314B" w:rsidRDefault="0037707D" w:rsidP="0040314B">
      <w:pPr>
        <w:rPr>
          <w:sz w:val="22"/>
          <w:szCs w:val="22"/>
        </w:rPr>
      </w:pPr>
    </w:p>
    <w:p w:rsidR="0037707D" w:rsidRPr="0040314B" w:rsidRDefault="0037707D" w:rsidP="0040314B">
      <w:pPr>
        <w:rPr>
          <w:sz w:val="22"/>
          <w:szCs w:val="22"/>
        </w:rPr>
      </w:pPr>
      <w:r w:rsidRPr="0040314B">
        <w:rPr>
          <w:sz w:val="22"/>
          <w:szCs w:val="22"/>
        </w:rPr>
        <w:t>Deti, starší pacienti a pacienti, u ktorých sú hladiny sodíka v sére v dolnej časti normálneho rozsahu, sú vystavení zvýšenému riziku hyponatriémie. Liečbu dezmopresínom je treba prerušiť alebo dôsledne upraviť v prípadoch akútnych prechodných ochorení, pre ktoré je charakteristická nerovnováha tekutín a/alebo elektrolytov (ako sú systémové infekcie, horúčkovité stavy a gastroenteritída).</w:t>
      </w:r>
    </w:p>
    <w:p w:rsidR="0037707D" w:rsidRPr="0040314B" w:rsidRDefault="0037707D" w:rsidP="0040314B">
      <w:pPr>
        <w:rPr>
          <w:sz w:val="22"/>
          <w:szCs w:val="22"/>
        </w:rPr>
      </w:pPr>
    </w:p>
    <w:p w:rsidR="0037707D" w:rsidRPr="0040314B" w:rsidRDefault="0037707D" w:rsidP="0040314B">
      <w:pPr>
        <w:rPr>
          <w:sz w:val="22"/>
          <w:szCs w:val="22"/>
        </w:rPr>
      </w:pPr>
      <w:r w:rsidRPr="0040314B">
        <w:rPr>
          <w:sz w:val="22"/>
          <w:szCs w:val="22"/>
        </w:rPr>
        <w:t>Opatrnosť je nutná u pacientov, u ktorých je riziko zvýšeného intrakraniálneho tlaku.</w:t>
      </w:r>
    </w:p>
    <w:p w:rsidR="0037707D" w:rsidRPr="0040314B" w:rsidRDefault="0037707D" w:rsidP="0040314B">
      <w:pPr>
        <w:rPr>
          <w:sz w:val="22"/>
          <w:szCs w:val="22"/>
        </w:rPr>
      </w:pPr>
    </w:p>
    <w:p w:rsidR="0037707D" w:rsidRPr="0040314B" w:rsidRDefault="0037707D" w:rsidP="0040314B">
      <w:pPr>
        <w:rPr>
          <w:sz w:val="22"/>
          <w:szCs w:val="22"/>
        </w:rPr>
      </w:pPr>
      <w:r w:rsidRPr="0040314B">
        <w:rPr>
          <w:sz w:val="22"/>
          <w:szCs w:val="22"/>
        </w:rPr>
        <w:t>Dezmopresín sa má užívať s opatrnosťou u pacientov s nerovnováhou tekutín a/alebo elektrolytov.</w:t>
      </w:r>
    </w:p>
    <w:p w:rsidR="0037707D" w:rsidRPr="0040314B" w:rsidRDefault="0037707D" w:rsidP="0040314B">
      <w:pPr>
        <w:rPr>
          <w:sz w:val="22"/>
          <w:szCs w:val="22"/>
        </w:rPr>
      </w:pPr>
    </w:p>
    <w:p w:rsidR="0037707D" w:rsidRPr="0040314B" w:rsidRDefault="0037707D" w:rsidP="0040314B">
      <w:pPr>
        <w:rPr>
          <w:sz w:val="22"/>
          <w:szCs w:val="22"/>
        </w:rPr>
      </w:pPr>
      <w:r w:rsidRPr="0040314B">
        <w:rPr>
          <w:sz w:val="22"/>
          <w:szCs w:val="22"/>
        </w:rPr>
        <w:t xml:space="preserve">V prípade súbežnej liečby liekmi, u ktorých je podozrenie, že indukujú SIADH, ako napr. tricyklické antidepresíva, selektívne inhibítory reabsorpcie serotonínu, chlórpromazín, karbamazepín a niektoré antidiabetiká zo skupiny sulfonylurey, hlavne chlórpropamid a v prípade súčasnej liečby s NSAID je potrebné vykonať preventívne opatrenia, ktoré by zabránili hyponatriémii, vrátane starostlivého dohľadu nad obmedzením príjmu tekutín a častejšieho monitorovania sodíka v sére. </w:t>
      </w:r>
    </w:p>
    <w:p w:rsidR="0037707D" w:rsidRPr="0040314B" w:rsidRDefault="0037707D" w:rsidP="0040314B">
      <w:pPr>
        <w:rPr>
          <w:sz w:val="22"/>
          <w:szCs w:val="22"/>
        </w:rPr>
      </w:pPr>
    </w:p>
    <w:p w:rsidR="0037707D" w:rsidRPr="0040314B" w:rsidRDefault="0037707D" w:rsidP="0040314B">
      <w:pPr>
        <w:rPr>
          <w:sz w:val="22"/>
          <w:szCs w:val="22"/>
        </w:rPr>
      </w:pPr>
      <w:r w:rsidRPr="0040314B">
        <w:rPr>
          <w:sz w:val="22"/>
          <w:szCs w:val="22"/>
        </w:rPr>
        <w:t>V postmarketingových sledovaniach sa zaznamenal prípad ťažkej hyponatriémie pri používaní dezmopresínu vo forme nosovej roztokovej aerodisperzie na liečbu centrálneho diabetu insipidus.</w:t>
      </w:r>
    </w:p>
    <w:p w:rsidR="0037707D" w:rsidRPr="0040314B" w:rsidRDefault="0037707D" w:rsidP="0040314B">
      <w:pPr>
        <w:rPr>
          <w:sz w:val="22"/>
          <w:szCs w:val="22"/>
        </w:rPr>
      </w:pPr>
    </w:p>
    <w:p w:rsidR="0037707D" w:rsidRPr="0040314B" w:rsidRDefault="0037707D" w:rsidP="0040314B">
      <w:pPr>
        <w:rPr>
          <w:sz w:val="22"/>
          <w:szCs w:val="22"/>
        </w:rPr>
      </w:pPr>
      <w:r w:rsidRPr="0040314B">
        <w:rPr>
          <w:sz w:val="22"/>
          <w:szCs w:val="22"/>
          <w:u w:val="single"/>
        </w:rPr>
        <w:t>Minirin spray 0,1 mg/ml nosová roztoková aerodisperzia</w:t>
      </w:r>
      <w:r w:rsidRPr="0040314B">
        <w:rPr>
          <w:sz w:val="22"/>
          <w:szCs w:val="22"/>
        </w:rPr>
        <w:t>:</w:t>
      </w:r>
    </w:p>
    <w:p w:rsidR="0037707D" w:rsidRPr="0040314B" w:rsidRDefault="0037707D" w:rsidP="0040314B">
      <w:pPr>
        <w:rPr>
          <w:sz w:val="22"/>
          <w:szCs w:val="22"/>
        </w:rPr>
      </w:pPr>
      <w:r w:rsidRPr="0040314B">
        <w:rPr>
          <w:sz w:val="22"/>
          <w:szCs w:val="22"/>
        </w:rPr>
        <w:t xml:space="preserve">Liek obsahuje ako konzervačnú látku benzalkóniumchlorid, čo môže vyvolať bronchospazmus.   </w:t>
      </w:r>
    </w:p>
    <w:p w:rsidR="0037707D" w:rsidRPr="0040314B" w:rsidRDefault="0037707D" w:rsidP="00CB0C67">
      <w:pPr>
        <w:jc w:val="both"/>
        <w:rPr>
          <w:sz w:val="22"/>
          <w:szCs w:val="22"/>
          <w:u w:val="single"/>
        </w:rPr>
      </w:pPr>
    </w:p>
    <w:p w:rsidR="0037707D" w:rsidRPr="0040314B" w:rsidRDefault="0037707D" w:rsidP="00CB0C67">
      <w:pPr>
        <w:rPr>
          <w:b/>
          <w:sz w:val="22"/>
          <w:szCs w:val="22"/>
        </w:rPr>
      </w:pPr>
      <w:r w:rsidRPr="0040314B">
        <w:rPr>
          <w:b/>
          <w:sz w:val="22"/>
          <w:szCs w:val="22"/>
        </w:rPr>
        <w:t>4.5</w:t>
      </w:r>
      <w:r w:rsidRPr="0040314B">
        <w:rPr>
          <w:b/>
          <w:sz w:val="22"/>
          <w:szCs w:val="22"/>
        </w:rPr>
        <w:tab/>
        <w:t>Liekové a iné interakcie</w:t>
      </w:r>
    </w:p>
    <w:p w:rsidR="0037707D" w:rsidRPr="0040314B" w:rsidRDefault="0037707D" w:rsidP="00CB0C67">
      <w:pPr>
        <w:jc w:val="both"/>
        <w:rPr>
          <w:sz w:val="22"/>
          <w:szCs w:val="22"/>
        </w:rPr>
      </w:pPr>
    </w:p>
    <w:p w:rsidR="0037707D" w:rsidRPr="0040314B" w:rsidRDefault="0037707D" w:rsidP="0040314B">
      <w:pPr>
        <w:rPr>
          <w:sz w:val="22"/>
          <w:szCs w:val="22"/>
        </w:rPr>
      </w:pPr>
      <w:r w:rsidRPr="0040314B">
        <w:rPr>
          <w:sz w:val="22"/>
          <w:szCs w:val="22"/>
        </w:rPr>
        <w:t xml:space="preserve">Lieky, o ktorých je známe, že </w:t>
      </w:r>
      <w:r w:rsidRPr="0040314B">
        <w:rPr>
          <w:color w:val="000000"/>
          <w:sz w:val="22"/>
          <w:szCs w:val="22"/>
        </w:rPr>
        <w:t>uvoľňujú</w:t>
      </w:r>
      <w:r w:rsidRPr="0040314B">
        <w:rPr>
          <w:sz w:val="22"/>
          <w:szCs w:val="22"/>
        </w:rPr>
        <w:t xml:space="preserve"> antidiuretický hormón (SIADH), napríklad tricyklické antidepresíva, selektívne inhibítory reabsorpcie serotonínu, chlórpromazín a karbamazepín, a tiež niektoré antidiabetiká zo skupiny sulfonylurey, najmä chlórpropamid, môžu vyvolať dodatočný antidiuretický </w:t>
      </w:r>
      <w:r>
        <w:rPr>
          <w:sz w:val="22"/>
          <w:szCs w:val="22"/>
        </w:rPr>
        <w:t>účinok</w:t>
      </w:r>
      <w:r w:rsidRPr="0040314B">
        <w:rPr>
          <w:sz w:val="22"/>
          <w:szCs w:val="22"/>
        </w:rPr>
        <w:t xml:space="preserve">, čím sa zvyšuje nebezpečenstvo retencie vody/hyponatriémie (pozri časť 4.4 ). </w:t>
      </w:r>
    </w:p>
    <w:p w:rsidR="0037707D" w:rsidRPr="0040314B" w:rsidRDefault="0037707D" w:rsidP="0040314B">
      <w:pPr>
        <w:rPr>
          <w:sz w:val="22"/>
          <w:szCs w:val="22"/>
        </w:rPr>
      </w:pPr>
    </w:p>
    <w:p w:rsidR="0037707D" w:rsidRPr="0040314B" w:rsidRDefault="0037707D" w:rsidP="0040314B">
      <w:pPr>
        <w:rPr>
          <w:sz w:val="22"/>
          <w:szCs w:val="22"/>
        </w:rPr>
      </w:pPr>
      <w:r w:rsidRPr="0040314B">
        <w:rPr>
          <w:sz w:val="22"/>
          <w:szCs w:val="22"/>
        </w:rPr>
        <w:t>NSAID (nesteroidné protizápalové lieky) môžu indukovať retenciu vody/hyponatriémiu (pozri časť 4.4).</w:t>
      </w:r>
    </w:p>
    <w:p w:rsidR="0037707D" w:rsidRPr="0040314B" w:rsidRDefault="0037707D" w:rsidP="0040314B">
      <w:pPr>
        <w:rPr>
          <w:sz w:val="22"/>
          <w:szCs w:val="22"/>
        </w:rPr>
      </w:pPr>
    </w:p>
    <w:p w:rsidR="0037707D" w:rsidRPr="0040314B" w:rsidRDefault="0037707D" w:rsidP="0040314B">
      <w:pPr>
        <w:rPr>
          <w:sz w:val="22"/>
          <w:szCs w:val="22"/>
        </w:rPr>
      </w:pPr>
      <w:r w:rsidRPr="0040314B">
        <w:rPr>
          <w:sz w:val="22"/>
          <w:szCs w:val="22"/>
        </w:rPr>
        <w:t xml:space="preserve">Je nepravdepodobné, že dezmopresín interaguje s liekmi, ktoré ovplyvňujú pečeňový metabolizmus, pretože </w:t>
      </w:r>
      <w:r w:rsidRPr="0040314B">
        <w:rPr>
          <w:i/>
          <w:sz w:val="22"/>
          <w:szCs w:val="22"/>
        </w:rPr>
        <w:t>in vitro</w:t>
      </w:r>
      <w:r w:rsidRPr="0040314B">
        <w:rPr>
          <w:sz w:val="22"/>
          <w:szCs w:val="22"/>
        </w:rPr>
        <w:t xml:space="preserve"> štúdie s ľudskými mikrozómami ukázali, že dezmopresín sa v pečeni významne nemetabolizuje. Avšak  </w:t>
      </w:r>
      <w:r w:rsidRPr="0040314B">
        <w:rPr>
          <w:i/>
          <w:sz w:val="22"/>
          <w:szCs w:val="22"/>
        </w:rPr>
        <w:t>in vivo</w:t>
      </w:r>
      <w:r w:rsidRPr="0040314B">
        <w:rPr>
          <w:sz w:val="22"/>
          <w:szCs w:val="22"/>
        </w:rPr>
        <w:t xml:space="preserve"> interakčné štúdie sa zatiaľ nevykonali.</w:t>
      </w:r>
    </w:p>
    <w:p w:rsidR="0037707D" w:rsidRPr="0040314B" w:rsidRDefault="0037707D" w:rsidP="0040314B">
      <w:pPr>
        <w:rPr>
          <w:sz w:val="22"/>
          <w:szCs w:val="22"/>
        </w:rPr>
      </w:pPr>
    </w:p>
    <w:p w:rsidR="0037707D" w:rsidRPr="0040314B" w:rsidRDefault="0037707D" w:rsidP="00CB0C67">
      <w:pPr>
        <w:numPr>
          <w:ilvl w:val="1"/>
          <w:numId w:val="1"/>
        </w:numPr>
        <w:jc w:val="both"/>
        <w:rPr>
          <w:b/>
          <w:sz w:val="22"/>
          <w:szCs w:val="22"/>
        </w:rPr>
      </w:pPr>
      <w:r w:rsidRPr="0040314B">
        <w:rPr>
          <w:b/>
          <w:sz w:val="22"/>
          <w:szCs w:val="22"/>
        </w:rPr>
        <w:t>Gravidita a laktácia</w:t>
      </w:r>
    </w:p>
    <w:p w:rsidR="0037707D" w:rsidRPr="0040314B" w:rsidRDefault="0037707D" w:rsidP="00CB0C67">
      <w:pPr>
        <w:jc w:val="both"/>
        <w:rPr>
          <w:b/>
          <w:sz w:val="22"/>
          <w:szCs w:val="22"/>
        </w:rPr>
      </w:pPr>
    </w:p>
    <w:p w:rsidR="0037707D" w:rsidRPr="0040314B" w:rsidRDefault="0037707D" w:rsidP="00CB0C67">
      <w:pPr>
        <w:rPr>
          <w:sz w:val="22"/>
          <w:szCs w:val="22"/>
          <w:u w:val="single"/>
        </w:rPr>
      </w:pPr>
      <w:r w:rsidRPr="0040314B">
        <w:rPr>
          <w:sz w:val="22"/>
          <w:szCs w:val="22"/>
          <w:u w:val="single"/>
        </w:rPr>
        <w:t>Gravidita</w:t>
      </w:r>
    </w:p>
    <w:p w:rsidR="0037707D" w:rsidRPr="0040314B" w:rsidRDefault="0037707D" w:rsidP="00CB0C67">
      <w:pPr>
        <w:rPr>
          <w:sz w:val="22"/>
          <w:szCs w:val="22"/>
        </w:rPr>
      </w:pPr>
      <w:r w:rsidRPr="0040314B">
        <w:rPr>
          <w:sz w:val="22"/>
          <w:szCs w:val="22"/>
        </w:rPr>
        <w:t>Publikované údaje</w:t>
      </w:r>
      <w:r>
        <w:rPr>
          <w:sz w:val="22"/>
          <w:szCs w:val="22"/>
        </w:rPr>
        <w:t>, ktoré sa</w:t>
      </w:r>
      <w:r w:rsidRPr="0040314B">
        <w:rPr>
          <w:sz w:val="22"/>
          <w:szCs w:val="22"/>
        </w:rPr>
        <w:t xml:space="preserve"> týka</w:t>
      </w:r>
      <w:r>
        <w:rPr>
          <w:sz w:val="22"/>
          <w:szCs w:val="22"/>
        </w:rPr>
        <w:t>li</w:t>
      </w:r>
      <w:r w:rsidRPr="0040314B">
        <w:rPr>
          <w:sz w:val="22"/>
          <w:szCs w:val="22"/>
        </w:rPr>
        <w:t xml:space="preserve"> obmedzeného počtu (N = 53) gravidných žien s diabetom insipidus a tiež gravidných žien s komplikáciami krvácania (N = 216) vystavených pôsobeniu lieku</w:t>
      </w:r>
      <w:r>
        <w:rPr>
          <w:sz w:val="22"/>
          <w:szCs w:val="22"/>
        </w:rPr>
        <w:t>,</w:t>
      </w:r>
      <w:r w:rsidRPr="0040314B">
        <w:rPr>
          <w:sz w:val="22"/>
          <w:szCs w:val="22"/>
        </w:rPr>
        <w:t xml:space="preserve"> nepreukázali žiadny nepriaznivý účinok dezmopresínu na graviditu, zdravie plodu alebo novorodenca. V súčasnosti nie sú k dispozícii iné relevantné epidemiologické údaje. </w:t>
      </w:r>
    </w:p>
    <w:p w:rsidR="0037707D" w:rsidRPr="0040314B" w:rsidRDefault="0037707D" w:rsidP="00CB0C67">
      <w:pPr>
        <w:rPr>
          <w:sz w:val="22"/>
          <w:szCs w:val="22"/>
        </w:rPr>
      </w:pPr>
      <w:r w:rsidRPr="0040314B">
        <w:rPr>
          <w:sz w:val="22"/>
          <w:szCs w:val="22"/>
        </w:rPr>
        <w:t xml:space="preserve">Pokusy na zvieratách nepreukázali priame alebo nepriame škodlivé účinky na graviditu, vývoj embrya alebo plodu, ani na vývoj po narodení. </w:t>
      </w:r>
    </w:p>
    <w:p w:rsidR="0037707D" w:rsidRPr="0040314B" w:rsidRDefault="0037707D" w:rsidP="00CB0C67">
      <w:pPr>
        <w:rPr>
          <w:sz w:val="22"/>
          <w:szCs w:val="22"/>
        </w:rPr>
      </w:pPr>
    </w:p>
    <w:p w:rsidR="0037707D" w:rsidRPr="0040314B" w:rsidRDefault="0037707D" w:rsidP="00CB0C67">
      <w:pPr>
        <w:rPr>
          <w:sz w:val="22"/>
          <w:szCs w:val="22"/>
        </w:rPr>
      </w:pPr>
      <w:r w:rsidRPr="0040314B">
        <w:rPr>
          <w:sz w:val="22"/>
          <w:szCs w:val="22"/>
        </w:rPr>
        <w:t>Pri predpisovaní lieku gravidným ženám je nutná opatrnosť.</w:t>
      </w:r>
    </w:p>
    <w:p w:rsidR="0037707D" w:rsidRPr="0040314B" w:rsidRDefault="0037707D" w:rsidP="00CB0C67">
      <w:pPr>
        <w:rPr>
          <w:sz w:val="22"/>
          <w:szCs w:val="22"/>
          <w:u w:val="single"/>
        </w:rPr>
      </w:pPr>
    </w:p>
    <w:p w:rsidR="0037707D" w:rsidRPr="0040314B" w:rsidRDefault="0037707D" w:rsidP="00CB0C67">
      <w:pPr>
        <w:rPr>
          <w:sz w:val="22"/>
          <w:szCs w:val="22"/>
          <w:u w:val="single"/>
        </w:rPr>
      </w:pPr>
      <w:r w:rsidRPr="0040314B">
        <w:rPr>
          <w:sz w:val="22"/>
          <w:szCs w:val="22"/>
          <w:u w:val="single"/>
        </w:rPr>
        <w:t>Laktácia</w:t>
      </w:r>
    </w:p>
    <w:p w:rsidR="0037707D" w:rsidRPr="0040314B" w:rsidRDefault="0037707D" w:rsidP="00CB0C67">
      <w:pPr>
        <w:rPr>
          <w:b/>
          <w:sz w:val="22"/>
          <w:szCs w:val="22"/>
        </w:rPr>
      </w:pPr>
      <w:r w:rsidRPr="0040314B">
        <w:rPr>
          <w:sz w:val="22"/>
          <w:szCs w:val="22"/>
        </w:rPr>
        <w:t>Výsledky analýz mlieka dojčiacich matiek, ktoré dostávali vysokú dávku dezmopresínu (300 μg intranazálne) naznačujú, že množstvo dezmopresínu, ktoré sa môže dostať do tela dieťaťa je oveľa nižšie, ako je množstvo potrebné na ovplyvnenie diurézy.</w:t>
      </w:r>
    </w:p>
    <w:p w:rsidR="0037707D" w:rsidRPr="0040314B" w:rsidRDefault="0037707D" w:rsidP="00CB0C67">
      <w:pPr>
        <w:jc w:val="both"/>
        <w:rPr>
          <w:b/>
          <w:sz w:val="22"/>
          <w:szCs w:val="22"/>
        </w:rPr>
      </w:pPr>
    </w:p>
    <w:p w:rsidR="0037707D" w:rsidRPr="0040314B" w:rsidRDefault="0037707D" w:rsidP="00CB0C67">
      <w:pPr>
        <w:jc w:val="both"/>
        <w:rPr>
          <w:b/>
          <w:sz w:val="22"/>
          <w:szCs w:val="22"/>
        </w:rPr>
      </w:pPr>
      <w:r w:rsidRPr="0040314B">
        <w:rPr>
          <w:b/>
          <w:sz w:val="22"/>
          <w:szCs w:val="22"/>
        </w:rPr>
        <w:t xml:space="preserve">4.7. </w:t>
      </w:r>
      <w:r w:rsidRPr="0040314B">
        <w:rPr>
          <w:b/>
          <w:sz w:val="22"/>
          <w:szCs w:val="22"/>
        </w:rPr>
        <w:tab/>
        <w:t>Ovplyvnenie schopnosti viesť vozidlá a obsluhovať stroje</w:t>
      </w:r>
    </w:p>
    <w:p w:rsidR="0037707D" w:rsidRPr="0040314B" w:rsidRDefault="0037707D" w:rsidP="00CB0C67">
      <w:pPr>
        <w:jc w:val="both"/>
        <w:rPr>
          <w:sz w:val="22"/>
          <w:szCs w:val="22"/>
        </w:rPr>
      </w:pPr>
    </w:p>
    <w:p w:rsidR="0037707D" w:rsidRPr="0040314B" w:rsidRDefault="0037707D" w:rsidP="00CB0C67">
      <w:pPr>
        <w:rPr>
          <w:sz w:val="22"/>
          <w:szCs w:val="22"/>
        </w:rPr>
      </w:pPr>
      <w:r w:rsidRPr="0040314B">
        <w:rPr>
          <w:sz w:val="22"/>
          <w:szCs w:val="22"/>
        </w:rPr>
        <w:t>Minirin</w:t>
      </w:r>
      <w:r w:rsidRPr="0040314B">
        <w:rPr>
          <w:sz w:val="22"/>
          <w:szCs w:val="22"/>
          <w:vertAlign w:val="superscript"/>
        </w:rPr>
        <w:t xml:space="preserve"> </w:t>
      </w:r>
      <w:r w:rsidRPr="0040314B">
        <w:rPr>
          <w:sz w:val="22"/>
          <w:szCs w:val="22"/>
        </w:rPr>
        <w:t>spray nemá vplyv na schopnosť viesť vozidlá a obsluhovať stroje.</w:t>
      </w:r>
    </w:p>
    <w:p w:rsidR="0037707D" w:rsidRPr="0040314B" w:rsidRDefault="0037707D" w:rsidP="00CB0C67">
      <w:pPr>
        <w:jc w:val="both"/>
        <w:rPr>
          <w:b/>
          <w:sz w:val="22"/>
          <w:szCs w:val="22"/>
        </w:rPr>
      </w:pPr>
    </w:p>
    <w:p w:rsidR="0037707D" w:rsidRPr="0040314B" w:rsidRDefault="0037707D" w:rsidP="00CB0C67">
      <w:pPr>
        <w:pStyle w:val="Heading1"/>
        <w:numPr>
          <w:ilvl w:val="1"/>
          <w:numId w:val="2"/>
        </w:numPr>
        <w:spacing w:before="0" w:after="0"/>
        <w:rPr>
          <w:rFonts w:ascii="Times New Roman" w:hAnsi="Times New Roman" w:cs="Times New Roman"/>
          <w:sz w:val="22"/>
          <w:szCs w:val="22"/>
        </w:rPr>
      </w:pPr>
      <w:r w:rsidRPr="0040314B">
        <w:rPr>
          <w:rFonts w:ascii="Times New Roman" w:hAnsi="Times New Roman" w:cs="Times New Roman"/>
          <w:sz w:val="22"/>
          <w:szCs w:val="22"/>
        </w:rPr>
        <w:t>Nežiaduce účinky</w:t>
      </w:r>
    </w:p>
    <w:p w:rsidR="0037707D" w:rsidRPr="0040314B" w:rsidRDefault="0037707D" w:rsidP="00CB0C67">
      <w:pPr>
        <w:rPr>
          <w:sz w:val="22"/>
          <w:szCs w:val="22"/>
        </w:rPr>
      </w:pPr>
    </w:p>
    <w:p w:rsidR="0037707D" w:rsidRPr="0040314B" w:rsidRDefault="0037707D" w:rsidP="00CB0C67">
      <w:pPr>
        <w:rPr>
          <w:sz w:val="22"/>
          <w:szCs w:val="22"/>
        </w:rPr>
      </w:pPr>
      <w:r w:rsidRPr="0040314B">
        <w:rPr>
          <w:sz w:val="22"/>
          <w:szCs w:val="22"/>
        </w:rPr>
        <w:t>Liečba bez obmedzenia príjmu tekutín môže vyvolať retenciu vody a hyponatriémiu so sprievodnými znakmi a príznakmi (bolesť hlavy, nauzea alebo vracanie, pokles hladiny sodíka v sére, prírastok na hmotnosti a v ťažkých  prípadoch kŕče) alebo bez nich.</w:t>
      </w:r>
    </w:p>
    <w:p w:rsidR="0037707D" w:rsidRPr="0040314B" w:rsidRDefault="0037707D" w:rsidP="00CB0C67">
      <w:pPr>
        <w:rPr>
          <w:sz w:val="22"/>
          <w:szCs w:val="22"/>
        </w:rPr>
      </w:pPr>
    </w:p>
    <w:p w:rsidR="0037707D" w:rsidRPr="0040314B" w:rsidRDefault="0037707D" w:rsidP="00CB0C67">
      <w:pPr>
        <w:rPr>
          <w:bCs/>
          <w:sz w:val="22"/>
          <w:szCs w:val="22"/>
        </w:rPr>
      </w:pPr>
      <w:r w:rsidRPr="0040314B">
        <w:rPr>
          <w:bCs/>
          <w:sz w:val="22"/>
          <w:szCs w:val="22"/>
        </w:rPr>
        <w:t>Nežiaduce reakcie uvedené nižšie sú rozdelené podľa triedy orgánových systémov a frekvencie ich výskytu počas klinických skúšaní s nazálnym dezmopresínom u detí a dospelých liečených na CDI, PNE a pri diagnostickom použití (testovanie koncentračnej schopnosti obličiek) (N = 745) a tiež skúseností po uvedení lieku na trh pre všetky indikácie. Frekvencia reakcií, ktoré boli pozorované len po uvedení lieku na trh, je uvedená ako  "neznáma (z dostupných údajov)".</w:t>
      </w:r>
    </w:p>
    <w:p w:rsidR="0037707D" w:rsidRPr="0040314B" w:rsidRDefault="0037707D">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9"/>
        <w:gridCol w:w="1823"/>
        <w:gridCol w:w="1829"/>
        <w:gridCol w:w="1811"/>
        <w:gridCol w:w="1834"/>
      </w:tblGrid>
      <w:tr w:rsidR="0037707D" w:rsidRPr="00CB0C67" w:rsidTr="00E71F88">
        <w:tc>
          <w:tcPr>
            <w:tcW w:w="1857" w:type="dxa"/>
            <w:shd w:val="clear" w:color="auto" w:fill="D9D9D9"/>
          </w:tcPr>
          <w:p w:rsidR="0037707D" w:rsidRPr="00CB0C67" w:rsidRDefault="0037707D" w:rsidP="00CB0C67">
            <w:pPr>
              <w:autoSpaceDE w:val="0"/>
              <w:autoSpaceDN w:val="0"/>
              <w:adjustRightInd w:val="0"/>
            </w:pPr>
            <w:r w:rsidRPr="00CB0C67">
              <w:rPr>
                <w:sz w:val="22"/>
                <w:szCs w:val="22"/>
              </w:rPr>
              <w:t>Frekvencia podľa konvencií MedDRA</w:t>
            </w:r>
          </w:p>
        </w:tc>
        <w:tc>
          <w:tcPr>
            <w:tcW w:w="1857" w:type="dxa"/>
            <w:shd w:val="clear" w:color="auto" w:fill="D9D9D9"/>
          </w:tcPr>
          <w:p w:rsidR="0037707D" w:rsidRPr="00CB0C67" w:rsidRDefault="0037707D" w:rsidP="00CB0C67">
            <w:pPr>
              <w:autoSpaceDE w:val="0"/>
              <w:autoSpaceDN w:val="0"/>
              <w:adjustRightInd w:val="0"/>
            </w:pPr>
            <w:r w:rsidRPr="00CB0C67">
              <w:rPr>
                <w:sz w:val="22"/>
                <w:szCs w:val="22"/>
              </w:rPr>
              <w:t>Veľmi časté (≥ 1/10)</w:t>
            </w:r>
          </w:p>
        </w:tc>
        <w:tc>
          <w:tcPr>
            <w:tcW w:w="1857" w:type="dxa"/>
            <w:shd w:val="clear" w:color="auto" w:fill="D9D9D9"/>
          </w:tcPr>
          <w:p w:rsidR="0037707D" w:rsidRPr="00CB0C67" w:rsidRDefault="0037707D" w:rsidP="00CB0C67">
            <w:pPr>
              <w:autoSpaceDE w:val="0"/>
              <w:autoSpaceDN w:val="0"/>
              <w:adjustRightInd w:val="0"/>
            </w:pPr>
            <w:r w:rsidRPr="00CB0C67">
              <w:rPr>
                <w:sz w:val="22"/>
                <w:szCs w:val="22"/>
              </w:rPr>
              <w:t>Časté (≥ 1/100 až ˂ 1/10)</w:t>
            </w:r>
          </w:p>
        </w:tc>
        <w:tc>
          <w:tcPr>
            <w:tcW w:w="1858" w:type="dxa"/>
            <w:shd w:val="clear" w:color="auto" w:fill="D9D9D9"/>
          </w:tcPr>
          <w:p w:rsidR="0037707D" w:rsidRPr="00CB0C67" w:rsidRDefault="0037707D" w:rsidP="00CB0C67">
            <w:pPr>
              <w:autoSpaceDE w:val="0"/>
              <w:autoSpaceDN w:val="0"/>
              <w:adjustRightInd w:val="0"/>
            </w:pPr>
            <w:r w:rsidRPr="00CB0C67">
              <w:rPr>
                <w:sz w:val="22"/>
                <w:szCs w:val="22"/>
              </w:rPr>
              <w:t>Menej časté (≥ 1/1 000 až ˂ 1/100)</w:t>
            </w:r>
          </w:p>
        </w:tc>
        <w:tc>
          <w:tcPr>
            <w:tcW w:w="1858" w:type="dxa"/>
            <w:shd w:val="clear" w:color="auto" w:fill="D9D9D9"/>
          </w:tcPr>
          <w:p w:rsidR="0037707D" w:rsidRPr="00CB0C67" w:rsidRDefault="0037707D" w:rsidP="00CB0C67">
            <w:pPr>
              <w:autoSpaceDE w:val="0"/>
              <w:autoSpaceDN w:val="0"/>
              <w:adjustRightInd w:val="0"/>
            </w:pPr>
            <w:r w:rsidRPr="00CB0C67">
              <w:rPr>
                <w:sz w:val="22"/>
                <w:szCs w:val="22"/>
              </w:rPr>
              <w:t>Neznáme (z dostupných údajov)</w:t>
            </w:r>
          </w:p>
        </w:tc>
      </w:tr>
      <w:tr w:rsidR="0037707D" w:rsidRPr="00CB0C67" w:rsidTr="00E71F88">
        <w:tc>
          <w:tcPr>
            <w:tcW w:w="1857" w:type="dxa"/>
            <w:shd w:val="clear" w:color="auto" w:fill="D9D9D9"/>
          </w:tcPr>
          <w:p w:rsidR="0037707D" w:rsidRPr="00CB0C67" w:rsidRDefault="0037707D" w:rsidP="00CB0C67">
            <w:pPr>
              <w:autoSpaceDE w:val="0"/>
              <w:autoSpaceDN w:val="0"/>
              <w:adjustRightInd w:val="0"/>
            </w:pPr>
            <w:r w:rsidRPr="00CB0C67">
              <w:rPr>
                <w:sz w:val="22"/>
                <w:szCs w:val="22"/>
              </w:rPr>
              <w:t>Poruchy imunitného systému</w:t>
            </w:r>
          </w:p>
        </w:tc>
        <w:tc>
          <w:tcPr>
            <w:tcW w:w="1857" w:type="dxa"/>
          </w:tcPr>
          <w:p w:rsidR="0037707D" w:rsidRPr="00CB0C67" w:rsidRDefault="0037707D" w:rsidP="00CB0C67">
            <w:pPr>
              <w:autoSpaceDE w:val="0"/>
              <w:autoSpaceDN w:val="0"/>
              <w:adjustRightInd w:val="0"/>
            </w:pPr>
          </w:p>
        </w:tc>
        <w:tc>
          <w:tcPr>
            <w:tcW w:w="1857" w:type="dxa"/>
          </w:tcPr>
          <w:p w:rsidR="0037707D" w:rsidRPr="00CB0C67" w:rsidRDefault="0037707D" w:rsidP="00CB0C67">
            <w:pPr>
              <w:autoSpaceDE w:val="0"/>
              <w:autoSpaceDN w:val="0"/>
              <w:adjustRightInd w:val="0"/>
            </w:pPr>
          </w:p>
        </w:tc>
        <w:tc>
          <w:tcPr>
            <w:tcW w:w="1858" w:type="dxa"/>
          </w:tcPr>
          <w:p w:rsidR="0037707D" w:rsidRPr="00CB0C67" w:rsidRDefault="0037707D" w:rsidP="00CB0C67">
            <w:pPr>
              <w:autoSpaceDE w:val="0"/>
              <w:autoSpaceDN w:val="0"/>
              <w:adjustRightInd w:val="0"/>
            </w:pPr>
          </w:p>
        </w:tc>
        <w:tc>
          <w:tcPr>
            <w:tcW w:w="1858" w:type="dxa"/>
          </w:tcPr>
          <w:p w:rsidR="0037707D" w:rsidRPr="00CB0C67" w:rsidRDefault="0037707D" w:rsidP="00CB0C67">
            <w:pPr>
              <w:autoSpaceDE w:val="0"/>
              <w:autoSpaceDN w:val="0"/>
              <w:adjustRightInd w:val="0"/>
            </w:pPr>
            <w:r w:rsidRPr="00CB0C67">
              <w:rPr>
                <w:sz w:val="22"/>
                <w:szCs w:val="22"/>
              </w:rPr>
              <w:t>alergická reakcia</w:t>
            </w:r>
          </w:p>
        </w:tc>
      </w:tr>
      <w:tr w:rsidR="0037707D" w:rsidRPr="00CB0C67" w:rsidTr="00E71F88">
        <w:tc>
          <w:tcPr>
            <w:tcW w:w="1857" w:type="dxa"/>
            <w:shd w:val="clear" w:color="auto" w:fill="D9D9D9"/>
          </w:tcPr>
          <w:p w:rsidR="0037707D" w:rsidRPr="00CB0C67" w:rsidRDefault="0037707D" w:rsidP="00CB0C67">
            <w:pPr>
              <w:autoSpaceDE w:val="0"/>
              <w:autoSpaceDN w:val="0"/>
              <w:adjustRightInd w:val="0"/>
            </w:pPr>
            <w:r w:rsidRPr="00CB0C67">
              <w:rPr>
                <w:sz w:val="22"/>
                <w:szCs w:val="22"/>
              </w:rPr>
              <w:t>Poruchy metabolizmu a výživy</w:t>
            </w:r>
          </w:p>
        </w:tc>
        <w:tc>
          <w:tcPr>
            <w:tcW w:w="1857" w:type="dxa"/>
          </w:tcPr>
          <w:p w:rsidR="0037707D" w:rsidRPr="00CB0C67" w:rsidRDefault="0037707D" w:rsidP="00CB0C67">
            <w:pPr>
              <w:autoSpaceDE w:val="0"/>
              <w:autoSpaceDN w:val="0"/>
              <w:adjustRightInd w:val="0"/>
            </w:pPr>
          </w:p>
        </w:tc>
        <w:tc>
          <w:tcPr>
            <w:tcW w:w="1857" w:type="dxa"/>
          </w:tcPr>
          <w:p w:rsidR="0037707D" w:rsidRPr="00CB0C67" w:rsidRDefault="0037707D" w:rsidP="00CB0C67">
            <w:pPr>
              <w:autoSpaceDE w:val="0"/>
              <w:autoSpaceDN w:val="0"/>
              <w:adjustRightInd w:val="0"/>
            </w:pPr>
          </w:p>
        </w:tc>
        <w:tc>
          <w:tcPr>
            <w:tcW w:w="1858" w:type="dxa"/>
          </w:tcPr>
          <w:p w:rsidR="0037707D" w:rsidRPr="00CB0C67" w:rsidRDefault="0037707D" w:rsidP="00CB0C67">
            <w:pPr>
              <w:autoSpaceDE w:val="0"/>
              <w:autoSpaceDN w:val="0"/>
              <w:adjustRightInd w:val="0"/>
            </w:pPr>
            <w:r w:rsidRPr="00CB0C67">
              <w:rPr>
                <w:sz w:val="22"/>
                <w:szCs w:val="22"/>
              </w:rPr>
              <w:t>hyponatriémia</w:t>
            </w:r>
          </w:p>
        </w:tc>
        <w:tc>
          <w:tcPr>
            <w:tcW w:w="1858" w:type="dxa"/>
          </w:tcPr>
          <w:p w:rsidR="0037707D" w:rsidRPr="00CB0C67" w:rsidRDefault="0037707D" w:rsidP="00CB0C67">
            <w:pPr>
              <w:autoSpaceDE w:val="0"/>
              <w:autoSpaceDN w:val="0"/>
              <w:adjustRightInd w:val="0"/>
            </w:pPr>
            <w:r w:rsidRPr="00CB0C67">
              <w:rPr>
                <w:sz w:val="22"/>
                <w:szCs w:val="22"/>
              </w:rPr>
              <w:t>dehydratácia***</w:t>
            </w:r>
          </w:p>
        </w:tc>
      </w:tr>
      <w:tr w:rsidR="0037707D" w:rsidRPr="00CB0C67" w:rsidTr="00E71F88">
        <w:tc>
          <w:tcPr>
            <w:tcW w:w="1857" w:type="dxa"/>
            <w:shd w:val="clear" w:color="auto" w:fill="D9D9D9"/>
          </w:tcPr>
          <w:p w:rsidR="0037707D" w:rsidRPr="00CB0C67" w:rsidRDefault="0037707D" w:rsidP="00CB0C67">
            <w:pPr>
              <w:autoSpaceDE w:val="0"/>
              <w:autoSpaceDN w:val="0"/>
              <w:adjustRightInd w:val="0"/>
            </w:pPr>
            <w:r w:rsidRPr="00CB0C67">
              <w:rPr>
                <w:sz w:val="22"/>
                <w:szCs w:val="22"/>
              </w:rPr>
              <w:t>Psychické poruchy</w:t>
            </w:r>
          </w:p>
        </w:tc>
        <w:tc>
          <w:tcPr>
            <w:tcW w:w="1857" w:type="dxa"/>
          </w:tcPr>
          <w:p w:rsidR="0037707D" w:rsidRPr="00CB0C67" w:rsidRDefault="0037707D" w:rsidP="00CB0C67">
            <w:pPr>
              <w:autoSpaceDE w:val="0"/>
              <w:autoSpaceDN w:val="0"/>
              <w:adjustRightInd w:val="0"/>
            </w:pPr>
          </w:p>
        </w:tc>
        <w:tc>
          <w:tcPr>
            <w:tcW w:w="1857" w:type="dxa"/>
          </w:tcPr>
          <w:p w:rsidR="0037707D" w:rsidRPr="00CB0C67" w:rsidRDefault="0037707D" w:rsidP="00CB0C67">
            <w:pPr>
              <w:autoSpaceDE w:val="0"/>
              <w:autoSpaceDN w:val="0"/>
              <w:adjustRightInd w:val="0"/>
            </w:pPr>
            <w:r w:rsidRPr="00CB0C67">
              <w:rPr>
                <w:sz w:val="22"/>
                <w:szCs w:val="22"/>
              </w:rPr>
              <w:t xml:space="preserve">insomnia, afektová labilita**, nočné mory**, nervozita**, agresia**  </w:t>
            </w:r>
          </w:p>
        </w:tc>
        <w:tc>
          <w:tcPr>
            <w:tcW w:w="1858" w:type="dxa"/>
          </w:tcPr>
          <w:p w:rsidR="0037707D" w:rsidRPr="00CB0C67" w:rsidRDefault="0037707D" w:rsidP="00CB0C67">
            <w:pPr>
              <w:autoSpaceDE w:val="0"/>
              <w:autoSpaceDN w:val="0"/>
              <w:adjustRightInd w:val="0"/>
            </w:pPr>
          </w:p>
        </w:tc>
        <w:tc>
          <w:tcPr>
            <w:tcW w:w="1858" w:type="dxa"/>
          </w:tcPr>
          <w:p w:rsidR="0037707D" w:rsidRPr="00CB0C67" w:rsidRDefault="0037707D" w:rsidP="00CB0C67">
            <w:pPr>
              <w:autoSpaceDE w:val="0"/>
              <w:autoSpaceDN w:val="0"/>
              <w:adjustRightInd w:val="0"/>
            </w:pPr>
            <w:r w:rsidRPr="00CB0C67">
              <w:rPr>
                <w:sz w:val="22"/>
                <w:szCs w:val="22"/>
              </w:rPr>
              <w:t>stavy zmätenosti*</w:t>
            </w:r>
          </w:p>
        </w:tc>
      </w:tr>
      <w:tr w:rsidR="0037707D" w:rsidRPr="00CB0C67" w:rsidTr="00E71F88">
        <w:tc>
          <w:tcPr>
            <w:tcW w:w="1857" w:type="dxa"/>
            <w:shd w:val="clear" w:color="auto" w:fill="D9D9D9"/>
          </w:tcPr>
          <w:p w:rsidR="0037707D" w:rsidRPr="00CB0C67" w:rsidRDefault="0037707D" w:rsidP="00CB0C67">
            <w:pPr>
              <w:autoSpaceDE w:val="0"/>
              <w:autoSpaceDN w:val="0"/>
              <w:adjustRightInd w:val="0"/>
            </w:pPr>
            <w:r w:rsidRPr="00CB0C67">
              <w:rPr>
                <w:sz w:val="22"/>
                <w:szCs w:val="22"/>
              </w:rPr>
              <w:t>Poruchy nervového systému</w:t>
            </w:r>
          </w:p>
        </w:tc>
        <w:tc>
          <w:tcPr>
            <w:tcW w:w="1857" w:type="dxa"/>
          </w:tcPr>
          <w:p w:rsidR="0037707D" w:rsidRPr="00CB0C67" w:rsidRDefault="0037707D" w:rsidP="00CB0C67">
            <w:pPr>
              <w:autoSpaceDE w:val="0"/>
              <w:autoSpaceDN w:val="0"/>
              <w:adjustRightInd w:val="0"/>
            </w:pPr>
          </w:p>
        </w:tc>
        <w:tc>
          <w:tcPr>
            <w:tcW w:w="1857" w:type="dxa"/>
          </w:tcPr>
          <w:p w:rsidR="0037707D" w:rsidRPr="00CB0C67" w:rsidRDefault="0037707D" w:rsidP="00CB0C67">
            <w:pPr>
              <w:autoSpaceDE w:val="0"/>
              <w:autoSpaceDN w:val="0"/>
              <w:adjustRightInd w:val="0"/>
            </w:pPr>
            <w:r w:rsidRPr="00CB0C67">
              <w:rPr>
                <w:sz w:val="22"/>
                <w:szCs w:val="22"/>
              </w:rPr>
              <w:t>bolesť hlavy*</w:t>
            </w:r>
          </w:p>
        </w:tc>
        <w:tc>
          <w:tcPr>
            <w:tcW w:w="1858" w:type="dxa"/>
          </w:tcPr>
          <w:p w:rsidR="0037707D" w:rsidRPr="00CB0C67" w:rsidRDefault="0037707D" w:rsidP="00CB0C67">
            <w:pPr>
              <w:autoSpaceDE w:val="0"/>
              <w:autoSpaceDN w:val="0"/>
              <w:adjustRightInd w:val="0"/>
            </w:pPr>
          </w:p>
        </w:tc>
        <w:tc>
          <w:tcPr>
            <w:tcW w:w="1858" w:type="dxa"/>
          </w:tcPr>
          <w:p w:rsidR="0037707D" w:rsidRPr="00CB0C67" w:rsidRDefault="0037707D" w:rsidP="00CB0C67">
            <w:pPr>
              <w:autoSpaceDE w:val="0"/>
              <w:autoSpaceDN w:val="0"/>
              <w:adjustRightInd w:val="0"/>
            </w:pPr>
            <w:r w:rsidRPr="00CB0C67">
              <w:rPr>
                <w:sz w:val="22"/>
                <w:szCs w:val="22"/>
              </w:rPr>
              <w:t xml:space="preserve">kŕče*, kóma*, závraty*, somnolencia </w:t>
            </w:r>
          </w:p>
        </w:tc>
      </w:tr>
      <w:tr w:rsidR="0037707D" w:rsidRPr="00CB0C67" w:rsidTr="00E71F88">
        <w:tc>
          <w:tcPr>
            <w:tcW w:w="1857" w:type="dxa"/>
            <w:shd w:val="clear" w:color="auto" w:fill="D9D9D9"/>
          </w:tcPr>
          <w:p w:rsidR="0037707D" w:rsidRPr="00CB0C67" w:rsidRDefault="0037707D" w:rsidP="00CB0C67">
            <w:pPr>
              <w:autoSpaceDE w:val="0"/>
              <w:autoSpaceDN w:val="0"/>
              <w:adjustRightInd w:val="0"/>
            </w:pPr>
            <w:r w:rsidRPr="00CB0C67">
              <w:rPr>
                <w:sz w:val="22"/>
                <w:szCs w:val="22"/>
              </w:rPr>
              <w:t>Poruchy ciev</w:t>
            </w:r>
          </w:p>
        </w:tc>
        <w:tc>
          <w:tcPr>
            <w:tcW w:w="1857" w:type="dxa"/>
          </w:tcPr>
          <w:p w:rsidR="0037707D" w:rsidRPr="00CB0C67" w:rsidRDefault="0037707D" w:rsidP="00CB0C67">
            <w:pPr>
              <w:autoSpaceDE w:val="0"/>
              <w:autoSpaceDN w:val="0"/>
              <w:adjustRightInd w:val="0"/>
            </w:pPr>
          </w:p>
        </w:tc>
        <w:tc>
          <w:tcPr>
            <w:tcW w:w="1857" w:type="dxa"/>
          </w:tcPr>
          <w:p w:rsidR="0037707D" w:rsidRPr="00CB0C67" w:rsidRDefault="0037707D" w:rsidP="00CB0C67">
            <w:pPr>
              <w:autoSpaceDE w:val="0"/>
              <w:autoSpaceDN w:val="0"/>
              <w:adjustRightInd w:val="0"/>
            </w:pPr>
          </w:p>
        </w:tc>
        <w:tc>
          <w:tcPr>
            <w:tcW w:w="1858" w:type="dxa"/>
          </w:tcPr>
          <w:p w:rsidR="0037707D" w:rsidRPr="00CB0C67" w:rsidRDefault="0037707D" w:rsidP="00CB0C67">
            <w:pPr>
              <w:autoSpaceDE w:val="0"/>
              <w:autoSpaceDN w:val="0"/>
              <w:adjustRightInd w:val="0"/>
            </w:pPr>
          </w:p>
        </w:tc>
        <w:tc>
          <w:tcPr>
            <w:tcW w:w="1858" w:type="dxa"/>
          </w:tcPr>
          <w:p w:rsidR="0037707D" w:rsidRPr="00CB0C67" w:rsidRDefault="0037707D" w:rsidP="00CB0C67">
            <w:pPr>
              <w:autoSpaceDE w:val="0"/>
              <w:autoSpaceDN w:val="0"/>
              <w:adjustRightInd w:val="0"/>
            </w:pPr>
            <w:r w:rsidRPr="00CB0C67">
              <w:rPr>
                <w:sz w:val="22"/>
                <w:szCs w:val="22"/>
              </w:rPr>
              <w:t>hypertenzia</w:t>
            </w:r>
          </w:p>
        </w:tc>
      </w:tr>
      <w:tr w:rsidR="0037707D" w:rsidRPr="00CB0C67" w:rsidTr="00E71F88">
        <w:tc>
          <w:tcPr>
            <w:tcW w:w="1857" w:type="dxa"/>
            <w:shd w:val="clear" w:color="auto" w:fill="D9D9D9"/>
          </w:tcPr>
          <w:p w:rsidR="0037707D" w:rsidRPr="00CB0C67" w:rsidRDefault="0037707D" w:rsidP="00CB0C67">
            <w:pPr>
              <w:autoSpaceDE w:val="0"/>
              <w:autoSpaceDN w:val="0"/>
              <w:adjustRightInd w:val="0"/>
            </w:pPr>
            <w:r w:rsidRPr="00CB0C67">
              <w:rPr>
                <w:sz w:val="22"/>
                <w:szCs w:val="22"/>
              </w:rPr>
              <w:t>Poruchy dýchacej sústavy, hrudníka a mediastína</w:t>
            </w:r>
          </w:p>
        </w:tc>
        <w:tc>
          <w:tcPr>
            <w:tcW w:w="1857" w:type="dxa"/>
          </w:tcPr>
          <w:p w:rsidR="0037707D" w:rsidRPr="00CB0C67" w:rsidRDefault="0037707D" w:rsidP="00CB0C67">
            <w:pPr>
              <w:autoSpaceDE w:val="0"/>
              <w:autoSpaceDN w:val="0"/>
              <w:adjustRightInd w:val="0"/>
            </w:pPr>
            <w:r w:rsidRPr="00CB0C67">
              <w:rPr>
                <w:sz w:val="22"/>
                <w:szCs w:val="22"/>
              </w:rPr>
              <w:t xml:space="preserve">nepriechodnosť nosa, nádcha </w:t>
            </w:r>
          </w:p>
        </w:tc>
        <w:tc>
          <w:tcPr>
            <w:tcW w:w="1857" w:type="dxa"/>
          </w:tcPr>
          <w:p w:rsidR="0037707D" w:rsidRPr="00CB0C67" w:rsidRDefault="0037707D" w:rsidP="00CB0C67">
            <w:pPr>
              <w:autoSpaceDE w:val="0"/>
              <w:autoSpaceDN w:val="0"/>
              <w:adjustRightInd w:val="0"/>
            </w:pPr>
            <w:r w:rsidRPr="00CB0C67">
              <w:rPr>
                <w:sz w:val="22"/>
                <w:szCs w:val="22"/>
              </w:rPr>
              <w:t>epistaxa, infekcia horných dýchacích ciest**</w:t>
            </w:r>
          </w:p>
        </w:tc>
        <w:tc>
          <w:tcPr>
            <w:tcW w:w="1858" w:type="dxa"/>
          </w:tcPr>
          <w:p w:rsidR="0037707D" w:rsidRPr="00CB0C67" w:rsidRDefault="0037707D" w:rsidP="00CB0C67">
            <w:pPr>
              <w:autoSpaceDE w:val="0"/>
              <w:autoSpaceDN w:val="0"/>
              <w:adjustRightInd w:val="0"/>
            </w:pPr>
          </w:p>
        </w:tc>
        <w:tc>
          <w:tcPr>
            <w:tcW w:w="1858" w:type="dxa"/>
          </w:tcPr>
          <w:p w:rsidR="0037707D" w:rsidRPr="00CB0C67" w:rsidRDefault="0037707D" w:rsidP="00CB0C67">
            <w:pPr>
              <w:autoSpaceDE w:val="0"/>
              <w:autoSpaceDN w:val="0"/>
              <w:adjustRightInd w:val="0"/>
            </w:pPr>
            <w:r w:rsidRPr="00CB0C67">
              <w:rPr>
                <w:sz w:val="22"/>
                <w:szCs w:val="22"/>
              </w:rPr>
              <w:t>dyspnoe</w:t>
            </w:r>
          </w:p>
        </w:tc>
      </w:tr>
      <w:tr w:rsidR="0037707D" w:rsidRPr="00CB0C67" w:rsidTr="00E71F88">
        <w:tc>
          <w:tcPr>
            <w:tcW w:w="1857" w:type="dxa"/>
            <w:shd w:val="clear" w:color="auto" w:fill="D9D9D9"/>
          </w:tcPr>
          <w:p w:rsidR="0037707D" w:rsidRPr="00CB0C67" w:rsidRDefault="0037707D" w:rsidP="00CB0C67">
            <w:pPr>
              <w:autoSpaceDE w:val="0"/>
              <w:autoSpaceDN w:val="0"/>
              <w:adjustRightInd w:val="0"/>
            </w:pPr>
            <w:r w:rsidRPr="00CB0C67">
              <w:rPr>
                <w:sz w:val="22"/>
                <w:szCs w:val="22"/>
              </w:rPr>
              <w:t>Poruchy gastrointestinálneho traktu</w:t>
            </w:r>
          </w:p>
        </w:tc>
        <w:tc>
          <w:tcPr>
            <w:tcW w:w="1857" w:type="dxa"/>
          </w:tcPr>
          <w:p w:rsidR="0037707D" w:rsidRPr="00CB0C67" w:rsidRDefault="0037707D" w:rsidP="00CB0C67">
            <w:pPr>
              <w:autoSpaceDE w:val="0"/>
              <w:autoSpaceDN w:val="0"/>
              <w:adjustRightInd w:val="0"/>
            </w:pPr>
          </w:p>
        </w:tc>
        <w:tc>
          <w:tcPr>
            <w:tcW w:w="1857" w:type="dxa"/>
          </w:tcPr>
          <w:p w:rsidR="0037707D" w:rsidRPr="00CB0C67" w:rsidRDefault="0037707D" w:rsidP="00CB0C67">
            <w:pPr>
              <w:autoSpaceDE w:val="0"/>
              <w:autoSpaceDN w:val="0"/>
              <w:adjustRightInd w:val="0"/>
            </w:pPr>
            <w:r w:rsidRPr="00CB0C67">
              <w:rPr>
                <w:sz w:val="22"/>
                <w:szCs w:val="22"/>
              </w:rPr>
              <w:t>gastroenteritída, nauzea*, bolesť brucha*</w:t>
            </w:r>
          </w:p>
        </w:tc>
        <w:tc>
          <w:tcPr>
            <w:tcW w:w="1858" w:type="dxa"/>
          </w:tcPr>
          <w:p w:rsidR="0037707D" w:rsidRPr="00CB0C67" w:rsidRDefault="0037707D" w:rsidP="00CB0C67">
            <w:pPr>
              <w:autoSpaceDE w:val="0"/>
              <w:autoSpaceDN w:val="0"/>
              <w:adjustRightInd w:val="0"/>
            </w:pPr>
            <w:r w:rsidRPr="00CB0C67">
              <w:rPr>
                <w:sz w:val="22"/>
                <w:szCs w:val="22"/>
              </w:rPr>
              <w:t>vracanie*</w:t>
            </w:r>
          </w:p>
        </w:tc>
        <w:tc>
          <w:tcPr>
            <w:tcW w:w="1858" w:type="dxa"/>
          </w:tcPr>
          <w:p w:rsidR="0037707D" w:rsidRPr="00CB0C67" w:rsidRDefault="0037707D" w:rsidP="00CB0C67">
            <w:pPr>
              <w:autoSpaceDE w:val="0"/>
              <w:autoSpaceDN w:val="0"/>
              <w:adjustRightInd w:val="0"/>
            </w:pPr>
            <w:r w:rsidRPr="00CB0C67">
              <w:rPr>
                <w:sz w:val="22"/>
                <w:szCs w:val="22"/>
              </w:rPr>
              <w:t>hnačka</w:t>
            </w:r>
          </w:p>
        </w:tc>
      </w:tr>
      <w:tr w:rsidR="0037707D" w:rsidRPr="00CB0C67" w:rsidTr="00E71F88">
        <w:tc>
          <w:tcPr>
            <w:tcW w:w="1857" w:type="dxa"/>
            <w:shd w:val="clear" w:color="auto" w:fill="D9D9D9"/>
          </w:tcPr>
          <w:p w:rsidR="0037707D" w:rsidRPr="00CB0C67" w:rsidRDefault="0037707D" w:rsidP="00CB0C67">
            <w:pPr>
              <w:autoSpaceDE w:val="0"/>
              <w:autoSpaceDN w:val="0"/>
              <w:adjustRightInd w:val="0"/>
            </w:pPr>
            <w:r w:rsidRPr="00CB0C67">
              <w:rPr>
                <w:sz w:val="22"/>
                <w:szCs w:val="22"/>
              </w:rPr>
              <w:t>Poruchy kože a podkožného tkaniva</w:t>
            </w:r>
          </w:p>
        </w:tc>
        <w:tc>
          <w:tcPr>
            <w:tcW w:w="1857" w:type="dxa"/>
          </w:tcPr>
          <w:p w:rsidR="0037707D" w:rsidRPr="00CB0C67" w:rsidRDefault="0037707D" w:rsidP="00CB0C67">
            <w:pPr>
              <w:autoSpaceDE w:val="0"/>
              <w:autoSpaceDN w:val="0"/>
              <w:adjustRightInd w:val="0"/>
            </w:pPr>
          </w:p>
        </w:tc>
        <w:tc>
          <w:tcPr>
            <w:tcW w:w="1857" w:type="dxa"/>
          </w:tcPr>
          <w:p w:rsidR="0037707D" w:rsidRPr="00CB0C67" w:rsidRDefault="0037707D" w:rsidP="00CB0C67">
            <w:pPr>
              <w:autoSpaceDE w:val="0"/>
              <w:autoSpaceDN w:val="0"/>
              <w:adjustRightInd w:val="0"/>
            </w:pPr>
          </w:p>
        </w:tc>
        <w:tc>
          <w:tcPr>
            <w:tcW w:w="1858" w:type="dxa"/>
          </w:tcPr>
          <w:p w:rsidR="0037707D" w:rsidRPr="00CB0C67" w:rsidRDefault="0037707D" w:rsidP="00CB0C67">
            <w:pPr>
              <w:autoSpaceDE w:val="0"/>
              <w:autoSpaceDN w:val="0"/>
              <w:adjustRightInd w:val="0"/>
            </w:pPr>
          </w:p>
        </w:tc>
        <w:tc>
          <w:tcPr>
            <w:tcW w:w="1858" w:type="dxa"/>
          </w:tcPr>
          <w:p w:rsidR="0037707D" w:rsidRPr="00CB0C67" w:rsidRDefault="0037707D" w:rsidP="00CB0C67">
            <w:pPr>
              <w:autoSpaceDE w:val="0"/>
              <w:autoSpaceDN w:val="0"/>
              <w:adjustRightInd w:val="0"/>
            </w:pPr>
            <w:r w:rsidRPr="00CB0C67">
              <w:rPr>
                <w:sz w:val="22"/>
                <w:szCs w:val="22"/>
              </w:rPr>
              <w:t>svrbenie, vyrážka, žihľavka</w:t>
            </w:r>
          </w:p>
        </w:tc>
      </w:tr>
      <w:tr w:rsidR="0037707D" w:rsidRPr="00CB0C67" w:rsidTr="00E71F88">
        <w:tc>
          <w:tcPr>
            <w:tcW w:w="1857" w:type="dxa"/>
            <w:shd w:val="clear" w:color="auto" w:fill="D9D9D9"/>
          </w:tcPr>
          <w:p w:rsidR="0037707D" w:rsidRPr="00CB0C67" w:rsidRDefault="0037707D" w:rsidP="00CB0C67">
            <w:pPr>
              <w:autoSpaceDE w:val="0"/>
              <w:autoSpaceDN w:val="0"/>
              <w:adjustRightInd w:val="0"/>
            </w:pPr>
            <w:r w:rsidRPr="00CB0C67">
              <w:rPr>
                <w:sz w:val="22"/>
                <w:szCs w:val="22"/>
              </w:rPr>
              <w:t>Poruchy kostrovej a svalovej sústavy a spojivového tkaniva</w:t>
            </w:r>
          </w:p>
        </w:tc>
        <w:tc>
          <w:tcPr>
            <w:tcW w:w="1857" w:type="dxa"/>
          </w:tcPr>
          <w:p w:rsidR="0037707D" w:rsidRPr="00CB0C67" w:rsidRDefault="0037707D" w:rsidP="00CB0C67">
            <w:pPr>
              <w:autoSpaceDE w:val="0"/>
              <w:autoSpaceDN w:val="0"/>
              <w:adjustRightInd w:val="0"/>
            </w:pPr>
          </w:p>
        </w:tc>
        <w:tc>
          <w:tcPr>
            <w:tcW w:w="1857" w:type="dxa"/>
          </w:tcPr>
          <w:p w:rsidR="0037707D" w:rsidRPr="00CB0C67" w:rsidRDefault="0037707D" w:rsidP="00CB0C67">
            <w:pPr>
              <w:autoSpaceDE w:val="0"/>
              <w:autoSpaceDN w:val="0"/>
              <w:adjustRightInd w:val="0"/>
            </w:pPr>
          </w:p>
        </w:tc>
        <w:tc>
          <w:tcPr>
            <w:tcW w:w="1858" w:type="dxa"/>
          </w:tcPr>
          <w:p w:rsidR="0037707D" w:rsidRPr="00CB0C67" w:rsidRDefault="0037707D" w:rsidP="00CB0C67">
            <w:pPr>
              <w:autoSpaceDE w:val="0"/>
              <w:autoSpaceDN w:val="0"/>
              <w:adjustRightInd w:val="0"/>
            </w:pPr>
          </w:p>
        </w:tc>
        <w:tc>
          <w:tcPr>
            <w:tcW w:w="1858" w:type="dxa"/>
          </w:tcPr>
          <w:p w:rsidR="0037707D" w:rsidRPr="00CB0C67" w:rsidRDefault="0037707D" w:rsidP="00CB0C67">
            <w:pPr>
              <w:autoSpaceDE w:val="0"/>
              <w:autoSpaceDN w:val="0"/>
              <w:adjustRightInd w:val="0"/>
            </w:pPr>
            <w:r w:rsidRPr="00CB0C67">
              <w:rPr>
                <w:sz w:val="22"/>
                <w:szCs w:val="22"/>
              </w:rPr>
              <w:t>svalové kŕče*</w:t>
            </w:r>
          </w:p>
        </w:tc>
      </w:tr>
      <w:tr w:rsidR="0037707D" w:rsidRPr="00CB0C67" w:rsidTr="00E71F88">
        <w:tc>
          <w:tcPr>
            <w:tcW w:w="1857" w:type="dxa"/>
            <w:shd w:val="clear" w:color="auto" w:fill="D9D9D9"/>
          </w:tcPr>
          <w:p w:rsidR="0037707D" w:rsidRPr="00CB0C67" w:rsidRDefault="0037707D" w:rsidP="00CB0C67">
            <w:pPr>
              <w:autoSpaceDE w:val="0"/>
              <w:autoSpaceDN w:val="0"/>
              <w:adjustRightInd w:val="0"/>
            </w:pPr>
            <w:r w:rsidRPr="00CB0C67">
              <w:rPr>
                <w:sz w:val="22"/>
                <w:szCs w:val="22"/>
              </w:rPr>
              <w:t>Celkové poruchy a reakcie v mieste podania</w:t>
            </w:r>
          </w:p>
        </w:tc>
        <w:tc>
          <w:tcPr>
            <w:tcW w:w="1857" w:type="dxa"/>
          </w:tcPr>
          <w:p w:rsidR="0037707D" w:rsidRPr="00CB0C67" w:rsidRDefault="0037707D" w:rsidP="00CB0C67">
            <w:pPr>
              <w:autoSpaceDE w:val="0"/>
              <w:autoSpaceDN w:val="0"/>
              <w:adjustRightInd w:val="0"/>
            </w:pPr>
          </w:p>
        </w:tc>
        <w:tc>
          <w:tcPr>
            <w:tcW w:w="1857" w:type="dxa"/>
          </w:tcPr>
          <w:p w:rsidR="0037707D" w:rsidRPr="00CB0C67" w:rsidRDefault="0037707D" w:rsidP="00CB0C67">
            <w:pPr>
              <w:autoSpaceDE w:val="0"/>
              <w:autoSpaceDN w:val="0"/>
              <w:adjustRightInd w:val="0"/>
            </w:pPr>
          </w:p>
        </w:tc>
        <w:tc>
          <w:tcPr>
            <w:tcW w:w="1858" w:type="dxa"/>
          </w:tcPr>
          <w:p w:rsidR="0037707D" w:rsidRPr="00CB0C67" w:rsidRDefault="0037707D" w:rsidP="00CB0C67">
            <w:pPr>
              <w:autoSpaceDE w:val="0"/>
              <w:autoSpaceDN w:val="0"/>
              <w:adjustRightInd w:val="0"/>
            </w:pPr>
          </w:p>
        </w:tc>
        <w:tc>
          <w:tcPr>
            <w:tcW w:w="1858" w:type="dxa"/>
          </w:tcPr>
          <w:p w:rsidR="0037707D" w:rsidRPr="00CB0C67" w:rsidRDefault="0037707D" w:rsidP="00CB0C67">
            <w:pPr>
              <w:autoSpaceDE w:val="0"/>
              <w:autoSpaceDN w:val="0"/>
              <w:adjustRightInd w:val="0"/>
            </w:pPr>
            <w:r w:rsidRPr="00CB0C67">
              <w:rPr>
                <w:sz w:val="22"/>
                <w:szCs w:val="22"/>
              </w:rPr>
              <w:t>únava*, periférny edém*, bolesť v hrudníku, zimnica</w:t>
            </w:r>
          </w:p>
        </w:tc>
      </w:tr>
      <w:tr w:rsidR="0037707D" w:rsidRPr="00CB0C67" w:rsidTr="00E71F88">
        <w:tc>
          <w:tcPr>
            <w:tcW w:w="1857" w:type="dxa"/>
            <w:shd w:val="clear" w:color="auto" w:fill="D9D9D9"/>
          </w:tcPr>
          <w:p w:rsidR="0037707D" w:rsidRPr="00CB0C67" w:rsidRDefault="0037707D" w:rsidP="00CB0C67">
            <w:pPr>
              <w:autoSpaceDE w:val="0"/>
              <w:autoSpaceDN w:val="0"/>
              <w:adjustRightInd w:val="0"/>
            </w:pPr>
            <w:r w:rsidRPr="00CB0C67">
              <w:rPr>
                <w:sz w:val="22"/>
                <w:szCs w:val="22"/>
              </w:rPr>
              <w:t>Laboratórne a funkčné vyšetrenia</w:t>
            </w:r>
          </w:p>
        </w:tc>
        <w:tc>
          <w:tcPr>
            <w:tcW w:w="1857" w:type="dxa"/>
          </w:tcPr>
          <w:p w:rsidR="0037707D" w:rsidRPr="00CB0C67" w:rsidRDefault="0037707D" w:rsidP="00CB0C67">
            <w:pPr>
              <w:autoSpaceDE w:val="0"/>
              <w:autoSpaceDN w:val="0"/>
              <w:adjustRightInd w:val="0"/>
            </w:pPr>
            <w:r w:rsidRPr="00CB0C67">
              <w:rPr>
                <w:sz w:val="22"/>
                <w:szCs w:val="22"/>
              </w:rPr>
              <w:t>zvýšenie telesnej teploty**</w:t>
            </w:r>
          </w:p>
        </w:tc>
        <w:tc>
          <w:tcPr>
            <w:tcW w:w="1857" w:type="dxa"/>
          </w:tcPr>
          <w:p w:rsidR="0037707D" w:rsidRPr="00CB0C67" w:rsidRDefault="0037707D" w:rsidP="00CB0C67">
            <w:pPr>
              <w:autoSpaceDE w:val="0"/>
              <w:autoSpaceDN w:val="0"/>
              <w:adjustRightInd w:val="0"/>
            </w:pPr>
          </w:p>
        </w:tc>
        <w:tc>
          <w:tcPr>
            <w:tcW w:w="1858" w:type="dxa"/>
          </w:tcPr>
          <w:p w:rsidR="0037707D" w:rsidRPr="00CB0C67" w:rsidRDefault="0037707D" w:rsidP="00CB0C67">
            <w:pPr>
              <w:autoSpaceDE w:val="0"/>
              <w:autoSpaceDN w:val="0"/>
              <w:adjustRightInd w:val="0"/>
            </w:pPr>
          </w:p>
        </w:tc>
        <w:tc>
          <w:tcPr>
            <w:tcW w:w="1858" w:type="dxa"/>
          </w:tcPr>
          <w:p w:rsidR="0037707D" w:rsidRPr="00CB0C67" w:rsidRDefault="0037707D" w:rsidP="00CB0C67">
            <w:pPr>
              <w:autoSpaceDE w:val="0"/>
              <w:autoSpaceDN w:val="0"/>
              <w:adjustRightInd w:val="0"/>
            </w:pPr>
            <w:r w:rsidRPr="00CB0C67">
              <w:rPr>
                <w:sz w:val="22"/>
                <w:szCs w:val="22"/>
              </w:rPr>
              <w:t>zvýšenie hmotnosti*</w:t>
            </w:r>
          </w:p>
        </w:tc>
      </w:tr>
    </w:tbl>
    <w:p w:rsidR="0037707D" w:rsidRPr="0040314B" w:rsidRDefault="0037707D">
      <w:pPr>
        <w:rPr>
          <w:sz w:val="22"/>
          <w:szCs w:val="22"/>
        </w:rPr>
      </w:pPr>
      <w:r w:rsidRPr="0040314B">
        <w:rPr>
          <w:sz w:val="22"/>
          <w:szCs w:val="22"/>
        </w:rPr>
        <w:t>*Hlásenia v súvislosti s hyponatriémiou.</w:t>
      </w:r>
    </w:p>
    <w:p w:rsidR="0037707D" w:rsidRPr="0040314B" w:rsidRDefault="0037707D">
      <w:pPr>
        <w:rPr>
          <w:sz w:val="22"/>
          <w:szCs w:val="22"/>
        </w:rPr>
      </w:pPr>
      <w:r w:rsidRPr="0040314B">
        <w:rPr>
          <w:sz w:val="22"/>
          <w:szCs w:val="22"/>
        </w:rPr>
        <w:t>**Hlásenia najmä u detí a dospievajúcich.</w:t>
      </w:r>
    </w:p>
    <w:p w:rsidR="0037707D" w:rsidRPr="0040314B" w:rsidRDefault="0037707D">
      <w:pPr>
        <w:rPr>
          <w:sz w:val="22"/>
          <w:szCs w:val="22"/>
        </w:rPr>
      </w:pPr>
      <w:r w:rsidRPr="0040314B">
        <w:rPr>
          <w:sz w:val="22"/>
          <w:szCs w:val="22"/>
        </w:rPr>
        <w:t>***Hlásenia u CDI indikácie.</w:t>
      </w:r>
    </w:p>
    <w:p w:rsidR="0037707D" w:rsidRPr="00CB0C67" w:rsidRDefault="0037707D" w:rsidP="00CB0C67">
      <w:pPr>
        <w:rPr>
          <w:i/>
          <w:sz w:val="22"/>
          <w:szCs w:val="22"/>
        </w:rPr>
      </w:pPr>
    </w:p>
    <w:p w:rsidR="0037707D" w:rsidRPr="00CB0C67" w:rsidRDefault="0037707D" w:rsidP="00CB0C67">
      <w:pPr>
        <w:rPr>
          <w:i/>
          <w:sz w:val="22"/>
          <w:szCs w:val="22"/>
        </w:rPr>
      </w:pPr>
      <w:r w:rsidRPr="00CB0C67">
        <w:rPr>
          <w:i/>
          <w:sz w:val="22"/>
          <w:szCs w:val="22"/>
        </w:rPr>
        <w:t>Pediatrická populácia</w:t>
      </w:r>
    </w:p>
    <w:p w:rsidR="0037707D" w:rsidRPr="00CB0C67" w:rsidRDefault="0037707D" w:rsidP="00CB0C67">
      <w:pPr>
        <w:rPr>
          <w:sz w:val="22"/>
          <w:szCs w:val="22"/>
        </w:rPr>
      </w:pPr>
      <w:r w:rsidRPr="00CB0C67">
        <w:rPr>
          <w:sz w:val="22"/>
          <w:szCs w:val="22"/>
        </w:rPr>
        <w:t>Hyponatriémia je reverzibilná a u detí sa často vyskytuje pri zmenách denného režimu, ktoré ovplyvňujú príjem tekutín a/alebo perspiráciu. U detí je dôležité venovať pozornosť opatreniam uvedeným v časti 4.4.</w:t>
      </w:r>
    </w:p>
    <w:p w:rsidR="0037707D" w:rsidRPr="00CB0C67" w:rsidRDefault="0037707D" w:rsidP="00CB0C67">
      <w:pPr>
        <w:rPr>
          <w:bCs/>
          <w:i/>
          <w:sz w:val="22"/>
          <w:szCs w:val="22"/>
        </w:rPr>
      </w:pPr>
    </w:p>
    <w:p w:rsidR="0037707D" w:rsidRPr="00CB0C67" w:rsidRDefault="0037707D" w:rsidP="00CB0C67">
      <w:pPr>
        <w:rPr>
          <w:bCs/>
          <w:i/>
          <w:sz w:val="22"/>
          <w:szCs w:val="22"/>
        </w:rPr>
      </w:pPr>
      <w:r w:rsidRPr="00CB0C67">
        <w:rPr>
          <w:bCs/>
          <w:i/>
          <w:sz w:val="22"/>
          <w:szCs w:val="22"/>
        </w:rPr>
        <w:t>Osobitné skupiny pacientov</w:t>
      </w:r>
    </w:p>
    <w:p w:rsidR="0037707D" w:rsidRPr="00CB0C67" w:rsidRDefault="0037707D" w:rsidP="00CB0C67">
      <w:pPr>
        <w:rPr>
          <w:bCs/>
          <w:sz w:val="22"/>
          <w:szCs w:val="22"/>
        </w:rPr>
      </w:pPr>
      <w:r w:rsidRPr="00CB0C67">
        <w:rPr>
          <w:bCs/>
          <w:sz w:val="22"/>
          <w:szCs w:val="22"/>
        </w:rPr>
        <w:t xml:space="preserve">U detí a starších pacientov a u pacientov, u ktorých je koncentrácia sodíka v sére v dolnej časti normálneho rozsahu, je zvýšené riziko hyponatriémie (pozri časť 4.4). </w:t>
      </w:r>
    </w:p>
    <w:p w:rsidR="0037707D" w:rsidRPr="00CB0C67" w:rsidRDefault="0037707D" w:rsidP="00CB0C67">
      <w:pPr>
        <w:rPr>
          <w:sz w:val="22"/>
          <w:szCs w:val="22"/>
        </w:rPr>
      </w:pPr>
    </w:p>
    <w:p w:rsidR="0037707D" w:rsidRPr="00CB0C67" w:rsidRDefault="0037707D" w:rsidP="00CB0C67">
      <w:pPr>
        <w:rPr>
          <w:sz w:val="22"/>
          <w:szCs w:val="22"/>
          <w:u w:val="single"/>
        </w:rPr>
      </w:pPr>
      <w:r w:rsidRPr="00CB0C67">
        <w:rPr>
          <w:sz w:val="22"/>
          <w:szCs w:val="22"/>
          <w:u w:val="single"/>
        </w:rPr>
        <w:t xml:space="preserve">Hlásenie podozrení na nežiaduce reakcie  </w:t>
      </w:r>
    </w:p>
    <w:p w:rsidR="0037707D" w:rsidRPr="00CB0C67" w:rsidRDefault="0037707D" w:rsidP="00CB0C67">
      <w:pPr>
        <w:ind w:left="284" w:hanging="284"/>
        <w:rPr>
          <w:sz w:val="22"/>
          <w:szCs w:val="22"/>
        </w:rPr>
      </w:pPr>
      <w:r w:rsidRPr="00CB0C67">
        <w:rPr>
          <w:sz w:val="22"/>
          <w:szCs w:val="22"/>
        </w:rPr>
        <w:t>Hlásenie podozrení na nežiaduce reakcie po registrácii lieku je dôležité. Umožňuje priebežné</w:t>
      </w:r>
    </w:p>
    <w:p w:rsidR="0037707D" w:rsidRPr="00CB0C67" w:rsidRDefault="0037707D" w:rsidP="00CB0C67">
      <w:pPr>
        <w:ind w:left="284" w:hanging="284"/>
        <w:rPr>
          <w:sz w:val="22"/>
          <w:szCs w:val="22"/>
        </w:rPr>
      </w:pPr>
      <w:r w:rsidRPr="00CB0C67">
        <w:rPr>
          <w:sz w:val="22"/>
          <w:szCs w:val="22"/>
        </w:rPr>
        <w:t xml:space="preserve">monitorovanie  pomeru prínosu a rizika lieku. Od zdravotníckych pracovníkov sa vyžaduje, aby </w:t>
      </w:r>
    </w:p>
    <w:p w:rsidR="0037707D" w:rsidRPr="00CB0C67" w:rsidRDefault="0037707D" w:rsidP="00CB0C67">
      <w:pPr>
        <w:ind w:left="284" w:hanging="284"/>
        <w:rPr>
          <w:sz w:val="22"/>
          <w:szCs w:val="22"/>
        </w:rPr>
      </w:pPr>
      <w:r w:rsidRPr="00CB0C67">
        <w:rPr>
          <w:sz w:val="22"/>
          <w:szCs w:val="22"/>
        </w:rPr>
        <w:t xml:space="preserve">hlásili akékoľvek podozrenia na nežiaduce reakcie prostredníctvom národného systému </w:t>
      </w:r>
    </w:p>
    <w:p w:rsidR="0037707D" w:rsidRPr="00CB0C67" w:rsidRDefault="0037707D" w:rsidP="00CB0C67">
      <w:pPr>
        <w:ind w:left="284" w:hanging="284"/>
        <w:rPr>
          <w:noProof/>
          <w:sz w:val="22"/>
          <w:szCs w:val="22"/>
        </w:rPr>
      </w:pPr>
      <w:r w:rsidRPr="00CB0C67">
        <w:rPr>
          <w:sz w:val="22"/>
          <w:szCs w:val="22"/>
        </w:rPr>
        <w:t xml:space="preserve">hlásenia uvedeného v </w:t>
      </w:r>
      <w:hyperlink r:id="rId5" w:history="1">
        <w:r w:rsidRPr="00CB0C67">
          <w:rPr>
            <w:noProof/>
            <w:color w:val="0000FF"/>
            <w:sz w:val="22"/>
            <w:szCs w:val="22"/>
            <w:highlight w:val="lightGray"/>
            <w:u w:val="single"/>
          </w:rPr>
          <w:t>Prílohe V</w:t>
        </w:r>
      </w:hyperlink>
      <w:r w:rsidRPr="00CB0C67">
        <w:rPr>
          <w:noProof/>
          <w:sz w:val="22"/>
          <w:szCs w:val="22"/>
        </w:rPr>
        <w:t>.</w:t>
      </w:r>
    </w:p>
    <w:p w:rsidR="0037707D" w:rsidRPr="00CB0C67" w:rsidRDefault="0037707D" w:rsidP="00CB0C67">
      <w:pPr>
        <w:rPr>
          <w:sz w:val="22"/>
          <w:szCs w:val="22"/>
          <w:u w:val="single"/>
        </w:rPr>
      </w:pPr>
    </w:p>
    <w:p w:rsidR="0037707D" w:rsidRPr="00CB0C67" w:rsidRDefault="0037707D" w:rsidP="00CB0C67">
      <w:pPr>
        <w:numPr>
          <w:ilvl w:val="1"/>
          <w:numId w:val="2"/>
        </w:numPr>
        <w:jc w:val="both"/>
        <w:rPr>
          <w:b/>
          <w:sz w:val="22"/>
          <w:szCs w:val="22"/>
        </w:rPr>
      </w:pPr>
      <w:r w:rsidRPr="00CB0C67">
        <w:rPr>
          <w:b/>
          <w:sz w:val="22"/>
          <w:szCs w:val="22"/>
        </w:rPr>
        <w:t>Predávkovanie</w:t>
      </w:r>
    </w:p>
    <w:p w:rsidR="0037707D" w:rsidRPr="00CB0C67" w:rsidRDefault="0037707D" w:rsidP="00CB0C67">
      <w:pPr>
        <w:jc w:val="both"/>
        <w:rPr>
          <w:sz w:val="22"/>
          <w:szCs w:val="22"/>
        </w:rPr>
      </w:pPr>
    </w:p>
    <w:p w:rsidR="0037707D" w:rsidRPr="00CB0C67" w:rsidRDefault="0037707D" w:rsidP="00CB0C67">
      <w:pPr>
        <w:rPr>
          <w:sz w:val="22"/>
          <w:szCs w:val="22"/>
        </w:rPr>
      </w:pPr>
      <w:r w:rsidRPr="00CB0C67">
        <w:rPr>
          <w:sz w:val="22"/>
          <w:szCs w:val="22"/>
        </w:rPr>
        <w:t>Predávkovanie Minirinom</w:t>
      </w:r>
      <w:r w:rsidRPr="00CB0C67">
        <w:rPr>
          <w:sz w:val="22"/>
          <w:szCs w:val="22"/>
          <w:vertAlign w:val="superscript"/>
        </w:rPr>
        <w:t xml:space="preserve"> </w:t>
      </w:r>
      <w:r w:rsidRPr="00CB0C67">
        <w:rPr>
          <w:sz w:val="22"/>
          <w:szCs w:val="22"/>
        </w:rPr>
        <w:t>spray môže spôsobiť predĺženie antidiuretického účinku, čo môže viesť k retencii tekutín a hyponatriémii.</w:t>
      </w:r>
    </w:p>
    <w:p w:rsidR="0037707D" w:rsidRPr="00CB0C67" w:rsidRDefault="0037707D" w:rsidP="00CB0C67">
      <w:pPr>
        <w:rPr>
          <w:sz w:val="22"/>
          <w:szCs w:val="22"/>
          <w:u w:val="single"/>
        </w:rPr>
      </w:pPr>
    </w:p>
    <w:p w:rsidR="0037707D" w:rsidRPr="00CB0C67" w:rsidRDefault="0037707D" w:rsidP="00CB0C67">
      <w:pPr>
        <w:rPr>
          <w:sz w:val="22"/>
          <w:szCs w:val="22"/>
          <w:u w:val="single"/>
        </w:rPr>
      </w:pPr>
      <w:r w:rsidRPr="00CB0C67">
        <w:rPr>
          <w:sz w:val="22"/>
          <w:szCs w:val="22"/>
          <w:u w:val="single"/>
        </w:rPr>
        <w:t>Liečba</w:t>
      </w:r>
    </w:p>
    <w:p w:rsidR="0037707D" w:rsidRPr="00CB0C67" w:rsidRDefault="0037707D" w:rsidP="00CB0C67">
      <w:pPr>
        <w:rPr>
          <w:sz w:val="22"/>
          <w:szCs w:val="22"/>
        </w:rPr>
      </w:pPr>
      <w:r w:rsidRPr="00CB0C67">
        <w:rPr>
          <w:sz w:val="22"/>
          <w:szCs w:val="22"/>
        </w:rPr>
        <w:t xml:space="preserve">Hoci liečba hyponatriémie má byť individuálna, možno odporúčať nasledujúce všeobecné zásady: prerušenie liečby dezmopresínom, obmedzenie prívodu tekutín a symptomatická liečba.     </w:t>
      </w:r>
    </w:p>
    <w:p w:rsidR="0037707D" w:rsidRPr="00CB0C67" w:rsidRDefault="0037707D" w:rsidP="00CB0C67">
      <w:pPr>
        <w:jc w:val="both"/>
        <w:rPr>
          <w:b/>
          <w:sz w:val="22"/>
          <w:szCs w:val="22"/>
        </w:rPr>
      </w:pPr>
    </w:p>
    <w:p w:rsidR="0037707D" w:rsidRPr="00CB0C67" w:rsidRDefault="0037707D" w:rsidP="00CB0C67">
      <w:pPr>
        <w:jc w:val="both"/>
        <w:rPr>
          <w:b/>
          <w:sz w:val="22"/>
          <w:szCs w:val="22"/>
        </w:rPr>
      </w:pPr>
    </w:p>
    <w:p w:rsidR="0037707D" w:rsidRPr="00CB0C67" w:rsidRDefault="0037707D" w:rsidP="00CB0C67">
      <w:pPr>
        <w:jc w:val="both"/>
        <w:rPr>
          <w:b/>
          <w:sz w:val="22"/>
          <w:szCs w:val="22"/>
        </w:rPr>
      </w:pPr>
      <w:r w:rsidRPr="00CB0C67">
        <w:rPr>
          <w:b/>
          <w:sz w:val="22"/>
          <w:szCs w:val="22"/>
        </w:rPr>
        <w:t>5.</w:t>
      </w:r>
      <w:r w:rsidRPr="00CB0C67">
        <w:rPr>
          <w:b/>
          <w:sz w:val="22"/>
          <w:szCs w:val="22"/>
        </w:rPr>
        <w:tab/>
        <w:t xml:space="preserve"> FARMAKOLOGICKÉ VLASTNOSTI</w:t>
      </w:r>
    </w:p>
    <w:p w:rsidR="0037707D" w:rsidRPr="00CB0C67" w:rsidRDefault="0037707D" w:rsidP="00CB0C67">
      <w:pPr>
        <w:jc w:val="both"/>
        <w:rPr>
          <w:b/>
          <w:sz w:val="22"/>
          <w:szCs w:val="22"/>
        </w:rPr>
      </w:pPr>
    </w:p>
    <w:p w:rsidR="0037707D" w:rsidRPr="00CB0C67" w:rsidRDefault="0037707D" w:rsidP="00CB0C67">
      <w:pPr>
        <w:jc w:val="both"/>
        <w:rPr>
          <w:b/>
          <w:sz w:val="22"/>
          <w:szCs w:val="22"/>
        </w:rPr>
      </w:pPr>
      <w:r w:rsidRPr="00CB0C67">
        <w:rPr>
          <w:b/>
          <w:sz w:val="22"/>
          <w:szCs w:val="22"/>
        </w:rPr>
        <w:t xml:space="preserve">5.1. </w:t>
      </w:r>
      <w:r w:rsidRPr="00CB0C67">
        <w:rPr>
          <w:b/>
          <w:sz w:val="22"/>
          <w:szCs w:val="22"/>
        </w:rPr>
        <w:tab/>
        <w:t>Farmakodynamické vlastnosti</w:t>
      </w:r>
    </w:p>
    <w:p w:rsidR="0037707D" w:rsidRPr="00CB0C67" w:rsidRDefault="0037707D" w:rsidP="00CB0C67">
      <w:pPr>
        <w:jc w:val="both"/>
        <w:rPr>
          <w:b/>
          <w:sz w:val="22"/>
          <w:szCs w:val="22"/>
        </w:rPr>
      </w:pPr>
    </w:p>
    <w:p w:rsidR="0037707D" w:rsidRPr="00CB0C67" w:rsidRDefault="0037707D" w:rsidP="0040314B">
      <w:pPr>
        <w:rPr>
          <w:sz w:val="22"/>
          <w:szCs w:val="22"/>
        </w:rPr>
      </w:pPr>
      <w:r w:rsidRPr="00CB0C67">
        <w:rPr>
          <w:b/>
          <w:sz w:val="22"/>
          <w:szCs w:val="22"/>
        </w:rPr>
        <w:t xml:space="preserve">Farmakoterapeutická skupina: </w:t>
      </w:r>
      <w:r w:rsidRPr="00CB0C67">
        <w:rPr>
          <w:sz w:val="22"/>
          <w:szCs w:val="22"/>
        </w:rPr>
        <w:t>Hormóny produkované zadným lalokom hypofýzy, dezmopresín</w:t>
      </w:r>
    </w:p>
    <w:p w:rsidR="0037707D" w:rsidRPr="00CB0C67" w:rsidRDefault="0037707D" w:rsidP="0040314B">
      <w:pPr>
        <w:rPr>
          <w:sz w:val="22"/>
          <w:szCs w:val="22"/>
        </w:rPr>
      </w:pPr>
      <w:r w:rsidRPr="00CB0C67">
        <w:rPr>
          <w:b/>
          <w:sz w:val="22"/>
          <w:szCs w:val="22"/>
        </w:rPr>
        <w:t>ATC kód:</w:t>
      </w:r>
      <w:r w:rsidRPr="00CB0C67">
        <w:rPr>
          <w:sz w:val="22"/>
          <w:szCs w:val="22"/>
        </w:rPr>
        <w:t xml:space="preserve"> </w:t>
      </w:r>
      <w:r w:rsidRPr="00CB0C67">
        <w:rPr>
          <w:bCs/>
          <w:sz w:val="22"/>
          <w:szCs w:val="22"/>
        </w:rPr>
        <w:t>H01BA02</w:t>
      </w:r>
    </w:p>
    <w:p w:rsidR="0037707D" w:rsidRPr="00CB0C67" w:rsidRDefault="0037707D" w:rsidP="0040314B">
      <w:pPr>
        <w:rPr>
          <w:sz w:val="22"/>
          <w:szCs w:val="22"/>
        </w:rPr>
      </w:pPr>
    </w:p>
    <w:p w:rsidR="0037707D" w:rsidRPr="00CB0C67" w:rsidRDefault="0037707D" w:rsidP="0040314B">
      <w:pPr>
        <w:rPr>
          <w:sz w:val="22"/>
          <w:szCs w:val="22"/>
        </w:rPr>
      </w:pPr>
      <w:r w:rsidRPr="00CB0C67">
        <w:rPr>
          <w:sz w:val="22"/>
          <w:szCs w:val="22"/>
        </w:rPr>
        <w:t>Minirin</w:t>
      </w:r>
      <w:r w:rsidRPr="00CB0C67">
        <w:rPr>
          <w:sz w:val="22"/>
          <w:szCs w:val="22"/>
          <w:vertAlign w:val="superscript"/>
        </w:rPr>
        <w:t xml:space="preserve"> </w:t>
      </w:r>
      <w:r w:rsidRPr="00CB0C67">
        <w:rPr>
          <w:sz w:val="22"/>
          <w:szCs w:val="22"/>
        </w:rPr>
        <w:t xml:space="preserve">spray obsahuje dezmopresín, štrukturálny analóg prírodného hormónu hypofýzy arginín-vazopresínu. Rozdiel spočíva v deaminácii cysteínu a v nahradení L-arginínu D-arginínom. To má za následok podstatne dlhšie pôsobenie a úplnú absenciu presorického účinku pri používaní klinických dávok. </w:t>
      </w:r>
    </w:p>
    <w:p w:rsidR="0037707D" w:rsidRPr="00CB0C67" w:rsidRDefault="0037707D" w:rsidP="0040314B">
      <w:pPr>
        <w:rPr>
          <w:b/>
          <w:sz w:val="22"/>
          <w:szCs w:val="22"/>
        </w:rPr>
      </w:pPr>
      <w:r w:rsidRPr="00CB0C67">
        <w:rPr>
          <w:b/>
          <w:sz w:val="22"/>
          <w:szCs w:val="22"/>
        </w:rPr>
        <w:t xml:space="preserve"> </w:t>
      </w:r>
    </w:p>
    <w:p w:rsidR="0037707D" w:rsidRPr="00CB0C67" w:rsidRDefault="0037707D" w:rsidP="00CB0C67">
      <w:pPr>
        <w:jc w:val="both"/>
        <w:rPr>
          <w:sz w:val="22"/>
          <w:szCs w:val="22"/>
        </w:rPr>
      </w:pPr>
      <w:r w:rsidRPr="00CB0C67">
        <w:rPr>
          <w:b/>
          <w:sz w:val="22"/>
          <w:szCs w:val="22"/>
        </w:rPr>
        <w:t xml:space="preserve">5.2. </w:t>
      </w:r>
      <w:r w:rsidRPr="00CB0C67">
        <w:rPr>
          <w:b/>
          <w:sz w:val="22"/>
          <w:szCs w:val="22"/>
        </w:rPr>
        <w:tab/>
        <w:t>Farmakokinetické vlastnosti</w:t>
      </w:r>
    </w:p>
    <w:p w:rsidR="0037707D" w:rsidRPr="00CB0C67" w:rsidRDefault="0037707D" w:rsidP="00CB0C67">
      <w:pPr>
        <w:jc w:val="both"/>
        <w:rPr>
          <w:sz w:val="22"/>
          <w:szCs w:val="22"/>
        </w:rPr>
      </w:pPr>
    </w:p>
    <w:p w:rsidR="0037707D" w:rsidRPr="00CB0C67" w:rsidRDefault="0037707D" w:rsidP="00CB0C67">
      <w:pPr>
        <w:rPr>
          <w:i/>
          <w:sz w:val="22"/>
          <w:szCs w:val="22"/>
        </w:rPr>
      </w:pPr>
      <w:r w:rsidRPr="00CB0C67">
        <w:rPr>
          <w:i/>
          <w:sz w:val="22"/>
          <w:szCs w:val="22"/>
        </w:rPr>
        <w:t>Absorpcia</w:t>
      </w:r>
    </w:p>
    <w:p w:rsidR="0037707D" w:rsidRPr="00CB0C67" w:rsidRDefault="0037707D" w:rsidP="00CB0C67">
      <w:pPr>
        <w:rPr>
          <w:sz w:val="22"/>
          <w:szCs w:val="22"/>
        </w:rPr>
      </w:pPr>
      <w:r w:rsidRPr="00CB0C67">
        <w:rPr>
          <w:sz w:val="22"/>
          <w:szCs w:val="22"/>
        </w:rPr>
        <w:t xml:space="preserve">Biologická dostupnosť je približne 3 – 5 %. Maximálna koncentrácia v plazme sa dosiahne asi po jednej hodine a je závislá na dávke. Intranazálna dávka 10 </w:t>
      </w:r>
      <w:r w:rsidRPr="00CB0C67">
        <w:rPr>
          <w:sz w:val="22"/>
          <w:szCs w:val="22"/>
        </w:rPr>
        <w:sym w:font="Symbol" w:char="F06D"/>
      </w:r>
      <w:r w:rsidRPr="00CB0C67">
        <w:rPr>
          <w:sz w:val="22"/>
          <w:szCs w:val="22"/>
        </w:rPr>
        <w:t xml:space="preserve">g až 20 </w:t>
      </w:r>
      <w:r w:rsidRPr="00CB0C67">
        <w:rPr>
          <w:sz w:val="22"/>
          <w:szCs w:val="22"/>
        </w:rPr>
        <w:sym w:font="Symbol" w:char="F06D"/>
      </w:r>
      <w:r w:rsidRPr="00CB0C67">
        <w:rPr>
          <w:sz w:val="22"/>
          <w:szCs w:val="22"/>
        </w:rPr>
        <w:t>g má antidiuretický účinok       8 – 12 hodín. Dezmopresín sa vylučuje hlavne  močom.</w:t>
      </w:r>
    </w:p>
    <w:p w:rsidR="0037707D" w:rsidRPr="00CB0C67" w:rsidRDefault="0037707D" w:rsidP="00CB0C67">
      <w:pPr>
        <w:rPr>
          <w:sz w:val="22"/>
          <w:szCs w:val="22"/>
        </w:rPr>
      </w:pPr>
    </w:p>
    <w:p w:rsidR="0037707D" w:rsidRPr="00CB0C67" w:rsidRDefault="0037707D" w:rsidP="00CB0C67">
      <w:pPr>
        <w:rPr>
          <w:i/>
          <w:sz w:val="22"/>
          <w:szCs w:val="22"/>
        </w:rPr>
      </w:pPr>
      <w:r w:rsidRPr="00CB0C67">
        <w:rPr>
          <w:i/>
          <w:sz w:val="22"/>
          <w:szCs w:val="22"/>
        </w:rPr>
        <w:t>Distribúcia</w:t>
      </w:r>
    </w:p>
    <w:p w:rsidR="0037707D" w:rsidRPr="00CB0C67" w:rsidRDefault="0037707D" w:rsidP="00CB0C67">
      <w:pPr>
        <w:rPr>
          <w:sz w:val="22"/>
          <w:szCs w:val="22"/>
        </w:rPr>
      </w:pPr>
      <w:r w:rsidRPr="00CB0C67">
        <w:rPr>
          <w:sz w:val="22"/>
          <w:szCs w:val="22"/>
        </w:rPr>
        <w:t>Distribúciu dezmopresínu najlepšie popisuje dvojkompartmentový distribučný model s distribučným objemom počas eliminačnej fázy 0,3 – 0,5 l/kg.</w:t>
      </w:r>
    </w:p>
    <w:p w:rsidR="0037707D" w:rsidRPr="00CB0C67" w:rsidRDefault="0037707D" w:rsidP="00CB0C67">
      <w:pPr>
        <w:rPr>
          <w:i/>
          <w:sz w:val="22"/>
          <w:szCs w:val="22"/>
        </w:rPr>
      </w:pPr>
    </w:p>
    <w:p w:rsidR="0037707D" w:rsidRPr="00CB0C67" w:rsidRDefault="0037707D" w:rsidP="00CB0C67">
      <w:pPr>
        <w:rPr>
          <w:b/>
          <w:sz w:val="22"/>
          <w:szCs w:val="22"/>
        </w:rPr>
      </w:pPr>
      <w:r w:rsidRPr="00CB0C67">
        <w:rPr>
          <w:i/>
          <w:sz w:val="22"/>
          <w:szCs w:val="22"/>
        </w:rPr>
        <w:t>Biotransformácia</w:t>
      </w:r>
      <w:r w:rsidRPr="00CB0C67">
        <w:rPr>
          <w:b/>
          <w:sz w:val="22"/>
          <w:szCs w:val="22"/>
        </w:rPr>
        <w:t xml:space="preserve"> </w:t>
      </w:r>
    </w:p>
    <w:p w:rsidR="0037707D" w:rsidRPr="00CB0C67" w:rsidRDefault="0037707D" w:rsidP="00CB0C67">
      <w:pPr>
        <w:rPr>
          <w:sz w:val="22"/>
          <w:szCs w:val="22"/>
        </w:rPr>
      </w:pPr>
      <w:r w:rsidRPr="00CB0C67">
        <w:rPr>
          <w:i/>
          <w:sz w:val="22"/>
          <w:szCs w:val="22"/>
        </w:rPr>
        <w:t>In vivo</w:t>
      </w:r>
      <w:r w:rsidRPr="00CB0C67">
        <w:rPr>
          <w:sz w:val="22"/>
          <w:szCs w:val="22"/>
        </w:rPr>
        <w:t xml:space="preserve"> metabolizmus dezmopresínu sa neštudoval.</w:t>
      </w:r>
      <w:r w:rsidRPr="00CB0C67">
        <w:rPr>
          <w:b/>
          <w:sz w:val="22"/>
          <w:szCs w:val="22"/>
        </w:rPr>
        <w:t xml:space="preserve"> </w:t>
      </w:r>
      <w:r w:rsidRPr="00CB0C67">
        <w:rPr>
          <w:i/>
          <w:sz w:val="22"/>
          <w:szCs w:val="22"/>
        </w:rPr>
        <w:t>In vitro</w:t>
      </w:r>
      <w:r w:rsidRPr="00CB0C67">
        <w:rPr>
          <w:sz w:val="22"/>
          <w:szCs w:val="22"/>
        </w:rPr>
        <w:t xml:space="preserve"> štúdie s použitím mikrozómov ľudskej pečene ukázali, že v pečeni sa prostredníctvom cytochrómu P450 metabolizuje iba nevýznamné množstvo dezmopresínu, a preto je premena </w:t>
      </w:r>
      <w:r w:rsidRPr="00CB0C67">
        <w:rPr>
          <w:i/>
          <w:iCs/>
          <w:sz w:val="22"/>
          <w:szCs w:val="22"/>
        </w:rPr>
        <w:t xml:space="preserve">in vivo </w:t>
      </w:r>
      <w:r w:rsidRPr="00CB0C67">
        <w:rPr>
          <w:sz w:val="22"/>
          <w:szCs w:val="22"/>
        </w:rPr>
        <w:t xml:space="preserve">v ľudskej pečeni prostredníctvom cytochrómu P450 nepravdepodobná. Účinok dezmopresínu na PK iných liekov je pravdepodobne minimálny kvôli nedostatočnej inhibícii cytochrómu P450, ktorý sa podieľa na metabolizme liekov.    </w:t>
      </w:r>
    </w:p>
    <w:p w:rsidR="0037707D" w:rsidRPr="00CB0C67" w:rsidRDefault="0037707D" w:rsidP="00CB0C67">
      <w:pPr>
        <w:rPr>
          <w:sz w:val="22"/>
          <w:szCs w:val="22"/>
        </w:rPr>
      </w:pPr>
    </w:p>
    <w:p w:rsidR="0037707D" w:rsidRPr="00CB0C67" w:rsidRDefault="0037707D" w:rsidP="00CB0C67">
      <w:pPr>
        <w:rPr>
          <w:b/>
          <w:sz w:val="22"/>
          <w:szCs w:val="22"/>
        </w:rPr>
      </w:pPr>
      <w:r w:rsidRPr="00CB0C67">
        <w:rPr>
          <w:i/>
          <w:sz w:val="22"/>
          <w:szCs w:val="22"/>
        </w:rPr>
        <w:t>Eliminácia</w:t>
      </w:r>
      <w:r w:rsidRPr="00CB0C67">
        <w:rPr>
          <w:b/>
          <w:sz w:val="22"/>
          <w:szCs w:val="22"/>
        </w:rPr>
        <w:t xml:space="preserve"> </w:t>
      </w:r>
    </w:p>
    <w:p w:rsidR="0037707D" w:rsidRPr="00CB0C67" w:rsidRDefault="0037707D" w:rsidP="00CB0C67">
      <w:pPr>
        <w:rPr>
          <w:sz w:val="22"/>
          <w:szCs w:val="22"/>
        </w:rPr>
      </w:pPr>
      <w:r w:rsidRPr="00CB0C67">
        <w:rPr>
          <w:sz w:val="22"/>
          <w:szCs w:val="22"/>
        </w:rPr>
        <w:t xml:space="preserve">Celkový klírens dezmopresínu je 7,6 l/hod. Terminálny polčas dezmopresínu sa odhaduje na 2,8 hodiny. U zdravých dobrovoľníkov sa v nezmenenej forme vylúčilo 52 % (44 % – 60 %).  </w:t>
      </w:r>
    </w:p>
    <w:p w:rsidR="0037707D" w:rsidRPr="00CB0C67" w:rsidRDefault="0037707D" w:rsidP="00CB0C67">
      <w:pPr>
        <w:rPr>
          <w:sz w:val="22"/>
          <w:szCs w:val="22"/>
        </w:rPr>
      </w:pPr>
    </w:p>
    <w:p w:rsidR="0037707D" w:rsidRPr="00CB0C67" w:rsidRDefault="0037707D" w:rsidP="00CB0C67">
      <w:pPr>
        <w:jc w:val="both"/>
        <w:rPr>
          <w:sz w:val="22"/>
          <w:szCs w:val="22"/>
        </w:rPr>
      </w:pPr>
      <w:r w:rsidRPr="00CB0C67">
        <w:rPr>
          <w:b/>
          <w:sz w:val="22"/>
          <w:szCs w:val="22"/>
        </w:rPr>
        <w:t xml:space="preserve">5.3. </w:t>
      </w:r>
      <w:r w:rsidRPr="00CB0C67">
        <w:rPr>
          <w:b/>
          <w:sz w:val="22"/>
          <w:szCs w:val="22"/>
        </w:rPr>
        <w:tab/>
        <w:t>Predklinické údaje o bezpečnosti</w:t>
      </w:r>
    </w:p>
    <w:p w:rsidR="0037707D" w:rsidRPr="00CB0C67" w:rsidRDefault="0037707D" w:rsidP="00CB0C67">
      <w:pPr>
        <w:jc w:val="both"/>
        <w:rPr>
          <w:sz w:val="22"/>
          <w:szCs w:val="22"/>
        </w:rPr>
      </w:pPr>
    </w:p>
    <w:p w:rsidR="0037707D" w:rsidRPr="00CB0C67" w:rsidRDefault="0037707D" w:rsidP="00CB0C67">
      <w:pPr>
        <w:rPr>
          <w:sz w:val="22"/>
          <w:szCs w:val="22"/>
        </w:rPr>
      </w:pPr>
      <w:r w:rsidRPr="00CB0C67">
        <w:rPr>
          <w:sz w:val="22"/>
          <w:szCs w:val="22"/>
        </w:rPr>
        <w:t>Predklinické údaje získané na základe štúdií bezpečnosti, toxicity po opakovanom podaní, genotoxicity a reprodukčnej toxicity neodhalili žiadne osobitné riziko pre ľudí. Štúdie karcinogenity s dezmopresínom sa nevykonali.</w:t>
      </w:r>
    </w:p>
    <w:p w:rsidR="0037707D" w:rsidRPr="0040314B" w:rsidRDefault="0037707D" w:rsidP="00CB0C67">
      <w:pPr>
        <w:jc w:val="both"/>
        <w:rPr>
          <w:sz w:val="22"/>
          <w:szCs w:val="22"/>
        </w:rPr>
      </w:pPr>
    </w:p>
    <w:p w:rsidR="0037707D" w:rsidRPr="00CB0C67" w:rsidRDefault="0037707D" w:rsidP="00CB0C67">
      <w:pPr>
        <w:jc w:val="both"/>
        <w:rPr>
          <w:sz w:val="22"/>
          <w:szCs w:val="22"/>
        </w:rPr>
      </w:pPr>
    </w:p>
    <w:p w:rsidR="0037707D" w:rsidRPr="00CB0C67" w:rsidRDefault="0037707D" w:rsidP="00CB0C67">
      <w:pPr>
        <w:rPr>
          <w:b/>
          <w:sz w:val="22"/>
          <w:szCs w:val="22"/>
        </w:rPr>
      </w:pPr>
      <w:r w:rsidRPr="00CB0C67">
        <w:rPr>
          <w:b/>
          <w:sz w:val="22"/>
          <w:szCs w:val="22"/>
        </w:rPr>
        <w:t>6.</w:t>
      </w:r>
      <w:r w:rsidRPr="00CB0C67">
        <w:rPr>
          <w:b/>
          <w:sz w:val="22"/>
          <w:szCs w:val="22"/>
        </w:rPr>
        <w:tab/>
        <w:t>FARMACEUTICKÉ INFORMÁCIE</w:t>
      </w:r>
    </w:p>
    <w:p w:rsidR="0037707D" w:rsidRPr="00CB0C67" w:rsidRDefault="0037707D" w:rsidP="00CB0C67">
      <w:pPr>
        <w:jc w:val="both"/>
        <w:rPr>
          <w:b/>
          <w:sz w:val="22"/>
          <w:szCs w:val="22"/>
        </w:rPr>
      </w:pPr>
    </w:p>
    <w:p w:rsidR="0037707D" w:rsidRPr="00CB0C67" w:rsidRDefault="0037707D" w:rsidP="00CB0C67">
      <w:pPr>
        <w:jc w:val="both"/>
        <w:rPr>
          <w:b/>
          <w:sz w:val="22"/>
          <w:szCs w:val="22"/>
        </w:rPr>
      </w:pPr>
      <w:r w:rsidRPr="00CB0C67">
        <w:rPr>
          <w:b/>
          <w:sz w:val="22"/>
          <w:szCs w:val="22"/>
        </w:rPr>
        <w:t xml:space="preserve">6.1. </w:t>
      </w:r>
      <w:r w:rsidRPr="00CB0C67">
        <w:rPr>
          <w:b/>
          <w:sz w:val="22"/>
          <w:szCs w:val="22"/>
        </w:rPr>
        <w:tab/>
        <w:t>Zoznam pomocných látok</w:t>
      </w:r>
    </w:p>
    <w:p w:rsidR="0037707D" w:rsidRPr="00CB0C67" w:rsidRDefault="0037707D" w:rsidP="00CB0C67">
      <w:pPr>
        <w:jc w:val="both"/>
        <w:rPr>
          <w:b/>
          <w:sz w:val="22"/>
          <w:szCs w:val="22"/>
        </w:rPr>
      </w:pPr>
    </w:p>
    <w:p w:rsidR="0037707D" w:rsidRPr="00CB0C67" w:rsidRDefault="0037707D" w:rsidP="0040314B">
      <w:pPr>
        <w:rPr>
          <w:sz w:val="22"/>
          <w:szCs w:val="22"/>
        </w:rPr>
      </w:pPr>
      <w:r w:rsidRPr="00CB0C67">
        <w:rPr>
          <w:sz w:val="22"/>
          <w:szCs w:val="22"/>
        </w:rPr>
        <w:t>Chlorid sodný</w:t>
      </w:r>
    </w:p>
    <w:p w:rsidR="0037707D" w:rsidRPr="00CB0C67" w:rsidRDefault="0037707D" w:rsidP="0040314B">
      <w:pPr>
        <w:rPr>
          <w:sz w:val="22"/>
          <w:szCs w:val="22"/>
        </w:rPr>
      </w:pPr>
      <w:r w:rsidRPr="00CB0C67">
        <w:rPr>
          <w:sz w:val="22"/>
          <w:szCs w:val="22"/>
        </w:rPr>
        <w:t>Monohydrát kyseliny citrónovej</w:t>
      </w:r>
    </w:p>
    <w:p w:rsidR="0037707D" w:rsidRPr="00CB0C67" w:rsidRDefault="0037707D" w:rsidP="0040314B">
      <w:pPr>
        <w:rPr>
          <w:sz w:val="22"/>
          <w:szCs w:val="22"/>
        </w:rPr>
      </w:pPr>
      <w:r w:rsidRPr="00CB0C67">
        <w:rPr>
          <w:sz w:val="22"/>
          <w:szCs w:val="22"/>
        </w:rPr>
        <w:t>Dihydrát hydrogénfosforečnanu sodného</w:t>
      </w:r>
    </w:p>
    <w:p w:rsidR="0037707D" w:rsidRPr="00CB0C67" w:rsidRDefault="0037707D" w:rsidP="0040314B">
      <w:pPr>
        <w:rPr>
          <w:sz w:val="22"/>
          <w:szCs w:val="22"/>
        </w:rPr>
      </w:pPr>
      <w:r w:rsidRPr="00CB0C67">
        <w:rPr>
          <w:sz w:val="22"/>
          <w:szCs w:val="22"/>
        </w:rPr>
        <w:t>Benzalkóniumchlorid</w:t>
      </w:r>
    </w:p>
    <w:p w:rsidR="0037707D" w:rsidRPr="00CB0C67" w:rsidRDefault="0037707D" w:rsidP="0040314B">
      <w:pPr>
        <w:rPr>
          <w:sz w:val="22"/>
          <w:szCs w:val="22"/>
        </w:rPr>
      </w:pPr>
      <w:r w:rsidRPr="00CB0C67">
        <w:rPr>
          <w:sz w:val="22"/>
          <w:szCs w:val="22"/>
        </w:rPr>
        <w:t>Čistená voda</w:t>
      </w:r>
    </w:p>
    <w:p w:rsidR="0037707D" w:rsidRPr="00CB0C67" w:rsidRDefault="0037707D" w:rsidP="0040314B">
      <w:pPr>
        <w:rPr>
          <w:sz w:val="22"/>
          <w:szCs w:val="22"/>
        </w:rPr>
      </w:pPr>
    </w:p>
    <w:p w:rsidR="0037707D" w:rsidRPr="00CB0C67" w:rsidRDefault="0037707D" w:rsidP="0040314B">
      <w:pPr>
        <w:rPr>
          <w:b/>
          <w:sz w:val="22"/>
          <w:szCs w:val="22"/>
        </w:rPr>
      </w:pPr>
      <w:r w:rsidRPr="00CB0C67">
        <w:rPr>
          <w:b/>
          <w:sz w:val="22"/>
          <w:szCs w:val="22"/>
        </w:rPr>
        <w:t xml:space="preserve">6.2. </w:t>
      </w:r>
      <w:r w:rsidRPr="00CB0C67">
        <w:rPr>
          <w:b/>
          <w:sz w:val="22"/>
          <w:szCs w:val="22"/>
        </w:rPr>
        <w:tab/>
        <w:t>Inkompatibility</w:t>
      </w:r>
    </w:p>
    <w:p w:rsidR="0037707D" w:rsidRPr="00CB0C67" w:rsidRDefault="0037707D" w:rsidP="0040314B">
      <w:pPr>
        <w:rPr>
          <w:sz w:val="22"/>
          <w:szCs w:val="22"/>
        </w:rPr>
      </w:pPr>
    </w:p>
    <w:p w:rsidR="0037707D" w:rsidRPr="00CB0C67" w:rsidRDefault="0037707D" w:rsidP="0040314B">
      <w:pPr>
        <w:rPr>
          <w:sz w:val="22"/>
          <w:szCs w:val="22"/>
        </w:rPr>
      </w:pPr>
      <w:r w:rsidRPr="00CB0C67">
        <w:rPr>
          <w:sz w:val="22"/>
          <w:szCs w:val="22"/>
        </w:rPr>
        <w:t>Neaplikovateľné.</w:t>
      </w:r>
    </w:p>
    <w:p w:rsidR="0037707D" w:rsidRPr="00CB0C67" w:rsidRDefault="0037707D" w:rsidP="0040314B">
      <w:pPr>
        <w:rPr>
          <w:sz w:val="22"/>
          <w:szCs w:val="22"/>
        </w:rPr>
      </w:pPr>
    </w:p>
    <w:p w:rsidR="0037707D" w:rsidRPr="00CB0C67" w:rsidRDefault="0037707D" w:rsidP="0040314B">
      <w:pPr>
        <w:rPr>
          <w:b/>
          <w:sz w:val="22"/>
          <w:szCs w:val="22"/>
        </w:rPr>
      </w:pPr>
      <w:r w:rsidRPr="00CB0C67">
        <w:rPr>
          <w:b/>
          <w:sz w:val="22"/>
          <w:szCs w:val="22"/>
        </w:rPr>
        <w:t xml:space="preserve">6.3. </w:t>
      </w:r>
      <w:r w:rsidRPr="00CB0C67">
        <w:rPr>
          <w:b/>
          <w:sz w:val="22"/>
          <w:szCs w:val="22"/>
        </w:rPr>
        <w:tab/>
        <w:t>Čas použiteľnosti</w:t>
      </w:r>
    </w:p>
    <w:p w:rsidR="0037707D" w:rsidRPr="00CB0C67" w:rsidRDefault="0037707D" w:rsidP="0040314B">
      <w:pPr>
        <w:rPr>
          <w:sz w:val="22"/>
          <w:szCs w:val="22"/>
        </w:rPr>
      </w:pPr>
    </w:p>
    <w:p w:rsidR="0037707D" w:rsidRPr="00CB0C67" w:rsidRDefault="0037707D" w:rsidP="0040314B">
      <w:pPr>
        <w:rPr>
          <w:sz w:val="22"/>
          <w:szCs w:val="22"/>
        </w:rPr>
      </w:pPr>
      <w:r w:rsidRPr="00CB0C67">
        <w:rPr>
          <w:sz w:val="22"/>
          <w:szCs w:val="22"/>
        </w:rPr>
        <w:t>3 roky</w:t>
      </w:r>
    </w:p>
    <w:p w:rsidR="0037707D" w:rsidRPr="00CB0C67" w:rsidRDefault="0037707D" w:rsidP="0040314B">
      <w:pPr>
        <w:rPr>
          <w:sz w:val="22"/>
          <w:szCs w:val="22"/>
        </w:rPr>
      </w:pPr>
      <w:r w:rsidRPr="00CB0C67">
        <w:rPr>
          <w:sz w:val="22"/>
          <w:szCs w:val="22"/>
        </w:rPr>
        <w:t>Po prvom otvorení: 2 mesiace pri teplote do 25</w:t>
      </w:r>
      <w:r>
        <w:rPr>
          <w:sz w:val="22"/>
          <w:szCs w:val="22"/>
        </w:rPr>
        <w:t xml:space="preserve"> </w:t>
      </w:r>
      <w:r w:rsidRPr="00CB0C67">
        <w:rPr>
          <w:sz w:val="22"/>
          <w:szCs w:val="22"/>
        </w:rPr>
        <w:t>°C.</w:t>
      </w:r>
    </w:p>
    <w:p w:rsidR="0037707D" w:rsidRPr="00CB0C67" w:rsidRDefault="0037707D" w:rsidP="0040314B">
      <w:pPr>
        <w:rPr>
          <w:sz w:val="22"/>
          <w:szCs w:val="22"/>
        </w:rPr>
      </w:pPr>
    </w:p>
    <w:p w:rsidR="0037707D" w:rsidRPr="00CB0C67" w:rsidRDefault="0037707D" w:rsidP="0040314B">
      <w:pPr>
        <w:rPr>
          <w:sz w:val="22"/>
          <w:szCs w:val="22"/>
        </w:rPr>
      </w:pPr>
      <w:r w:rsidRPr="00CB0C67">
        <w:rPr>
          <w:b/>
          <w:sz w:val="22"/>
          <w:szCs w:val="22"/>
        </w:rPr>
        <w:t xml:space="preserve">6.4. </w:t>
      </w:r>
      <w:r w:rsidRPr="00CB0C67">
        <w:rPr>
          <w:b/>
          <w:sz w:val="22"/>
          <w:szCs w:val="22"/>
        </w:rPr>
        <w:tab/>
        <w:t>Špeciálne upozornenia na uchovávanie</w:t>
      </w:r>
    </w:p>
    <w:p w:rsidR="0037707D" w:rsidRPr="00CB0C67" w:rsidRDefault="0037707D" w:rsidP="0040314B">
      <w:pPr>
        <w:rPr>
          <w:sz w:val="22"/>
          <w:szCs w:val="22"/>
        </w:rPr>
      </w:pPr>
    </w:p>
    <w:p w:rsidR="0037707D" w:rsidRPr="00CB0C67" w:rsidRDefault="0037707D" w:rsidP="0040314B">
      <w:pPr>
        <w:rPr>
          <w:sz w:val="22"/>
          <w:szCs w:val="22"/>
        </w:rPr>
      </w:pPr>
      <w:r w:rsidRPr="00CB0C67">
        <w:rPr>
          <w:sz w:val="22"/>
          <w:szCs w:val="22"/>
        </w:rPr>
        <w:t>Uchovávajte pri teplote do 25 °C.</w:t>
      </w:r>
    </w:p>
    <w:p w:rsidR="0037707D" w:rsidRPr="00CB0C67" w:rsidRDefault="0037707D" w:rsidP="0040314B">
      <w:pPr>
        <w:rPr>
          <w:sz w:val="22"/>
          <w:szCs w:val="22"/>
        </w:rPr>
      </w:pPr>
    </w:p>
    <w:p w:rsidR="0037707D" w:rsidRPr="00CB0C67" w:rsidRDefault="0037707D" w:rsidP="0040314B">
      <w:pPr>
        <w:rPr>
          <w:sz w:val="22"/>
          <w:szCs w:val="22"/>
        </w:rPr>
      </w:pPr>
      <w:r w:rsidRPr="00CB0C67">
        <w:rPr>
          <w:b/>
          <w:sz w:val="22"/>
          <w:szCs w:val="22"/>
        </w:rPr>
        <w:t xml:space="preserve">6.5. </w:t>
      </w:r>
      <w:r w:rsidRPr="00CB0C67">
        <w:rPr>
          <w:b/>
          <w:sz w:val="22"/>
          <w:szCs w:val="22"/>
        </w:rPr>
        <w:tab/>
        <w:t>Druh obalu a obsah balenia</w:t>
      </w:r>
    </w:p>
    <w:p w:rsidR="0037707D" w:rsidRPr="00CB0C67" w:rsidRDefault="0037707D" w:rsidP="0040314B">
      <w:pPr>
        <w:rPr>
          <w:sz w:val="22"/>
          <w:szCs w:val="22"/>
        </w:rPr>
      </w:pPr>
    </w:p>
    <w:p w:rsidR="0037707D" w:rsidRPr="00CB0C67" w:rsidRDefault="0037707D" w:rsidP="0040314B">
      <w:pPr>
        <w:rPr>
          <w:sz w:val="22"/>
          <w:szCs w:val="22"/>
        </w:rPr>
      </w:pPr>
      <w:r w:rsidRPr="00CB0C67">
        <w:rPr>
          <w:sz w:val="22"/>
          <w:szCs w:val="22"/>
        </w:rPr>
        <w:t>Sklenená liekovka, ručná dávkovacia pumpička bez pohonnej látky. Pumpička je dimenzovaná na podanie 0,1 ml roztoku ( = 10 μg dezmopresín acetátu) v jednej dávke.</w:t>
      </w:r>
    </w:p>
    <w:p w:rsidR="0037707D" w:rsidRPr="00CB0C67" w:rsidRDefault="0037707D" w:rsidP="0040314B">
      <w:pPr>
        <w:rPr>
          <w:iCs/>
          <w:sz w:val="22"/>
          <w:szCs w:val="22"/>
        </w:rPr>
      </w:pPr>
    </w:p>
    <w:p w:rsidR="0037707D" w:rsidRPr="00CB0C67" w:rsidRDefault="0037707D" w:rsidP="0040314B">
      <w:pPr>
        <w:rPr>
          <w:sz w:val="22"/>
          <w:szCs w:val="22"/>
        </w:rPr>
      </w:pPr>
      <w:r w:rsidRPr="00CB0C67">
        <w:rPr>
          <w:iCs/>
          <w:sz w:val="22"/>
          <w:szCs w:val="22"/>
        </w:rPr>
        <w:t>Veľkosť balenia</w:t>
      </w:r>
      <w:r w:rsidRPr="00CB0C67">
        <w:rPr>
          <w:sz w:val="22"/>
          <w:szCs w:val="22"/>
        </w:rPr>
        <w:t xml:space="preserve">:  1x 5 ml </w:t>
      </w:r>
    </w:p>
    <w:p w:rsidR="0037707D" w:rsidRPr="00CB0C67" w:rsidRDefault="0037707D" w:rsidP="0040314B">
      <w:pPr>
        <w:ind w:left="708" w:firstLine="708"/>
        <w:rPr>
          <w:sz w:val="22"/>
          <w:szCs w:val="22"/>
        </w:rPr>
      </w:pPr>
      <w:r w:rsidRPr="00CB0C67">
        <w:rPr>
          <w:sz w:val="22"/>
          <w:szCs w:val="22"/>
        </w:rPr>
        <w:t xml:space="preserve">   </w:t>
      </w:r>
    </w:p>
    <w:p w:rsidR="0037707D" w:rsidRPr="00CB0C67" w:rsidRDefault="0037707D" w:rsidP="0040314B">
      <w:pPr>
        <w:rPr>
          <w:b/>
          <w:sz w:val="22"/>
          <w:szCs w:val="22"/>
        </w:rPr>
      </w:pPr>
      <w:r w:rsidRPr="00CB0C67">
        <w:rPr>
          <w:b/>
          <w:sz w:val="22"/>
          <w:szCs w:val="22"/>
        </w:rPr>
        <w:t xml:space="preserve">6.6. </w:t>
      </w:r>
      <w:r w:rsidRPr="00CB0C67">
        <w:rPr>
          <w:b/>
          <w:sz w:val="22"/>
          <w:szCs w:val="22"/>
        </w:rPr>
        <w:tab/>
        <w:t>Špeciálne opatrenia na likvidáciu a iné zaobchádzanie s liekom</w:t>
      </w:r>
    </w:p>
    <w:p w:rsidR="0037707D" w:rsidRPr="00CB0C67" w:rsidRDefault="0037707D" w:rsidP="0040314B">
      <w:pPr>
        <w:rPr>
          <w:sz w:val="22"/>
          <w:szCs w:val="22"/>
        </w:rPr>
      </w:pPr>
    </w:p>
    <w:p w:rsidR="0037707D" w:rsidRPr="00CB0C67" w:rsidRDefault="0037707D" w:rsidP="0040314B">
      <w:pPr>
        <w:rPr>
          <w:sz w:val="22"/>
          <w:szCs w:val="22"/>
        </w:rPr>
      </w:pPr>
      <w:r w:rsidRPr="00CB0C67">
        <w:rPr>
          <w:sz w:val="22"/>
          <w:szCs w:val="22"/>
        </w:rPr>
        <w:t>Pred prvým použitím je potrebné pumpičku pripraviť na aplikáciu a to tak, že sa stlačí 4x alebo sa stláča dovtedy, kým nevychádzajú rovnomerné dávky. Ak sa sprej nepoužíva viac ako týždeň, pumpička sa musí znovu pripraviť jedným alebo niekoľkými stlačeniami, až kým sa nedosiahne rovnomerné dávkovanie.</w:t>
      </w:r>
    </w:p>
    <w:p w:rsidR="0037707D" w:rsidRPr="00CB0C67" w:rsidRDefault="0037707D" w:rsidP="0040314B">
      <w:pPr>
        <w:rPr>
          <w:i/>
          <w:iCs/>
          <w:sz w:val="22"/>
          <w:szCs w:val="22"/>
        </w:rPr>
      </w:pPr>
    </w:p>
    <w:p w:rsidR="0037707D" w:rsidRPr="00CB0C67" w:rsidRDefault="0037707D" w:rsidP="0040314B">
      <w:pPr>
        <w:rPr>
          <w:iCs/>
          <w:sz w:val="22"/>
          <w:szCs w:val="22"/>
        </w:rPr>
      </w:pPr>
      <w:r w:rsidRPr="00CB0C67">
        <w:rPr>
          <w:iCs/>
          <w:sz w:val="22"/>
          <w:szCs w:val="22"/>
          <w:u w:val="single"/>
        </w:rPr>
        <w:t>Návod na použitie</w:t>
      </w:r>
    </w:p>
    <w:p w:rsidR="0037707D" w:rsidRPr="00CB0C67" w:rsidRDefault="0037707D" w:rsidP="0040314B">
      <w:pPr>
        <w:rPr>
          <w:sz w:val="22"/>
          <w:szCs w:val="22"/>
        </w:rPr>
      </w:pPr>
    </w:p>
    <w:p w:rsidR="0037707D" w:rsidRPr="00CB0C67" w:rsidRDefault="0037707D" w:rsidP="0040314B">
      <w:pPr>
        <w:rPr>
          <w:sz w:val="22"/>
          <w:szCs w:val="22"/>
        </w:rPr>
      </w:pPr>
      <w:r w:rsidRPr="00CB0C67">
        <w:rPr>
          <w:sz w:val="22"/>
          <w:szCs w:val="22"/>
        </w:rPr>
        <w:t xml:space="preserve">Pred aplikáciou spreja sa pacient musí vysmrkať. </w:t>
      </w:r>
    </w:p>
    <w:p w:rsidR="0037707D" w:rsidRPr="00CB0C67" w:rsidRDefault="0037707D" w:rsidP="0040314B">
      <w:pPr>
        <w:rPr>
          <w:sz w:val="22"/>
          <w:szCs w:val="22"/>
        </w:rPr>
      </w:pPr>
    </w:p>
    <w:p w:rsidR="0037707D" w:rsidRPr="00CB0C67" w:rsidRDefault="0037707D" w:rsidP="0040314B">
      <w:pPr>
        <w:numPr>
          <w:ilvl w:val="0"/>
          <w:numId w:val="15"/>
        </w:numPr>
        <w:rPr>
          <w:sz w:val="22"/>
          <w:szCs w:val="22"/>
        </w:rPr>
      </w:pPr>
      <w:r w:rsidRPr="00CB0C67">
        <w:rPr>
          <w:sz w:val="22"/>
          <w:szCs w:val="22"/>
        </w:rPr>
        <w:t>Odstráňte ochranný kryt.</w:t>
      </w:r>
    </w:p>
    <w:p w:rsidR="0037707D" w:rsidRPr="00CB0C67" w:rsidRDefault="0037707D" w:rsidP="0040314B">
      <w:pPr>
        <w:numPr>
          <w:ilvl w:val="0"/>
          <w:numId w:val="15"/>
        </w:numPr>
        <w:rPr>
          <w:sz w:val="22"/>
          <w:szCs w:val="22"/>
        </w:rPr>
      </w:pPr>
      <w:r w:rsidRPr="00CB0C67">
        <w:rPr>
          <w:sz w:val="22"/>
          <w:szCs w:val="22"/>
        </w:rPr>
        <w:t>Skontrolujte, či koniec hadičky vo vnútri nádobky je ponorený do roztoku.</w:t>
      </w:r>
    </w:p>
    <w:p w:rsidR="0037707D" w:rsidRPr="00CB0C67" w:rsidRDefault="0037707D" w:rsidP="0040314B">
      <w:pPr>
        <w:numPr>
          <w:ilvl w:val="0"/>
          <w:numId w:val="15"/>
        </w:numPr>
        <w:rPr>
          <w:sz w:val="22"/>
          <w:szCs w:val="22"/>
        </w:rPr>
      </w:pPr>
      <w:r w:rsidRPr="00CB0C67">
        <w:rPr>
          <w:sz w:val="22"/>
          <w:szCs w:val="22"/>
        </w:rPr>
        <w:t>Znovu aktivujte pumpičku, ak ste ju nepoužívali posledný týždeň.</w:t>
      </w:r>
    </w:p>
    <w:p w:rsidR="0037707D" w:rsidRPr="00CB0C67" w:rsidRDefault="0037707D" w:rsidP="0040314B">
      <w:pPr>
        <w:numPr>
          <w:ilvl w:val="0"/>
          <w:numId w:val="15"/>
        </w:numPr>
        <w:rPr>
          <w:sz w:val="22"/>
          <w:szCs w:val="22"/>
        </w:rPr>
      </w:pPr>
      <w:r w:rsidRPr="00CB0C67">
        <w:rPr>
          <w:sz w:val="22"/>
          <w:szCs w:val="22"/>
        </w:rPr>
        <w:t>Po opätovnom nasýtení pumpička po každom stlačení uvoľní jednu dávku.</w:t>
      </w:r>
    </w:p>
    <w:p w:rsidR="0037707D" w:rsidRPr="00CB0C67" w:rsidRDefault="0037707D" w:rsidP="0040314B">
      <w:pPr>
        <w:numPr>
          <w:ilvl w:val="0"/>
          <w:numId w:val="15"/>
        </w:numPr>
        <w:rPr>
          <w:sz w:val="22"/>
          <w:szCs w:val="22"/>
        </w:rPr>
      </w:pPr>
      <w:r w:rsidRPr="00CB0C67">
        <w:rPr>
          <w:sz w:val="22"/>
          <w:szCs w:val="22"/>
        </w:rPr>
        <w:t>Pri vkladaní aplikátora do nosnej dierky je nutné hlavu mierne zakloniť.</w:t>
      </w:r>
    </w:p>
    <w:p w:rsidR="0037707D" w:rsidRPr="00CB0C67" w:rsidRDefault="0037707D" w:rsidP="0040314B">
      <w:pPr>
        <w:numPr>
          <w:ilvl w:val="0"/>
          <w:numId w:val="15"/>
        </w:numPr>
        <w:rPr>
          <w:sz w:val="22"/>
          <w:szCs w:val="22"/>
        </w:rPr>
      </w:pPr>
      <w:r w:rsidRPr="00CB0C67">
        <w:rPr>
          <w:sz w:val="22"/>
          <w:szCs w:val="22"/>
        </w:rPr>
        <w:t>Ak sa má podať vyššia dávka, musí sa sprej aplikovať do každej nosnej dierky.</w:t>
      </w:r>
    </w:p>
    <w:p w:rsidR="0037707D" w:rsidRPr="00CB0C67" w:rsidRDefault="0037707D" w:rsidP="0040314B">
      <w:pPr>
        <w:numPr>
          <w:ilvl w:val="0"/>
          <w:numId w:val="15"/>
        </w:numPr>
        <w:rPr>
          <w:sz w:val="22"/>
          <w:szCs w:val="22"/>
        </w:rPr>
      </w:pPr>
      <w:r w:rsidRPr="00CB0C67">
        <w:rPr>
          <w:sz w:val="22"/>
          <w:szCs w:val="22"/>
        </w:rPr>
        <w:t xml:space="preserve">Po použití nasaďte kryt a nádobku s aerodisperziou uchovávajte vo zvislej polohe. </w:t>
      </w:r>
    </w:p>
    <w:p w:rsidR="0037707D" w:rsidRPr="00CB0C67" w:rsidRDefault="0037707D" w:rsidP="0040314B">
      <w:pPr>
        <w:rPr>
          <w:sz w:val="22"/>
          <w:szCs w:val="22"/>
        </w:rPr>
      </w:pPr>
    </w:p>
    <w:p w:rsidR="0037707D" w:rsidRPr="00CB0C67" w:rsidRDefault="0037707D" w:rsidP="0040314B">
      <w:pPr>
        <w:rPr>
          <w:sz w:val="22"/>
          <w:szCs w:val="22"/>
        </w:rPr>
      </w:pPr>
      <w:r w:rsidRPr="00CB0C67">
        <w:rPr>
          <w:sz w:val="22"/>
          <w:szCs w:val="22"/>
        </w:rPr>
        <w:t>Ak pacient pochybuje o správnom podaní dávky, sprej sa nesmie aplikovať skôr, ako je plánovaná ďalšia dávka.</w:t>
      </w:r>
    </w:p>
    <w:p w:rsidR="0037707D" w:rsidRPr="00CB0C67" w:rsidRDefault="0037707D" w:rsidP="0040314B">
      <w:pPr>
        <w:rPr>
          <w:sz w:val="22"/>
          <w:szCs w:val="22"/>
        </w:rPr>
      </w:pPr>
      <w:r w:rsidRPr="00CB0C67">
        <w:rPr>
          <w:sz w:val="22"/>
          <w:szCs w:val="22"/>
        </w:rPr>
        <w:t>U malých detí sa liek musí podávať pod dôsledným dohľadom dospelých, aby sa zabezpečilo správne dávkovanie.</w:t>
      </w:r>
    </w:p>
    <w:p w:rsidR="0037707D" w:rsidRPr="00CB0C67" w:rsidRDefault="0037707D" w:rsidP="0040314B">
      <w:pPr>
        <w:rPr>
          <w:sz w:val="22"/>
          <w:szCs w:val="22"/>
        </w:rPr>
      </w:pPr>
    </w:p>
    <w:p w:rsidR="0037707D" w:rsidRPr="00CB0C67" w:rsidRDefault="0037707D" w:rsidP="0040314B">
      <w:pPr>
        <w:rPr>
          <w:sz w:val="22"/>
          <w:szCs w:val="22"/>
        </w:rPr>
      </w:pPr>
    </w:p>
    <w:p w:rsidR="0037707D" w:rsidRPr="00CB0C67" w:rsidRDefault="0037707D" w:rsidP="0040314B">
      <w:pPr>
        <w:rPr>
          <w:sz w:val="22"/>
          <w:szCs w:val="22"/>
        </w:rPr>
      </w:pPr>
      <w:r w:rsidRPr="00CB0C67">
        <w:rPr>
          <w:b/>
          <w:sz w:val="22"/>
          <w:szCs w:val="22"/>
        </w:rPr>
        <w:t xml:space="preserve">7. </w:t>
      </w:r>
      <w:r w:rsidRPr="00CB0C67">
        <w:rPr>
          <w:b/>
          <w:sz w:val="22"/>
          <w:szCs w:val="22"/>
        </w:rPr>
        <w:tab/>
        <w:t>DRŽITEĽ  ROZHODNUTIA O REGISTRÁCII</w:t>
      </w:r>
    </w:p>
    <w:p w:rsidR="0037707D" w:rsidRPr="00CB0C67" w:rsidRDefault="0037707D" w:rsidP="0040314B">
      <w:pPr>
        <w:rPr>
          <w:sz w:val="22"/>
          <w:szCs w:val="22"/>
        </w:rPr>
      </w:pPr>
    </w:p>
    <w:p w:rsidR="0037707D" w:rsidRPr="00CB0C67" w:rsidRDefault="0037707D" w:rsidP="0040314B">
      <w:pPr>
        <w:rPr>
          <w:sz w:val="22"/>
          <w:szCs w:val="22"/>
        </w:rPr>
      </w:pPr>
      <w:r w:rsidRPr="00CB0C67">
        <w:rPr>
          <w:sz w:val="22"/>
          <w:szCs w:val="22"/>
        </w:rPr>
        <w:t>Ferring-Léčiva, a.s.</w:t>
      </w:r>
    </w:p>
    <w:p w:rsidR="0037707D" w:rsidRPr="00CB0C67" w:rsidRDefault="0037707D" w:rsidP="0040314B">
      <w:pPr>
        <w:rPr>
          <w:sz w:val="22"/>
          <w:szCs w:val="22"/>
        </w:rPr>
      </w:pPr>
      <w:r w:rsidRPr="00CB0C67">
        <w:rPr>
          <w:sz w:val="22"/>
          <w:szCs w:val="22"/>
        </w:rPr>
        <w:t>K Rybníku 475</w:t>
      </w:r>
    </w:p>
    <w:p w:rsidR="0037707D" w:rsidRPr="00CB0C67" w:rsidRDefault="0037707D" w:rsidP="0040314B">
      <w:pPr>
        <w:rPr>
          <w:sz w:val="22"/>
          <w:szCs w:val="22"/>
        </w:rPr>
      </w:pPr>
      <w:r w:rsidRPr="00CB0C67">
        <w:rPr>
          <w:sz w:val="22"/>
          <w:szCs w:val="22"/>
        </w:rPr>
        <w:t>252 42 Jesenice u Prahy</w:t>
      </w:r>
    </w:p>
    <w:p w:rsidR="0037707D" w:rsidRPr="00CB0C67" w:rsidRDefault="0037707D" w:rsidP="0040314B">
      <w:pPr>
        <w:tabs>
          <w:tab w:val="left" w:pos="562"/>
        </w:tabs>
        <w:rPr>
          <w:sz w:val="22"/>
          <w:szCs w:val="22"/>
        </w:rPr>
      </w:pPr>
      <w:r w:rsidRPr="00CB0C67">
        <w:rPr>
          <w:sz w:val="22"/>
          <w:szCs w:val="22"/>
        </w:rPr>
        <w:t>Česká republika</w:t>
      </w:r>
    </w:p>
    <w:p w:rsidR="0037707D" w:rsidRPr="00CB0C67" w:rsidRDefault="0037707D" w:rsidP="0040314B">
      <w:pPr>
        <w:tabs>
          <w:tab w:val="left" w:pos="562"/>
        </w:tabs>
        <w:rPr>
          <w:sz w:val="22"/>
          <w:szCs w:val="22"/>
        </w:rPr>
      </w:pPr>
    </w:p>
    <w:p w:rsidR="0037707D" w:rsidRPr="00CB0C67" w:rsidRDefault="0037707D" w:rsidP="0040314B">
      <w:pPr>
        <w:tabs>
          <w:tab w:val="left" w:pos="562"/>
        </w:tabs>
        <w:rPr>
          <w:sz w:val="22"/>
          <w:szCs w:val="22"/>
        </w:rPr>
      </w:pPr>
    </w:p>
    <w:p w:rsidR="0037707D" w:rsidRPr="00CB0C67" w:rsidRDefault="0037707D" w:rsidP="0040314B">
      <w:pPr>
        <w:rPr>
          <w:b/>
          <w:sz w:val="22"/>
          <w:szCs w:val="22"/>
        </w:rPr>
      </w:pPr>
      <w:r w:rsidRPr="00CB0C67">
        <w:rPr>
          <w:b/>
          <w:sz w:val="22"/>
          <w:szCs w:val="22"/>
        </w:rPr>
        <w:t xml:space="preserve">8. </w:t>
      </w:r>
      <w:r w:rsidRPr="00CB0C67">
        <w:rPr>
          <w:b/>
          <w:sz w:val="22"/>
          <w:szCs w:val="22"/>
        </w:rPr>
        <w:tab/>
        <w:t xml:space="preserve">REGISTRAČNÉ ČÍSLO  </w:t>
      </w:r>
    </w:p>
    <w:p w:rsidR="0037707D" w:rsidRPr="00CB0C67" w:rsidRDefault="0037707D" w:rsidP="0040314B">
      <w:pPr>
        <w:rPr>
          <w:sz w:val="22"/>
          <w:szCs w:val="22"/>
        </w:rPr>
      </w:pPr>
    </w:p>
    <w:p w:rsidR="0037707D" w:rsidRPr="00CB0C67" w:rsidRDefault="0037707D" w:rsidP="0040314B">
      <w:pPr>
        <w:rPr>
          <w:sz w:val="22"/>
          <w:szCs w:val="22"/>
        </w:rPr>
      </w:pPr>
      <w:r w:rsidRPr="00CB0C67">
        <w:rPr>
          <w:sz w:val="22"/>
          <w:szCs w:val="22"/>
        </w:rPr>
        <w:t>56/0144/03</w:t>
      </w:r>
    </w:p>
    <w:p w:rsidR="0037707D" w:rsidRPr="00CB0C67" w:rsidRDefault="0037707D" w:rsidP="0040314B">
      <w:pPr>
        <w:rPr>
          <w:sz w:val="22"/>
          <w:szCs w:val="22"/>
        </w:rPr>
      </w:pPr>
    </w:p>
    <w:p w:rsidR="0037707D" w:rsidRPr="00CB0C67" w:rsidRDefault="0037707D" w:rsidP="0040314B">
      <w:pPr>
        <w:rPr>
          <w:sz w:val="22"/>
          <w:szCs w:val="22"/>
        </w:rPr>
      </w:pPr>
    </w:p>
    <w:p w:rsidR="0037707D" w:rsidRPr="00CB0C67" w:rsidRDefault="0037707D" w:rsidP="0040314B">
      <w:pPr>
        <w:rPr>
          <w:b/>
          <w:sz w:val="22"/>
          <w:szCs w:val="22"/>
        </w:rPr>
      </w:pPr>
      <w:r w:rsidRPr="00CB0C67">
        <w:rPr>
          <w:b/>
          <w:sz w:val="22"/>
          <w:szCs w:val="22"/>
        </w:rPr>
        <w:t xml:space="preserve">9. </w:t>
      </w:r>
      <w:r w:rsidRPr="00CB0C67">
        <w:rPr>
          <w:b/>
          <w:sz w:val="22"/>
          <w:szCs w:val="22"/>
        </w:rPr>
        <w:tab/>
        <w:t>DÁTUM REGISTRÁCIE/ PREDĹŽENIA REGISTRÁCIE</w:t>
      </w:r>
    </w:p>
    <w:p w:rsidR="0037707D" w:rsidRPr="00CB0C67" w:rsidRDefault="0037707D" w:rsidP="0040314B">
      <w:pPr>
        <w:rPr>
          <w:sz w:val="22"/>
          <w:szCs w:val="22"/>
        </w:rPr>
      </w:pPr>
    </w:p>
    <w:p w:rsidR="0037707D" w:rsidRPr="00CB0C67" w:rsidRDefault="0037707D" w:rsidP="0040314B">
      <w:pPr>
        <w:rPr>
          <w:sz w:val="22"/>
          <w:szCs w:val="22"/>
        </w:rPr>
      </w:pPr>
      <w:r w:rsidRPr="00CB0C67">
        <w:rPr>
          <w:sz w:val="22"/>
          <w:szCs w:val="22"/>
        </w:rPr>
        <w:t>Dátum prvej registrácie: 30.4. 2003</w:t>
      </w:r>
    </w:p>
    <w:p w:rsidR="0037707D" w:rsidRPr="00CB0C67" w:rsidRDefault="0037707D" w:rsidP="0040314B">
      <w:pPr>
        <w:rPr>
          <w:sz w:val="22"/>
          <w:szCs w:val="22"/>
        </w:rPr>
      </w:pPr>
      <w:r w:rsidRPr="00CB0C67">
        <w:rPr>
          <w:sz w:val="22"/>
          <w:szCs w:val="22"/>
        </w:rPr>
        <w:t xml:space="preserve">Dátum posledného predĺženia registrácie: 21.01.2008/ bez časového obmedzenia </w:t>
      </w:r>
    </w:p>
    <w:p w:rsidR="0037707D" w:rsidRPr="00CB0C67" w:rsidRDefault="0037707D" w:rsidP="0040314B">
      <w:pPr>
        <w:rPr>
          <w:sz w:val="22"/>
          <w:szCs w:val="22"/>
        </w:rPr>
      </w:pPr>
    </w:p>
    <w:p w:rsidR="0037707D" w:rsidRPr="00CB0C67" w:rsidRDefault="0037707D" w:rsidP="0040314B">
      <w:pPr>
        <w:rPr>
          <w:sz w:val="22"/>
          <w:szCs w:val="22"/>
        </w:rPr>
      </w:pPr>
    </w:p>
    <w:p w:rsidR="0037707D" w:rsidRPr="00CB0C67" w:rsidRDefault="0037707D" w:rsidP="0040314B">
      <w:pPr>
        <w:rPr>
          <w:b/>
          <w:sz w:val="22"/>
          <w:szCs w:val="22"/>
        </w:rPr>
      </w:pPr>
      <w:r w:rsidRPr="00CB0C67">
        <w:rPr>
          <w:b/>
          <w:sz w:val="22"/>
          <w:szCs w:val="22"/>
        </w:rPr>
        <w:t xml:space="preserve">10. </w:t>
      </w:r>
      <w:r w:rsidRPr="00CB0C67">
        <w:rPr>
          <w:b/>
          <w:sz w:val="22"/>
          <w:szCs w:val="22"/>
        </w:rPr>
        <w:tab/>
        <w:t>DÁTUM REVÍZIE TEXTU</w:t>
      </w:r>
    </w:p>
    <w:p w:rsidR="0037707D" w:rsidRPr="00CB0C67" w:rsidRDefault="0037707D" w:rsidP="0040314B">
      <w:pPr>
        <w:rPr>
          <w:color w:val="0000FF"/>
          <w:sz w:val="22"/>
          <w:szCs w:val="22"/>
        </w:rPr>
      </w:pPr>
    </w:p>
    <w:p w:rsidR="0037707D" w:rsidRPr="00CB0C67" w:rsidRDefault="0037707D" w:rsidP="0040314B">
      <w:pPr>
        <w:rPr>
          <w:sz w:val="22"/>
          <w:szCs w:val="22"/>
        </w:rPr>
      </w:pPr>
      <w:r w:rsidRPr="0040314B">
        <w:rPr>
          <w:sz w:val="22"/>
          <w:szCs w:val="22"/>
        </w:rPr>
        <w:t>December 2013</w:t>
      </w:r>
    </w:p>
    <w:p w:rsidR="0037707D" w:rsidRPr="00CB0C67" w:rsidRDefault="0037707D" w:rsidP="0040314B">
      <w:pPr>
        <w:rPr>
          <w:sz w:val="22"/>
          <w:szCs w:val="22"/>
        </w:rPr>
      </w:pPr>
    </w:p>
    <w:p w:rsidR="0037707D" w:rsidRPr="00CB0C67" w:rsidRDefault="0037707D" w:rsidP="0040314B">
      <w:pPr>
        <w:rPr>
          <w:sz w:val="22"/>
          <w:szCs w:val="22"/>
        </w:rPr>
      </w:pPr>
    </w:p>
    <w:p w:rsidR="0037707D" w:rsidRPr="00CB0C67" w:rsidRDefault="0037707D" w:rsidP="0040314B">
      <w:pPr>
        <w:rPr>
          <w:sz w:val="22"/>
          <w:szCs w:val="22"/>
        </w:rPr>
      </w:pPr>
    </w:p>
    <w:p w:rsidR="0037707D" w:rsidRPr="00CB0C67" w:rsidRDefault="0037707D" w:rsidP="0040314B">
      <w:pPr>
        <w:rPr>
          <w:sz w:val="22"/>
          <w:szCs w:val="22"/>
        </w:rPr>
      </w:pPr>
    </w:p>
    <w:p w:rsidR="0037707D" w:rsidRPr="0040314B" w:rsidRDefault="0037707D" w:rsidP="0040314B">
      <w:pPr>
        <w:rPr>
          <w:sz w:val="22"/>
          <w:szCs w:val="22"/>
        </w:rPr>
      </w:pPr>
    </w:p>
    <w:sectPr w:rsidR="0037707D" w:rsidRPr="0040314B" w:rsidSect="00B52473">
      <w:pgSz w:w="11906" w:h="16838"/>
      <w:pgMar w:top="1134" w:right="1418"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B0E18"/>
    <w:multiLevelType w:val="hybridMultilevel"/>
    <w:tmpl w:val="54AE034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6D30095"/>
    <w:multiLevelType w:val="hybridMultilevel"/>
    <w:tmpl w:val="EC9CC052"/>
    <w:lvl w:ilvl="0" w:tplc="3836B9BC">
      <w:start w:val="1"/>
      <w:numFmt w:val="bullet"/>
      <w:lvlText w:val=""/>
      <w:lvlJc w:val="left"/>
      <w:pPr>
        <w:tabs>
          <w:tab w:val="num" w:pos="34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2E918D7"/>
    <w:multiLevelType w:val="hybridMultilevel"/>
    <w:tmpl w:val="5462A608"/>
    <w:lvl w:ilvl="0" w:tplc="D8446B88">
      <w:start w:val="1"/>
      <w:numFmt w:val="bullet"/>
      <w:lvlText w:val=""/>
      <w:lvlJc w:val="left"/>
      <w:pPr>
        <w:tabs>
          <w:tab w:val="num" w:pos="34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CE02D6"/>
    <w:multiLevelType w:val="hybridMultilevel"/>
    <w:tmpl w:val="F0D0ED56"/>
    <w:lvl w:ilvl="0" w:tplc="3836B9BC">
      <w:start w:val="1"/>
      <w:numFmt w:val="bullet"/>
      <w:lvlText w:val=""/>
      <w:lvlJc w:val="left"/>
      <w:pPr>
        <w:tabs>
          <w:tab w:val="num" w:pos="34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212382B"/>
    <w:multiLevelType w:val="multilevel"/>
    <w:tmpl w:val="02B08F3A"/>
    <w:lvl w:ilvl="0">
      <w:start w:val="4"/>
      <w:numFmt w:val="decimal"/>
      <w:lvlText w:val="%1"/>
      <w:lvlJc w:val="left"/>
      <w:pPr>
        <w:tabs>
          <w:tab w:val="num" w:pos="705"/>
        </w:tabs>
        <w:ind w:left="705" w:hanging="705"/>
      </w:pPr>
      <w:rPr>
        <w:rFonts w:cs="Times New Roman" w:hint="default"/>
      </w:rPr>
    </w:lvl>
    <w:lvl w:ilvl="1">
      <w:start w:val="6"/>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30DC1619"/>
    <w:multiLevelType w:val="hybridMultilevel"/>
    <w:tmpl w:val="E4C4E2CC"/>
    <w:lvl w:ilvl="0" w:tplc="C11AAA52">
      <w:start w:val="1"/>
      <w:numFmt w:val="bullet"/>
      <w:lvlText w:val=""/>
      <w:lvlJc w:val="left"/>
      <w:pPr>
        <w:tabs>
          <w:tab w:val="num" w:pos="34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2971A39"/>
    <w:multiLevelType w:val="hybridMultilevel"/>
    <w:tmpl w:val="6A9EC78A"/>
    <w:lvl w:ilvl="0" w:tplc="3AA681FE">
      <w:start w:val="1"/>
      <w:numFmt w:val="bullet"/>
      <w:lvlText w:val=""/>
      <w:lvlJc w:val="left"/>
      <w:pPr>
        <w:tabs>
          <w:tab w:val="num" w:pos="34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37B68DC"/>
    <w:multiLevelType w:val="hybridMultilevel"/>
    <w:tmpl w:val="96A48828"/>
    <w:lvl w:ilvl="0" w:tplc="98486822">
      <w:start w:val="1"/>
      <w:numFmt w:val="bullet"/>
      <w:lvlText w:val=""/>
      <w:lvlJc w:val="left"/>
      <w:pPr>
        <w:tabs>
          <w:tab w:val="num" w:pos="397"/>
        </w:tabs>
        <w:ind w:left="397" w:hanging="397"/>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8">
    <w:nsid w:val="581B557C"/>
    <w:multiLevelType w:val="multilevel"/>
    <w:tmpl w:val="6FCED522"/>
    <w:lvl w:ilvl="0">
      <w:start w:val="4"/>
      <w:numFmt w:val="decimal"/>
      <w:lvlText w:val="%1"/>
      <w:lvlJc w:val="left"/>
      <w:pPr>
        <w:tabs>
          <w:tab w:val="num" w:pos="705"/>
        </w:tabs>
        <w:ind w:left="705" w:hanging="705"/>
      </w:pPr>
      <w:rPr>
        <w:rFonts w:cs="Times New Roman" w:hint="default"/>
      </w:rPr>
    </w:lvl>
    <w:lvl w:ilvl="1">
      <w:start w:val="3"/>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
    <w:nsid w:val="58795843"/>
    <w:multiLevelType w:val="hybridMultilevel"/>
    <w:tmpl w:val="B6A2020E"/>
    <w:lvl w:ilvl="0" w:tplc="51FEDBAC">
      <w:start w:val="1"/>
      <w:numFmt w:val="bullet"/>
      <w:lvlText w:val=""/>
      <w:lvlJc w:val="left"/>
      <w:pPr>
        <w:tabs>
          <w:tab w:val="num" w:pos="34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B0B07AA"/>
    <w:multiLevelType w:val="hybridMultilevel"/>
    <w:tmpl w:val="79FACE50"/>
    <w:lvl w:ilvl="0" w:tplc="3836B9BC">
      <w:start w:val="1"/>
      <w:numFmt w:val="bullet"/>
      <w:lvlText w:val=""/>
      <w:lvlJc w:val="left"/>
      <w:pPr>
        <w:tabs>
          <w:tab w:val="num" w:pos="34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15B1BF8"/>
    <w:multiLevelType w:val="hybridMultilevel"/>
    <w:tmpl w:val="82206390"/>
    <w:lvl w:ilvl="0" w:tplc="3836B9BC">
      <w:start w:val="1"/>
      <w:numFmt w:val="bullet"/>
      <w:lvlText w:val=""/>
      <w:lvlJc w:val="left"/>
      <w:pPr>
        <w:tabs>
          <w:tab w:val="num" w:pos="34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D830B1F"/>
    <w:multiLevelType w:val="hybridMultilevel"/>
    <w:tmpl w:val="BF468DF8"/>
    <w:lvl w:ilvl="0" w:tplc="3836B9BC">
      <w:start w:val="1"/>
      <w:numFmt w:val="bullet"/>
      <w:lvlText w:val=""/>
      <w:lvlJc w:val="left"/>
      <w:pPr>
        <w:tabs>
          <w:tab w:val="num" w:pos="34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6097E5C"/>
    <w:multiLevelType w:val="multilevel"/>
    <w:tmpl w:val="B366DBDA"/>
    <w:lvl w:ilvl="0">
      <w:start w:val="4"/>
      <w:numFmt w:val="decimal"/>
      <w:lvlText w:val="%1."/>
      <w:lvlJc w:val="left"/>
      <w:pPr>
        <w:tabs>
          <w:tab w:val="num" w:pos="705"/>
        </w:tabs>
        <w:ind w:left="705" w:hanging="705"/>
      </w:pPr>
      <w:rPr>
        <w:rFonts w:cs="Times New Roman" w:hint="default"/>
      </w:rPr>
    </w:lvl>
    <w:lvl w:ilvl="1">
      <w:start w:val="8"/>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7A65418C"/>
    <w:multiLevelType w:val="hybridMultilevel"/>
    <w:tmpl w:val="B6BAA510"/>
    <w:lvl w:ilvl="0" w:tplc="B1267F52">
      <w:start w:val="1"/>
      <w:numFmt w:val="bullet"/>
      <w:lvlText w:val=""/>
      <w:lvlJc w:val="left"/>
      <w:pPr>
        <w:tabs>
          <w:tab w:val="num" w:pos="34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3"/>
  </w:num>
  <w:num w:numId="3">
    <w:abstractNumId w:val="2"/>
  </w:num>
  <w:num w:numId="4">
    <w:abstractNumId w:val="14"/>
  </w:num>
  <w:num w:numId="5">
    <w:abstractNumId w:val="5"/>
  </w:num>
  <w:num w:numId="6">
    <w:abstractNumId w:val="9"/>
  </w:num>
  <w:num w:numId="7">
    <w:abstractNumId w:val="6"/>
  </w:num>
  <w:num w:numId="8">
    <w:abstractNumId w:val="11"/>
  </w:num>
  <w:num w:numId="9">
    <w:abstractNumId w:val="1"/>
  </w:num>
  <w:num w:numId="10">
    <w:abstractNumId w:val="3"/>
  </w:num>
  <w:num w:numId="11">
    <w:abstractNumId w:val="10"/>
  </w:num>
  <w:num w:numId="12">
    <w:abstractNumId w:val="12"/>
  </w:num>
  <w:num w:numId="13">
    <w:abstractNumId w:val="7"/>
  </w:num>
  <w:num w:numId="14">
    <w:abstractNumId w:val="8"/>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0C67"/>
    <w:rsid w:val="00155341"/>
    <w:rsid w:val="00155488"/>
    <w:rsid w:val="00155F3A"/>
    <w:rsid w:val="001E2E5D"/>
    <w:rsid w:val="00203FF5"/>
    <w:rsid w:val="00232AE3"/>
    <w:rsid w:val="00274C0C"/>
    <w:rsid w:val="0037707D"/>
    <w:rsid w:val="0040314B"/>
    <w:rsid w:val="00410ACD"/>
    <w:rsid w:val="004C7928"/>
    <w:rsid w:val="008E3DC5"/>
    <w:rsid w:val="00B52473"/>
    <w:rsid w:val="00BD58C3"/>
    <w:rsid w:val="00C2503F"/>
    <w:rsid w:val="00C347D4"/>
    <w:rsid w:val="00C56547"/>
    <w:rsid w:val="00CB0C67"/>
    <w:rsid w:val="00CC7672"/>
    <w:rsid w:val="00D74CEA"/>
    <w:rsid w:val="00DD0D92"/>
    <w:rsid w:val="00E232B0"/>
    <w:rsid w:val="00E71F88"/>
    <w:rsid w:val="00FE4C58"/>
  </w:rsids>
  <m:mathPr>
    <m:mathFont m:val="Cambria Math"/>
    <m:brkBin m:val="before"/>
    <m:brkBinSub m:val="--"/>
    <m:smallFrac m:val="off"/>
    <m:dispDef/>
    <m:lMargin m:val="0"/>
    <m:rMargin m:val="0"/>
    <m:defJc m:val="centerGroup"/>
    <m:wrapIndent m:val="1440"/>
    <m:intLim m:val="subSup"/>
    <m:naryLim m:val="undOvr"/>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C67"/>
    <w:rPr>
      <w:rFonts w:ascii="Times New Roman" w:eastAsia="Times New Roman" w:hAnsi="Times New Roman"/>
      <w:sz w:val="24"/>
      <w:szCs w:val="24"/>
    </w:rPr>
  </w:style>
  <w:style w:type="paragraph" w:styleId="Heading1">
    <w:name w:val="heading 1"/>
    <w:basedOn w:val="Normal"/>
    <w:next w:val="Normal"/>
    <w:link w:val="Heading1Char"/>
    <w:uiPriority w:val="99"/>
    <w:qFormat/>
    <w:rsid w:val="00CB0C67"/>
    <w:pPr>
      <w:keepNext/>
      <w:spacing w:before="60" w:after="60"/>
      <w:jc w:val="both"/>
      <w:outlineLvl w:val="0"/>
    </w:pPr>
    <w:rPr>
      <w:rFonts w:ascii="Arial" w:hAnsi="Arial" w:cs="Arial"/>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B0C67"/>
    <w:rPr>
      <w:rFonts w:ascii="Arial" w:hAnsi="Arial" w:cs="Arial"/>
      <w:b/>
      <w:bCs/>
      <w:sz w:val="24"/>
      <w:szCs w:val="24"/>
      <w:lang w:eastAsia="sk-SK"/>
    </w:rPr>
  </w:style>
  <w:style w:type="paragraph" w:styleId="Title">
    <w:name w:val="Title"/>
    <w:basedOn w:val="Normal"/>
    <w:link w:val="TitleChar"/>
    <w:uiPriority w:val="99"/>
    <w:qFormat/>
    <w:rsid w:val="00CB0C67"/>
    <w:pPr>
      <w:jc w:val="center"/>
    </w:pPr>
    <w:rPr>
      <w:rFonts w:ascii="Arial" w:hAnsi="Arial"/>
      <w:b/>
      <w:sz w:val="22"/>
      <w:szCs w:val="20"/>
      <w:lang w:val="cs-CZ" w:eastAsia="cs-CZ"/>
    </w:rPr>
  </w:style>
  <w:style w:type="character" w:customStyle="1" w:styleId="TitleChar">
    <w:name w:val="Title Char"/>
    <w:basedOn w:val="DefaultParagraphFont"/>
    <w:link w:val="Title"/>
    <w:uiPriority w:val="99"/>
    <w:locked/>
    <w:rsid w:val="00CB0C67"/>
    <w:rPr>
      <w:rFonts w:ascii="Arial" w:hAnsi="Arial" w:cs="Times New Roman"/>
      <w:b/>
      <w:sz w:val="20"/>
      <w:szCs w:val="20"/>
      <w:lang w:val="cs-CZ"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ma.europa.eu/docs/en_GB/document_library/Template_or_form/2013/03/WC500139752.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12</Pages>
  <Words>2316</Words>
  <Characters>13205</Characters>
  <Application>Microsoft Office Outlook</Application>
  <DocSecurity>0</DocSecurity>
  <Lines>0</Lines>
  <Paragraphs>0</Paragraphs>
  <ScaleCrop>false</ScaleCrop>
  <Company>Ferring Group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Schválený text k rozhodnutiu o zmene, ev</dc:title>
  <dc:subject/>
  <dc:creator>Vojteková, Helena</dc:creator>
  <cp:keywords/>
  <dc:description/>
  <cp:lastModifiedBy>JH</cp:lastModifiedBy>
  <cp:revision>2</cp:revision>
  <dcterms:created xsi:type="dcterms:W3CDTF">2013-12-09T11:28:00Z</dcterms:created>
  <dcterms:modified xsi:type="dcterms:W3CDTF">2013-12-09T11:28:00Z</dcterms:modified>
</cp:coreProperties>
</file>