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6B" w:rsidRPr="004C3B94" w:rsidRDefault="0015626B" w:rsidP="00666D0D">
      <w:pPr>
        <w:pStyle w:val="Title"/>
        <w:ind w:right="0"/>
        <w:rPr>
          <w:rFonts w:ascii="Times New Roman" w:hAnsi="Times New Roman" w:cs="Times New Roman"/>
          <w:sz w:val="22"/>
          <w:szCs w:val="22"/>
        </w:rPr>
      </w:pPr>
      <w:r w:rsidRPr="004C3B94">
        <w:rPr>
          <w:rFonts w:ascii="Times New Roman" w:hAnsi="Times New Roman" w:cs="Times New Roman"/>
          <w:sz w:val="22"/>
          <w:szCs w:val="22"/>
        </w:rPr>
        <w:t>SÚHRN CHARAKTERISTICKÝCH VLASTNOSTÍ LIEKU</w:t>
      </w:r>
    </w:p>
    <w:p w:rsidR="0015626B" w:rsidRPr="004C3B94" w:rsidRDefault="0015626B" w:rsidP="00666D0D">
      <w:pPr>
        <w:jc w:val="both"/>
        <w:rPr>
          <w:sz w:val="22"/>
          <w:szCs w:val="22"/>
        </w:rPr>
      </w:pPr>
    </w:p>
    <w:p w:rsidR="0015626B" w:rsidRPr="004C3B94" w:rsidRDefault="0015626B" w:rsidP="00666D0D">
      <w:pPr>
        <w:jc w:val="both"/>
        <w:rPr>
          <w:sz w:val="22"/>
          <w:szCs w:val="22"/>
        </w:rPr>
      </w:pPr>
    </w:p>
    <w:p w:rsidR="0015626B" w:rsidRPr="004C3B94" w:rsidRDefault="0015626B" w:rsidP="004C3B94">
      <w:pPr>
        <w:rPr>
          <w:b/>
          <w:caps/>
          <w:sz w:val="22"/>
          <w:szCs w:val="22"/>
        </w:rPr>
      </w:pPr>
      <w:r w:rsidRPr="004C3B94">
        <w:rPr>
          <w:b/>
          <w:caps/>
          <w:sz w:val="22"/>
          <w:szCs w:val="22"/>
        </w:rPr>
        <w:t xml:space="preserve">1. </w:t>
      </w:r>
      <w:r w:rsidRPr="004C3B94">
        <w:rPr>
          <w:b/>
          <w:caps/>
          <w:sz w:val="22"/>
          <w:szCs w:val="22"/>
        </w:rPr>
        <w:tab/>
        <w:t>Názov lieku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CC674A" w:rsidRDefault="0015626B">
      <w:pPr>
        <w:rPr>
          <w:sz w:val="22"/>
          <w:szCs w:val="22"/>
        </w:rPr>
      </w:pPr>
      <w:r w:rsidRPr="00CC674A">
        <w:rPr>
          <w:sz w:val="22"/>
          <w:szCs w:val="22"/>
        </w:rPr>
        <w:t>U</w:t>
      </w:r>
      <w:r>
        <w:rPr>
          <w:sz w:val="22"/>
          <w:szCs w:val="22"/>
        </w:rPr>
        <w:t>rsofalk</w:t>
      </w:r>
      <w:r w:rsidRPr="00CC674A">
        <w:rPr>
          <w:sz w:val="22"/>
          <w:szCs w:val="22"/>
        </w:rPr>
        <w:t xml:space="preserve"> 250 mg </w:t>
      </w:r>
      <w:r>
        <w:rPr>
          <w:sz w:val="22"/>
          <w:szCs w:val="22"/>
        </w:rPr>
        <w:t>kapsuly</w:t>
      </w:r>
      <w:r w:rsidRPr="00CC674A">
        <w:rPr>
          <w:sz w:val="22"/>
          <w:szCs w:val="22"/>
        </w:rPr>
        <w:t xml:space="preserve"> 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caps/>
          <w:sz w:val="22"/>
          <w:szCs w:val="22"/>
        </w:rPr>
      </w:pPr>
      <w:r w:rsidRPr="004C3B94">
        <w:rPr>
          <w:b/>
          <w:caps/>
          <w:sz w:val="22"/>
          <w:szCs w:val="22"/>
        </w:rPr>
        <w:t xml:space="preserve">2. </w:t>
      </w:r>
      <w:r w:rsidRPr="004C3B94">
        <w:rPr>
          <w:b/>
          <w:caps/>
          <w:sz w:val="22"/>
          <w:szCs w:val="22"/>
        </w:rPr>
        <w:tab/>
        <w:t>Kvalitatívne a kvantitatívne zloženie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  <w:r>
        <w:rPr>
          <w:szCs w:val="22"/>
          <w:lang w:val="sk-SK"/>
        </w:rPr>
        <w:t>Jedna</w:t>
      </w:r>
      <w:r w:rsidRPr="004C3B94">
        <w:rPr>
          <w:szCs w:val="22"/>
          <w:lang w:val="sk-SK"/>
        </w:rPr>
        <w:t xml:space="preserve"> kapsula obsahuje 250 mg kyseliny ursodeoxychol</w:t>
      </w:r>
      <w:r>
        <w:rPr>
          <w:szCs w:val="22"/>
          <w:lang w:val="sk-SK"/>
        </w:rPr>
        <w:t>ovej</w:t>
      </w:r>
      <w:r w:rsidRPr="004C3B94">
        <w:rPr>
          <w:szCs w:val="22"/>
          <w:lang w:val="sk-SK"/>
        </w:rPr>
        <w:t>.</w:t>
      </w:r>
    </w:p>
    <w:p w:rsidR="0015626B" w:rsidRPr="004C3B94" w:rsidRDefault="0015626B" w:rsidP="004C3B94">
      <w:pPr>
        <w:tabs>
          <w:tab w:val="left" w:pos="567"/>
        </w:tabs>
        <w:rPr>
          <w:sz w:val="22"/>
          <w:szCs w:val="22"/>
          <w:lang w:eastAsia="en-US"/>
        </w:rPr>
      </w:pPr>
    </w:p>
    <w:p w:rsidR="0015626B" w:rsidRPr="004C3B94" w:rsidRDefault="0015626B" w:rsidP="004C3B94">
      <w:pPr>
        <w:tabs>
          <w:tab w:val="left" w:pos="567"/>
        </w:tabs>
        <w:rPr>
          <w:sz w:val="22"/>
          <w:szCs w:val="22"/>
          <w:lang w:eastAsia="en-US"/>
        </w:rPr>
      </w:pPr>
      <w:r w:rsidRPr="004C3B94">
        <w:rPr>
          <w:sz w:val="22"/>
          <w:szCs w:val="22"/>
          <w:lang w:eastAsia="en-US"/>
        </w:rPr>
        <w:t>Úplný zoznam pomocných látok, pozri časť 6.1.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caps/>
          <w:sz w:val="22"/>
          <w:szCs w:val="22"/>
        </w:rPr>
      </w:pPr>
      <w:r w:rsidRPr="004C3B94">
        <w:rPr>
          <w:b/>
          <w:caps/>
          <w:sz w:val="22"/>
          <w:szCs w:val="22"/>
        </w:rPr>
        <w:t xml:space="preserve">3. </w:t>
      </w:r>
      <w:r w:rsidRPr="004C3B94">
        <w:rPr>
          <w:b/>
          <w:caps/>
          <w:sz w:val="22"/>
          <w:szCs w:val="22"/>
        </w:rPr>
        <w:tab/>
        <w:t>Lieková forma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>Kapsul</w:t>
      </w:r>
      <w:r>
        <w:rPr>
          <w:sz w:val="22"/>
          <w:szCs w:val="22"/>
        </w:rPr>
        <w:t>a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4C3B94">
        <w:rPr>
          <w:sz w:val="22"/>
          <w:szCs w:val="22"/>
        </w:rPr>
        <w:t>iele, nepriehľadné, tvrdé, želatínové kapsuly, veľkosť kapsúl 0, ktoré obsahujú biely stlačený prášok alebo granulát.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caps/>
          <w:sz w:val="22"/>
          <w:szCs w:val="22"/>
        </w:rPr>
      </w:pPr>
      <w:r w:rsidRPr="004C3B94">
        <w:rPr>
          <w:b/>
          <w:caps/>
          <w:sz w:val="22"/>
          <w:szCs w:val="22"/>
        </w:rPr>
        <w:t xml:space="preserve">4. </w:t>
      </w:r>
      <w:r w:rsidRPr="004C3B94">
        <w:rPr>
          <w:b/>
          <w:caps/>
          <w:sz w:val="22"/>
          <w:szCs w:val="22"/>
        </w:rPr>
        <w:tab/>
        <w:t>Klinické údaje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b/>
          <w:sz w:val="22"/>
          <w:szCs w:val="22"/>
        </w:rPr>
      </w:pPr>
      <w:r w:rsidRPr="004C3B94">
        <w:rPr>
          <w:b/>
          <w:sz w:val="22"/>
          <w:szCs w:val="22"/>
        </w:rPr>
        <w:t xml:space="preserve">4.1 </w:t>
      </w:r>
      <w:r w:rsidRPr="004C3B94">
        <w:rPr>
          <w:b/>
          <w:sz w:val="22"/>
          <w:szCs w:val="22"/>
        </w:rPr>
        <w:tab/>
        <w:t>Terapeutické indikácie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 xml:space="preserve">Rozpúšťanie cholesterolových žlčových kameňov v žlčníku. Žlčové kamene nesmú byť väčšie ako </w:t>
      </w:r>
      <w:smartTag w:uri="urn:schemas-microsoft-com:office:smarttags" w:element="metricconverter">
        <w:smartTagPr>
          <w:attr w:name="ProductID" w:val="15 mm"/>
        </w:smartTagPr>
        <w:r w:rsidRPr="004C3B94">
          <w:rPr>
            <w:sz w:val="22"/>
            <w:szCs w:val="22"/>
          </w:rPr>
          <w:t>15 mm</w:t>
        </w:r>
      </w:smartTag>
      <w:r w:rsidRPr="004C3B94">
        <w:rPr>
          <w:sz w:val="22"/>
          <w:szCs w:val="22"/>
        </w:rPr>
        <w:t>, na röntgenovej snímke sa nesmú prejavovať tieňom a žlčník musí byť napriek žlčovým kameňom funkčný.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>Liečba biliárnej refluxnej gastritídy.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>Symptomatická liečba primárnej biliárnej cirhózy, pokiaľ nie je prítomná dekompenzovaná cirhóza pečene.</w:t>
      </w:r>
    </w:p>
    <w:p w:rsidR="0015626B" w:rsidRDefault="0015626B" w:rsidP="004C3B94">
      <w:pPr>
        <w:rPr>
          <w:sz w:val="22"/>
          <w:szCs w:val="22"/>
        </w:rPr>
      </w:pPr>
    </w:p>
    <w:p w:rsidR="0015626B" w:rsidRPr="00536A7B" w:rsidRDefault="0015626B" w:rsidP="00B7001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Pediatrická populácia</w:t>
      </w:r>
    </w:p>
    <w:p w:rsidR="0015626B" w:rsidRPr="00536A7B" w:rsidRDefault="0015626B" w:rsidP="00B7001C">
      <w:pPr>
        <w:jc w:val="both"/>
        <w:rPr>
          <w:sz w:val="22"/>
          <w:szCs w:val="22"/>
        </w:rPr>
      </w:pPr>
      <w:r w:rsidRPr="00D264FB">
        <w:rPr>
          <w:sz w:val="22"/>
          <w:szCs w:val="22"/>
        </w:rPr>
        <w:t xml:space="preserve">Hepatobiliárne poruchy u detí s cystickou fibrózou vo veku od </w:t>
      </w:r>
      <w:r>
        <w:rPr>
          <w:sz w:val="22"/>
          <w:szCs w:val="22"/>
        </w:rPr>
        <w:t>6 rokov</w:t>
      </w:r>
      <w:r w:rsidRPr="00D264FB">
        <w:rPr>
          <w:sz w:val="22"/>
          <w:szCs w:val="22"/>
        </w:rPr>
        <w:t xml:space="preserve"> do 18 rokov. </w:t>
      </w:r>
    </w:p>
    <w:p w:rsidR="0015626B" w:rsidRPr="00536A7B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b/>
          <w:sz w:val="22"/>
          <w:szCs w:val="22"/>
        </w:rPr>
      </w:pPr>
      <w:r w:rsidRPr="004C3B94">
        <w:rPr>
          <w:b/>
          <w:sz w:val="22"/>
          <w:szCs w:val="22"/>
        </w:rPr>
        <w:t xml:space="preserve">4.2 </w:t>
      </w:r>
      <w:r w:rsidRPr="004C3B94">
        <w:rPr>
          <w:b/>
          <w:sz w:val="22"/>
          <w:szCs w:val="22"/>
        </w:rPr>
        <w:tab/>
        <w:t>Dávkovanie a spôsob podávania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604C73" w:rsidRDefault="0015626B" w:rsidP="004C3B94">
      <w:pPr>
        <w:numPr>
          <w:ilvl w:val="12"/>
          <w:numId w:val="0"/>
        </w:numPr>
        <w:rPr>
          <w:sz w:val="22"/>
          <w:szCs w:val="22"/>
          <w:u w:val="single"/>
        </w:rPr>
      </w:pPr>
      <w:r w:rsidRPr="00D264FB">
        <w:rPr>
          <w:sz w:val="22"/>
          <w:szCs w:val="22"/>
          <w:u w:val="single"/>
        </w:rPr>
        <w:t>Dávkovanie</w:t>
      </w:r>
    </w:p>
    <w:p w:rsidR="0015626B" w:rsidRPr="004C3B94" w:rsidRDefault="0015626B" w:rsidP="004C3B94">
      <w:pPr>
        <w:numPr>
          <w:ilvl w:val="12"/>
          <w:numId w:val="0"/>
        </w:numPr>
        <w:rPr>
          <w:bCs/>
          <w:sz w:val="22"/>
          <w:szCs w:val="22"/>
        </w:rPr>
      </w:pPr>
      <w:r w:rsidRPr="004C3B94">
        <w:rPr>
          <w:sz w:val="22"/>
          <w:szCs w:val="22"/>
        </w:rPr>
        <w:t xml:space="preserve">Na užívanie </w:t>
      </w:r>
      <w:r>
        <w:rPr>
          <w:sz w:val="22"/>
          <w:szCs w:val="22"/>
        </w:rPr>
        <w:t xml:space="preserve">Ursofalku 250 mg kapsúl </w:t>
      </w:r>
      <w:r w:rsidRPr="004C3B94">
        <w:rPr>
          <w:sz w:val="22"/>
          <w:szCs w:val="22"/>
        </w:rPr>
        <w:t xml:space="preserve"> nie je stanovená veková hranica. </w:t>
      </w:r>
      <w:r w:rsidRPr="004C3B94">
        <w:rPr>
          <w:bCs/>
          <w:sz w:val="22"/>
          <w:szCs w:val="22"/>
        </w:rPr>
        <w:t>Pre tých, ktorí nie sú schopní prehltnúť kapsuly</w:t>
      </w:r>
      <w:r>
        <w:rPr>
          <w:bCs/>
          <w:sz w:val="22"/>
          <w:szCs w:val="22"/>
        </w:rPr>
        <w:t>,</w:t>
      </w:r>
      <w:r w:rsidRPr="004C3B94">
        <w:rPr>
          <w:bCs/>
          <w:sz w:val="22"/>
          <w:szCs w:val="22"/>
        </w:rPr>
        <w:t xml:space="preserve"> alebo vážia menej ako </w:t>
      </w:r>
      <w:smartTag w:uri="urn:schemas-microsoft-com:office:smarttags" w:element="metricconverter">
        <w:smartTagPr>
          <w:attr w:name="ProductID" w:val="47 kg"/>
        </w:smartTagPr>
        <w:r w:rsidRPr="004C3B94">
          <w:rPr>
            <w:bCs/>
            <w:sz w:val="22"/>
            <w:szCs w:val="22"/>
          </w:rPr>
          <w:t>47 kg</w:t>
        </w:r>
      </w:smartTag>
      <w:r w:rsidRPr="004C3B94">
        <w:rPr>
          <w:bCs/>
          <w:sz w:val="22"/>
          <w:szCs w:val="22"/>
        </w:rPr>
        <w:t xml:space="preserve">, je </w:t>
      </w:r>
      <w:r>
        <w:rPr>
          <w:bCs/>
          <w:sz w:val="22"/>
          <w:szCs w:val="22"/>
        </w:rPr>
        <w:t xml:space="preserve">Ursofalk </w:t>
      </w:r>
      <w:r w:rsidRPr="004C3B94">
        <w:rPr>
          <w:bCs/>
          <w:sz w:val="22"/>
          <w:szCs w:val="22"/>
        </w:rPr>
        <w:t xml:space="preserve"> dostupný vo forme </w:t>
      </w:r>
      <w:r>
        <w:rPr>
          <w:bCs/>
          <w:sz w:val="22"/>
          <w:szCs w:val="22"/>
        </w:rPr>
        <w:t xml:space="preserve">Ursofalku 250 mg/5 ml </w:t>
      </w:r>
      <w:r w:rsidRPr="004C3B94">
        <w:rPr>
          <w:bCs/>
          <w:sz w:val="22"/>
          <w:szCs w:val="22"/>
        </w:rPr>
        <w:t xml:space="preserve"> suspenzie.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CC674A" w:rsidRDefault="0015626B" w:rsidP="004C3B94">
      <w:pPr>
        <w:rPr>
          <w:sz w:val="22"/>
          <w:szCs w:val="22"/>
        </w:rPr>
      </w:pPr>
      <w:r w:rsidRPr="00CC674A">
        <w:rPr>
          <w:sz w:val="22"/>
          <w:szCs w:val="22"/>
        </w:rPr>
        <w:t>Pre rôzne indikácie sa odporúča nasledovná denná dávka:</w:t>
      </w:r>
    </w:p>
    <w:p w:rsidR="0015626B" w:rsidRPr="0052070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  <w:u w:val="single"/>
        </w:rPr>
      </w:pPr>
      <w:r w:rsidRPr="004C3B94">
        <w:rPr>
          <w:sz w:val="22"/>
          <w:szCs w:val="22"/>
          <w:u w:val="single"/>
        </w:rPr>
        <w:t>Rozpúšťanie cholesterolových žlčových kameňov:</w:t>
      </w:r>
    </w:p>
    <w:p w:rsidR="0015626B" w:rsidRPr="004C3B94" w:rsidRDefault="0015626B" w:rsidP="004C3B94">
      <w:pPr>
        <w:rPr>
          <w:sz w:val="22"/>
          <w:szCs w:val="22"/>
          <w:u w:val="single"/>
        </w:rPr>
      </w:pP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>Približne 10 mg/kg telesnej hmotnosti denne, čo zodpovedá: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 xml:space="preserve">do </w:t>
      </w:r>
      <w:smartTag w:uri="urn:schemas-microsoft-com:office:smarttags" w:element="metricconverter">
        <w:smartTagPr>
          <w:attr w:name="ProductID" w:val="60 kg"/>
        </w:smartTagPr>
        <w:r w:rsidRPr="004C3B94">
          <w:rPr>
            <w:sz w:val="22"/>
            <w:szCs w:val="22"/>
          </w:rPr>
          <w:t>60 kg</w:t>
        </w:r>
      </w:smartTag>
      <w:r w:rsidRPr="004C3B94">
        <w:rPr>
          <w:sz w:val="22"/>
          <w:szCs w:val="22"/>
        </w:rPr>
        <w:tab/>
        <w:t>2 kapsuly</w:t>
      </w: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 xml:space="preserve">61 - </w:t>
      </w:r>
      <w:smartTag w:uri="urn:schemas-microsoft-com:office:smarttags" w:element="metricconverter">
        <w:smartTagPr>
          <w:attr w:name="ProductID" w:val="80 kg"/>
        </w:smartTagPr>
        <w:r w:rsidRPr="004C3B94">
          <w:rPr>
            <w:sz w:val="22"/>
            <w:szCs w:val="22"/>
          </w:rPr>
          <w:t>80 kg</w:t>
        </w:r>
      </w:smartTag>
      <w:r w:rsidRPr="004C3B94">
        <w:rPr>
          <w:sz w:val="22"/>
          <w:szCs w:val="22"/>
        </w:rPr>
        <w:tab/>
        <w:t>3 kapsuly</w:t>
      </w: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 xml:space="preserve">81 - </w:t>
      </w:r>
      <w:smartTag w:uri="urn:schemas-microsoft-com:office:smarttags" w:element="metricconverter">
        <w:smartTagPr>
          <w:attr w:name="ProductID" w:val="100 kg"/>
        </w:smartTagPr>
        <w:r w:rsidRPr="004C3B94">
          <w:rPr>
            <w:sz w:val="22"/>
            <w:szCs w:val="22"/>
          </w:rPr>
          <w:t>100 kg</w:t>
        </w:r>
      </w:smartTag>
      <w:r w:rsidRPr="004C3B94">
        <w:rPr>
          <w:sz w:val="22"/>
          <w:szCs w:val="22"/>
        </w:rPr>
        <w:tab/>
        <w:t>4 kapsuly</w:t>
      </w: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 xml:space="preserve">nad </w:t>
      </w:r>
      <w:smartTag w:uri="urn:schemas-microsoft-com:office:smarttags" w:element="metricconverter">
        <w:smartTagPr>
          <w:attr w:name="ProductID" w:val="100 kg"/>
        </w:smartTagPr>
        <w:r w:rsidRPr="004C3B94">
          <w:rPr>
            <w:sz w:val="22"/>
            <w:szCs w:val="22"/>
          </w:rPr>
          <w:t>100 kg</w:t>
        </w:r>
      </w:smartTag>
      <w:r w:rsidRPr="004C3B94">
        <w:rPr>
          <w:sz w:val="22"/>
          <w:szCs w:val="22"/>
        </w:rPr>
        <w:tab/>
        <w:t>5 kapsúl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>Kapsuly sa majú prehĺtať celé a zapiť dostatočným množstvom tekutiny</w:t>
      </w:r>
      <w:r w:rsidRPr="004C3B94" w:rsidDel="004C3B94">
        <w:rPr>
          <w:sz w:val="22"/>
          <w:szCs w:val="22"/>
        </w:rPr>
        <w:t xml:space="preserve"> </w:t>
      </w:r>
      <w:r w:rsidRPr="004C3B94">
        <w:rPr>
          <w:sz w:val="22"/>
          <w:szCs w:val="22"/>
        </w:rPr>
        <w:t>1-krát denne večer pred spaním.</w:t>
      </w: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>Kapsuly sa musia užívať pravidelne.</w:t>
      </w:r>
    </w:p>
    <w:p w:rsidR="0015626B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>Rozpustenie žlčníkových kameňov trvá zvyčajne 6 až 24 mesiacov. Ak nedôjde k zmenšeniu žlčníkových kameňov po 12 mesiacoch, nemá sa v terapii pokračovať.</w:t>
      </w:r>
    </w:p>
    <w:p w:rsidR="0015626B" w:rsidRPr="00520704" w:rsidRDefault="0015626B" w:rsidP="004C3B94">
      <w:pPr>
        <w:rPr>
          <w:sz w:val="22"/>
          <w:szCs w:val="22"/>
        </w:rPr>
      </w:pPr>
      <w:r w:rsidRPr="00520704">
        <w:rPr>
          <w:sz w:val="22"/>
          <w:szCs w:val="22"/>
        </w:rPr>
        <w:t xml:space="preserve">Úspešnosť liečby </w:t>
      </w:r>
      <w:r w:rsidRPr="00CC674A">
        <w:rPr>
          <w:sz w:val="22"/>
          <w:szCs w:val="22"/>
        </w:rPr>
        <w:t>sa má</w:t>
      </w:r>
      <w:r w:rsidRPr="00520704">
        <w:rPr>
          <w:sz w:val="22"/>
          <w:szCs w:val="22"/>
        </w:rPr>
        <w:t xml:space="preserve"> kontrolovať sonograficky alebo röntgenologicky každých 6 mesiacov. Pri </w:t>
      </w:r>
      <w:r w:rsidRPr="00CC674A">
        <w:rPr>
          <w:sz w:val="22"/>
          <w:szCs w:val="22"/>
        </w:rPr>
        <w:t>následných vyšetreniach</w:t>
      </w:r>
      <w:r w:rsidRPr="00520704">
        <w:rPr>
          <w:sz w:val="22"/>
          <w:szCs w:val="22"/>
        </w:rPr>
        <w:t xml:space="preserve"> </w:t>
      </w:r>
      <w:r w:rsidRPr="00CC674A">
        <w:rPr>
          <w:sz w:val="22"/>
          <w:szCs w:val="22"/>
        </w:rPr>
        <w:t xml:space="preserve">sa má </w:t>
      </w:r>
      <w:r w:rsidRPr="00520704">
        <w:rPr>
          <w:sz w:val="22"/>
          <w:szCs w:val="22"/>
        </w:rPr>
        <w:t xml:space="preserve">okrem iného sledovať, či nedošlo k zvápenateniu kameňov. V takom prípade </w:t>
      </w:r>
      <w:r w:rsidRPr="00CC674A">
        <w:rPr>
          <w:sz w:val="22"/>
          <w:szCs w:val="22"/>
        </w:rPr>
        <w:t>sa musí</w:t>
      </w:r>
      <w:r w:rsidRPr="00520704">
        <w:rPr>
          <w:sz w:val="22"/>
          <w:szCs w:val="22"/>
        </w:rPr>
        <w:t xml:space="preserve"> liečba ukončiť.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  <w:u w:val="single"/>
        </w:rPr>
      </w:pPr>
      <w:r w:rsidRPr="004C3B94">
        <w:rPr>
          <w:sz w:val="22"/>
          <w:szCs w:val="22"/>
          <w:u w:val="single"/>
        </w:rPr>
        <w:t>Liečba biliárnej refluxnej gastritídy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 xml:space="preserve">1 kapsulu </w:t>
      </w:r>
      <w:r>
        <w:rPr>
          <w:sz w:val="22"/>
          <w:szCs w:val="22"/>
        </w:rPr>
        <w:t xml:space="preserve">Ursofalku kapsuly  </w:t>
      </w:r>
      <w:r w:rsidRPr="004C3B94">
        <w:rPr>
          <w:sz w:val="22"/>
          <w:szCs w:val="22"/>
        </w:rPr>
        <w:t>denne večer pred spaním prehltnúť celú a zapiť dostatočným množstvom tekutiny.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bCs/>
          <w:sz w:val="22"/>
          <w:szCs w:val="22"/>
        </w:rPr>
        <w:t xml:space="preserve">Na liečbu biliárnej refluxnej gastritídy sa </w:t>
      </w:r>
      <w:r>
        <w:rPr>
          <w:bCs/>
          <w:sz w:val="22"/>
          <w:szCs w:val="22"/>
        </w:rPr>
        <w:t>Ursofalk 250 mg kapsuly</w:t>
      </w:r>
      <w:r w:rsidRPr="004C3B94">
        <w:rPr>
          <w:bCs/>
          <w:sz w:val="22"/>
          <w:szCs w:val="22"/>
        </w:rPr>
        <w:t xml:space="preserve"> užíva spravidla 10-14 dní. Všeobecne závisí trvanie liečby od priebehu ochorenia. O dĺžke liečby rozhoduje v jednotlivých prípadoch ošetrujúci lekár.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  <w:u w:val="single"/>
        </w:rPr>
      </w:pPr>
      <w:r w:rsidRPr="004C3B94">
        <w:rPr>
          <w:sz w:val="22"/>
          <w:szCs w:val="22"/>
          <w:u w:val="single"/>
        </w:rPr>
        <w:t>Symptomatická liečba primárnej biliárnej cirhózy (PBC)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>Denná dávka závisí od telesnej hmotnosti a pohybuje sa medzi 3 až 7 kaps</w:t>
      </w:r>
      <w:r>
        <w:rPr>
          <w:sz w:val="22"/>
          <w:szCs w:val="22"/>
        </w:rPr>
        <w:t xml:space="preserve">ulami </w:t>
      </w:r>
      <w:r w:rsidRPr="004C3B94">
        <w:rPr>
          <w:sz w:val="22"/>
          <w:szCs w:val="22"/>
        </w:rPr>
        <w:t>(14</w:t>
      </w:r>
      <w:r>
        <w:rPr>
          <w:sz w:val="22"/>
          <w:szCs w:val="22"/>
        </w:rPr>
        <w:t xml:space="preserve"> </w:t>
      </w:r>
      <w:r w:rsidRPr="004C3B94">
        <w:rPr>
          <w:sz w:val="22"/>
          <w:szCs w:val="22"/>
        </w:rPr>
        <w:t>±</w:t>
      </w:r>
      <w:r>
        <w:rPr>
          <w:sz w:val="22"/>
          <w:szCs w:val="22"/>
        </w:rPr>
        <w:t xml:space="preserve"> </w:t>
      </w:r>
      <w:r w:rsidRPr="004C3B94">
        <w:rPr>
          <w:sz w:val="22"/>
          <w:szCs w:val="22"/>
        </w:rPr>
        <w:t>2 mg kyseliny ursodeoxychol</w:t>
      </w:r>
      <w:r>
        <w:rPr>
          <w:sz w:val="22"/>
          <w:szCs w:val="22"/>
        </w:rPr>
        <w:t>ovej</w:t>
      </w:r>
      <w:r w:rsidRPr="004C3B94">
        <w:rPr>
          <w:sz w:val="22"/>
          <w:szCs w:val="22"/>
        </w:rPr>
        <w:t xml:space="preserve"> na kilogram telesnej hmotnosti).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520704" w:rsidRDefault="0015626B" w:rsidP="004C3B94">
      <w:pPr>
        <w:tabs>
          <w:tab w:val="left" w:pos="709"/>
          <w:tab w:val="left" w:pos="1701"/>
          <w:tab w:val="left" w:pos="5103"/>
        </w:tabs>
        <w:rPr>
          <w:bCs/>
          <w:sz w:val="22"/>
          <w:szCs w:val="22"/>
        </w:rPr>
      </w:pPr>
      <w:r w:rsidRPr="00520704">
        <w:rPr>
          <w:bCs/>
          <w:color w:val="000000"/>
          <w:spacing w:val="-2"/>
          <w:sz w:val="22"/>
          <w:szCs w:val="22"/>
        </w:rPr>
        <w:t xml:space="preserve">Počas prvých 3 mesiacov liečby sa má </w:t>
      </w:r>
      <w:r>
        <w:rPr>
          <w:bCs/>
          <w:sz w:val="22"/>
          <w:szCs w:val="22"/>
        </w:rPr>
        <w:t>Ursofalk 250 mg kapsuly</w:t>
      </w:r>
      <w:r w:rsidRPr="00520704">
        <w:rPr>
          <w:bCs/>
          <w:sz w:val="22"/>
          <w:szCs w:val="22"/>
        </w:rPr>
        <w:t xml:space="preserve"> užívať </w:t>
      </w:r>
      <w:r w:rsidRPr="00CC674A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 </w:t>
      </w:r>
      <w:r w:rsidRPr="00CC674A">
        <w:rPr>
          <w:bCs/>
          <w:sz w:val="22"/>
          <w:szCs w:val="22"/>
        </w:rPr>
        <w:t>rozdelených dávkach</w:t>
      </w:r>
      <w:r w:rsidRPr="00520704">
        <w:rPr>
          <w:bCs/>
          <w:sz w:val="22"/>
          <w:szCs w:val="22"/>
        </w:rPr>
        <w:t xml:space="preserve">, 3 </w:t>
      </w:r>
      <w:r w:rsidRPr="00CC674A">
        <w:rPr>
          <w:bCs/>
          <w:sz w:val="22"/>
          <w:szCs w:val="22"/>
        </w:rPr>
        <w:t>dávky</w:t>
      </w:r>
      <w:r w:rsidRPr="00520704">
        <w:rPr>
          <w:bCs/>
          <w:sz w:val="22"/>
          <w:szCs w:val="22"/>
        </w:rPr>
        <w:t xml:space="preserve"> počas dňa. Keď sa parametre pečeňových funkcií zlepšia, celkovú dennú dávku možno podávať  raz denne </w:t>
      </w:r>
      <w:r>
        <w:rPr>
          <w:bCs/>
          <w:sz w:val="22"/>
          <w:szCs w:val="22"/>
        </w:rPr>
        <w:t>večer.</w:t>
      </w:r>
    </w:p>
    <w:p w:rsidR="0015626B" w:rsidRPr="00520704" w:rsidRDefault="0015626B" w:rsidP="004C3B94">
      <w:pPr>
        <w:tabs>
          <w:tab w:val="left" w:pos="709"/>
          <w:tab w:val="left" w:pos="1701"/>
          <w:tab w:val="left" w:pos="5103"/>
        </w:tabs>
        <w:rPr>
          <w:bCs/>
          <w:color w:val="000000"/>
          <w:spacing w:val="-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7"/>
        <w:gridCol w:w="1487"/>
        <w:gridCol w:w="1456"/>
        <w:gridCol w:w="1466"/>
        <w:gridCol w:w="13"/>
        <w:gridCol w:w="1454"/>
        <w:gridCol w:w="1493"/>
      </w:tblGrid>
      <w:tr w:rsidR="0015626B" w:rsidRPr="00CC21D4" w:rsidTr="00192BC2">
        <w:tc>
          <w:tcPr>
            <w:tcW w:w="1487" w:type="dxa"/>
            <w:vMerge w:val="restart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Telesná</w:t>
            </w:r>
          </w:p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hmotnosť</w:t>
            </w:r>
          </w:p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(kg)</w:t>
            </w:r>
          </w:p>
        </w:tc>
        <w:tc>
          <w:tcPr>
            <w:tcW w:w="1487" w:type="dxa"/>
            <w:vMerge w:val="restart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Denná dávka</w:t>
            </w:r>
          </w:p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(mg/kg)</w:t>
            </w:r>
          </w:p>
        </w:tc>
        <w:tc>
          <w:tcPr>
            <w:tcW w:w="5882" w:type="dxa"/>
            <w:gridSpan w:val="5"/>
          </w:tcPr>
          <w:p w:rsidR="0015626B" w:rsidRPr="00836351" w:rsidRDefault="0015626B" w:rsidP="005826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t>Ursofalk 250 mg kapsuly</w:t>
            </w:r>
            <w:r w:rsidRPr="00836351">
              <w:rPr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15626B" w:rsidRPr="00CC21D4" w:rsidTr="000A3F9C">
        <w:tc>
          <w:tcPr>
            <w:tcW w:w="1487" w:type="dxa"/>
            <w:vMerge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</w:p>
        </w:tc>
        <w:tc>
          <w:tcPr>
            <w:tcW w:w="1487" w:type="dxa"/>
            <w:vMerge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</w:p>
        </w:tc>
        <w:tc>
          <w:tcPr>
            <w:tcW w:w="4389" w:type="dxa"/>
            <w:gridSpan w:val="4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Prvé 3 mesiace</w:t>
            </w:r>
          </w:p>
        </w:tc>
        <w:tc>
          <w:tcPr>
            <w:tcW w:w="1493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Následne</w:t>
            </w:r>
          </w:p>
        </w:tc>
      </w:tr>
      <w:tr w:rsidR="0015626B" w:rsidRPr="00CC21D4" w:rsidTr="000A3F9C">
        <w:tc>
          <w:tcPr>
            <w:tcW w:w="1487" w:type="dxa"/>
            <w:vMerge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</w:p>
        </w:tc>
        <w:tc>
          <w:tcPr>
            <w:tcW w:w="1487" w:type="dxa"/>
            <w:vMerge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</w:p>
        </w:tc>
        <w:tc>
          <w:tcPr>
            <w:tcW w:w="1456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Ráno</w:t>
            </w:r>
          </w:p>
        </w:tc>
        <w:tc>
          <w:tcPr>
            <w:tcW w:w="1466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 xml:space="preserve">Na poludnie </w:t>
            </w:r>
          </w:p>
        </w:tc>
        <w:tc>
          <w:tcPr>
            <w:tcW w:w="1467" w:type="dxa"/>
            <w:gridSpan w:val="2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Večer</w:t>
            </w:r>
          </w:p>
        </w:tc>
        <w:tc>
          <w:tcPr>
            <w:tcW w:w="1493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Večer</w:t>
            </w:r>
          </w:p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(jedenkrát</w:t>
            </w:r>
          </w:p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denne)</w:t>
            </w:r>
          </w:p>
        </w:tc>
      </w:tr>
      <w:tr w:rsidR="0015626B" w:rsidRPr="00CC21D4" w:rsidTr="000A3F9C">
        <w:tc>
          <w:tcPr>
            <w:tcW w:w="1487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47 – 62</w:t>
            </w:r>
          </w:p>
        </w:tc>
        <w:tc>
          <w:tcPr>
            <w:tcW w:w="1487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12 – 16</w:t>
            </w:r>
          </w:p>
        </w:tc>
        <w:tc>
          <w:tcPr>
            <w:tcW w:w="1456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gridSpan w:val="2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1</w:t>
            </w:r>
          </w:p>
        </w:tc>
        <w:tc>
          <w:tcPr>
            <w:tcW w:w="1454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1</w:t>
            </w:r>
          </w:p>
        </w:tc>
        <w:tc>
          <w:tcPr>
            <w:tcW w:w="1493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3</w:t>
            </w:r>
          </w:p>
        </w:tc>
      </w:tr>
      <w:tr w:rsidR="0015626B" w:rsidRPr="00CC21D4" w:rsidTr="000A3F9C">
        <w:tc>
          <w:tcPr>
            <w:tcW w:w="1487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63 – 78</w:t>
            </w:r>
          </w:p>
        </w:tc>
        <w:tc>
          <w:tcPr>
            <w:tcW w:w="1487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13 – 16</w:t>
            </w:r>
          </w:p>
        </w:tc>
        <w:tc>
          <w:tcPr>
            <w:tcW w:w="1456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gridSpan w:val="2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1</w:t>
            </w:r>
          </w:p>
        </w:tc>
        <w:tc>
          <w:tcPr>
            <w:tcW w:w="1454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2</w:t>
            </w:r>
          </w:p>
        </w:tc>
        <w:tc>
          <w:tcPr>
            <w:tcW w:w="1493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4</w:t>
            </w:r>
          </w:p>
        </w:tc>
      </w:tr>
      <w:tr w:rsidR="0015626B" w:rsidRPr="00CC21D4" w:rsidTr="000A3F9C">
        <w:tc>
          <w:tcPr>
            <w:tcW w:w="1487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79 – 93</w:t>
            </w:r>
          </w:p>
        </w:tc>
        <w:tc>
          <w:tcPr>
            <w:tcW w:w="1487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13 – 16</w:t>
            </w:r>
          </w:p>
        </w:tc>
        <w:tc>
          <w:tcPr>
            <w:tcW w:w="1456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gridSpan w:val="2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2</w:t>
            </w:r>
          </w:p>
        </w:tc>
        <w:tc>
          <w:tcPr>
            <w:tcW w:w="1454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2</w:t>
            </w:r>
          </w:p>
        </w:tc>
        <w:tc>
          <w:tcPr>
            <w:tcW w:w="1493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5</w:t>
            </w:r>
          </w:p>
        </w:tc>
      </w:tr>
      <w:tr w:rsidR="0015626B" w:rsidRPr="00CC21D4" w:rsidTr="000A3F9C">
        <w:tc>
          <w:tcPr>
            <w:tcW w:w="1487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94 – 109</w:t>
            </w:r>
          </w:p>
        </w:tc>
        <w:tc>
          <w:tcPr>
            <w:tcW w:w="1487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14 - 16</w:t>
            </w:r>
          </w:p>
        </w:tc>
        <w:tc>
          <w:tcPr>
            <w:tcW w:w="1456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  <w:gridSpan w:val="2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2</w:t>
            </w:r>
          </w:p>
        </w:tc>
        <w:tc>
          <w:tcPr>
            <w:tcW w:w="1454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2</w:t>
            </w:r>
          </w:p>
        </w:tc>
        <w:tc>
          <w:tcPr>
            <w:tcW w:w="1493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6</w:t>
            </w:r>
          </w:p>
        </w:tc>
      </w:tr>
      <w:tr w:rsidR="0015626B" w:rsidRPr="00CC21D4" w:rsidTr="000A3F9C">
        <w:tc>
          <w:tcPr>
            <w:tcW w:w="1487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nad 110</w:t>
            </w:r>
          </w:p>
        </w:tc>
        <w:tc>
          <w:tcPr>
            <w:tcW w:w="1487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</w:p>
        </w:tc>
        <w:tc>
          <w:tcPr>
            <w:tcW w:w="1456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  <w:gridSpan w:val="2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2</w:t>
            </w:r>
          </w:p>
        </w:tc>
        <w:tc>
          <w:tcPr>
            <w:tcW w:w="1454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3</w:t>
            </w:r>
          </w:p>
        </w:tc>
        <w:tc>
          <w:tcPr>
            <w:tcW w:w="1493" w:type="dxa"/>
          </w:tcPr>
          <w:p w:rsidR="0015626B" w:rsidRPr="00836351" w:rsidRDefault="0015626B" w:rsidP="00CC21D4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szCs w:val="22"/>
              </w:rPr>
            </w:pPr>
            <w:r w:rsidRPr="00836351">
              <w:rPr>
                <w:sz w:val="22"/>
                <w:szCs w:val="22"/>
              </w:rPr>
              <w:t>7</w:t>
            </w:r>
          </w:p>
        </w:tc>
      </w:tr>
    </w:tbl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>Kapsuly sa užívajú celé</w:t>
      </w:r>
      <w:r>
        <w:rPr>
          <w:sz w:val="22"/>
          <w:szCs w:val="22"/>
        </w:rPr>
        <w:t xml:space="preserve"> a zapíjajú sa dostatočným množstvom tekutiny</w:t>
      </w:r>
      <w:r w:rsidRPr="004C3B9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Kapsuly sa musia </w:t>
      </w:r>
      <w:r w:rsidRPr="004C3B94">
        <w:rPr>
          <w:sz w:val="22"/>
          <w:szCs w:val="22"/>
        </w:rPr>
        <w:t>užívať pravidelne.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4C3B94" w:rsidRDefault="0015626B" w:rsidP="004C3B94">
      <w:pPr>
        <w:rPr>
          <w:sz w:val="22"/>
          <w:szCs w:val="22"/>
        </w:rPr>
      </w:pPr>
      <w:r w:rsidRPr="004C3B94">
        <w:rPr>
          <w:sz w:val="22"/>
          <w:szCs w:val="22"/>
        </w:rPr>
        <w:t xml:space="preserve">V prípade primárnej biliárnej cirhózy nie je užívanie </w:t>
      </w:r>
      <w:r>
        <w:rPr>
          <w:sz w:val="22"/>
          <w:szCs w:val="22"/>
        </w:rPr>
        <w:t xml:space="preserve">Ursofalku 250 mg kapsúl </w:t>
      </w:r>
      <w:r w:rsidRPr="004C3B94">
        <w:rPr>
          <w:sz w:val="22"/>
          <w:szCs w:val="22"/>
        </w:rPr>
        <w:t>časovo ohraničené.</w:t>
      </w:r>
    </w:p>
    <w:p w:rsidR="0015626B" w:rsidRPr="004C3B94" w:rsidRDefault="0015626B" w:rsidP="004C3B94">
      <w:pPr>
        <w:rPr>
          <w:sz w:val="22"/>
          <w:szCs w:val="22"/>
        </w:rPr>
      </w:pPr>
    </w:p>
    <w:p w:rsidR="0015626B" w:rsidRPr="00152203" w:rsidRDefault="0015626B" w:rsidP="003F4412">
      <w:pPr>
        <w:ind w:right="-1"/>
        <w:rPr>
          <w:sz w:val="22"/>
          <w:szCs w:val="22"/>
        </w:rPr>
      </w:pPr>
      <w:r w:rsidRPr="00152203">
        <w:rPr>
          <w:sz w:val="22"/>
          <w:szCs w:val="22"/>
        </w:rPr>
        <w:t xml:space="preserve">U pacientov s primárnou biliárnou cirhózou sa môžu v zriedkavých prípadoch  klinické symptómy na začiatku liečby zhoršiť, napr. môže sa zintenzívniť svrbenie. V takýchto prípadoch sa v liečbe pokračuje s 1 kapsulou </w:t>
      </w:r>
      <w:r w:rsidRPr="00152203">
        <w:rPr>
          <w:bCs/>
          <w:sz w:val="22"/>
          <w:szCs w:val="22"/>
        </w:rPr>
        <w:t>Ursofalku kapsuly</w:t>
      </w:r>
      <w:r w:rsidRPr="00152203">
        <w:rPr>
          <w:bCs/>
          <w:sz w:val="22"/>
          <w:szCs w:val="22"/>
          <w:vertAlign w:val="superscript"/>
        </w:rPr>
        <w:t xml:space="preserve"> </w:t>
      </w:r>
      <w:r w:rsidRPr="00152203">
        <w:rPr>
          <w:bCs/>
          <w:sz w:val="22"/>
          <w:szCs w:val="22"/>
        </w:rPr>
        <w:t xml:space="preserve"> denne a p</w:t>
      </w:r>
      <w:r w:rsidRPr="00152203">
        <w:rPr>
          <w:sz w:val="22"/>
          <w:szCs w:val="22"/>
        </w:rPr>
        <w:t>otom sa dávka postupne zvyšuje (denná dávka sa zvyšuje týždenne o 1 kapsulu), až kým sa opäť nedosiahne uvedená dávka podľa požadovanej dávkovacej schémy.</w:t>
      </w:r>
    </w:p>
    <w:p w:rsidR="0015626B" w:rsidRDefault="0015626B" w:rsidP="003A76CA">
      <w:pPr>
        <w:jc w:val="both"/>
        <w:rPr>
          <w:sz w:val="22"/>
          <w:szCs w:val="22"/>
        </w:rPr>
      </w:pPr>
    </w:p>
    <w:p w:rsidR="0015626B" w:rsidRPr="0050509D" w:rsidRDefault="0015626B" w:rsidP="00760A01">
      <w:pPr>
        <w:jc w:val="both"/>
        <w:rPr>
          <w:sz w:val="22"/>
          <w:szCs w:val="22"/>
          <w:u w:val="single"/>
        </w:rPr>
      </w:pPr>
      <w:r w:rsidRPr="0050509D">
        <w:rPr>
          <w:sz w:val="22"/>
          <w:szCs w:val="22"/>
          <w:u w:val="single"/>
        </w:rPr>
        <w:t>Pediatrická populácia</w:t>
      </w:r>
    </w:p>
    <w:p w:rsidR="0015626B" w:rsidRPr="00536A7B" w:rsidRDefault="0015626B" w:rsidP="00A62C37">
      <w:pPr>
        <w:jc w:val="both"/>
        <w:rPr>
          <w:sz w:val="22"/>
          <w:szCs w:val="22"/>
        </w:rPr>
      </w:pPr>
      <w:r w:rsidRPr="0050509D">
        <w:rPr>
          <w:sz w:val="22"/>
          <w:szCs w:val="22"/>
        </w:rPr>
        <w:t>Deti s cystickou fibrózou vo veku  od 6 rokov do 18 rokov.</w:t>
      </w:r>
      <w:r w:rsidRPr="0006190D">
        <w:rPr>
          <w:sz w:val="22"/>
          <w:szCs w:val="22"/>
        </w:rPr>
        <w:t xml:space="preserve"> </w:t>
      </w:r>
    </w:p>
    <w:p w:rsidR="0015626B" w:rsidRPr="00536A7B" w:rsidRDefault="0015626B" w:rsidP="00760A01">
      <w:pPr>
        <w:jc w:val="both"/>
        <w:rPr>
          <w:sz w:val="22"/>
          <w:szCs w:val="22"/>
        </w:rPr>
      </w:pPr>
      <w:r w:rsidRPr="00D264FB">
        <w:rPr>
          <w:sz w:val="22"/>
          <w:szCs w:val="22"/>
        </w:rPr>
        <w:t>20mg/kg/deň v 2 – 3 rozdelených dávkach. Ak je to potrebné,  možno dávku zvýšiť na 30mg/kg/deň.</w:t>
      </w:r>
    </w:p>
    <w:p w:rsidR="0015626B" w:rsidRPr="00536A7B" w:rsidRDefault="0015626B" w:rsidP="00760A01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5"/>
        <w:gridCol w:w="1371"/>
        <w:gridCol w:w="688"/>
        <w:gridCol w:w="1009"/>
        <w:gridCol w:w="750"/>
      </w:tblGrid>
      <w:tr w:rsidR="0015626B" w:rsidRPr="00640CAC" w:rsidTr="00192BC2">
        <w:trPr>
          <w:trHeight w:val="350"/>
        </w:trPr>
        <w:tc>
          <w:tcPr>
            <w:tcW w:w="0" w:type="auto"/>
            <w:vMerge w:val="restart"/>
            <w:vAlign w:val="center"/>
          </w:tcPr>
          <w:p w:rsidR="0015626B" w:rsidRPr="00CC674A" w:rsidRDefault="0015626B" w:rsidP="00931A7E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both"/>
              <w:rPr>
                <w:szCs w:val="22"/>
              </w:rPr>
            </w:pPr>
            <w:r w:rsidRPr="00640CAC">
              <w:rPr>
                <w:sz w:val="22"/>
                <w:szCs w:val="22"/>
              </w:rPr>
              <w:t>Telesná</w:t>
            </w:r>
          </w:p>
          <w:p w:rsidR="0015626B" w:rsidRPr="00CC674A" w:rsidRDefault="0015626B" w:rsidP="00931A7E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both"/>
              <w:rPr>
                <w:szCs w:val="22"/>
              </w:rPr>
            </w:pPr>
            <w:r w:rsidRPr="00640CAC">
              <w:rPr>
                <w:sz w:val="22"/>
                <w:szCs w:val="22"/>
              </w:rPr>
              <w:t>hmotnosť</w:t>
            </w:r>
          </w:p>
          <w:p w:rsidR="0015626B" w:rsidRPr="00CC674A" w:rsidRDefault="0015626B" w:rsidP="00931A7E">
            <w:pPr>
              <w:autoSpaceDE w:val="0"/>
              <w:autoSpaceDN w:val="0"/>
              <w:jc w:val="center"/>
              <w:rPr>
                <w:szCs w:val="22"/>
                <w:lang w:val="de-DE"/>
              </w:rPr>
            </w:pPr>
            <w:r w:rsidRPr="00640CAC">
              <w:rPr>
                <w:sz w:val="22"/>
                <w:szCs w:val="22"/>
              </w:rPr>
              <w:t>(kg)</w:t>
            </w:r>
          </w:p>
        </w:tc>
        <w:tc>
          <w:tcPr>
            <w:tcW w:w="0" w:type="auto"/>
            <w:vMerge w:val="restart"/>
            <w:vAlign w:val="center"/>
          </w:tcPr>
          <w:p w:rsidR="0015626B" w:rsidRPr="00CC674A" w:rsidRDefault="0015626B" w:rsidP="00931A7E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both"/>
              <w:rPr>
                <w:szCs w:val="22"/>
              </w:rPr>
            </w:pPr>
            <w:r w:rsidRPr="00640CAC">
              <w:rPr>
                <w:sz w:val="22"/>
                <w:szCs w:val="22"/>
              </w:rPr>
              <w:t>Denná dávka</w:t>
            </w:r>
          </w:p>
          <w:p w:rsidR="0015626B" w:rsidRPr="00CC674A" w:rsidRDefault="0015626B" w:rsidP="00931A7E">
            <w:pPr>
              <w:autoSpaceDE w:val="0"/>
              <w:autoSpaceDN w:val="0"/>
              <w:jc w:val="center"/>
              <w:rPr>
                <w:szCs w:val="22"/>
                <w:lang w:val="en-US"/>
              </w:rPr>
            </w:pPr>
            <w:r w:rsidRPr="00640CAC">
              <w:rPr>
                <w:sz w:val="22"/>
                <w:szCs w:val="22"/>
              </w:rPr>
              <w:t>(mg/kg)</w:t>
            </w:r>
          </w:p>
        </w:tc>
        <w:tc>
          <w:tcPr>
            <w:tcW w:w="0" w:type="auto"/>
            <w:gridSpan w:val="3"/>
            <w:vAlign w:val="center"/>
          </w:tcPr>
          <w:p w:rsidR="0015626B" w:rsidRPr="00CC674A" w:rsidRDefault="0015626B" w:rsidP="00931A7E">
            <w:pPr>
              <w:autoSpaceDE w:val="0"/>
              <w:autoSpaceDN w:val="0"/>
              <w:rPr>
                <w:szCs w:val="22"/>
                <w:lang w:val="en-US"/>
              </w:rPr>
            </w:pPr>
            <w:r w:rsidRPr="00CC674A">
              <w:rPr>
                <w:bCs/>
                <w:sz w:val="22"/>
                <w:szCs w:val="22"/>
              </w:rPr>
              <w:t>Ursofalk 250 mg kapsuly</w:t>
            </w:r>
          </w:p>
        </w:tc>
      </w:tr>
      <w:tr w:rsidR="0015626B" w:rsidRPr="00640CAC" w:rsidTr="00192BC2">
        <w:trPr>
          <w:trHeight w:val="350"/>
        </w:trPr>
        <w:tc>
          <w:tcPr>
            <w:tcW w:w="0" w:type="auto"/>
            <w:vMerge/>
            <w:vAlign w:val="center"/>
          </w:tcPr>
          <w:p w:rsidR="0015626B" w:rsidRPr="00CC674A" w:rsidRDefault="0015626B" w:rsidP="00931A7E">
            <w:pPr>
              <w:autoSpaceDE w:val="0"/>
              <w:autoSpaceDN w:val="0"/>
              <w:jc w:val="center"/>
              <w:rPr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15626B" w:rsidRPr="00CC674A" w:rsidRDefault="0015626B" w:rsidP="00931A7E">
            <w:pPr>
              <w:autoSpaceDE w:val="0"/>
              <w:autoSpaceDN w:val="0"/>
              <w:jc w:val="center"/>
              <w:rPr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5626B" w:rsidRPr="00CC674A" w:rsidRDefault="0015626B" w:rsidP="00931A7E">
            <w:pPr>
              <w:autoSpaceDE w:val="0"/>
              <w:autoSpaceDN w:val="0"/>
              <w:spacing w:before="120"/>
              <w:jc w:val="center"/>
              <w:rPr>
                <w:szCs w:val="22"/>
                <w:lang w:val="en-US"/>
              </w:rPr>
            </w:pPr>
            <w:r w:rsidRPr="00640CAC">
              <w:rPr>
                <w:sz w:val="22"/>
                <w:szCs w:val="22"/>
                <w:lang w:val="en-US"/>
              </w:rPr>
              <w:t>Ráno</w:t>
            </w:r>
          </w:p>
        </w:tc>
        <w:tc>
          <w:tcPr>
            <w:tcW w:w="0" w:type="auto"/>
            <w:vAlign w:val="center"/>
          </w:tcPr>
          <w:p w:rsidR="0015626B" w:rsidRPr="00CC674A" w:rsidRDefault="0015626B" w:rsidP="00931A7E">
            <w:pPr>
              <w:spacing w:before="120"/>
              <w:jc w:val="center"/>
              <w:rPr>
                <w:szCs w:val="22"/>
                <w:lang w:val="en-US"/>
              </w:rPr>
            </w:pPr>
            <w:r w:rsidRPr="00640CAC">
              <w:rPr>
                <w:sz w:val="22"/>
                <w:szCs w:val="22"/>
                <w:lang w:val="en-US"/>
              </w:rPr>
              <w:t>Poludnie</w:t>
            </w:r>
          </w:p>
        </w:tc>
        <w:tc>
          <w:tcPr>
            <w:tcW w:w="0" w:type="auto"/>
            <w:vAlign w:val="center"/>
          </w:tcPr>
          <w:p w:rsidR="0015626B" w:rsidRPr="00CC674A" w:rsidRDefault="0015626B" w:rsidP="00931A7E">
            <w:pPr>
              <w:spacing w:before="120"/>
              <w:jc w:val="center"/>
              <w:rPr>
                <w:szCs w:val="22"/>
                <w:lang w:val="en-US"/>
              </w:rPr>
            </w:pPr>
            <w:r w:rsidRPr="00640CAC">
              <w:rPr>
                <w:sz w:val="22"/>
                <w:szCs w:val="22"/>
                <w:lang w:val="en-US"/>
              </w:rPr>
              <w:t>Večer</w:t>
            </w:r>
          </w:p>
        </w:tc>
      </w:tr>
      <w:tr w:rsidR="0015626B" w:rsidRPr="00640CAC" w:rsidTr="00192BC2">
        <w:trPr>
          <w:trHeight w:val="350"/>
        </w:trPr>
        <w:tc>
          <w:tcPr>
            <w:tcW w:w="0" w:type="auto"/>
            <w:vAlign w:val="center"/>
          </w:tcPr>
          <w:p w:rsidR="0015626B" w:rsidRPr="00640CAC" w:rsidRDefault="0015626B" w:rsidP="00931A7E">
            <w:pPr>
              <w:jc w:val="center"/>
              <w:rPr>
                <w:b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20 – 29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17-25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--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</w:tr>
      <w:tr w:rsidR="0015626B" w:rsidRPr="00640CAC" w:rsidTr="00192BC2">
        <w:trPr>
          <w:trHeight w:val="350"/>
        </w:trPr>
        <w:tc>
          <w:tcPr>
            <w:tcW w:w="0" w:type="auto"/>
            <w:vAlign w:val="center"/>
          </w:tcPr>
          <w:p w:rsidR="0015626B" w:rsidRPr="00CC674A" w:rsidRDefault="0015626B" w:rsidP="00931A7E">
            <w:pPr>
              <w:ind w:right="-1"/>
              <w:jc w:val="center"/>
              <w:rPr>
                <w:szCs w:val="22"/>
              </w:rPr>
            </w:pPr>
            <w:r>
              <w:rPr>
                <w:b/>
                <w:sz w:val="22"/>
                <w:szCs w:val="22"/>
                <w:lang w:val="de-DE"/>
              </w:rPr>
              <w:t>30 – 39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19-25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</w:tr>
      <w:tr w:rsidR="0015626B" w:rsidRPr="00640CAC" w:rsidTr="00192BC2">
        <w:trPr>
          <w:trHeight w:val="350"/>
        </w:trPr>
        <w:tc>
          <w:tcPr>
            <w:tcW w:w="0" w:type="auto"/>
            <w:vAlign w:val="center"/>
          </w:tcPr>
          <w:p w:rsidR="0015626B" w:rsidRPr="00CC674A" w:rsidRDefault="0015626B" w:rsidP="00931A7E">
            <w:pPr>
              <w:ind w:right="-1"/>
              <w:jc w:val="center"/>
              <w:rPr>
                <w:szCs w:val="22"/>
              </w:rPr>
            </w:pPr>
            <w:r>
              <w:rPr>
                <w:b/>
                <w:sz w:val="22"/>
                <w:szCs w:val="22"/>
                <w:lang w:val="de-DE"/>
              </w:rPr>
              <w:t>40 – 49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20-25</w:t>
            </w:r>
          </w:p>
        </w:tc>
        <w:tc>
          <w:tcPr>
            <w:tcW w:w="0" w:type="auto"/>
            <w:vAlign w:val="center"/>
          </w:tcPr>
          <w:p w:rsidR="0015626B" w:rsidRPr="00CC674A" w:rsidRDefault="0015626B" w:rsidP="00931A7E">
            <w:pPr>
              <w:ind w:right="-1"/>
              <w:jc w:val="center"/>
              <w:rPr>
                <w:b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</w:tr>
      <w:tr w:rsidR="0015626B" w:rsidRPr="00640CAC" w:rsidTr="00192BC2">
        <w:trPr>
          <w:trHeight w:val="350"/>
        </w:trPr>
        <w:tc>
          <w:tcPr>
            <w:tcW w:w="0" w:type="auto"/>
            <w:vAlign w:val="center"/>
          </w:tcPr>
          <w:p w:rsidR="0015626B" w:rsidRPr="00CC674A" w:rsidRDefault="0015626B" w:rsidP="00931A7E">
            <w:pPr>
              <w:ind w:right="-1"/>
              <w:jc w:val="center"/>
              <w:rPr>
                <w:szCs w:val="22"/>
              </w:rPr>
            </w:pPr>
            <w:r>
              <w:rPr>
                <w:b/>
                <w:sz w:val="22"/>
                <w:szCs w:val="22"/>
                <w:lang w:val="de-DE"/>
              </w:rPr>
              <w:t>50 – 59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21-25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</w:tr>
      <w:tr w:rsidR="0015626B" w:rsidRPr="00640CAC" w:rsidTr="00192BC2">
        <w:trPr>
          <w:trHeight w:val="350"/>
        </w:trPr>
        <w:tc>
          <w:tcPr>
            <w:tcW w:w="0" w:type="auto"/>
            <w:vAlign w:val="center"/>
          </w:tcPr>
          <w:p w:rsidR="0015626B" w:rsidRPr="00CC674A" w:rsidRDefault="0015626B" w:rsidP="00931A7E">
            <w:pPr>
              <w:ind w:right="-1"/>
              <w:jc w:val="center"/>
              <w:rPr>
                <w:szCs w:val="22"/>
              </w:rPr>
            </w:pPr>
            <w:r>
              <w:rPr>
                <w:b/>
                <w:sz w:val="22"/>
                <w:szCs w:val="22"/>
                <w:lang w:val="de-DE"/>
              </w:rPr>
              <w:t>60 – 69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22-25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</w:tr>
      <w:tr w:rsidR="0015626B" w:rsidRPr="00640CAC" w:rsidTr="00192BC2">
        <w:trPr>
          <w:trHeight w:val="350"/>
        </w:trPr>
        <w:tc>
          <w:tcPr>
            <w:tcW w:w="0" w:type="auto"/>
            <w:vAlign w:val="center"/>
          </w:tcPr>
          <w:p w:rsidR="0015626B" w:rsidRPr="00CC674A" w:rsidRDefault="0015626B" w:rsidP="00931A7E">
            <w:pPr>
              <w:ind w:right="-1"/>
              <w:jc w:val="center"/>
              <w:rPr>
                <w:szCs w:val="22"/>
              </w:rPr>
            </w:pPr>
            <w:r>
              <w:rPr>
                <w:b/>
                <w:sz w:val="22"/>
                <w:szCs w:val="22"/>
                <w:lang w:val="de-DE"/>
              </w:rPr>
              <w:t>70 – 79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22-25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</w:p>
        </w:tc>
      </w:tr>
      <w:tr w:rsidR="0015626B" w:rsidRPr="00640CAC" w:rsidTr="00192BC2">
        <w:trPr>
          <w:trHeight w:val="350"/>
        </w:trPr>
        <w:tc>
          <w:tcPr>
            <w:tcW w:w="0" w:type="auto"/>
            <w:vAlign w:val="center"/>
          </w:tcPr>
          <w:p w:rsidR="0015626B" w:rsidRPr="00CC674A" w:rsidRDefault="0015626B" w:rsidP="00931A7E">
            <w:pPr>
              <w:ind w:right="-1"/>
              <w:jc w:val="center"/>
              <w:rPr>
                <w:szCs w:val="22"/>
              </w:rPr>
            </w:pPr>
            <w:r>
              <w:rPr>
                <w:b/>
                <w:sz w:val="22"/>
                <w:szCs w:val="22"/>
                <w:lang w:val="de-DE"/>
              </w:rPr>
              <w:t>80 – 89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22-25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</w:p>
        </w:tc>
      </w:tr>
      <w:tr w:rsidR="0015626B" w:rsidRPr="00640CAC" w:rsidTr="00192BC2">
        <w:trPr>
          <w:trHeight w:val="350"/>
        </w:trPr>
        <w:tc>
          <w:tcPr>
            <w:tcW w:w="0" w:type="auto"/>
            <w:vAlign w:val="center"/>
          </w:tcPr>
          <w:p w:rsidR="0015626B" w:rsidRPr="00CC674A" w:rsidRDefault="0015626B" w:rsidP="00931A7E">
            <w:pPr>
              <w:ind w:right="-1"/>
              <w:jc w:val="center"/>
              <w:rPr>
                <w:szCs w:val="22"/>
              </w:rPr>
            </w:pPr>
            <w:r>
              <w:rPr>
                <w:b/>
                <w:sz w:val="22"/>
                <w:szCs w:val="22"/>
                <w:lang w:val="de-DE"/>
              </w:rPr>
              <w:t>90 – 99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23-25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</w:p>
        </w:tc>
      </w:tr>
      <w:tr w:rsidR="0015626B" w:rsidRPr="00640CAC" w:rsidTr="00192BC2">
        <w:trPr>
          <w:trHeight w:val="350"/>
        </w:trPr>
        <w:tc>
          <w:tcPr>
            <w:tcW w:w="0" w:type="auto"/>
            <w:vAlign w:val="center"/>
          </w:tcPr>
          <w:p w:rsidR="0015626B" w:rsidRPr="00CC674A" w:rsidRDefault="0015626B" w:rsidP="00931A7E">
            <w:pPr>
              <w:ind w:right="-1"/>
              <w:jc w:val="center"/>
              <w:rPr>
                <w:szCs w:val="22"/>
              </w:rPr>
            </w:pPr>
            <w:r>
              <w:rPr>
                <w:b/>
                <w:sz w:val="22"/>
                <w:szCs w:val="22"/>
                <w:lang w:val="de-DE"/>
              </w:rPr>
              <w:t>100 – 109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23-25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</w:t>
            </w:r>
          </w:p>
        </w:tc>
      </w:tr>
      <w:tr w:rsidR="0015626B" w:rsidRPr="00321CB5" w:rsidTr="00192BC2">
        <w:trPr>
          <w:trHeight w:val="350"/>
        </w:trPr>
        <w:tc>
          <w:tcPr>
            <w:tcW w:w="0" w:type="auto"/>
            <w:vAlign w:val="center"/>
          </w:tcPr>
          <w:p w:rsidR="0015626B" w:rsidRPr="00640CAC" w:rsidRDefault="0015626B" w:rsidP="00931A7E">
            <w:pPr>
              <w:ind w:right="-1"/>
              <w:jc w:val="center"/>
              <w:rPr>
                <w:b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&gt;110</w:t>
            </w:r>
          </w:p>
        </w:tc>
        <w:tc>
          <w:tcPr>
            <w:tcW w:w="0" w:type="auto"/>
            <w:vAlign w:val="center"/>
          </w:tcPr>
          <w:p w:rsidR="0015626B" w:rsidRPr="00CC674A" w:rsidRDefault="0015626B" w:rsidP="00931A7E">
            <w:pPr>
              <w:jc w:val="center"/>
              <w:rPr>
                <w:szCs w:val="22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15626B" w:rsidRPr="00CC674A" w:rsidRDefault="0015626B" w:rsidP="00931A7E">
            <w:pPr>
              <w:jc w:val="center"/>
              <w:rPr>
                <w:szCs w:val="22"/>
                <w:lang w:val="de-DE"/>
              </w:rPr>
            </w:pPr>
            <w:r w:rsidRPr="00CC674A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0" w:type="auto"/>
            <w:vAlign w:val="center"/>
          </w:tcPr>
          <w:p w:rsidR="0015626B" w:rsidRPr="00CC674A" w:rsidRDefault="0015626B" w:rsidP="00931A7E">
            <w:pPr>
              <w:jc w:val="center"/>
              <w:rPr>
                <w:szCs w:val="22"/>
                <w:lang w:val="de-DE"/>
              </w:rPr>
            </w:pPr>
            <w:r w:rsidRPr="00CC674A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0" w:type="auto"/>
            <w:vAlign w:val="center"/>
          </w:tcPr>
          <w:p w:rsidR="0015626B" w:rsidRPr="00931A7E" w:rsidRDefault="0015626B" w:rsidP="00931A7E">
            <w:pPr>
              <w:autoSpaceDE w:val="0"/>
              <w:autoSpaceDN w:val="0"/>
              <w:jc w:val="center"/>
              <w:rPr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</w:t>
            </w:r>
          </w:p>
        </w:tc>
      </w:tr>
    </w:tbl>
    <w:p w:rsidR="0015626B" w:rsidRDefault="0015626B" w:rsidP="003A76CA">
      <w:pPr>
        <w:jc w:val="both"/>
        <w:rPr>
          <w:sz w:val="22"/>
          <w:szCs w:val="22"/>
        </w:rPr>
      </w:pPr>
    </w:p>
    <w:p w:rsidR="0015626B" w:rsidRPr="004C3B94" w:rsidRDefault="0015626B" w:rsidP="003A76CA">
      <w:pPr>
        <w:jc w:val="both"/>
        <w:rPr>
          <w:b/>
          <w:sz w:val="22"/>
          <w:szCs w:val="22"/>
        </w:rPr>
      </w:pPr>
      <w:r w:rsidRPr="004C3B94">
        <w:rPr>
          <w:b/>
          <w:sz w:val="22"/>
          <w:szCs w:val="22"/>
        </w:rPr>
        <w:t>4.3. Kontraindikácie</w:t>
      </w:r>
    </w:p>
    <w:p w:rsidR="0015626B" w:rsidRDefault="0015626B" w:rsidP="00625069">
      <w:pPr>
        <w:jc w:val="both"/>
        <w:rPr>
          <w:bCs/>
        </w:rPr>
      </w:pPr>
    </w:p>
    <w:p w:rsidR="0015626B" w:rsidRPr="00152203" w:rsidRDefault="0015626B" w:rsidP="0062506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Ursofalk 250 mg kapsuly</w:t>
      </w:r>
      <w:r w:rsidRPr="00152203">
        <w:rPr>
          <w:bCs/>
          <w:sz w:val="22"/>
          <w:szCs w:val="22"/>
        </w:rPr>
        <w:t xml:space="preserve"> sa nesmú používať u pacientov s:</w:t>
      </w:r>
    </w:p>
    <w:p w:rsidR="0015626B" w:rsidRPr="00152203" w:rsidRDefault="0015626B" w:rsidP="00F05334">
      <w:pPr>
        <w:jc w:val="both"/>
        <w:rPr>
          <w:bCs/>
          <w:sz w:val="22"/>
          <w:szCs w:val="22"/>
        </w:rPr>
      </w:pPr>
      <w:r w:rsidRPr="00152203">
        <w:rPr>
          <w:bCs/>
          <w:sz w:val="22"/>
          <w:szCs w:val="22"/>
        </w:rPr>
        <w:t xml:space="preserve">- precitlivenosťou na žlčové kyseliny alebo </w:t>
      </w:r>
      <w:r w:rsidRPr="00152203">
        <w:rPr>
          <w:noProof/>
          <w:sz w:val="22"/>
          <w:szCs w:val="22"/>
        </w:rPr>
        <w:t>na ktorúkoľvek z pomocných látok uvedených v časti 6.1.</w:t>
      </w:r>
    </w:p>
    <w:p w:rsidR="0015626B" w:rsidRPr="00152203" w:rsidRDefault="0015626B" w:rsidP="00625069">
      <w:pPr>
        <w:jc w:val="both"/>
        <w:rPr>
          <w:bCs/>
          <w:sz w:val="22"/>
          <w:szCs w:val="22"/>
        </w:rPr>
      </w:pPr>
      <w:r w:rsidRPr="00152203">
        <w:rPr>
          <w:bCs/>
          <w:sz w:val="22"/>
          <w:szCs w:val="22"/>
        </w:rPr>
        <w:t>- akútnym zápalom žlčníka alebo žlčových ciest</w:t>
      </w:r>
    </w:p>
    <w:p w:rsidR="0015626B" w:rsidRPr="00152203" w:rsidRDefault="0015626B" w:rsidP="00625069">
      <w:pPr>
        <w:jc w:val="both"/>
        <w:rPr>
          <w:bCs/>
          <w:sz w:val="22"/>
          <w:szCs w:val="22"/>
        </w:rPr>
      </w:pPr>
      <w:r w:rsidRPr="00152203">
        <w:rPr>
          <w:bCs/>
          <w:sz w:val="22"/>
          <w:szCs w:val="22"/>
        </w:rPr>
        <w:t>- obštrukciou žlčových ciest (obštrukcia choledochu a cystiku)</w:t>
      </w:r>
    </w:p>
    <w:p w:rsidR="0015626B" w:rsidRPr="00152203" w:rsidRDefault="0015626B" w:rsidP="00625069">
      <w:pPr>
        <w:jc w:val="both"/>
        <w:rPr>
          <w:bCs/>
          <w:sz w:val="22"/>
          <w:szCs w:val="22"/>
        </w:rPr>
      </w:pPr>
      <w:r w:rsidRPr="00152203">
        <w:rPr>
          <w:bCs/>
          <w:sz w:val="22"/>
          <w:szCs w:val="22"/>
        </w:rPr>
        <w:t>- častými záchvatmi žlčníkovej koliky</w:t>
      </w:r>
    </w:p>
    <w:p w:rsidR="0015626B" w:rsidRPr="00152203" w:rsidRDefault="0015626B" w:rsidP="00625069">
      <w:pPr>
        <w:jc w:val="both"/>
        <w:rPr>
          <w:bCs/>
          <w:sz w:val="22"/>
          <w:szCs w:val="22"/>
        </w:rPr>
      </w:pPr>
      <w:r w:rsidRPr="00152203">
        <w:rPr>
          <w:bCs/>
          <w:sz w:val="22"/>
          <w:szCs w:val="22"/>
        </w:rPr>
        <w:t xml:space="preserve">- rádiologicky nepriehľadnými kalcifikovanými žlčníkovými kameňmi </w:t>
      </w:r>
    </w:p>
    <w:p w:rsidR="0015626B" w:rsidRPr="00152203" w:rsidRDefault="0015626B" w:rsidP="00625069">
      <w:pPr>
        <w:jc w:val="both"/>
        <w:rPr>
          <w:bCs/>
          <w:sz w:val="22"/>
          <w:szCs w:val="22"/>
        </w:rPr>
      </w:pPr>
      <w:r w:rsidRPr="00152203">
        <w:rPr>
          <w:bCs/>
          <w:sz w:val="22"/>
          <w:szCs w:val="22"/>
        </w:rPr>
        <w:t>- narušenou kontraktilitou žlčníka</w:t>
      </w:r>
    </w:p>
    <w:p w:rsidR="0015626B" w:rsidRPr="00152203" w:rsidRDefault="0015626B" w:rsidP="003A76CA">
      <w:pPr>
        <w:jc w:val="both"/>
        <w:rPr>
          <w:b/>
          <w:sz w:val="22"/>
          <w:szCs w:val="22"/>
        </w:rPr>
      </w:pPr>
    </w:p>
    <w:p w:rsidR="0015626B" w:rsidRPr="00192BC2" w:rsidRDefault="0015626B" w:rsidP="003669B3">
      <w:pPr>
        <w:jc w:val="both"/>
        <w:rPr>
          <w:sz w:val="22"/>
          <w:szCs w:val="22"/>
          <w:u w:val="single"/>
        </w:rPr>
      </w:pPr>
      <w:r w:rsidRPr="00192BC2">
        <w:rPr>
          <w:sz w:val="22"/>
          <w:szCs w:val="22"/>
          <w:u w:val="single"/>
        </w:rPr>
        <w:t>Pediatrická populácia</w:t>
      </w:r>
    </w:p>
    <w:p w:rsidR="0015626B" w:rsidRPr="00CC674A" w:rsidRDefault="0015626B" w:rsidP="005D6435">
      <w:pPr>
        <w:rPr>
          <w:sz w:val="22"/>
          <w:szCs w:val="22"/>
        </w:rPr>
      </w:pPr>
      <w:r w:rsidRPr="00192BC2">
        <w:rPr>
          <w:sz w:val="22"/>
          <w:szCs w:val="22"/>
        </w:rPr>
        <w:t xml:space="preserve">Neúspešná chirurgická liečba (portoenterostómia) alebo bez znovuobnovenia prietoku žlče u detí s biliárnou atréziou </w:t>
      </w:r>
    </w:p>
    <w:p w:rsidR="0015626B" w:rsidRDefault="0015626B" w:rsidP="003A76CA">
      <w:pPr>
        <w:jc w:val="both"/>
        <w:rPr>
          <w:b/>
          <w:sz w:val="22"/>
          <w:szCs w:val="22"/>
        </w:rPr>
      </w:pPr>
    </w:p>
    <w:p w:rsidR="0015626B" w:rsidRPr="004C3B94" w:rsidRDefault="0015626B" w:rsidP="003A76CA">
      <w:pPr>
        <w:jc w:val="both"/>
        <w:rPr>
          <w:b/>
          <w:sz w:val="22"/>
          <w:szCs w:val="22"/>
        </w:rPr>
      </w:pPr>
      <w:r w:rsidRPr="004C3B94">
        <w:rPr>
          <w:b/>
          <w:sz w:val="22"/>
          <w:szCs w:val="22"/>
        </w:rPr>
        <w:t>4.4. Osobitné upozornenia a opatrenia pri používaní</w:t>
      </w:r>
    </w:p>
    <w:p w:rsidR="0015626B" w:rsidRPr="004C3B94" w:rsidRDefault="0015626B" w:rsidP="003A76CA">
      <w:pPr>
        <w:jc w:val="both"/>
        <w:rPr>
          <w:sz w:val="22"/>
          <w:szCs w:val="22"/>
        </w:rPr>
      </w:pPr>
    </w:p>
    <w:p w:rsidR="0015626B" w:rsidRPr="004C3B94" w:rsidRDefault="0015626B" w:rsidP="003A76CA">
      <w:pPr>
        <w:jc w:val="both"/>
        <w:rPr>
          <w:sz w:val="22"/>
          <w:szCs w:val="22"/>
        </w:rPr>
      </w:pPr>
      <w:r>
        <w:rPr>
          <w:sz w:val="22"/>
          <w:szCs w:val="22"/>
        </w:rPr>
        <w:t>Ursofalk 250 mg kapsuly</w:t>
      </w:r>
      <w:r w:rsidRPr="004C3B94">
        <w:rPr>
          <w:sz w:val="22"/>
          <w:szCs w:val="22"/>
        </w:rPr>
        <w:t xml:space="preserve"> sa m</w:t>
      </w:r>
      <w:r>
        <w:rPr>
          <w:sz w:val="22"/>
          <w:szCs w:val="22"/>
        </w:rPr>
        <w:t xml:space="preserve">ajú </w:t>
      </w:r>
      <w:r w:rsidRPr="004C3B94">
        <w:rPr>
          <w:sz w:val="22"/>
          <w:szCs w:val="22"/>
        </w:rPr>
        <w:t>podávať len pod dohľadom lekára.</w:t>
      </w:r>
    </w:p>
    <w:p w:rsidR="0015626B" w:rsidRPr="004C3B94" w:rsidRDefault="0015626B" w:rsidP="003A76CA">
      <w:pPr>
        <w:jc w:val="both"/>
        <w:rPr>
          <w:sz w:val="22"/>
          <w:szCs w:val="22"/>
        </w:rPr>
      </w:pPr>
    </w:p>
    <w:p w:rsidR="0015626B" w:rsidRPr="00152203" w:rsidRDefault="0015626B" w:rsidP="00625069">
      <w:pPr>
        <w:ind w:right="-1"/>
        <w:rPr>
          <w:sz w:val="22"/>
          <w:szCs w:val="22"/>
        </w:rPr>
      </w:pPr>
      <w:r w:rsidRPr="00152203">
        <w:rPr>
          <w:sz w:val="22"/>
          <w:szCs w:val="22"/>
        </w:rPr>
        <w:t>Ošetrujúci lekár má kontrolovať funkčné parametre pečene AST (SGOT), ALT (SGPT) a </w:t>
      </w:r>
      <w:r w:rsidRPr="00152203" w:rsidDel="0034585E">
        <w:rPr>
          <w:sz w:val="22"/>
          <w:szCs w:val="22"/>
        </w:rPr>
        <w:t xml:space="preserve"> </w:t>
      </w:r>
      <w:r w:rsidRPr="00152203">
        <w:rPr>
          <w:sz w:val="22"/>
          <w:szCs w:val="22"/>
        </w:rPr>
        <w:t xml:space="preserve">GMT počas prvých 3 mesiacov liečby každé 4 týždne,  potom každé 3 mesiace. Okrem poskytnutia identifikácie pacientov odpovedajúcich a neodpovedajúcich na liečbu v skupine pacientov, ktorí sa liečia na primárnu biliárnu cirhózu môže táto kontrola umožniť aj skorú detekciu možného zhoršenia funkcie pečene, najmä u pacientov s pokročilým štádiom primárnej biliárnej cirhózy. </w:t>
      </w:r>
    </w:p>
    <w:p w:rsidR="0015626B" w:rsidRPr="00152203" w:rsidRDefault="0015626B" w:rsidP="00625069">
      <w:pPr>
        <w:ind w:right="-1"/>
        <w:rPr>
          <w:sz w:val="22"/>
          <w:szCs w:val="22"/>
        </w:rPr>
      </w:pPr>
    </w:p>
    <w:p w:rsidR="0015626B" w:rsidRPr="00CC674A" w:rsidRDefault="0015626B" w:rsidP="00625069">
      <w:pPr>
        <w:ind w:right="-1"/>
        <w:rPr>
          <w:i/>
          <w:sz w:val="22"/>
          <w:szCs w:val="22"/>
        </w:rPr>
      </w:pPr>
      <w:r w:rsidRPr="00CC674A">
        <w:rPr>
          <w:i/>
          <w:sz w:val="22"/>
          <w:szCs w:val="22"/>
        </w:rPr>
        <w:t>V</w:t>
      </w:r>
      <w:r w:rsidRPr="00D264CC">
        <w:rPr>
          <w:i/>
          <w:sz w:val="22"/>
          <w:szCs w:val="22"/>
        </w:rPr>
        <w:t> </w:t>
      </w:r>
      <w:r w:rsidRPr="00CC674A">
        <w:rPr>
          <w:i/>
          <w:sz w:val="22"/>
          <w:szCs w:val="22"/>
        </w:rPr>
        <w:t>prípade rozpúšťania cholesterolových žlčových kameňov:</w:t>
      </w:r>
    </w:p>
    <w:p w:rsidR="0015626B" w:rsidRPr="00152203" w:rsidRDefault="0015626B" w:rsidP="00625069">
      <w:pPr>
        <w:ind w:right="-1"/>
        <w:rPr>
          <w:sz w:val="22"/>
          <w:szCs w:val="22"/>
        </w:rPr>
      </w:pPr>
      <w:r w:rsidRPr="00152203">
        <w:rPr>
          <w:sz w:val="22"/>
          <w:szCs w:val="22"/>
        </w:rPr>
        <w:t>Na posúdenie účinkov liečby a prípadné včasné odhalenie kalcifikácie žlčových kameňov je potrebné, v závislosti od veľkosti kameňov, 6 až 10 mesiacov po začatí liečby urobiť RTG vyšetrenie žlčníka (perorálna cholecystografia) alebo ultrazvukové vyšetrenie. Snímky sa majú urobiť postojačky a</w:t>
      </w:r>
      <w:r>
        <w:rPr>
          <w:sz w:val="22"/>
          <w:szCs w:val="22"/>
        </w:rPr>
        <w:t xml:space="preserve"> tiež </w:t>
      </w:r>
      <w:r w:rsidRPr="00152203">
        <w:rPr>
          <w:sz w:val="22"/>
          <w:szCs w:val="22"/>
        </w:rPr>
        <w:t>poležiačky.</w:t>
      </w:r>
    </w:p>
    <w:p w:rsidR="0015626B" w:rsidRDefault="0015626B" w:rsidP="005C656C">
      <w:pPr>
        <w:jc w:val="both"/>
        <w:rPr>
          <w:sz w:val="22"/>
          <w:szCs w:val="22"/>
        </w:rPr>
      </w:pPr>
    </w:p>
    <w:p w:rsidR="0015626B" w:rsidRDefault="0015626B" w:rsidP="00CC674A">
      <w:pPr>
        <w:rPr>
          <w:sz w:val="22"/>
          <w:szCs w:val="22"/>
        </w:rPr>
      </w:pPr>
      <w:r>
        <w:rPr>
          <w:sz w:val="22"/>
          <w:szCs w:val="22"/>
        </w:rPr>
        <w:t>Ursofalk 250 mg kapsuly</w:t>
      </w:r>
      <w:r w:rsidRPr="006A1F9B">
        <w:rPr>
          <w:sz w:val="22"/>
          <w:szCs w:val="22"/>
        </w:rPr>
        <w:t xml:space="preserve"> sa nemajú  používať, ak žlčník nemožno röntgenologicky zobraziť, ak sú žlčové kamene kalcifikované, ak je narušená kontraktilita žlčníka alebo pri častých záchvatoch biliárnej koliky.</w:t>
      </w:r>
    </w:p>
    <w:p w:rsidR="0015626B" w:rsidRDefault="0015626B" w:rsidP="005C656C">
      <w:pPr>
        <w:ind w:right="-1"/>
        <w:rPr>
          <w:szCs w:val="22"/>
        </w:rPr>
      </w:pPr>
    </w:p>
    <w:p w:rsidR="0015626B" w:rsidRPr="00CC674A" w:rsidRDefault="0015626B" w:rsidP="005C656C">
      <w:pPr>
        <w:ind w:right="-1"/>
        <w:rPr>
          <w:sz w:val="22"/>
          <w:szCs w:val="22"/>
        </w:rPr>
      </w:pPr>
      <w:r w:rsidRPr="00CC674A">
        <w:rPr>
          <w:sz w:val="22"/>
          <w:szCs w:val="22"/>
        </w:rPr>
        <w:t xml:space="preserve">Pacientky užívajúce </w:t>
      </w:r>
      <w:r>
        <w:rPr>
          <w:sz w:val="22"/>
          <w:szCs w:val="22"/>
        </w:rPr>
        <w:t>Ursofalk 250 mg kapsuly</w:t>
      </w:r>
      <w:r w:rsidRPr="00CC674A">
        <w:rPr>
          <w:sz w:val="22"/>
          <w:szCs w:val="22"/>
        </w:rPr>
        <w:t xml:space="preserve"> na rozpúšťanie žlčových kameňov musia používať účinnú nehormonálnu antikoncepciu, pretože hormonálne perorálne kontraceptíva môžu zvyšovať biliárnu litiázu</w:t>
      </w:r>
      <w:r w:rsidRPr="00CC674A">
        <w:rPr>
          <w:color w:val="FF0000"/>
          <w:sz w:val="22"/>
          <w:szCs w:val="22"/>
        </w:rPr>
        <w:t xml:space="preserve"> </w:t>
      </w:r>
      <w:r w:rsidRPr="00CC674A">
        <w:rPr>
          <w:sz w:val="22"/>
          <w:szCs w:val="22"/>
        </w:rPr>
        <w:t>(pozri časť 4.5 a 4.6).</w:t>
      </w:r>
    </w:p>
    <w:p w:rsidR="0015626B" w:rsidRDefault="0015626B" w:rsidP="00625069">
      <w:pPr>
        <w:rPr>
          <w:szCs w:val="22"/>
        </w:rPr>
      </w:pPr>
    </w:p>
    <w:p w:rsidR="0015626B" w:rsidRPr="00CC674A" w:rsidRDefault="0015626B" w:rsidP="00625069">
      <w:pPr>
        <w:tabs>
          <w:tab w:val="left" w:pos="709"/>
          <w:tab w:val="left" w:pos="1701"/>
          <w:tab w:val="left" w:pos="5103"/>
        </w:tabs>
        <w:autoSpaceDE w:val="0"/>
        <w:autoSpaceDN w:val="0"/>
        <w:rPr>
          <w:i/>
          <w:sz w:val="22"/>
          <w:szCs w:val="22"/>
        </w:rPr>
      </w:pPr>
      <w:r w:rsidRPr="00CC674A">
        <w:rPr>
          <w:i/>
          <w:sz w:val="22"/>
          <w:szCs w:val="22"/>
        </w:rPr>
        <w:t xml:space="preserve">Ak sa používa na liečbu pokročilého štádia primárnej biliárnej cirhózy: </w:t>
      </w:r>
    </w:p>
    <w:p w:rsidR="0015626B" w:rsidRDefault="0015626B" w:rsidP="00625069">
      <w:pPr>
        <w:tabs>
          <w:tab w:val="left" w:pos="709"/>
          <w:tab w:val="left" w:pos="1701"/>
          <w:tab w:val="left" w:pos="5103"/>
        </w:tabs>
        <w:autoSpaceDE w:val="0"/>
        <w:autoSpaceDN w:val="0"/>
        <w:rPr>
          <w:sz w:val="22"/>
          <w:szCs w:val="22"/>
        </w:rPr>
      </w:pPr>
      <w:r w:rsidRPr="00152203">
        <w:rPr>
          <w:sz w:val="22"/>
          <w:szCs w:val="22"/>
        </w:rPr>
        <w:t xml:space="preserve">Vo veľmi zriedkavých prípadoch sa pozorovala dekompenzácia pečeňovej cirhózy, ktorá po ukončení liečby čiastočne ustúpila.  </w:t>
      </w:r>
    </w:p>
    <w:p w:rsidR="0015626B" w:rsidRDefault="0015626B" w:rsidP="00625069">
      <w:pPr>
        <w:tabs>
          <w:tab w:val="left" w:pos="709"/>
          <w:tab w:val="left" w:pos="1701"/>
          <w:tab w:val="left" w:pos="5103"/>
        </w:tabs>
        <w:autoSpaceDE w:val="0"/>
        <w:autoSpaceDN w:val="0"/>
        <w:rPr>
          <w:sz w:val="22"/>
          <w:szCs w:val="22"/>
        </w:rPr>
      </w:pPr>
    </w:p>
    <w:p w:rsidR="0015626B" w:rsidRPr="006A1F9B" w:rsidRDefault="0015626B" w:rsidP="005C656C">
      <w:pPr>
        <w:tabs>
          <w:tab w:val="left" w:pos="720"/>
          <w:tab w:val="left" w:pos="1701"/>
          <w:tab w:val="left" w:pos="5103"/>
        </w:tabs>
        <w:rPr>
          <w:sz w:val="22"/>
          <w:szCs w:val="22"/>
        </w:rPr>
      </w:pPr>
      <w:r w:rsidRPr="00CC674A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CC674A">
        <w:rPr>
          <w:sz w:val="22"/>
          <w:szCs w:val="22"/>
        </w:rPr>
        <w:t>zriedkavých prípadoch u pacientov s</w:t>
      </w:r>
      <w:r>
        <w:rPr>
          <w:sz w:val="22"/>
          <w:szCs w:val="22"/>
        </w:rPr>
        <w:t> </w:t>
      </w:r>
      <w:r w:rsidRPr="00CC674A">
        <w:rPr>
          <w:sz w:val="22"/>
          <w:szCs w:val="22"/>
        </w:rPr>
        <w:t>PBC sa môžu klinické príznaky zhoršiť po začatí liečby, napríklad sa môže zintenzívniť svrbenie. V</w:t>
      </w:r>
      <w:r>
        <w:rPr>
          <w:sz w:val="22"/>
          <w:szCs w:val="22"/>
        </w:rPr>
        <w:t> </w:t>
      </w:r>
      <w:r w:rsidRPr="00CC674A">
        <w:rPr>
          <w:sz w:val="22"/>
          <w:szCs w:val="22"/>
        </w:rPr>
        <w:t>takomto prípade má byť dávka</w:t>
      </w:r>
      <w:r w:rsidRPr="006A1F9B">
        <w:rPr>
          <w:color w:val="FF0000"/>
          <w:sz w:val="22"/>
          <w:szCs w:val="22"/>
        </w:rPr>
        <w:t xml:space="preserve"> </w:t>
      </w:r>
      <w:r w:rsidRPr="006A1F9B">
        <w:rPr>
          <w:sz w:val="22"/>
          <w:szCs w:val="22"/>
        </w:rPr>
        <w:t xml:space="preserve">znížená na jednu kapsulu Ursofalku </w:t>
      </w:r>
      <w:r>
        <w:rPr>
          <w:sz w:val="22"/>
          <w:szCs w:val="22"/>
        </w:rPr>
        <w:t xml:space="preserve">250 mg </w:t>
      </w:r>
      <w:r w:rsidRPr="006A1F9B">
        <w:rPr>
          <w:sz w:val="22"/>
          <w:szCs w:val="22"/>
        </w:rPr>
        <w:t>kapsuly denne a postupne zvyšovaná na dávku ako je popísané v časti 4.2.</w:t>
      </w:r>
    </w:p>
    <w:p w:rsidR="0015626B" w:rsidRPr="00152203" w:rsidRDefault="0015626B" w:rsidP="00625069">
      <w:pPr>
        <w:tabs>
          <w:tab w:val="left" w:pos="709"/>
          <w:tab w:val="left" w:pos="1701"/>
          <w:tab w:val="left" w:pos="5103"/>
        </w:tabs>
        <w:autoSpaceDE w:val="0"/>
        <w:autoSpaceDN w:val="0"/>
        <w:rPr>
          <w:sz w:val="22"/>
          <w:szCs w:val="22"/>
        </w:rPr>
      </w:pPr>
    </w:p>
    <w:p w:rsidR="0015626B" w:rsidRPr="00152203" w:rsidRDefault="0015626B" w:rsidP="00625069">
      <w:pPr>
        <w:tabs>
          <w:tab w:val="left" w:pos="709"/>
          <w:tab w:val="left" w:pos="1701"/>
          <w:tab w:val="left" w:pos="5103"/>
        </w:tabs>
        <w:autoSpaceDE w:val="0"/>
        <w:autoSpaceDN w:val="0"/>
        <w:rPr>
          <w:sz w:val="22"/>
          <w:szCs w:val="22"/>
        </w:rPr>
      </w:pPr>
      <w:r w:rsidRPr="00152203">
        <w:rPr>
          <w:sz w:val="22"/>
          <w:szCs w:val="22"/>
        </w:rPr>
        <w:t xml:space="preserve">Ak sa vyskytne hnačka, dávka sa musí znížiť a v prípadoch pretrvávajúcej hnačky sa má liečba ukončiť. </w:t>
      </w:r>
    </w:p>
    <w:p w:rsidR="0015626B" w:rsidRPr="004C3B94" w:rsidRDefault="0015626B" w:rsidP="003A76CA">
      <w:pPr>
        <w:jc w:val="both"/>
        <w:rPr>
          <w:sz w:val="22"/>
          <w:szCs w:val="22"/>
        </w:rPr>
      </w:pPr>
    </w:p>
    <w:p w:rsidR="0015626B" w:rsidRPr="004C3B94" w:rsidRDefault="0015626B" w:rsidP="003A76CA">
      <w:pPr>
        <w:jc w:val="both"/>
        <w:rPr>
          <w:b/>
          <w:sz w:val="22"/>
          <w:szCs w:val="22"/>
        </w:rPr>
      </w:pPr>
      <w:r w:rsidRPr="004C3B94">
        <w:rPr>
          <w:b/>
          <w:sz w:val="22"/>
          <w:szCs w:val="22"/>
        </w:rPr>
        <w:t xml:space="preserve">4.5 </w:t>
      </w:r>
      <w:r>
        <w:rPr>
          <w:b/>
          <w:sz w:val="22"/>
          <w:szCs w:val="22"/>
        </w:rPr>
        <w:tab/>
      </w:r>
      <w:r w:rsidRPr="004C3B94">
        <w:rPr>
          <w:b/>
          <w:sz w:val="22"/>
          <w:szCs w:val="22"/>
        </w:rPr>
        <w:t>Liekové a iné interakcie</w:t>
      </w:r>
    </w:p>
    <w:p w:rsidR="0015626B" w:rsidRPr="004C3B94" w:rsidRDefault="0015626B" w:rsidP="003A76CA">
      <w:pPr>
        <w:jc w:val="both"/>
        <w:rPr>
          <w:sz w:val="22"/>
          <w:szCs w:val="22"/>
        </w:rPr>
      </w:pPr>
    </w:p>
    <w:p w:rsidR="0015626B" w:rsidRPr="00152203" w:rsidRDefault="0015626B" w:rsidP="005D18D5">
      <w:pPr>
        <w:rPr>
          <w:sz w:val="22"/>
          <w:szCs w:val="22"/>
        </w:rPr>
      </w:pPr>
      <w:r>
        <w:rPr>
          <w:sz w:val="22"/>
          <w:szCs w:val="22"/>
        </w:rPr>
        <w:t>Ursofalk 250 mg kapsuly</w:t>
      </w:r>
      <w:r w:rsidRPr="00152203">
        <w:rPr>
          <w:sz w:val="22"/>
          <w:szCs w:val="22"/>
        </w:rPr>
        <w:t xml:space="preserve"> sa nemajú podávať súčasne s cholestyramínom, kolestipolom, alebo antacidami,ktoré obsahujú hydroxid hlinitý, alebo smektid (oxid hlinitý), pretože tieto lieky viažu ursodeoxychol</w:t>
      </w:r>
      <w:r>
        <w:rPr>
          <w:sz w:val="22"/>
          <w:szCs w:val="22"/>
        </w:rPr>
        <w:t>ovú</w:t>
      </w:r>
      <w:r w:rsidRPr="00152203">
        <w:rPr>
          <w:sz w:val="22"/>
          <w:szCs w:val="22"/>
        </w:rPr>
        <w:t xml:space="preserve"> kyselinu v čreve, a tým zabraňujú jej vstrebávaniu a účinnosti. Ak je potrebné podávať liek, ktorý obsahuje niektoré z týchto liečiv, musí sa užiť minimálne 2 hodiny pred, alebo po podaní </w:t>
      </w:r>
      <w:r>
        <w:rPr>
          <w:sz w:val="22"/>
          <w:szCs w:val="22"/>
        </w:rPr>
        <w:t>Ursofalku 250 mg kapsúl</w:t>
      </w:r>
      <w:r w:rsidRPr="00152203">
        <w:rPr>
          <w:sz w:val="22"/>
          <w:szCs w:val="22"/>
        </w:rPr>
        <w:t>.</w:t>
      </w:r>
    </w:p>
    <w:p w:rsidR="0015626B" w:rsidRPr="007A40DA" w:rsidRDefault="0015626B" w:rsidP="005D18D5">
      <w:pPr>
        <w:jc w:val="both"/>
        <w:rPr>
          <w:noProof/>
          <w:szCs w:val="22"/>
        </w:rPr>
      </w:pPr>
    </w:p>
    <w:p w:rsidR="0015626B" w:rsidRPr="00152203" w:rsidRDefault="0015626B" w:rsidP="005D18D5">
      <w:pPr>
        <w:rPr>
          <w:sz w:val="22"/>
          <w:szCs w:val="22"/>
        </w:rPr>
      </w:pPr>
      <w:r>
        <w:rPr>
          <w:sz w:val="22"/>
          <w:szCs w:val="22"/>
        </w:rPr>
        <w:t>Ursofalk 250 mg kapsuly</w:t>
      </w:r>
      <w:r w:rsidRPr="00152203">
        <w:rPr>
          <w:sz w:val="22"/>
          <w:szCs w:val="22"/>
        </w:rPr>
        <w:t xml:space="preserve"> môž</w:t>
      </w:r>
      <w:r>
        <w:rPr>
          <w:sz w:val="22"/>
          <w:szCs w:val="22"/>
        </w:rPr>
        <w:t>u</w:t>
      </w:r>
      <w:r w:rsidRPr="00152203">
        <w:rPr>
          <w:sz w:val="22"/>
          <w:szCs w:val="22"/>
        </w:rPr>
        <w:t xml:space="preserve"> </w:t>
      </w:r>
      <w:r>
        <w:rPr>
          <w:sz w:val="22"/>
          <w:szCs w:val="22"/>
        </w:rPr>
        <w:t>ovplyvňovať</w:t>
      </w:r>
      <w:r w:rsidRPr="00152203">
        <w:rPr>
          <w:sz w:val="22"/>
          <w:szCs w:val="22"/>
        </w:rPr>
        <w:t xml:space="preserve"> vstrebávanie cyklosporínu z čreva. Lekár má preto u pacientov, ktorí užívajú cyklosporín, skontrolovať jeho koncentráciu v krvi a ak je to potrebné,  upraviť dávku cyklosporínu.</w:t>
      </w:r>
    </w:p>
    <w:p w:rsidR="0015626B" w:rsidRPr="00152203" w:rsidRDefault="0015626B" w:rsidP="005D18D5">
      <w:pPr>
        <w:ind w:right="-1"/>
        <w:rPr>
          <w:sz w:val="22"/>
          <w:szCs w:val="22"/>
        </w:rPr>
      </w:pPr>
    </w:p>
    <w:p w:rsidR="0015626B" w:rsidRPr="00152203" w:rsidRDefault="0015626B" w:rsidP="005D18D5">
      <w:pPr>
        <w:ind w:right="-1"/>
        <w:rPr>
          <w:sz w:val="22"/>
          <w:szCs w:val="22"/>
        </w:rPr>
      </w:pPr>
      <w:r w:rsidRPr="00152203">
        <w:rPr>
          <w:sz w:val="22"/>
          <w:szCs w:val="22"/>
        </w:rPr>
        <w:t xml:space="preserve">V ojedinelých prípadoch môže </w:t>
      </w:r>
      <w:r>
        <w:rPr>
          <w:sz w:val="22"/>
          <w:szCs w:val="22"/>
        </w:rPr>
        <w:t>Ursofalk 250 mg kapsuly</w:t>
      </w:r>
      <w:r w:rsidRPr="00152203">
        <w:rPr>
          <w:sz w:val="22"/>
          <w:szCs w:val="22"/>
        </w:rPr>
        <w:t xml:space="preserve"> znížiť absorpciu ciprofloxacínu.</w:t>
      </w:r>
    </w:p>
    <w:p w:rsidR="0015626B" w:rsidRDefault="0015626B" w:rsidP="005D18D5">
      <w:pPr>
        <w:rPr>
          <w:noProof/>
        </w:rPr>
      </w:pPr>
    </w:p>
    <w:p w:rsidR="0015626B" w:rsidRPr="00CC674A" w:rsidRDefault="0015626B" w:rsidP="00CC674A">
      <w:pPr>
        <w:tabs>
          <w:tab w:val="left" w:pos="709"/>
          <w:tab w:val="left" w:pos="1701"/>
          <w:tab w:val="left" w:pos="5103"/>
        </w:tabs>
        <w:rPr>
          <w:sz w:val="22"/>
          <w:szCs w:val="22"/>
        </w:rPr>
      </w:pPr>
      <w:r w:rsidRPr="00CC674A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CC674A">
        <w:rPr>
          <w:sz w:val="22"/>
          <w:szCs w:val="22"/>
        </w:rPr>
        <w:t>klinických štúdiách na zdravých dobrovoľníkoch, bolo zistené mierne zvýšenie plazmatickcých hladín rosuvastatínu pri súbežnom užívaní</w:t>
      </w:r>
      <w:r>
        <w:rPr>
          <w:sz w:val="22"/>
          <w:szCs w:val="22"/>
        </w:rPr>
        <w:t> </w:t>
      </w:r>
      <w:r w:rsidRPr="00CC674A">
        <w:rPr>
          <w:sz w:val="22"/>
          <w:szCs w:val="22"/>
        </w:rPr>
        <w:t>kyseliny ursodeoxycholovej (500 mg / deň)  a</w:t>
      </w:r>
      <w:r>
        <w:rPr>
          <w:sz w:val="22"/>
          <w:szCs w:val="22"/>
        </w:rPr>
        <w:t> </w:t>
      </w:r>
      <w:r w:rsidRPr="00CC674A">
        <w:rPr>
          <w:sz w:val="22"/>
          <w:szCs w:val="22"/>
        </w:rPr>
        <w:t>rosuvastatínu ( 20 mg/ deň).</w:t>
      </w:r>
    </w:p>
    <w:p w:rsidR="0015626B" w:rsidRDefault="0015626B" w:rsidP="00CC674A">
      <w:pPr>
        <w:rPr>
          <w:noProof/>
          <w:sz w:val="22"/>
          <w:szCs w:val="22"/>
        </w:rPr>
      </w:pPr>
      <w:r w:rsidRPr="00CC674A">
        <w:rPr>
          <w:sz w:val="22"/>
          <w:szCs w:val="22"/>
        </w:rPr>
        <w:t>Klinický význam takejto interakcie v prípade iných statínov nie je  známy.</w:t>
      </w:r>
    </w:p>
    <w:p w:rsidR="0015626B" w:rsidRPr="007A40DA" w:rsidRDefault="0015626B" w:rsidP="005D18D5">
      <w:pPr>
        <w:rPr>
          <w:noProof/>
        </w:rPr>
      </w:pPr>
    </w:p>
    <w:p w:rsidR="0015626B" w:rsidRPr="00152203" w:rsidRDefault="0015626B" w:rsidP="005D18D5">
      <w:pPr>
        <w:rPr>
          <w:noProof/>
          <w:sz w:val="22"/>
          <w:szCs w:val="22"/>
        </w:rPr>
      </w:pPr>
      <w:r w:rsidRPr="00152203">
        <w:rPr>
          <w:noProof/>
          <w:sz w:val="22"/>
          <w:szCs w:val="22"/>
        </w:rPr>
        <w:t xml:space="preserve">Potvrdilo sa, že kyselina </w:t>
      </w:r>
      <w:r>
        <w:rPr>
          <w:noProof/>
          <w:sz w:val="22"/>
          <w:szCs w:val="22"/>
        </w:rPr>
        <w:t>ursodeoxycholová</w:t>
      </w:r>
      <w:r w:rsidRPr="00152203">
        <w:rPr>
          <w:noProof/>
          <w:sz w:val="22"/>
          <w:szCs w:val="22"/>
        </w:rPr>
        <w:t xml:space="preserve"> znižuje maximálne plazmatické koncentrácie (C</w:t>
      </w:r>
      <w:r w:rsidRPr="00152203">
        <w:rPr>
          <w:noProof/>
          <w:sz w:val="22"/>
          <w:szCs w:val="22"/>
          <w:vertAlign w:val="subscript"/>
        </w:rPr>
        <w:t>max</w:t>
      </w:r>
      <w:r w:rsidRPr="00152203">
        <w:rPr>
          <w:noProof/>
          <w:sz w:val="22"/>
          <w:szCs w:val="22"/>
        </w:rPr>
        <w:t>) a plochu pod krivkou (AUC) antagonistu kalciového kanála nitrendipínu</w:t>
      </w:r>
      <w:r>
        <w:rPr>
          <w:noProof/>
          <w:sz w:val="22"/>
          <w:szCs w:val="22"/>
        </w:rPr>
        <w:t xml:space="preserve"> </w:t>
      </w:r>
      <w:r w:rsidRPr="006A1F9B">
        <w:rPr>
          <w:noProof/>
          <w:sz w:val="22"/>
          <w:szCs w:val="22"/>
        </w:rPr>
        <w:t>u zdravých dobrovoľníkov.</w:t>
      </w:r>
      <w:r w:rsidRPr="006A1F9B">
        <w:rPr>
          <w:noProof/>
        </w:rPr>
        <w:t xml:space="preserve"> </w:t>
      </w:r>
      <w:r w:rsidRPr="006A1F9B">
        <w:rPr>
          <w:noProof/>
          <w:sz w:val="22"/>
          <w:szCs w:val="22"/>
        </w:rPr>
        <w:t xml:space="preserve">Odporúča sa dôsledné monitorovanie výsledkov súbežného užívania nitrendipínu a kyseliny </w:t>
      </w:r>
      <w:r>
        <w:rPr>
          <w:noProof/>
          <w:sz w:val="22"/>
          <w:szCs w:val="22"/>
        </w:rPr>
        <w:t>ursodeoxycholovej</w:t>
      </w:r>
      <w:r w:rsidRPr="006A1F9B">
        <w:rPr>
          <w:noProof/>
          <w:sz w:val="22"/>
          <w:szCs w:val="22"/>
        </w:rPr>
        <w:t>. Môže byť potrebné zvýšiť dávku nitrendipínu</w:t>
      </w:r>
      <w:r w:rsidRPr="00152203">
        <w:rPr>
          <w:noProof/>
          <w:sz w:val="22"/>
          <w:szCs w:val="22"/>
        </w:rPr>
        <w:t>.</w:t>
      </w:r>
      <w:r w:rsidRPr="00152203">
        <w:rPr>
          <w:sz w:val="22"/>
          <w:szCs w:val="22"/>
        </w:rPr>
        <w:t xml:space="preserve"> Hlásila sa aj interakcia so zníženým terapeutickým účinkom dapsónu. </w:t>
      </w:r>
    </w:p>
    <w:p w:rsidR="0015626B" w:rsidRDefault="0015626B" w:rsidP="005D18D5">
      <w:pPr>
        <w:rPr>
          <w:sz w:val="22"/>
          <w:szCs w:val="22"/>
        </w:rPr>
      </w:pPr>
    </w:p>
    <w:p w:rsidR="0015626B" w:rsidRPr="00152203" w:rsidRDefault="0015626B" w:rsidP="005D18D5">
      <w:pPr>
        <w:rPr>
          <w:sz w:val="22"/>
          <w:szCs w:val="22"/>
        </w:rPr>
      </w:pPr>
      <w:r w:rsidRPr="00152203">
        <w:rPr>
          <w:sz w:val="22"/>
          <w:szCs w:val="22"/>
        </w:rPr>
        <w:t>Tieto pozorovania spolu s </w:t>
      </w:r>
      <w:r w:rsidRPr="00152203">
        <w:rPr>
          <w:i/>
          <w:sz w:val="22"/>
          <w:szCs w:val="22"/>
        </w:rPr>
        <w:t>in vitro</w:t>
      </w:r>
      <w:r w:rsidRPr="00152203">
        <w:rPr>
          <w:sz w:val="22"/>
          <w:szCs w:val="22"/>
        </w:rPr>
        <w:t xml:space="preserve"> nálezmi môžu naznačovať možnosť, že </w:t>
      </w:r>
      <w:r w:rsidRPr="00152203">
        <w:rPr>
          <w:noProof/>
          <w:sz w:val="22"/>
          <w:szCs w:val="22"/>
        </w:rPr>
        <w:t xml:space="preserve">kyselina </w:t>
      </w:r>
      <w:r>
        <w:rPr>
          <w:noProof/>
          <w:sz w:val="22"/>
          <w:szCs w:val="22"/>
        </w:rPr>
        <w:t>ursodeoxycholová</w:t>
      </w:r>
      <w:r w:rsidRPr="00152203">
        <w:rPr>
          <w:noProof/>
          <w:sz w:val="22"/>
          <w:szCs w:val="22"/>
        </w:rPr>
        <w:t xml:space="preserve"> indukuje enzýmy cytochrómu P450 3A</w:t>
      </w:r>
      <w:r w:rsidRPr="00152203">
        <w:rPr>
          <w:sz w:val="22"/>
          <w:szCs w:val="22"/>
        </w:rPr>
        <w:t xml:space="preserve">. </w:t>
      </w:r>
      <w:r w:rsidRPr="006A1F9B">
        <w:rPr>
          <w:sz w:val="22"/>
          <w:szCs w:val="22"/>
        </w:rPr>
        <w:t>Avšak takáto indukcia nebola pozorovaná v štúdii zameranej na interakciu s bude</w:t>
      </w:r>
      <w:r>
        <w:rPr>
          <w:sz w:val="22"/>
          <w:szCs w:val="22"/>
        </w:rPr>
        <w:t>zonidom</w:t>
      </w:r>
      <w:r w:rsidRPr="006A1F9B">
        <w:rPr>
          <w:sz w:val="22"/>
          <w:szCs w:val="22"/>
        </w:rPr>
        <w:t xml:space="preserve">, ktorý je známy substrát </w:t>
      </w:r>
      <w:r w:rsidRPr="006A1F9B">
        <w:rPr>
          <w:noProof/>
          <w:sz w:val="22"/>
          <w:szCs w:val="22"/>
        </w:rPr>
        <w:t>cytochrómu P450 3A</w:t>
      </w:r>
      <w:r w:rsidRPr="006A1F9B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15626B" w:rsidRDefault="0015626B" w:rsidP="005D18D5">
      <w:pPr>
        <w:rPr>
          <w:b/>
          <w:szCs w:val="22"/>
        </w:rPr>
      </w:pPr>
    </w:p>
    <w:p w:rsidR="0015626B" w:rsidRPr="00152203" w:rsidRDefault="0015626B" w:rsidP="005D18D5">
      <w:pPr>
        <w:tabs>
          <w:tab w:val="left" w:pos="0"/>
          <w:tab w:val="left" w:pos="1701"/>
          <w:tab w:val="left" w:pos="5103"/>
        </w:tabs>
        <w:autoSpaceDE w:val="0"/>
        <w:autoSpaceDN w:val="0"/>
        <w:rPr>
          <w:sz w:val="22"/>
          <w:szCs w:val="22"/>
          <w:lang w:eastAsia="de-DE"/>
        </w:rPr>
      </w:pPr>
      <w:r w:rsidRPr="00152203">
        <w:rPr>
          <w:sz w:val="22"/>
          <w:szCs w:val="22"/>
        </w:rPr>
        <w:t>Estrogénne hormóny a liečivá znižujúce hladinu cholesterolu v krvi, ako je klofibrát, zvýš</w:t>
      </w:r>
      <w:r>
        <w:rPr>
          <w:sz w:val="22"/>
          <w:szCs w:val="22"/>
        </w:rPr>
        <w:t>ujú</w:t>
      </w:r>
      <w:r w:rsidRPr="005C656C">
        <w:rPr>
          <w:sz w:val="22"/>
          <w:szCs w:val="22"/>
        </w:rPr>
        <w:t xml:space="preserve"> </w:t>
      </w:r>
      <w:r w:rsidRPr="00D831AD">
        <w:rPr>
          <w:sz w:val="22"/>
          <w:szCs w:val="22"/>
        </w:rPr>
        <w:t>sekréciu pečeňového cholesterolu a môžu z toho dôvodu stimulovať</w:t>
      </w:r>
      <w:r w:rsidRPr="00152203">
        <w:rPr>
          <w:sz w:val="22"/>
          <w:szCs w:val="22"/>
        </w:rPr>
        <w:t xml:space="preserve"> biliárnu litiázu, čo je </w:t>
      </w:r>
      <w:r>
        <w:rPr>
          <w:sz w:val="22"/>
          <w:szCs w:val="22"/>
        </w:rPr>
        <w:t>opačný</w:t>
      </w:r>
      <w:r w:rsidRPr="00152203">
        <w:rPr>
          <w:sz w:val="22"/>
          <w:szCs w:val="22"/>
        </w:rPr>
        <w:t xml:space="preserve"> účinok </w:t>
      </w:r>
      <w:r w:rsidRPr="00152203">
        <w:rPr>
          <w:noProof/>
          <w:sz w:val="22"/>
          <w:szCs w:val="22"/>
        </w:rPr>
        <w:t xml:space="preserve">kyseliny </w:t>
      </w:r>
      <w:r>
        <w:rPr>
          <w:noProof/>
          <w:sz w:val="22"/>
          <w:szCs w:val="22"/>
        </w:rPr>
        <w:t>ursodeoxycholovej</w:t>
      </w:r>
      <w:r w:rsidRPr="00152203">
        <w:rPr>
          <w:noProof/>
          <w:sz w:val="22"/>
          <w:szCs w:val="22"/>
        </w:rPr>
        <w:t xml:space="preserve"> </w:t>
      </w:r>
      <w:r w:rsidRPr="00152203">
        <w:rPr>
          <w:sz w:val="22"/>
          <w:szCs w:val="22"/>
        </w:rPr>
        <w:t>používanej na rozpúšťanie žlčových kameňov.</w:t>
      </w:r>
    </w:p>
    <w:p w:rsidR="0015626B" w:rsidRPr="004C3B94" w:rsidRDefault="0015626B" w:rsidP="003A76CA">
      <w:pPr>
        <w:jc w:val="both"/>
        <w:rPr>
          <w:noProof/>
          <w:sz w:val="22"/>
          <w:szCs w:val="22"/>
        </w:rPr>
      </w:pPr>
    </w:p>
    <w:p w:rsidR="0015626B" w:rsidRPr="00152203" w:rsidRDefault="0015626B" w:rsidP="00533A8D">
      <w:pPr>
        <w:rPr>
          <w:noProof/>
          <w:sz w:val="22"/>
          <w:szCs w:val="22"/>
        </w:rPr>
      </w:pPr>
      <w:r w:rsidRPr="00152203">
        <w:rPr>
          <w:b/>
          <w:noProof/>
          <w:sz w:val="22"/>
          <w:szCs w:val="22"/>
        </w:rPr>
        <w:t>4.6.  Fertilita, gravidita a laktácia</w:t>
      </w:r>
    </w:p>
    <w:p w:rsidR="0015626B" w:rsidRPr="004C3B94" w:rsidRDefault="0015626B" w:rsidP="003A76CA">
      <w:pPr>
        <w:jc w:val="both"/>
        <w:rPr>
          <w:sz w:val="22"/>
          <w:szCs w:val="22"/>
        </w:rPr>
      </w:pPr>
    </w:p>
    <w:p w:rsidR="0015626B" w:rsidRPr="00152203" w:rsidRDefault="0015626B" w:rsidP="00533A8D">
      <w:pPr>
        <w:ind w:right="-1"/>
        <w:rPr>
          <w:sz w:val="22"/>
          <w:szCs w:val="22"/>
          <w:u w:val="single"/>
        </w:rPr>
      </w:pPr>
      <w:r w:rsidRPr="00152203">
        <w:rPr>
          <w:sz w:val="22"/>
          <w:szCs w:val="22"/>
          <w:u w:val="single"/>
        </w:rPr>
        <w:t>Gravidita</w:t>
      </w:r>
    </w:p>
    <w:p w:rsidR="0015626B" w:rsidRPr="00152203" w:rsidRDefault="0015626B" w:rsidP="00533A8D">
      <w:pPr>
        <w:ind w:right="-1"/>
        <w:rPr>
          <w:sz w:val="22"/>
          <w:szCs w:val="22"/>
        </w:rPr>
      </w:pPr>
      <w:r w:rsidRPr="00CC674A">
        <w:rPr>
          <w:sz w:val="22"/>
          <w:szCs w:val="22"/>
        </w:rPr>
        <w:t>Nie sú k</w:t>
      </w:r>
      <w:r w:rsidRPr="0058674F">
        <w:rPr>
          <w:sz w:val="22"/>
          <w:szCs w:val="22"/>
        </w:rPr>
        <w:t> </w:t>
      </w:r>
      <w:r w:rsidRPr="00CC674A">
        <w:rPr>
          <w:sz w:val="22"/>
          <w:szCs w:val="22"/>
        </w:rPr>
        <w:t>dispozícii alebo je len obmedzené množstvo údajov o</w:t>
      </w:r>
      <w:r w:rsidRPr="0058674F">
        <w:rPr>
          <w:sz w:val="22"/>
          <w:szCs w:val="22"/>
        </w:rPr>
        <w:t> </w:t>
      </w:r>
      <w:r w:rsidRPr="00CC674A">
        <w:rPr>
          <w:sz w:val="22"/>
          <w:szCs w:val="22"/>
        </w:rPr>
        <w:t>použití kyseliny ursodeoxycholovej u</w:t>
      </w:r>
      <w:r w:rsidRPr="0058674F">
        <w:rPr>
          <w:sz w:val="22"/>
          <w:szCs w:val="22"/>
        </w:rPr>
        <w:t> </w:t>
      </w:r>
      <w:r w:rsidRPr="00CC674A">
        <w:rPr>
          <w:sz w:val="22"/>
          <w:szCs w:val="22"/>
        </w:rPr>
        <w:t>gravidných žien.</w:t>
      </w:r>
      <w:r>
        <w:t xml:space="preserve"> </w:t>
      </w:r>
      <w:r w:rsidRPr="00152203">
        <w:rPr>
          <w:sz w:val="22"/>
          <w:szCs w:val="22"/>
        </w:rPr>
        <w:t xml:space="preserve">Štúdie na zvieratách </w:t>
      </w:r>
      <w:r w:rsidRPr="000D7D60">
        <w:rPr>
          <w:sz w:val="22"/>
          <w:szCs w:val="22"/>
        </w:rPr>
        <w:t xml:space="preserve">preukázali reprodukčnú toxicitu v skorých štádiách  gravidity </w:t>
      </w:r>
      <w:r w:rsidRPr="00152203">
        <w:rPr>
          <w:sz w:val="22"/>
          <w:szCs w:val="22"/>
        </w:rPr>
        <w:t xml:space="preserve">(pozri časť 5.3. ). </w:t>
      </w:r>
    </w:p>
    <w:p w:rsidR="0015626B" w:rsidRPr="00152203" w:rsidRDefault="0015626B" w:rsidP="00533A8D">
      <w:pPr>
        <w:ind w:right="-1"/>
        <w:rPr>
          <w:sz w:val="22"/>
          <w:szCs w:val="22"/>
        </w:rPr>
      </w:pPr>
    </w:p>
    <w:p w:rsidR="0015626B" w:rsidRPr="00152203" w:rsidRDefault="0015626B" w:rsidP="00533A8D">
      <w:pPr>
        <w:ind w:right="-1"/>
        <w:rPr>
          <w:sz w:val="22"/>
          <w:szCs w:val="22"/>
        </w:rPr>
      </w:pPr>
      <w:r w:rsidRPr="00192BC2">
        <w:rPr>
          <w:sz w:val="22"/>
          <w:szCs w:val="22"/>
        </w:rPr>
        <w:t>O užívaní Ursofalk 250 mg kapsuly počas gravidity sa má uvažovať, iba ak je to nevyhnutné.</w:t>
      </w:r>
      <w:r w:rsidRPr="00152203">
        <w:rPr>
          <w:sz w:val="22"/>
          <w:szCs w:val="22"/>
        </w:rPr>
        <w:t xml:space="preserve"> </w:t>
      </w:r>
    </w:p>
    <w:p w:rsidR="0015626B" w:rsidRDefault="0015626B" w:rsidP="009D1A5F">
      <w:pPr>
        <w:ind w:right="-1"/>
        <w:rPr>
          <w:sz w:val="22"/>
          <w:szCs w:val="22"/>
        </w:rPr>
      </w:pPr>
    </w:p>
    <w:p w:rsidR="0015626B" w:rsidRPr="00152203" w:rsidRDefault="0015626B" w:rsidP="009D1A5F">
      <w:pPr>
        <w:ind w:right="-1"/>
        <w:rPr>
          <w:sz w:val="22"/>
          <w:szCs w:val="22"/>
        </w:rPr>
      </w:pPr>
      <w:r w:rsidRPr="00152203">
        <w:rPr>
          <w:sz w:val="22"/>
          <w:szCs w:val="22"/>
        </w:rPr>
        <w:t>Pred začatím liečby sa musí vylúčiť prípadná gravidita.</w:t>
      </w:r>
    </w:p>
    <w:p w:rsidR="0015626B" w:rsidRPr="00152203" w:rsidRDefault="0015626B" w:rsidP="00533A8D">
      <w:pPr>
        <w:ind w:right="-1"/>
        <w:rPr>
          <w:sz w:val="22"/>
          <w:szCs w:val="22"/>
        </w:rPr>
      </w:pPr>
    </w:p>
    <w:p w:rsidR="0015626B" w:rsidRPr="00152203" w:rsidRDefault="0015626B" w:rsidP="00533A8D">
      <w:pPr>
        <w:ind w:right="-1"/>
        <w:rPr>
          <w:sz w:val="22"/>
          <w:szCs w:val="22"/>
          <w:u w:val="single"/>
        </w:rPr>
      </w:pPr>
      <w:r w:rsidRPr="00152203">
        <w:rPr>
          <w:sz w:val="22"/>
          <w:szCs w:val="22"/>
          <w:u w:val="single"/>
        </w:rPr>
        <w:t>Laktácia</w:t>
      </w:r>
    </w:p>
    <w:p w:rsidR="0015626B" w:rsidRPr="00CC674A" w:rsidRDefault="0015626B" w:rsidP="005C656C">
      <w:pPr>
        <w:rPr>
          <w:sz w:val="22"/>
          <w:szCs w:val="22"/>
        </w:rPr>
      </w:pPr>
      <w:r w:rsidRPr="00CC674A">
        <w:rPr>
          <w:sz w:val="22"/>
          <w:szCs w:val="22"/>
        </w:rPr>
        <w:t>Na základe niekoľkých zdokumentovaných prípadov žien, ktoré počas dojčenia užívali kyselinu</w:t>
      </w:r>
      <w:r>
        <w:rPr>
          <w:sz w:val="22"/>
          <w:szCs w:val="22"/>
        </w:rPr>
        <w:t xml:space="preserve"> </w:t>
      </w:r>
      <w:r w:rsidRPr="00CC674A">
        <w:rPr>
          <w:sz w:val="22"/>
          <w:szCs w:val="22"/>
        </w:rPr>
        <w:t>ursodeoxychololovú sa ukázalo, že hladina UDCA je v</w:t>
      </w:r>
      <w:r>
        <w:rPr>
          <w:sz w:val="22"/>
          <w:szCs w:val="22"/>
        </w:rPr>
        <w:t> </w:t>
      </w:r>
      <w:r w:rsidRPr="00CC674A">
        <w:rPr>
          <w:sz w:val="22"/>
          <w:szCs w:val="22"/>
        </w:rPr>
        <w:t>materskom mlieku veľmi nízka  a</w:t>
      </w:r>
      <w:r>
        <w:rPr>
          <w:sz w:val="22"/>
          <w:szCs w:val="22"/>
        </w:rPr>
        <w:t> </w:t>
      </w:r>
      <w:r w:rsidRPr="00CC674A">
        <w:rPr>
          <w:sz w:val="22"/>
          <w:szCs w:val="22"/>
        </w:rPr>
        <w:t>pravdepodobne sa nevyskytnú žiadne nežiaduce reakcie u</w:t>
      </w:r>
      <w:r>
        <w:rPr>
          <w:sz w:val="22"/>
          <w:szCs w:val="22"/>
        </w:rPr>
        <w:t> </w:t>
      </w:r>
      <w:r w:rsidRPr="00CC674A">
        <w:rPr>
          <w:sz w:val="22"/>
          <w:szCs w:val="22"/>
        </w:rPr>
        <w:t>dojčených detí.</w:t>
      </w:r>
    </w:p>
    <w:p w:rsidR="0015626B" w:rsidRPr="00152203" w:rsidRDefault="0015626B" w:rsidP="003A76CA">
      <w:pPr>
        <w:jc w:val="both"/>
        <w:rPr>
          <w:sz w:val="22"/>
          <w:szCs w:val="22"/>
        </w:rPr>
      </w:pPr>
    </w:p>
    <w:p w:rsidR="0015626B" w:rsidRPr="00152203" w:rsidRDefault="0015626B" w:rsidP="003A76CA">
      <w:pPr>
        <w:jc w:val="both"/>
        <w:rPr>
          <w:sz w:val="22"/>
          <w:szCs w:val="22"/>
          <w:u w:val="single"/>
        </w:rPr>
      </w:pPr>
      <w:r w:rsidRPr="00152203">
        <w:rPr>
          <w:sz w:val="22"/>
          <w:szCs w:val="22"/>
          <w:u w:val="single"/>
        </w:rPr>
        <w:t>Fertilita</w:t>
      </w:r>
    </w:p>
    <w:p w:rsidR="0015626B" w:rsidRPr="009C7E13" w:rsidRDefault="0015626B" w:rsidP="005C656C">
      <w:pPr>
        <w:ind w:right="-1"/>
        <w:rPr>
          <w:sz w:val="22"/>
          <w:szCs w:val="22"/>
        </w:rPr>
      </w:pPr>
      <w:r w:rsidRPr="009C7E13">
        <w:rPr>
          <w:sz w:val="22"/>
          <w:szCs w:val="22"/>
        </w:rPr>
        <w:t xml:space="preserve">Štúdie na zvieratách nepreukázali vplyv kyseliny </w:t>
      </w:r>
      <w:r>
        <w:rPr>
          <w:sz w:val="22"/>
          <w:szCs w:val="22"/>
        </w:rPr>
        <w:t>ursodeoxycholovej</w:t>
      </w:r>
      <w:r w:rsidRPr="009C7E13">
        <w:rPr>
          <w:sz w:val="22"/>
          <w:szCs w:val="22"/>
        </w:rPr>
        <w:t xml:space="preserve"> na fertilitu (pozri časť 5.3). Údaje  o vplyve kyseliny ursodeoxychol</w:t>
      </w:r>
      <w:r>
        <w:rPr>
          <w:sz w:val="22"/>
          <w:szCs w:val="22"/>
        </w:rPr>
        <w:t>ovej</w:t>
      </w:r>
      <w:r w:rsidRPr="009C7E13">
        <w:rPr>
          <w:sz w:val="22"/>
          <w:szCs w:val="22"/>
        </w:rPr>
        <w:t xml:space="preserve"> na fertilitu ľudí nie sú k dispozícii. </w:t>
      </w:r>
    </w:p>
    <w:p w:rsidR="0015626B" w:rsidRPr="00152203" w:rsidRDefault="0015626B" w:rsidP="00D12639">
      <w:pPr>
        <w:ind w:right="-1"/>
        <w:rPr>
          <w:sz w:val="22"/>
          <w:szCs w:val="22"/>
        </w:rPr>
      </w:pPr>
      <w:r w:rsidRPr="00152203">
        <w:rPr>
          <w:sz w:val="22"/>
          <w:szCs w:val="22"/>
        </w:rPr>
        <w:t xml:space="preserve">Ženy v reprodukčnom veku možno liečiť, len ak súčasne používajú spoľahlivú antikoncepciu. Odporúčajú sa nehormonálne kontraceptívne opatrenia alebo perorálne kontraceptíva s nízkou dávkou estrogénu. U pacientok užívajúcich </w:t>
      </w:r>
      <w:r>
        <w:rPr>
          <w:sz w:val="22"/>
          <w:szCs w:val="22"/>
        </w:rPr>
        <w:t>Ursofalk 250 mg kapsuly</w:t>
      </w:r>
      <w:r w:rsidRPr="00152203">
        <w:rPr>
          <w:sz w:val="22"/>
          <w:szCs w:val="22"/>
        </w:rPr>
        <w:t xml:space="preserve"> na rozpúšťanie žlčových kameňov sa má používať účinná nehormonálna antikoncepcia, pretože hormonálne perorálne kontraceptíva môžu zvyšovať biliárnu litiázu. </w:t>
      </w:r>
    </w:p>
    <w:p w:rsidR="0015626B" w:rsidRPr="004C3B94" w:rsidRDefault="0015626B" w:rsidP="003A76CA">
      <w:pPr>
        <w:jc w:val="both"/>
        <w:rPr>
          <w:b/>
          <w:sz w:val="22"/>
          <w:szCs w:val="22"/>
        </w:rPr>
      </w:pPr>
    </w:p>
    <w:p w:rsidR="0015626B" w:rsidRPr="004C3B94" w:rsidRDefault="0015626B" w:rsidP="003A76CA">
      <w:pPr>
        <w:jc w:val="both"/>
        <w:rPr>
          <w:b/>
          <w:sz w:val="22"/>
          <w:szCs w:val="22"/>
        </w:rPr>
      </w:pPr>
      <w:r w:rsidRPr="004C3B94">
        <w:rPr>
          <w:b/>
          <w:sz w:val="22"/>
          <w:szCs w:val="22"/>
        </w:rPr>
        <w:t xml:space="preserve">4.7 </w:t>
      </w:r>
      <w:r>
        <w:rPr>
          <w:b/>
          <w:sz w:val="22"/>
          <w:szCs w:val="22"/>
        </w:rPr>
        <w:tab/>
      </w:r>
      <w:r w:rsidRPr="004C3B94">
        <w:rPr>
          <w:b/>
          <w:sz w:val="22"/>
          <w:szCs w:val="22"/>
        </w:rPr>
        <w:t xml:space="preserve">Ovplyvnenie schopnosti viesť </w:t>
      </w:r>
      <w:r>
        <w:rPr>
          <w:b/>
          <w:sz w:val="22"/>
          <w:szCs w:val="22"/>
        </w:rPr>
        <w:t xml:space="preserve">motorové </w:t>
      </w:r>
      <w:r w:rsidRPr="004C3B94">
        <w:rPr>
          <w:b/>
          <w:sz w:val="22"/>
          <w:szCs w:val="22"/>
        </w:rPr>
        <w:t>vozidlá a obsluhovať stroje</w:t>
      </w:r>
    </w:p>
    <w:p w:rsidR="0015626B" w:rsidRPr="004C3B94" w:rsidRDefault="0015626B" w:rsidP="003A76CA">
      <w:pPr>
        <w:jc w:val="both"/>
        <w:rPr>
          <w:sz w:val="22"/>
          <w:szCs w:val="22"/>
        </w:rPr>
      </w:pPr>
    </w:p>
    <w:p w:rsidR="0015626B" w:rsidRDefault="0015626B" w:rsidP="00CC674A">
      <w:pPr>
        <w:rPr>
          <w:sz w:val="22"/>
          <w:szCs w:val="22"/>
        </w:rPr>
      </w:pPr>
      <w:r w:rsidRPr="009C7E13">
        <w:rPr>
          <w:sz w:val="22"/>
          <w:szCs w:val="22"/>
        </w:rPr>
        <w:t>Kyselina ursodeoxychol</w:t>
      </w:r>
      <w:r>
        <w:rPr>
          <w:sz w:val="22"/>
          <w:szCs w:val="22"/>
        </w:rPr>
        <w:t>ová</w:t>
      </w:r>
      <w:r w:rsidRPr="009C7E13">
        <w:rPr>
          <w:sz w:val="22"/>
          <w:szCs w:val="22"/>
        </w:rPr>
        <w:t xml:space="preserve"> nemá žiadny alebo má zanedbateľný vplyv na schopnosť viesť vozidlá a obsluhovať stroje</w:t>
      </w:r>
      <w:r>
        <w:rPr>
          <w:sz w:val="22"/>
          <w:szCs w:val="22"/>
        </w:rPr>
        <w:t>.</w:t>
      </w:r>
      <w:r w:rsidRPr="004C3B94" w:rsidDel="005C656C">
        <w:rPr>
          <w:sz w:val="22"/>
          <w:szCs w:val="22"/>
        </w:rPr>
        <w:t xml:space="preserve"> </w:t>
      </w:r>
    </w:p>
    <w:p w:rsidR="0015626B" w:rsidRDefault="0015626B" w:rsidP="00CC674A">
      <w:pPr>
        <w:rPr>
          <w:sz w:val="22"/>
          <w:szCs w:val="22"/>
        </w:rPr>
      </w:pPr>
    </w:p>
    <w:p w:rsidR="0015626B" w:rsidRPr="004C3B94" w:rsidRDefault="0015626B" w:rsidP="003A76CA">
      <w:pPr>
        <w:jc w:val="both"/>
        <w:rPr>
          <w:b/>
          <w:sz w:val="22"/>
          <w:szCs w:val="22"/>
        </w:rPr>
      </w:pPr>
      <w:r w:rsidRPr="004C3B94">
        <w:rPr>
          <w:b/>
          <w:sz w:val="22"/>
          <w:szCs w:val="22"/>
        </w:rPr>
        <w:t xml:space="preserve">4.8 </w:t>
      </w:r>
      <w:r>
        <w:rPr>
          <w:b/>
          <w:sz w:val="22"/>
          <w:szCs w:val="22"/>
        </w:rPr>
        <w:tab/>
      </w:r>
      <w:r w:rsidRPr="004C3B94">
        <w:rPr>
          <w:b/>
          <w:sz w:val="22"/>
          <w:szCs w:val="22"/>
        </w:rPr>
        <w:t>Nežiaduce účinky</w:t>
      </w:r>
    </w:p>
    <w:p w:rsidR="0015626B" w:rsidRPr="004C3B94" w:rsidRDefault="0015626B" w:rsidP="003A76CA">
      <w:pPr>
        <w:jc w:val="both"/>
        <w:rPr>
          <w:sz w:val="22"/>
          <w:szCs w:val="22"/>
        </w:rPr>
      </w:pPr>
    </w:p>
    <w:p w:rsidR="0015626B" w:rsidRPr="00C85A2E" w:rsidRDefault="0015626B" w:rsidP="00C85A2E">
      <w:pPr>
        <w:rPr>
          <w:bCs/>
          <w:shadow/>
          <w:sz w:val="22"/>
          <w:szCs w:val="22"/>
        </w:rPr>
      </w:pPr>
      <w:r w:rsidRPr="00C85A2E">
        <w:rPr>
          <w:sz w:val="22"/>
          <w:szCs w:val="22"/>
        </w:rPr>
        <w:t xml:space="preserve">Možné nežiaduce účinky lieku sú klasifikované podľa orgánového systému </w:t>
      </w:r>
      <w:r w:rsidRPr="00D264FB">
        <w:rPr>
          <w:rStyle w:val="FontStyle28"/>
          <w:rFonts w:ascii="Times New Roman" w:hAnsi="Times New Roman" w:cs="Times New Roman"/>
          <w:sz w:val="22"/>
          <w:szCs w:val="22"/>
        </w:rPr>
        <w:t>MedDRA</w:t>
      </w:r>
      <w:r w:rsidRPr="00C85A2E">
        <w:rPr>
          <w:sz w:val="22"/>
          <w:szCs w:val="22"/>
        </w:rPr>
        <w:t xml:space="preserve">. </w:t>
      </w:r>
      <w:r w:rsidRPr="00C85A2E">
        <w:rPr>
          <w:bCs/>
          <w:sz w:val="22"/>
          <w:szCs w:val="22"/>
        </w:rPr>
        <w:t>Frekvencia výskytu je definovaná podľa konvencií nasledovne: veľmi časté (≥ 1/10), časté (≥ /100 až &lt; 1/10), menej časté (≥ 1/1 000 až &lt; 1/100), zriedkavé (≥ 1/10 000 až &lt; 1/1 000), veľmi zriedkavé (&lt; 1/10 000), neznáme (z dostupných údajov).</w:t>
      </w:r>
    </w:p>
    <w:p w:rsidR="0015626B" w:rsidRPr="004C3B94" w:rsidRDefault="0015626B" w:rsidP="003A76CA">
      <w:pPr>
        <w:jc w:val="both"/>
        <w:rPr>
          <w:sz w:val="22"/>
          <w:szCs w:val="22"/>
        </w:rPr>
      </w:pPr>
    </w:p>
    <w:p w:rsidR="0015626B" w:rsidRPr="00152203" w:rsidRDefault="0015626B" w:rsidP="004C06D8">
      <w:pPr>
        <w:tabs>
          <w:tab w:val="left" w:pos="0"/>
        </w:tabs>
        <w:rPr>
          <w:bCs/>
          <w:i/>
          <w:sz w:val="22"/>
          <w:szCs w:val="22"/>
        </w:rPr>
      </w:pPr>
      <w:r w:rsidRPr="00152203">
        <w:rPr>
          <w:bCs/>
          <w:i/>
          <w:sz w:val="22"/>
          <w:szCs w:val="22"/>
        </w:rPr>
        <w:t>Poruchy gastrointestinálneho traktu</w:t>
      </w:r>
      <w:r w:rsidRPr="00152203">
        <w:rPr>
          <w:bCs/>
          <w:sz w:val="22"/>
          <w:szCs w:val="22"/>
        </w:rPr>
        <w:t>.</w:t>
      </w:r>
      <w:r w:rsidRPr="00152203">
        <w:rPr>
          <w:bCs/>
          <w:i/>
          <w:sz w:val="22"/>
          <w:szCs w:val="22"/>
        </w:rPr>
        <w:t xml:space="preserve"> </w:t>
      </w:r>
    </w:p>
    <w:p w:rsidR="0015626B" w:rsidRPr="00152203" w:rsidRDefault="0015626B" w:rsidP="004C06D8">
      <w:pPr>
        <w:tabs>
          <w:tab w:val="left" w:pos="0"/>
        </w:tabs>
        <w:rPr>
          <w:sz w:val="22"/>
          <w:szCs w:val="22"/>
        </w:rPr>
      </w:pPr>
      <w:r w:rsidRPr="00152203">
        <w:rPr>
          <w:sz w:val="22"/>
          <w:szCs w:val="22"/>
        </w:rPr>
        <w:t>V klinických skúšaniach sa počas liečby kyselinou ursodeoxychol</w:t>
      </w:r>
      <w:r>
        <w:rPr>
          <w:sz w:val="22"/>
          <w:szCs w:val="22"/>
        </w:rPr>
        <w:t>ovou</w:t>
      </w:r>
      <w:r w:rsidRPr="00152203">
        <w:rPr>
          <w:sz w:val="22"/>
          <w:szCs w:val="22"/>
        </w:rPr>
        <w:t xml:space="preserve"> udávali ako časté bledá stolica alebo hnačka.</w:t>
      </w:r>
    </w:p>
    <w:p w:rsidR="0015626B" w:rsidRPr="00152203" w:rsidRDefault="0015626B" w:rsidP="004C06D8">
      <w:pPr>
        <w:tabs>
          <w:tab w:val="left" w:pos="0"/>
        </w:tabs>
        <w:rPr>
          <w:sz w:val="22"/>
          <w:szCs w:val="22"/>
        </w:rPr>
      </w:pPr>
      <w:r w:rsidRPr="00152203">
        <w:rPr>
          <w:sz w:val="22"/>
          <w:szCs w:val="22"/>
        </w:rPr>
        <w:t>Pri liečbe primárnej biliárnej cirhózy sa veľmi zriedkavo vyskytli silné bolesti na pravej hornej strane brucha.</w:t>
      </w:r>
    </w:p>
    <w:p w:rsidR="0015626B" w:rsidRPr="004C3B94" w:rsidRDefault="0015626B" w:rsidP="004C06D8">
      <w:pPr>
        <w:tabs>
          <w:tab w:val="left" w:pos="0"/>
        </w:tabs>
        <w:rPr>
          <w:sz w:val="22"/>
          <w:szCs w:val="22"/>
        </w:rPr>
      </w:pPr>
    </w:p>
    <w:p w:rsidR="0015626B" w:rsidRPr="00152203" w:rsidRDefault="0015626B" w:rsidP="004C06D8">
      <w:pPr>
        <w:tabs>
          <w:tab w:val="left" w:pos="0"/>
        </w:tabs>
        <w:rPr>
          <w:sz w:val="22"/>
          <w:szCs w:val="22"/>
        </w:rPr>
      </w:pPr>
      <w:r w:rsidRPr="00152203">
        <w:rPr>
          <w:bCs/>
          <w:i/>
          <w:sz w:val="22"/>
          <w:szCs w:val="22"/>
          <w:lang w:val="pl-PL"/>
        </w:rPr>
        <w:t>Poruchy pečene a žlčových ciest</w:t>
      </w:r>
      <w:r w:rsidRPr="00152203">
        <w:rPr>
          <w:sz w:val="22"/>
          <w:szCs w:val="22"/>
        </w:rPr>
        <w:t xml:space="preserve">. </w:t>
      </w:r>
    </w:p>
    <w:p w:rsidR="0015626B" w:rsidRPr="00152203" w:rsidRDefault="0015626B" w:rsidP="004C06D8">
      <w:pPr>
        <w:tabs>
          <w:tab w:val="left" w:pos="0"/>
        </w:tabs>
        <w:rPr>
          <w:sz w:val="22"/>
          <w:szCs w:val="22"/>
        </w:rPr>
      </w:pPr>
      <w:r w:rsidRPr="00152203">
        <w:rPr>
          <w:sz w:val="22"/>
          <w:szCs w:val="22"/>
        </w:rPr>
        <w:t>Počas liečby kyselinou ursodeoxychol</w:t>
      </w:r>
      <w:r>
        <w:rPr>
          <w:sz w:val="22"/>
          <w:szCs w:val="22"/>
        </w:rPr>
        <w:t>ovou</w:t>
      </w:r>
      <w:r w:rsidRPr="00152203">
        <w:rPr>
          <w:sz w:val="22"/>
          <w:szCs w:val="22"/>
        </w:rPr>
        <w:t xml:space="preserve"> sa veľmi zriedkavo môže vyskytnúť zvápenatenie žlčových kameňov.</w:t>
      </w:r>
    </w:p>
    <w:p w:rsidR="0015626B" w:rsidRPr="00152203" w:rsidRDefault="0015626B" w:rsidP="004C06D8">
      <w:pPr>
        <w:tabs>
          <w:tab w:val="left" w:pos="0"/>
        </w:tabs>
        <w:rPr>
          <w:sz w:val="22"/>
          <w:szCs w:val="22"/>
        </w:rPr>
      </w:pPr>
      <w:r w:rsidRPr="00152203">
        <w:rPr>
          <w:sz w:val="22"/>
          <w:szCs w:val="22"/>
        </w:rPr>
        <w:t>Počas liečby pokročilých štádií primárnej biliárnej cirhózy sa vo veľmi zriedkavých prípadoch pozorovala dekompenzácia cirhózy pečene, ktorá čiastočne ustúpila po vysadení liečby.</w:t>
      </w:r>
    </w:p>
    <w:p w:rsidR="0015626B" w:rsidRPr="00152203" w:rsidRDefault="0015626B" w:rsidP="003A76CA">
      <w:pPr>
        <w:tabs>
          <w:tab w:val="left" w:pos="0"/>
        </w:tabs>
        <w:jc w:val="both"/>
        <w:rPr>
          <w:sz w:val="22"/>
          <w:szCs w:val="22"/>
        </w:rPr>
      </w:pPr>
    </w:p>
    <w:p w:rsidR="0015626B" w:rsidRPr="00152203" w:rsidRDefault="0015626B" w:rsidP="003A76CA">
      <w:pPr>
        <w:tabs>
          <w:tab w:val="left" w:pos="0"/>
        </w:tabs>
        <w:jc w:val="both"/>
        <w:rPr>
          <w:sz w:val="22"/>
          <w:szCs w:val="22"/>
        </w:rPr>
      </w:pPr>
      <w:r w:rsidRPr="00152203">
        <w:rPr>
          <w:bCs/>
          <w:i/>
          <w:sz w:val="22"/>
          <w:szCs w:val="22"/>
          <w:lang w:val="pl-PL"/>
        </w:rPr>
        <w:t xml:space="preserve">Poruchy kože a podkožného tkaniva. </w:t>
      </w:r>
    </w:p>
    <w:p w:rsidR="0015626B" w:rsidRPr="00152203" w:rsidRDefault="0015626B" w:rsidP="003A76CA">
      <w:pPr>
        <w:tabs>
          <w:tab w:val="left" w:pos="0"/>
        </w:tabs>
        <w:jc w:val="both"/>
        <w:rPr>
          <w:sz w:val="22"/>
          <w:szCs w:val="22"/>
        </w:rPr>
      </w:pPr>
      <w:r w:rsidRPr="00152203">
        <w:rPr>
          <w:sz w:val="22"/>
          <w:szCs w:val="22"/>
        </w:rPr>
        <w:t>Veľmi zriedkavo sa môže vyskytnúť urtikária.</w:t>
      </w:r>
    </w:p>
    <w:p w:rsidR="0015626B" w:rsidRPr="00152203" w:rsidRDefault="0015626B" w:rsidP="003A76CA">
      <w:pPr>
        <w:jc w:val="both"/>
        <w:rPr>
          <w:sz w:val="22"/>
          <w:szCs w:val="22"/>
        </w:rPr>
      </w:pPr>
    </w:p>
    <w:p w:rsidR="0015626B" w:rsidRPr="00152203" w:rsidRDefault="0015626B" w:rsidP="00BF15DE">
      <w:pPr>
        <w:suppressLineNumbers/>
        <w:autoSpaceDE w:val="0"/>
        <w:autoSpaceDN w:val="0"/>
        <w:adjustRightInd w:val="0"/>
        <w:rPr>
          <w:sz w:val="22"/>
          <w:szCs w:val="22"/>
          <w:u w:val="single"/>
        </w:rPr>
      </w:pPr>
      <w:r w:rsidRPr="00152203">
        <w:rPr>
          <w:noProof/>
          <w:sz w:val="22"/>
          <w:szCs w:val="22"/>
          <w:u w:val="single"/>
        </w:rPr>
        <w:t>Hlásenie podozrení na nežiaduce reakcie</w:t>
      </w:r>
    </w:p>
    <w:p w:rsidR="0015626B" w:rsidRPr="00152203" w:rsidRDefault="0015626B" w:rsidP="00BF15DE">
      <w:pPr>
        <w:suppressLineNumbers/>
        <w:autoSpaceDE w:val="0"/>
        <w:autoSpaceDN w:val="0"/>
        <w:adjustRightInd w:val="0"/>
        <w:rPr>
          <w:noProof/>
          <w:sz w:val="22"/>
          <w:szCs w:val="22"/>
        </w:rPr>
      </w:pPr>
      <w:r w:rsidRPr="00152203">
        <w:rPr>
          <w:noProof/>
          <w:sz w:val="22"/>
          <w:szCs w:val="22"/>
        </w:rPr>
        <w:t>Hlásenie podozrení na nežiaduce reakcie po registrácii lieku je dôležité.</w:t>
      </w:r>
      <w:r w:rsidRPr="00152203">
        <w:rPr>
          <w:sz w:val="22"/>
          <w:szCs w:val="22"/>
        </w:rPr>
        <w:t xml:space="preserve"> </w:t>
      </w:r>
      <w:r w:rsidRPr="00152203">
        <w:rPr>
          <w:noProof/>
          <w:sz w:val="22"/>
          <w:szCs w:val="22"/>
        </w:rPr>
        <w:t>Umožňuje priebežné monitorovanie pomeru prínosu a rizika lieku.</w:t>
      </w:r>
      <w:r w:rsidRPr="00152203">
        <w:rPr>
          <w:sz w:val="22"/>
          <w:szCs w:val="22"/>
        </w:rPr>
        <w:t xml:space="preserve"> Od </w:t>
      </w:r>
      <w:r w:rsidRPr="00152203">
        <w:rPr>
          <w:noProof/>
          <w:sz w:val="22"/>
          <w:szCs w:val="22"/>
        </w:rPr>
        <w:t xml:space="preserve">zdravotníckych pracovníkov sa vyžaduje, aby hlásili akékoľvek podozrenia na nežiaduce reakcie prostredníctvom </w:t>
      </w:r>
      <w:r w:rsidRPr="00152203">
        <w:rPr>
          <w:noProof/>
          <w:sz w:val="22"/>
          <w:szCs w:val="22"/>
          <w:highlight w:val="lightGray"/>
        </w:rPr>
        <w:t>národného systému hlásenia uvedeného v </w:t>
      </w:r>
      <w:hyperlink r:id="rId6" w:history="1">
        <w:r w:rsidRPr="00152203">
          <w:rPr>
            <w:rStyle w:val="Hyperlink"/>
            <w:noProof/>
            <w:sz w:val="22"/>
            <w:szCs w:val="22"/>
            <w:highlight w:val="lightGray"/>
          </w:rPr>
          <w:t>Prílohe V</w:t>
        </w:r>
      </w:hyperlink>
      <w:r w:rsidRPr="00152203">
        <w:rPr>
          <w:noProof/>
          <w:sz w:val="22"/>
          <w:szCs w:val="22"/>
        </w:rPr>
        <w:t>.</w:t>
      </w:r>
    </w:p>
    <w:p w:rsidR="0015626B" w:rsidRPr="00152203" w:rsidRDefault="0015626B" w:rsidP="003A76CA">
      <w:pPr>
        <w:jc w:val="both"/>
        <w:rPr>
          <w:sz w:val="22"/>
          <w:szCs w:val="22"/>
        </w:rPr>
      </w:pPr>
    </w:p>
    <w:p w:rsidR="0015626B" w:rsidRPr="004C3B94" w:rsidRDefault="0015626B" w:rsidP="003A76CA">
      <w:pPr>
        <w:jc w:val="both"/>
        <w:rPr>
          <w:b/>
          <w:sz w:val="22"/>
          <w:szCs w:val="22"/>
        </w:rPr>
      </w:pPr>
      <w:r w:rsidRPr="004C3B94">
        <w:rPr>
          <w:b/>
          <w:sz w:val="22"/>
          <w:szCs w:val="22"/>
        </w:rPr>
        <w:t xml:space="preserve">4.9 </w:t>
      </w:r>
      <w:r>
        <w:rPr>
          <w:b/>
          <w:sz w:val="22"/>
          <w:szCs w:val="22"/>
        </w:rPr>
        <w:tab/>
      </w:r>
      <w:r w:rsidRPr="004C3B94">
        <w:rPr>
          <w:b/>
          <w:sz w:val="22"/>
          <w:szCs w:val="22"/>
        </w:rPr>
        <w:t>Predávkovanie</w:t>
      </w:r>
    </w:p>
    <w:p w:rsidR="0015626B" w:rsidRPr="004C3B94" w:rsidRDefault="0015626B" w:rsidP="003A76CA">
      <w:pPr>
        <w:jc w:val="both"/>
        <w:rPr>
          <w:sz w:val="22"/>
          <w:szCs w:val="22"/>
        </w:rPr>
      </w:pPr>
    </w:p>
    <w:p w:rsidR="0015626B" w:rsidRPr="00152203" w:rsidRDefault="0015626B" w:rsidP="004C06D8">
      <w:pPr>
        <w:tabs>
          <w:tab w:val="left" w:pos="0"/>
        </w:tabs>
        <w:rPr>
          <w:sz w:val="22"/>
          <w:szCs w:val="22"/>
        </w:rPr>
      </w:pPr>
      <w:r w:rsidRPr="00152203">
        <w:rPr>
          <w:sz w:val="22"/>
          <w:szCs w:val="22"/>
        </w:rPr>
        <w:t xml:space="preserve">Pri predávkovaní sa môžu vyskytnúť hnačky. Všeobecne nie sú pravdepodobné iné príznaky predávkovania, pretože zvyšovanie dávky kyseliny </w:t>
      </w:r>
      <w:r>
        <w:rPr>
          <w:sz w:val="22"/>
          <w:szCs w:val="22"/>
        </w:rPr>
        <w:t>ursodeoxycholovej</w:t>
      </w:r>
      <w:r w:rsidRPr="00152203">
        <w:rPr>
          <w:sz w:val="22"/>
          <w:szCs w:val="22"/>
        </w:rPr>
        <w:t xml:space="preserve"> znižuje absorpciu, a preto sa viac vylúči stolicou.</w:t>
      </w:r>
    </w:p>
    <w:p w:rsidR="0015626B" w:rsidRPr="00152203" w:rsidRDefault="0015626B" w:rsidP="004C06D8">
      <w:pPr>
        <w:tabs>
          <w:tab w:val="left" w:pos="0"/>
        </w:tabs>
        <w:rPr>
          <w:sz w:val="22"/>
          <w:szCs w:val="22"/>
        </w:rPr>
      </w:pPr>
    </w:p>
    <w:p w:rsidR="0015626B" w:rsidRPr="00152203" w:rsidRDefault="0015626B" w:rsidP="004C06D8">
      <w:pPr>
        <w:tabs>
          <w:tab w:val="left" w:pos="0"/>
        </w:tabs>
        <w:rPr>
          <w:sz w:val="22"/>
          <w:szCs w:val="22"/>
        </w:rPr>
      </w:pPr>
      <w:r w:rsidRPr="00152203">
        <w:rPr>
          <w:sz w:val="22"/>
          <w:szCs w:val="22"/>
        </w:rPr>
        <w:t>Nie sú potrebné žiadne protiopatrenia a následky hnačky sa majú liečiť symptomaticky náhradou tekutín a elektrolytov.</w:t>
      </w:r>
    </w:p>
    <w:p w:rsidR="0015626B" w:rsidRPr="004C3B94" w:rsidRDefault="0015626B" w:rsidP="003A76CA">
      <w:pPr>
        <w:jc w:val="both"/>
        <w:rPr>
          <w:sz w:val="22"/>
          <w:szCs w:val="22"/>
        </w:rPr>
      </w:pPr>
    </w:p>
    <w:p w:rsidR="0015626B" w:rsidRPr="00CC674A" w:rsidRDefault="0015626B" w:rsidP="005D6435">
      <w:pPr>
        <w:spacing w:before="120"/>
        <w:jc w:val="both"/>
        <w:rPr>
          <w:sz w:val="22"/>
          <w:szCs w:val="22"/>
          <w:lang w:val="en-GB"/>
        </w:rPr>
      </w:pPr>
      <w:r w:rsidRPr="00CC674A">
        <w:rPr>
          <w:sz w:val="22"/>
          <w:szCs w:val="22"/>
          <w:lang w:val="en-GB"/>
        </w:rPr>
        <w:t>Ďalšie informácie</w:t>
      </w:r>
    </w:p>
    <w:p w:rsidR="0015626B" w:rsidRPr="00CC674A" w:rsidRDefault="0015626B" w:rsidP="005D6435">
      <w:pPr>
        <w:spacing w:before="120"/>
        <w:jc w:val="both"/>
        <w:rPr>
          <w:i/>
          <w:sz w:val="22"/>
          <w:szCs w:val="22"/>
        </w:rPr>
      </w:pPr>
      <w:r w:rsidRPr="00CC674A">
        <w:rPr>
          <w:i/>
          <w:sz w:val="22"/>
          <w:szCs w:val="22"/>
          <w:lang w:val="en-GB"/>
        </w:rPr>
        <w:t>Upozornenie pre osobitné skupiny pacientov</w:t>
      </w:r>
    </w:p>
    <w:p w:rsidR="0015626B" w:rsidRPr="00CC674A" w:rsidRDefault="0015626B" w:rsidP="00B9435F">
      <w:pPr>
        <w:rPr>
          <w:sz w:val="22"/>
          <w:szCs w:val="22"/>
        </w:rPr>
      </w:pPr>
      <w:r w:rsidRPr="00CC674A">
        <w:rPr>
          <w:sz w:val="22"/>
          <w:szCs w:val="22"/>
        </w:rPr>
        <w:t>Dlhodobá liečba kyselinou ursodeoxycholovou vysokými dávkami (28-30 mg/kg/deň) u</w:t>
      </w:r>
      <w:r w:rsidRPr="0058674F">
        <w:rPr>
          <w:sz w:val="22"/>
          <w:szCs w:val="22"/>
        </w:rPr>
        <w:t> </w:t>
      </w:r>
      <w:r w:rsidRPr="00CC674A">
        <w:rPr>
          <w:sz w:val="22"/>
          <w:szCs w:val="22"/>
        </w:rPr>
        <w:t xml:space="preserve">pacientov </w:t>
      </w:r>
      <w:r w:rsidRPr="00CC674A">
        <w:rPr>
          <w:sz w:val="22"/>
          <w:szCs w:val="22"/>
          <w:lang w:val="en-GB" w:eastAsia="de-DE"/>
        </w:rPr>
        <w:t>s primárnou sklerotizujúcou cholangitídou (</w:t>
      </w:r>
      <w:r w:rsidRPr="00CC674A">
        <w:rPr>
          <w:sz w:val="22"/>
          <w:szCs w:val="22"/>
        </w:rPr>
        <w:t>použitie mimo schválených indikácií</w:t>
      </w:r>
      <w:r w:rsidRPr="00CC674A">
        <w:rPr>
          <w:sz w:val="22"/>
          <w:szCs w:val="22"/>
          <w:lang w:val="en-GB" w:eastAsia="de-DE"/>
        </w:rPr>
        <w:t xml:space="preserve">) </w:t>
      </w:r>
      <w:r w:rsidRPr="00CC674A">
        <w:rPr>
          <w:sz w:val="22"/>
          <w:szCs w:val="22"/>
        </w:rPr>
        <w:t>je spojená s</w:t>
      </w:r>
      <w:r w:rsidRPr="0058674F">
        <w:rPr>
          <w:sz w:val="22"/>
          <w:szCs w:val="22"/>
        </w:rPr>
        <w:t> </w:t>
      </w:r>
      <w:r w:rsidRPr="00CC674A">
        <w:rPr>
          <w:sz w:val="22"/>
          <w:szCs w:val="22"/>
        </w:rPr>
        <w:t>vyšším výskytom závažných nežiaducich účinkov.</w:t>
      </w:r>
    </w:p>
    <w:p w:rsidR="0015626B" w:rsidRDefault="0015626B" w:rsidP="003A76CA">
      <w:pPr>
        <w:jc w:val="both"/>
        <w:rPr>
          <w:sz w:val="22"/>
          <w:szCs w:val="22"/>
        </w:rPr>
      </w:pPr>
    </w:p>
    <w:p w:rsidR="0015626B" w:rsidRPr="004C3B94" w:rsidRDefault="0015626B" w:rsidP="003A76CA">
      <w:pPr>
        <w:jc w:val="both"/>
        <w:rPr>
          <w:sz w:val="22"/>
          <w:szCs w:val="22"/>
        </w:rPr>
      </w:pPr>
    </w:p>
    <w:p w:rsidR="0015626B" w:rsidRPr="004C3B94" w:rsidRDefault="0015626B" w:rsidP="003A76CA">
      <w:pPr>
        <w:jc w:val="both"/>
        <w:rPr>
          <w:caps/>
          <w:sz w:val="22"/>
          <w:szCs w:val="22"/>
        </w:rPr>
      </w:pPr>
      <w:r w:rsidRPr="004C3B94">
        <w:rPr>
          <w:b/>
          <w:caps/>
          <w:sz w:val="22"/>
          <w:szCs w:val="22"/>
        </w:rPr>
        <w:t xml:space="preserve">5. </w:t>
      </w:r>
      <w:r>
        <w:rPr>
          <w:b/>
          <w:caps/>
          <w:sz w:val="22"/>
          <w:szCs w:val="22"/>
        </w:rPr>
        <w:tab/>
      </w:r>
      <w:r w:rsidRPr="004C3B94">
        <w:rPr>
          <w:b/>
          <w:caps/>
          <w:sz w:val="22"/>
          <w:szCs w:val="22"/>
        </w:rPr>
        <w:t>Farmakologické vlastnosti</w:t>
      </w:r>
    </w:p>
    <w:p w:rsidR="0015626B" w:rsidRPr="004C3B94" w:rsidRDefault="0015626B" w:rsidP="003A76CA">
      <w:pPr>
        <w:jc w:val="both"/>
        <w:rPr>
          <w:sz w:val="22"/>
          <w:szCs w:val="22"/>
        </w:rPr>
      </w:pPr>
    </w:p>
    <w:p w:rsidR="0015626B" w:rsidRPr="004C3B94" w:rsidRDefault="0015626B" w:rsidP="003A76CA">
      <w:pPr>
        <w:jc w:val="both"/>
        <w:rPr>
          <w:b/>
          <w:sz w:val="22"/>
          <w:szCs w:val="22"/>
        </w:rPr>
      </w:pPr>
      <w:r w:rsidRPr="004C3B94">
        <w:rPr>
          <w:b/>
          <w:sz w:val="22"/>
          <w:szCs w:val="22"/>
        </w:rPr>
        <w:t xml:space="preserve">5.1 </w:t>
      </w:r>
      <w:r>
        <w:rPr>
          <w:b/>
          <w:sz w:val="22"/>
          <w:szCs w:val="22"/>
        </w:rPr>
        <w:tab/>
      </w:r>
      <w:r w:rsidRPr="004C3B94">
        <w:rPr>
          <w:b/>
          <w:sz w:val="22"/>
          <w:szCs w:val="22"/>
        </w:rPr>
        <w:t>Farmakodynamické vlastnosti</w:t>
      </w:r>
    </w:p>
    <w:p w:rsidR="0015626B" w:rsidRPr="004C3B94" w:rsidRDefault="0015626B" w:rsidP="003A76CA">
      <w:pPr>
        <w:jc w:val="both"/>
        <w:rPr>
          <w:sz w:val="22"/>
          <w:szCs w:val="22"/>
        </w:rPr>
      </w:pPr>
    </w:p>
    <w:p w:rsidR="0015626B" w:rsidRDefault="0015626B" w:rsidP="00CC674A">
      <w:pPr>
        <w:outlineLvl w:val="0"/>
        <w:rPr>
          <w:sz w:val="22"/>
          <w:szCs w:val="22"/>
        </w:rPr>
      </w:pPr>
      <w:r w:rsidRPr="004C3B94">
        <w:rPr>
          <w:iCs/>
          <w:sz w:val="22"/>
          <w:szCs w:val="22"/>
        </w:rPr>
        <w:t>Farmakoterapeutická skupina</w:t>
      </w:r>
      <w:r w:rsidRPr="004C3B94">
        <w:rPr>
          <w:sz w:val="22"/>
          <w:szCs w:val="22"/>
        </w:rPr>
        <w:t xml:space="preserve">: </w:t>
      </w:r>
      <w:r w:rsidRPr="00CC674A">
        <w:rPr>
          <w:sz w:val="22"/>
          <w:szCs w:val="22"/>
        </w:rPr>
        <w:t>Liečivá na žlčové cesty a</w:t>
      </w:r>
      <w:r w:rsidRPr="0058674F">
        <w:rPr>
          <w:sz w:val="22"/>
          <w:szCs w:val="22"/>
        </w:rPr>
        <w:t> </w:t>
      </w:r>
      <w:r w:rsidRPr="00CC674A">
        <w:rPr>
          <w:sz w:val="22"/>
          <w:szCs w:val="22"/>
        </w:rPr>
        <w:t xml:space="preserve">pečeň. Lieky obsahujúce žlčové kyseliny. </w:t>
      </w:r>
    </w:p>
    <w:p w:rsidR="0015626B" w:rsidRPr="004C3B94" w:rsidRDefault="0015626B" w:rsidP="003A76CA">
      <w:pPr>
        <w:jc w:val="both"/>
        <w:rPr>
          <w:sz w:val="22"/>
          <w:szCs w:val="22"/>
        </w:rPr>
      </w:pPr>
      <w:r w:rsidRPr="004C3B94">
        <w:rPr>
          <w:iCs/>
          <w:sz w:val="22"/>
          <w:szCs w:val="22"/>
        </w:rPr>
        <w:t>ATC-kód</w:t>
      </w:r>
      <w:r w:rsidRPr="004C3B94">
        <w:rPr>
          <w:sz w:val="22"/>
          <w:szCs w:val="22"/>
        </w:rPr>
        <w:t xml:space="preserve">: </w:t>
      </w:r>
      <w:r w:rsidRPr="004C06D8">
        <w:rPr>
          <w:bCs/>
          <w:sz w:val="22"/>
          <w:szCs w:val="22"/>
        </w:rPr>
        <w:t xml:space="preserve">A05AA02 </w:t>
      </w:r>
    </w:p>
    <w:p w:rsidR="0015626B" w:rsidRPr="004C3B94" w:rsidRDefault="0015626B" w:rsidP="00F62F16">
      <w:pPr>
        <w:rPr>
          <w:sz w:val="22"/>
          <w:szCs w:val="22"/>
        </w:rPr>
      </w:pPr>
    </w:p>
    <w:p w:rsidR="0015626B" w:rsidRPr="004C3B94" w:rsidRDefault="0015626B" w:rsidP="00F62F16">
      <w:pPr>
        <w:rPr>
          <w:sz w:val="22"/>
          <w:szCs w:val="22"/>
        </w:rPr>
      </w:pPr>
      <w:r>
        <w:rPr>
          <w:sz w:val="22"/>
          <w:szCs w:val="22"/>
        </w:rPr>
        <w:t>Fyziologicky sa kyselina ursodeoxycholová</w:t>
      </w:r>
      <w:r w:rsidRPr="004C3B94">
        <w:rPr>
          <w:sz w:val="22"/>
          <w:szCs w:val="22"/>
        </w:rPr>
        <w:t xml:space="preserve">  vyskytuje v</w:t>
      </w:r>
      <w:r>
        <w:rPr>
          <w:sz w:val="22"/>
          <w:szCs w:val="22"/>
        </w:rPr>
        <w:t> </w:t>
      </w:r>
      <w:r w:rsidRPr="004C3B94">
        <w:rPr>
          <w:sz w:val="22"/>
          <w:szCs w:val="22"/>
        </w:rPr>
        <w:t>mal</w:t>
      </w:r>
      <w:r>
        <w:rPr>
          <w:sz w:val="22"/>
          <w:szCs w:val="22"/>
        </w:rPr>
        <w:t xml:space="preserve">ých </w:t>
      </w:r>
      <w:r w:rsidRPr="004C3B94">
        <w:rPr>
          <w:sz w:val="22"/>
          <w:szCs w:val="22"/>
        </w:rPr>
        <w:t>množstv</w:t>
      </w:r>
      <w:r>
        <w:rPr>
          <w:sz w:val="22"/>
          <w:szCs w:val="22"/>
        </w:rPr>
        <w:t xml:space="preserve">ách </w:t>
      </w:r>
      <w:r w:rsidRPr="004C3B94">
        <w:rPr>
          <w:sz w:val="22"/>
          <w:szCs w:val="22"/>
        </w:rPr>
        <w:t>v ľudskej žlči.</w:t>
      </w:r>
    </w:p>
    <w:p w:rsidR="0015626B" w:rsidRPr="004C3B94" w:rsidRDefault="0015626B" w:rsidP="00F62F16">
      <w:pPr>
        <w:rPr>
          <w:sz w:val="22"/>
          <w:szCs w:val="22"/>
        </w:rPr>
      </w:pPr>
    </w:p>
    <w:p w:rsidR="0015626B" w:rsidRPr="004C3B94" w:rsidRDefault="0015626B" w:rsidP="00F62F16">
      <w:pPr>
        <w:pStyle w:val="BodyText"/>
        <w:ind w:right="0"/>
        <w:jc w:val="left"/>
        <w:rPr>
          <w:rFonts w:ascii="Times New Roman" w:hAnsi="Times New Roman" w:cs="Times New Roman"/>
          <w:sz w:val="22"/>
          <w:szCs w:val="22"/>
        </w:rPr>
      </w:pPr>
      <w:r w:rsidRPr="004C3B94">
        <w:rPr>
          <w:rFonts w:ascii="Times New Roman" w:hAnsi="Times New Roman" w:cs="Times New Roman"/>
          <w:sz w:val="22"/>
          <w:szCs w:val="22"/>
        </w:rPr>
        <w:t>Po perorálnom podaní redukuje saturáciu žlče cholesterolom znižovaním absorpcie cholesterolu v čreve a znižovaním sekrécie cholesterolu do žlče. K postupnému rozpusteniu cholesterolových žlčových kameňov dochádza pravdepodobne disperziou cholesterolu a vytváraním tekutých kryštálov.</w:t>
      </w:r>
    </w:p>
    <w:p w:rsidR="0015626B" w:rsidRDefault="0015626B" w:rsidP="00F62F16">
      <w:pPr>
        <w:pStyle w:val="BodyText"/>
        <w:ind w:right="0"/>
        <w:jc w:val="left"/>
        <w:rPr>
          <w:rFonts w:ascii="Times New Roman" w:hAnsi="Times New Roman" w:cs="Times New Roman"/>
          <w:sz w:val="22"/>
          <w:szCs w:val="22"/>
        </w:rPr>
      </w:pPr>
    </w:p>
    <w:p w:rsidR="0015626B" w:rsidRPr="004C3B94" w:rsidRDefault="0015626B" w:rsidP="00F62F16">
      <w:pPr>
        <w:pStyle w:val="BodyText"/>
        <w:ind w:right="0"/>
        <w:jc w:val="left"/>
        <w:rPr>
          <w:rFonts w:ascii="Times New Roman" w:hAnsi="Times New Roman" w:cs="Times New Roman"/>
          <w:sz w:val="22"/>
          <w:szCs w:val="22"/>
        </w:rPr>
      </w:pPr>
      <w:r w:rsidRPr="004C3B94">
        <w:rPr>
          <w:rFonts w:ascii="Times New Roman" w:hAnsi="Times New Roman" w:cs="Times New Roman"/>
          <w:sz w:val="22"/>
          <w:szCs w:val="22"/>
        </w:rPr>
        <w:t xml:space="preserve">Podľa posledných poznatkov účinok </w:t>
      </w:r>
      <w:r>
        <w:rPr>
          <w:rFonts w:ascii="Times New Roman" w:hAnsi="Times New Roman" w:cs="Times New Roman"/>
          <w:sz w:val="22"/>
          <w:szCs w:val="22"/>
        </w:rPr>
        <w:t>ursodeoxycholovej</w:t>
      </w:r>
      <w:r w:rsidRPr="004C3B94">
        <w:rPr>
          <w:rFonts w:ascii="Times New Roman" w:hAnsi="Times New Roman" w:cs="Times New Roman"/>
          <w:sz w:val="22"/>
          <w:szCs w:val="22"/>
        </w:rPr>
        <w:t xml:space="preserve"> kyseliny pri cholestáze a ochoreniach pečene spočíva pravdepodobne v relatívnej výmene lipofilných, detergentom podobných toxických žlčových kyselín za hydrofilnú, cytoprotektívnu, netoxickú ursodeoxychol</w:t>
      </w:r>
      <w:r>
        <w:rPr>
          <w:rFonts w:ascii="Times New Roman" w:hAnsi="Times New Roman" w:cs="Times New Roman"/>
          <w:sz w:val="22"/>
          <w:szCs w:val="22"/>
        </w:rPr>
        <w:t>ovú</w:t>
      </w:r>
      <w:r w:rsidRPr="004C3B94">
        <w:rPr>
          <w:rFonts w:ascii="Times New Roman" w:hAnsi="Times New Roman" w:cs="Times New Roman"/>
          <w:sz w:val="22"/>
          <w:szCs w:val="22"/>
        </w:rPr>
        <w:t xml:space="preserve"> kyselinu a v imunoregulačných procesoch.</w:t>
      </w:r>
    </w:p>
    <w:p w:rsidR="0015626B" w:rsidRDefault="0015626B" w:rsidP="003A76CA">
      <w:pPr>
        <w:jc w:val="both"/>
        <w:rPr>
          <w:sz w:val="22"/>
          <w:szCs w:val="22"/>
        </w:rPr>
      </w:pPr>
    </w:p>
    <w:p w:rsidR="0015626B" w:rsidRPr="00397B8C" w:rsidRDefault="0015626B" w:rsidP="00397B8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Pediatrická populácia</w:t>
      </w:r>
    </w:p>
    <w:p w:rsidR="0015626B" w:rsidRPr="00CC674A" w:rsidRDefault="0015626B" w:rsidP="0004589A">
      <w:pPr>
        <w:pStyle w:val="CommentText"/>
        <w:rPr>
          <w:sz w:val="22"/>
          <w:szCs w:val="22"/>
        </w:rPr>
      </w:pPr>
      <w:r w:rsidRPr="00CC674A">
        <w:rPr>
          <w:sz w:val="22"/>
          <w:szCs w:val="22"/>
        </w:rPr>
        <w:t>Skúsenosti s liečbou kyselinou ursodeoxychol</w:t>
      </w:r>
      <w:r>
        <w:rPr>
          <w:sz w:val="22"/>
          <w:szCs w:val="22"/>
        </w:rPr>
        <w:t>ovou</w:t>
      </w:r>
      <w:r w:rsidRPr="00CC674A">
        <w:rPr>
          <w:sz w:val="22"/>
          <w:szCs w:val="22"/>
        </w:rPr>
        <w:t xml:space="preserve"> sú v prípade hepatobiliarnych porúch u  pediatrických pacientov s cystickou fibrózou dostupné z klinických skúšaní trvajúcich až 10 rokov a dlhšie. Je dokázané, že liečba kyselinou ursodeoxychol</w:t>
      </w:r>
      <w:r>
        <w:rPr>
          <w:sz w:val="22"/>
          <w:szCs w:val="22"/>
        </w:rPr>
        <w:t>ovou</w:t>
      </w:r>
      <w:r w:rsidRPr="00CC674A">
        <w:rPr>
          <w:sz w:val="22"/>
          <w:szCs w:val="22"/>
        </w:rPr>
        <w:t xml:space="preserve"> znižuje proliferáciu žlčovodov, zastavuje progresiu histologicky dokázaného poškodenia a dokonca dokáže zvrátiť hepatobiliárne zmeny, ak sa podáva vo včasnom štádiu hepatobiliarnej poruchy spojenej s cystickou fibrózou. Aby bola liečba čo najúčinnejšia, je potrebné začať s liečbou kyselinou ursodeoxychol</w:t>
      </w:r>
      <w:r>
        <w:rPr>
          <w:sz w:val="22"/>
          <w:szCs w:val="22"/>
        </w:rPr>
        <w:t>ovou</w:t>
      </w:r>
      <w:r w:rsidRPr="00CC674A">
        <w:rPr>
          <w:sz w:val="22"/>
          <w:szCs w:val="22"/>
        </w:rPr>
        <w:t xml:space="preserve">, akonáhle je stanovená diagnóza hepatobiliarnej poruchy spojenej s cystickou fibrózou.  </w:t>
      </w:r>
    </w:p>
    <w:p w:rsidR="0015626B" w:rsidRPr="00397B8C" w:rsidRDefault="0015626B" w:rsidP="003A76CA">
      <w:pPr>
        <w:jc w:val="both"/>
        <w:rPr>
          <w:sz w:val="22"/>
          <w:szCs w:val="22"/>
        </w:rPr>
      </w:pPr>
    </w:p>
    <w:p w:rsidR="0015626B" w:rsidRPr="004C3B94" w:rsidRDefault="0015626B" w:rsidP="003A76CA">
      <w:pPr>
        <w:jc w:val="both"/>
        <w:rPr>
          <w:b/>
          <w:sz w:val="22"/>
          <w:szCs w:val="22"/>
        </w:rPr>
      </w:pPr>
      <w:r w:rsidRPr="004C3B94">
        <w:rPr>
          <w:b/>
          <w:sz w:val="22"/>
          <w:szCs w:val="22"/>
        </w:rPr>
        <w:t xml:space="preserve">5.2 </w:t>
      </w:r>
      <w:r>
        <w:rPr>
          <w:b/>
          <w:sz w:val="22"/>
          <w:szCs w:val="22"/>
        </w:rPr>
        <w:tab/>
      </w:r>
      <w:r w:rsidRPr="004C3B94">
        <w:rPr>
          <w:b/>
          <w:sz w:val="22"/>
          <w:szCs w:val="22"/>
        </w:rPr>
        <w:t>Farmakokinetické vlastnosti</w:t>
      </w:r>
    </w:p>
    <w:p w:rsidR="0015626B" w:rsidRPr="00F62F16" w:rsidRDefault="0015626B" w:rsidP="003A76CA">
      <w:pPr>
        <w:jc w:val="both"/>
        <w:rPr>
          <w:sz w:val="22"/>
          <w:szCs w:val="22"/>
        </w:rPr>
      </w:pPr>
    </w:p>
    <w:p w:rsidR="0015626B" w:rsidRPr="00903482" w:rsidRDefault="0015626B" w:rsidP="00F62F16">
      <w:pPr>
        <w:rPr>
          <w:sz w:val="22"/>
          <w:szCs w:val="22"/>
          <w:u w:val="single"/>
        </w:rPr>
      </w:pPr>
      <w:r w:rsidRPr="00D264FB">
        <w:rPr>
          <w:sz w:val="22"/>
          <w:szCs w:val="22"/>
          <w:u w:val="single"/>
        </w:rPr>
        <w:t>Absorpcia</w:t>
      </w:r>
    </w:p>
    <w:p w:rsidR="0015626B" w:rsidRPr="007C1D4D" w:rsidRDefault="0015626B" w:rsidP="00F62F16">
      <w:pPr>
        <w:rPr>
          <w:sz w:val="22"/>
          <w:szCs w:val="22"/>
        </w:rPr>
      </w:pPr>
      <w:r w:rsidRPr="007C1D4D">
        <w:rPr>
          <w:sz w:val="22"/>
          <w:szCs w:val="22"/>
        </w:rPr>
        <w:t xml:space="preserve">Po perorálnom podaní sa </w:t>
      </w:r>
      <w:r>
        <w:rPr>
          <w:sz w:val="22"/>
          <w:szCs w:val="22"/>
        </w:rPr>
        <w:t xml:space="preserve"> </w:t>
      </w:r>
      <w:r w:rsidRPr="007C1D4D">
        <w:rPr>
          <w:sz w:val="22"/>
          <w:szCs w:val="22"/>
        </w:rPr>
        <w:t xml:space="preserve">kyselina </w:t>
      </w:r>
      <w:r>
        <w:rPr>
          <w:sz w:val="22"/>
          <w:szCs w:val="22"/>
        </w:rPr>
        <w:t>ursodeoxycholová</w:t>
      </w:r>
      <w:r w:rsidRPr="007C1D4D">
        <w:rPr>
          <w:sz w:val="22"/>
          <w:szCs w:val="22"/>
        </w:rPr>
        <w:t xml:space="preserve"> absorbuje v jejune a hornom ileu pasívnym transportom, v terminálnom ileu aktívnym </w:t>
      </w:r>
      <w:r>
        <w:rPr>
          <w:sz w:val="22"/>
          <w:szCs w:val="22"/>
        </w:rPr>
        <w:t xml:space="preserve"> </w:t>
      </w:r>
      <w:r w:rsidRPr="007C1D4D">
        <w:rPr>
          <w:sz w:val="22"/>
          <w:szCs w:val="22"/>
        </w:rPr>
        <w:t>transportom. Pomer absorpcie je vo všeobecnosti  60 - 80 %. Po absorpcii v čreve sa žlčová kyselina takmer úplne konjuguje v pečeni s aminokyselinami glycínom a taurínom a potom sa vylučuje žlčou. Klírens po prvom prechode pečeňou dosahuje až 60 %.</w:t>
      </w:r>
    </w:p>
    <w:p w:rsidR="0015626B" w:rsidRPr="007C1D4D" w:rsidRDefault="0015626B" w:rsidP="00F62F16">
      <w:pPr>
        <w:rPr>
          <w:sz w:val="22"/>
          <w:szCs w:val="22"/>
        </w:rPr>
      </w:pPr>
    </w:p>
    <w:p w:rsidR="0015626B" w:rsidRPr="00903482" w:rsidRDefault="0015626B" w:rsidP="00F62F16">
      <w:pPr>
        <w:rPr>
          <w:sz w:val="22"/>
          <w:szCs w:val="22"/>
          <w:u w:val="single"/>
        </w:rPr>
      </w:pPr>
      <w:r w:rsidRPr="00D264FB">
        <w:rPr>
          <w:sz w:val="22"/>
          <w:szCs w:val="22"/>
          <w:u w:val="single"/>
        </w:rPr>
        <w:t>Distribúcia</w:t>
      </w:r>
    </w:p>
    <w:p w:rsidR="0015626B" w:rsidRPr="007C1D4D" w:rsidRDefault="0015626B" w:rsidP="00F62F16">
      <w:pPr>
        <w:rPr>
          <w:sz w:val="22"/>
          <w:szCs w:val="22"/>
        </w:rPr>
      </w:pPr>
      <w:r w:rsidRPr="007C1D4D">
        <w:rPr>
          <w:sz w:val="22"/>
          <w:szCs w:val="22"/>
        </w:rPr>
        <w:t xml:space="preserve">Hydrofilnejšia kyselina </w:t>
      </w:r>
      <w:r>
        <w:rPr>
          <w:sz w:val="22"/>
          <w:szCs w:val="22"/>
        </w:rPr>
        <w:t>ursodeoxycholová</w:t>
      </w:r>
      <w:r w:rsidRPr="007C1D4D">
        <w:rPr>
          <w:sz w:val="22"/>
          <w:szCs w:val="22"/>
        </w:rPr>
        <w:t xml:space="preserve"> sa hromadí v žlči v závislosti od dennej dávky, prebiehajúceho ochorenia</w:t>
      </w:r>
      <w:r>
        <w:rPr>
          <w:sz w:val="22"/>
          <w:szCs w:val="22"/>
        </w:rPr>
        <w:t>,</w:t>
      </w:r>
      <w:r w:rsidRPr="007C1D4D">
        <w:rPr>
          <w:sz w:val="22"/>
          <w:szCs w:val="22"/>
        </w:rPr>
        <w:t xml:space="preserve"> alebo od stavu pečene. Súčasne dochádza k relatívnemu poklesu iných, lipofilnejších žlčových kyselín.</w:t>
      </w:r>
    </w:p>
    <w:p w:rsidR="0015626B" w:rsidRPr="007C1D4D" w:rsidRDefault="0015626B" w:rsidP="00F62F16">
      <w:pPr>
        <w:rPr>
          <w:sz w:val="22"/>
          <w:szCs w:val="22"/>
        </w:rPr>
      </w:pPr>
    </w:p>
    <w:p w:rsidR="0015626B" w:rsidRPr="00903482" w:rsidRDefault="0015626B" w:rsidP="00F62F16">
      <w:pPr>
        <w:rPr>
          <w:sz w:val="22"/>
          <w:szCs w:val="22"/>
          <w:u w:val="single"/>
        </w:rPr>
      </w:pPr>
      <w:r w:rsidRPr="00D264FB">
        <w:rPr>
          <w:sz w:val="22"/>
          <w:szCs w:val="22"/>
          <w:u w:val="single"/>
        </w:rPr>
        <w:t>Eliminácia</w:t>
      </w:r>
    </w:p>
    <w:p w:rsidR="0015626B" w:rsidRPr="007C1D4D" w:rsidRDefault="0015626B" w:rsidP="00F62F16">
      <w:pPr>
        <w:rPr>
          <w:sz w:val="22"/>
          <w:szCs w:val="22"/>
        </w:rPr>
      </w:pPr>
      <w:r w:rsidRPr="007C1D4D">
        <w:rPr>
          <w:sz w:val="22"/>
          <w:szCs w:val="22"/>
        </w:rPr>
        <w:t xml:space="preserve">V čreve sa kyselina </w:t>
      </w:r>
      <w:r>
        <w:rPr>
          <w:sz w:val="22"/>
          <w:szCs w:val="22"/>
        </w:rPr>
        <w:t>ursodeoxycholová</w:t>
      </w:r>
      <w:r w:rsidRPr="007C1D4D">
        <w:rPr>
          <w:sz w:val="22"/>
          <w:szCs w:val="22"/>
        </w:rPr>
        <w:t xml:space="preserve"> odbúrava bakteriálne na 7-keto-litocholovú a litocholovú kyselinu. Litocholová kyselina je hepatotoxická a u viacerých živočíšnych druhov vyvoláva poškodenie parenchýmu pečene. U ľudí sa absorbuje len v malých množstvách, toto absorbované množstvo sa detoxikuje sulfatáciou v pečeni a následne sa vylučuje žlčou a nakoniec stolicou.</w:t>
      </w:r>
    </w:p>
    <w:p w:rsidR="0015626B" w:rsidRPr="007C1D4D" w:rsidRDefault="0015626B" w:rsidP="00F62F16">
      <w:pPr>
        <w:rPr>
          <w:sz w:val="22"/>
          <w:szCs w:val="22"/>
        </w:rPr>
      </w:pPr>
      <w:r w:rsidRPr="007C1D4D">
        <w:rPr>
          <w:sz w:val="22"/>
          <w:szCs w:val="22"/>
        </w:rPr>
        <w:t xml:space="preserve">Biologický polčas </w:t>
      </w:r>
      <w:r>
        <w:rPr>
          <w:sz w:val="22"/>
          <w:szCs w:val="22"/>
        </w:rPr>
        <w:t>ursodeoxycholovej</w:t>
      </w:r>
      <w:r w:rsidRPr="007C1D4D">
        <w:rPr>
          <w:sz w:val="22"/>
          <w:szCs w:val="22"/>
        </w:rPr>
        <w:t xml:space="preserve"> kyseliny je 3,5 - 5,8 dní.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b/>
          <w:sz w:val="22"/>
          <w:szCs w:val="22"/>
        </w:rPr>
      </w:pPr>
      <w:r w:rsidRPr="007C1D4D">
        <w:rPr>
          <w:b/>
          <w:sz w:val="22"/>
          <w:szCs w:val="22"/>
        </w:rPr>
        <w:t xml:space="preserve">5.3 </w:t>
      </w:r>
      <w:r w:rsidRPr="007C1D4D">
        <w:rPr>
          <w:b/>
          <w:sz w:val="22"/>
          <w:szCs w:val="22"/>
        </w:rPr>
        <w:tab/>
        <w:t>Predklinické údaje o bezpečnosti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sz w:val="22"/>
          <w:szCs w:val="22"/>
        </w:rPr>
      </w:pPr>
      <w:r w:rsidRPr="007C1D4D">
        <w:rPr>
          <w:sz w:val="22"/>
          <w:szCs w:val="22"/>
        </w:rPr>
        <w:t>a) Akútna toxicita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7C1D4D">
      <w:pPr>
        <w:rPr>
          <w:sz w:val="22"/>
          <w:szCs w:val="22"/>
        </w:rPr>
      </w:pPr>
      <w:r w:rsidRPr="007C1D4D">
        <w:rPr>
          <w:sz w:val="22"/>
          <w:szCs w:val="22"/>
        </w:rPr>
        <w:t>Štúdie akútnej  toxicity na zvieratách neodhalili toxické poškodenia.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sz w:val="22"/>
          <w:szCs w:val="22"/>
        </w:rPr>
      </w:pPr>
      <w:r w:rsidRPr="007C1D4D">
        <w:rPr>
          <w:sz w:val="22"/>
          <w:szCs w:val="22"/>
        </w:rPr>
        <w:t>b) Chronická toxicita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7C1D4D">
      <w:pPr>
        <w:rPr>
          <w:sz w:val="22"/>
          <w:szCs w:val="22"/>
        </w:rPr>
      </w:pPr>
      <w:r w:rsidRPr="007C1D4D">
        <w:rPr>
          <w:sz w:val="22"/>
          <w:szCs w:val="22"/>
        </w:rPr>
        <w:t xml:space="preserve">Štúdie subchronickej toxicity u opíc dokázali v skupinách s vysokým dávkovaním hepatotoxické účinky, vrátane funkčných zmien (napr. zmeny pečeňových enzýmov) a morfologické zmeny, ako je hyperplázia žlčovodov, portálne zápalové infiltráty a hepatocelulárna nekróza. Tieto toxické účinky sú najpravdepodobnejšie spôsobené kyselinou litocholovou, metabolitom kyseliny </w:t>
      </w:r>
      <w:r>
        <w:rPr>
          <w:sz w:val="22"/>
          <w:szCs w:val="22"/>
        </w:rPr>
        <w:t>ursodeoxycholovej</w:t>
      </w:r>
      <w:r w:rsidRPr="007C1D4D">
        <w:rPr>
          <w:sz w:val="22"/>
          <w:szCs w:val="22"/>
        </w:rPr>
        <w:t xml:space="preserve">, ktorá na rozdiel od ľudí, u opíc nie je detoxikovaná. Klinické skúsenosti potvrdili, že popísané hepatotoxické účinky nemajú u ľudí zjavný význam. 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sz w:val="22"/>
          <w:szCs w:val="22"/>
        </w:rPr>
      </w:pPr>
      <w:r w:rsidRPr="007C1D4D">
        <w:rPr>
          <w:sz w:val="22"/>
          <w:szCs w:val="22"/>
        </w:rPr>
        <w:t>c) Kancerogénny a mutagénny potenciál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7C1D4D">
      <w:pPr>
        <w:rPr>
          <w:sz w:val="22"/>
          <w:szCs w:val="22"/>
        </w:rPr>
      </w:pPr>
      <w:r w:rsidRPr="007C1D4D">
        <w:rPr>
          <w:sz w:val="22"/>
          <w:szCs w:val="22"/>
        </w:rPr>
        <w:t xml:space="preserve">V dlhodobých pokusoch na  potkanoch a myšiach sa neodhalili žiadne dôkazy  svedčiace o kancerogénnom účinku </w:t>
      </w:r>
      <w:r>
        <w:rPr>
          <w:sz w:val="22"/>
          <w:szCs w:val="22"/>
        </w:rPr>
        <w:t>ursodeoxycholovej</w:t>
      </w:r>
      <w:r w:rsidRPr="007C1D4D">
        <w:rPr>
          <w:sz w:val="22"/>
          <w:szCs w:val="22"/>
        </w:rPr>
        <w:t xml:space="preserve"> kyseliny.</w:t>
      </w:r>
    </w:p>
    <w:p w:rsidR="0015626B" w:rsidRPr="007C1D4D" w:rsidRDefault="0015626B" w:rsidP="007C1D4D">
      <w:pPr>
        <w:rPr>
          <w:sz w:val="22"/>
          <w:szCs w:val="22"/>
        </w:rPr>
      </w:pPr>
    </w:p>
    <w:p w:rsidR="0015626B" w:rsidRPr="007C1D4D" w:rsidRDefault="0015626B" w:rsidP="007C1D4D">
      <w:pPr>
        <w:rPr>
          <w:sz w:val="22"/>
          <w:szCs w:val="22"/>
        </w:rPr>
      </w:pPr>
      <w:r w:rsidRPr="007C1D4D">
        <w:rPr>
          <w:sz w:val="22"/>
          <w:szCs w:val="22"/>
        </w:rPr>
        <w:t xml:space="preserve">Genetické toxikologické testy </w:t>
      </w:r>
      <w:r w:rsidRPr="00C65857">
        <w:rPr>
          <w:sz w:val="22"/>
          <w:szCs w:val="22"/>
        </w:rPr>
        <w:t>in vitro a in vivo</w:t>
      </w:r>
      <w:r w:rsidRPr="007C1D4D">
        <w:rPr>
          <w:sz w:val="22"/>
          <w:szCs w:val="22"/>
        </w:rPr>
        <w:t xml:space="preserve"> s kyselinou ursodeoxychol</w:t>
      </w:r>
      <w:r>
        <w:rPr>
          <w:sz w:val="22"/>
          <w:szCs w:val="22"/>
        </w:rPr>
        <w:t>ovou</w:t>
      </w:r>
      <w:r w:rsidRPr="007C1D4D">
        <w:rPr>
          <w:sz w:val="22"/>
          <w:szCs w:val="22"/>
        </w:rPr>
        <w:t xml:space="preserve"> boli negatívne.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sz w:val="22"/>
          <w:szCs w:val="22"/>
        </w:rPr>
      </w:pPr>
      <w:r w:rsidRPr="007C1D4D">
        <w:rPr>
          <w:sz w:val="22"/>
          <w:szCs w:val="22"/>
        </w:rPr>
        <w:t>Testy s kyselinou ursodeoxychol</w:t>
      </w:r>
      <w:r>
        <w:rPr>
          <w:sz w:val="22"/>
          <w:szCs w:val="22"/>
        </w:rPr>
        <w:t>ovou</w:t>
      </w:r>
      <w:r w:rsidRPr="007C1D4D">
        <w:rPr>
          <w:sz w:val="22"/>
          <w:szCs w:val="22"/>
        </w:rPr>
        <w:t xml:space="preserve"> neodhalili žiadne dôkazy svedčiace o mutagénnych účinkoch.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sz w:val="22"/>
          <w:szCs w:val="22"/>
        </w:rPr>
      </w:pPr>
      <w:r w:rsidRPr="007C1D4D">
        <w:rPr>
          <w:sz w:val="22"/>
          <w:szCs w:val="22"/>
        </w:rPr>
        <w:t>d) Reprodukčná toxicita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7C1D4D">
      <w:pPr>
        <w:rPr>
          <w:sz w:val="22"/>
          <w:szCs w:val="22"/>
        </w:rPr>
      </w:pPr>
      <w:r w:rsidRPr="007C1D4D">
        <w:rPr>
          <w:sz w:val="22"/>
          <w:szCs w:val="22"/>
        </w:rPr>
        <w:t xml:space="preserve">V pokusoch na potkanoch sa po dávke 2000 mg/kg vyskytli vývojové chyby chvosta. U králikov sa nezistili žiadne teratogénne účinky, hoci sa pozorovali embryotoxické účinky (od dávky 100 mg/kg telesnej hmotnosti). </w:t>
      </w:r>
      <w:r w:rsidRPr="000429B4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7C1D4D">
        <w:rPr>
          <w:sz w:val="22"/>
          <w:szCs w:val="22"/>
        </w:rPr>
        <w:t>yselina</w:t>
      </w:r>
      <w:r>
        <w:rPr>
          <w:sz w:val="22"/>
          <w:szCs w:val="22"/>
        </w:rPr>
        <w:t xml:space="preserve"> ursodeoxycholová</w:t>
      </w:r>
      <w:r w:rsidRPr="007C1D4D">
        <w:rPr>
          <w:sz w:val="22"/>
          <w:szCs w:val="22"/>
        </w:rPr>
        <w:t xml:space="preserve"> neovplyvnila fertilitu potkanov a nespôsobila poškodenie počas perinatálneho a postnatálneho vývoja potomstva u potkanov.</w:t>
      </w:r>
    </w:p>
    <w:p w:rsidR="0015626B" w:rsidRPr="007C1D4D" w:rsidRDefault="0015626B" w:rsidP="003A76CA">
      <w:pPr>
        <w:jc w:val="both"/>
        <w:rPr>
          <w:b/>
          <w:bCs/>
          <w:caps/>
          <w:sz w:val="22"/>
          <w:szCs w:val="22"/>
        </w:rPr>
      </w:pPr>
    </w:p>
    <w:p w:rsidR="0015626B" w:rsidRPr="007C1D4D" w:rsidRDefault="0015626B" w:rsidP="003A76CA">
      <w:pPr>
        <w:jc w:val="both"/>
        <w:rPr>
          <w:b/>
          <w:bCs/>
          <w:caps/>
          <w:sz w:val="22"/>
          <w:szCs w:val="22"/>
        </w:rPr>
      </w:pPr>
    </w:p>
    <w:p w:rsidR="0015626B" w:rsidRPr="007C1D4D" w:rsidRDefault="0015626B" w:rsidP="003A76CA">
      <w:pPr>
        <w:jc w:val="both"/>
        <w:rPr>
          <w:b/>
          <w:caps/>
          <w:sz w:val="22"/>
          <w:szCs w:val="22"/>
        </w:rPr>
      </w:pPr>
      <w:r w:rsidRPr="007C1D4D">
        <w:rPr>
          <w:b/>
          <w:bCs/>
          <w:caps/>
          <w:sz w:val="22"/>
          <w:szCs w:val="22"/>
        </w:rPr>
        <w:t xml:space="preserve">6. </w:t>
      </w:r>
      <w:r w:rsidRPr="007C1D4D">
        <w:rPr>
          <w:b/>
          <w:bCs/>
          <w:caps/>
          <w:sz w:val="22"/>
          <w:szCs w:val="22"/>
        </w:rPr>
        <w:tab/>
        <w:t>Farmaceutické</w:t>
      </w:r>
      <w:r w:rsidRPr="007C1D4D">
        <w:rPr>
          <w:b/>
          <w:caps/>
          <w:sz w:val="22"/>
          <w:szCs w:val="22"/>
        </w:rPr>
        <w:t xml:space="preserve"> informácie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b/>
          <w:sz w:val="22"/>
          <w:szCs w:val="22"/>
        </w:rPr>
      </w:pPr>
      <w:r w:rsidRPr="007C1D4D">
        <w:rPr>
          <w:b/>
          <w:sz w:val="22"/>
          <w:szCs w:val="22"/>
        </w:rPr>
        <w:t>6.1</w:t>
      </w:r>
      <w:r>
        <w:rPr>
          <w:b/>
          <w:sz w:val="22"/>
          <w:szCs w:val="22"/>
        </w:rPr>
        <w:t>.</w:t>
      </w:r>
      <w:r w:rsidRPr="007C1D4D">
        <w:rPr>
          <w:b/>
          <w:sz w:val="22"/>
          <w:szCs w:val="22"/>
        </w:rPr>
        <w:t xml:space="preserve"> </w:t>
      </w:r>
      <w:r w:rsidRPr="007C1D4D">
        <w:rPr>
          <w:b/>
          <w:sz w:val="22"/>
          <w:szCs w:val="22"/>
        </w:rPr>
        <w:tab/>
        <w:t>Zoznam pomocných látok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i/>
          <w:iCs/>
          <w:sz w:val="22"/>
          <w:szCs w:val="22"/>
        </w:rPr>
      </w:pPr>
      <w:r w:rsidRPr="007C1D4D">
        <w:rPr>
          <w:i/>
          <w:iCs/>
          <w:sz w:val="22"/>
          <w:szCs w:val="22"/>
        </w:rPr>
        <w:t>Jadro kapuly:</w:t>
      </w:r>
    </w:p>
    <w:p w:rsidR="0015626B" w:rsidRDefault="0015626B" w:rsidP="00C85A2E">
      <w:pPr>
        <w:rPr>
          <w:sz w:val="22"/>
          <w:szCs w:val="22"/>
        </w:rPr>
      </w:pPr>
      <w:r w:rsidRPr="00D264FB">
        <w:rPr>
          <w:sz w:val="22"/>
          <w:szCs w:val="22"/>
        </w:rPr>
        <w:t>Kukuričný škrob</w:t>
      </w:r>
      <w:r>
        <w:rPr>
          <w:sz w:val="22"/>
          <w:szCs w:val="22"/>
        </w:rPr>
        <w:t xml:space="preserve"> </w:t>
      </w:r>
    </w:p>
    <w:p w:rsidR="0015626B" w:rsidRDefault="0015626B" w:rsidP="00C85A2E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Pr="00D264FB">
        <w:rPr>
          <w:sz w:val="22"/>
          <w:szCs w:val="22"/>
        </w:rPr>
        <w:t>oloidný oxid kremičitý</w:t>
      </w:r>
      <w:r w:rsidRPr="007D079E" w:rsidDel="00C85A2E">
        <w:rPr>
          <w:sz w:val="22"/>
          <w:szCs w:val="22"/>
        </w:rPr>
        <w:t xml:space="preserve"> </w:t>
      </w:r>
      <w:r w:rsidRPr="00D264FB">
        <w:rPr>
          <w:sz w:val="22"/>
          <w:szCs w:val="22"/>
        </w:rPr>
        <w:t>bezvodý</w:t>
      </w:r>
    </w:p>
    <w:p w:rsidR="0015626B" w:rsidRPr="007D079E" w:rsidRDefault="0015626B" w:rsidP="00C85A2E">
      <w:pPr>
        <w:rPr>
          <w:shadow/>
          <w:noProof/>
          <w:sz w:val="22"/>
          <w:szCs w:val="22"/>
        </w:rPr>
      </w:pPr>
      <w:r>
        <w:rPr>
          <w:sz w:val="22"/>
          <w:szCs w:val="22"/>
        </w:rPr>
        <w:t>M</w:t>
      </w:r>
      <w:r w:rsidRPr="00D264FB">
        <w:rPr>
          <w:sz w:val="22"/>
          <w:szCs w:val="22"/>
        </w:rPr>
        <w:t>agnéziumstearát</w:t>
      </w:r>
    </w:p>
    <w:p w:rsidR="0015626B" w:rsidRPr="007D079E" w:rsidRDefault="0015626B" w:rsidP="003A76CA">
      <w:pPr>
        <w:jc w:val="both"/>
        <w:rPr>
          <w:sz w:val="22"/>
          <w:szCs w:val="22"/>
        </w:rPr>
      </w:pPr>
    </w:p>
    <w:p w:rsidR="0015626B" w:rsidRPr="007D079E" w:rsidRDefault="0015626B" w:rsidP="003A76CA">
      <w:pPr>
        <w:jc w:val="both"/>
        <w:rPr>
          <w:i/>
          <w:iCs/>
          <w:sz w:val="22"/>
          <w:szCs w:val="22"/>
        </w:rPr>
      </w:pPr>
      <w:r w:rsidRPr="00D264FB">
        <w:rPr>
          <w:i/>
          <w:iCs/>
          <w:sz w:val="22"/>
          <w:szCs w:val="22"/>
        </w:rPr>
        <w:t>Obal kapsuly:</w:t>
      </w:r>
    </w:p>
    <w:p w:rsidR="0015626B" w:rsidRDefault="0015626B" w:rsidP="003A76CA">
      <w:pPr>
        <w:jc w:val="both"/>
        <w:rPr>
          <w:sz w:val="22"/>
          <w:szCs w:val="22"/>
        </w:rPr>
      </w:pPr>
      <w:r w:rsidRPr="00D264FB">
        <w:rPr>
          <w:sz w:val="22"/>
          <w:szCs w:val="22"/>
        </w:rPr>
        <w:t>Želatína</w:t>
      </w:r>
    </w:p>
    <w:p w:rsidR="0015626B" w:rsidRDefault="0015626B" w:rsidP="003A76CA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D264FB">
        <w:rPr>
          <w:sz w:val="22"/>
          <w:szCs w:val="22"/>
        </w:rPr>
        <w:t>xid titaničitý</w:t>
      </w:r>
    </w:p>
    <w:p w:rsidR="0015626B" w:rsidRPr="00CC674A" w:rsidRDefault="0015626B" w:rsidP="000429B4">
      <w:pPr>
        <w:pStyle w:val="CommentText"/>
        <w:rPr>
          <w:sz w:val="22"/>
          <w:szCs w:val="22"/>
        </w:rPr>
      </w:pPr>
      <w:r w:rsidRPr="00CC674A">
        <w:rPr>
          <w:sz w:val="22"/>
          <w:szCs w:val="22"/>
        </w:rPr>
        <w:t>Nátriumlaurylsulfát</w:t>
      </w:r>
    </w:p>
    <w:p w:rsidR="0015626B" w:rsidRPr="007D079E" w:rsidRDefault="0015626B" w:rsidP="003A76CA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Pr="00D264FB">
        <w:rPr>
          <w:sz w:val="22"/>
          <w:szCs w:val="22"/>
        </w:rPr>
        <w:t>istená voda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b/>
          <w:sz w:val="22"/>
          <w:szCs w:val="22"/>
        </w:rPr>
      </w:pPr>
      <w:r w:rsidRPr="007C1D4D">
        <w:rPr>
          <w:b/>
          <w:sz w:val="22"/>
          <w:szCs w:val="22"/>
        </w:rPr>
        <w:t>6.2</w:t>
      </w:r>
      <w:r>
        <w:rPr>
          <w:b/>
          <w:sz w:val="22"/>
          <w:szCs w:val="22"/>
        </w:rPr>
        <w:t>.</w:t>
      </w:r>
      <w:r w:rsidRPr="007C1D4D">
        <w:rPr>
          <w:b/>
          <w:sz w:val="22"/>
          <w:szCs w:val="22"/>
        </w:rPr>
        <w:t xml:space="preserve"> </w:t>
      </w:r>
      <w:r w:rsidRPr="007C1D4D">
        <w:rPr>
          <w:b/>
          <w:sz w:val="22"/>
          <w:szCs w:val="22"/>
        </w:rPr>
        <w:tab/>
        <w:t>Inkompatibility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sz w:val="22"/>
          <w:szCs w:val="22"/>
        </w:rPr>
      </w:pPr>
      <w:r>
        <w:rPr>
          <w:sz w:val="22"/>
          <w:szCs w:val="22"/>
        </w:rPr>
        <w:t>Neaplikovateľné.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b/>
          <w:sz w:val="22"/>
          <w:szCs w:val="22"/>
        </w:rPr>
      </w:pPr>
      <w:r w:rsidRPr="007C1D4D">
        <w:rPr>
          <w:b/>
          <w:sz w:val="22"/>
          <w:szCs w:val="22"/>
        </w:rPr>
        <w:t>6.3</w:t>
      </w:r>
      <w:r>
        <w:rPr>
          <w:b/>
          <w:sz w:val="22"/>
          <w:szCs w:val="22"/>
        </w:rPr>
        <w:t>.</w:t>
      </w:r>
      <w:r w:rsidRPr="007C1D4D">
        <w:rPr>
          <w:b/>
          <w:sz w:val="22"/>
          <w:szCs w:val="22"/>
        </w:rPr>
        <w:t xml:space="preserve"> </w:t>
      </w:r>
      <w:r w:rsidRPr="007C1D4D">
        <w:rPr>
          <w:b/>
          <w:sz w:val="22"/>
          <w:szCs w:val="22"/>
        </w:rPr>
        <w:tab/>
        <w:t>Čas použiteľnosti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sz w:val="22"/>
          <w:szCs w:val="22"/>
        </w:rPr>
      </w:pPr>
      <w:r w:rsidRPr="007C1D4D">
        <w:rPr>
          <w:sz w:val="22"/>
          <w:szCs w:val="22"/>
        </w:rPr>
        <w:t>5 rokov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b/>
          <w:sz w:val="22"/>
          <w:szCs w:val="22"/>
        </w:rPr>
      </w:pPr>
      <w:r w:rsidRPr="007C1D4D">
        <w:rPr>
          <w:b/>
          <w:sz w:val="22"/>
          <w:szCs w:val="22"/>
        </w:rPr>
        <w:t>6.4</w:t>
      </w:r>
      <w:r>
        <w:rPr>
          <w:b/>
          <w:sz w:val="22"/>
          <w:szCs w:val="22"/>
        </w:rPr>
        <w:t>.</w:t>
      </w:r>
      <w:r w:rsidRPr="007C1D4D">
        <w:rPr>
          <w:b/>
          <w:sz w:val="22"/>
          <w:szCs w:val="22"/>
        </w:rPr>
        <w:tab/>
        <w:t>Špeciálne upozornenia na uchovávanie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7C1D4D">
      <w:pPr>
        <w:jc w:val="both"/>
        <w:rPr>
          <w:noProof/>
          <w:sz w:val="22"/>
          <w:szCs w:val="22"/>
        </w:rPr>
      </w:pPr>
      <w:r w:rsidRPr="007C1D4D">
        <w:rPr>
          <w:noProof/>
          <w:sz w:val="22"/>
          <w:szCs w:val="22"/>
        </w:rPr>
        <w:t>Tento liek nevyžaduje žiadne zvláštne podmienky na uchovávanie.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b/>
          <w:sz w:val="22"/>
          <w:szCs w:val="22"/>
        </w:rPr>
      </w:pPr>
      <w:r w:rsidRPr="007C1D4D">
        <w:rPr>
          <w:b/>
          <w:noProof/>
          <w:sz w:val="22"/>
          <w:szCs w:val="22"/>
        </w:rPr>
        <w:t>6.5</w:t>
      </w:r>
      <w:r>
        <w:rPr>
          <w:b/>
          <w:noProof/>
          <w:sz w:val="22"/>
          <w:szCs w:val="22"/>
        </w:rPr>
        <w:t>.</w:t>
      </w:r>
      <w:r w:rsidRPr="007C1D4D">
        <w:rPr>
          <w:b/>
          <w:noProof/>
          <w:sz w:val="22"/>
          <w:szCs w:val="22"/>
        </w:rPr>
        <w:tab/>
        <w:t>Druh obalu a obsah balenia</w:t>
      </w:r>
      <w:r w:rsidRPr="007C1D4D">
        <w:rPr>
          <w:b/>
          <w:noProof/>
          <w:color w:val="0000FF"/>
          <w:sz w:val="22"/>
          <w:szCs w:val="22"/>
        </w:rPr>
        <w:t xml:space="preserve"> </w:t>
      </w:r>
      <w:r w:rsidRPr="007C1D4D" w:rsidDel="00B40E3A">
        <w:rPr>
          <w:b/>
          <w:sz w:val="22"/>
          <w:szCs w:val="22"/>
        </w:rPr>
        <w:t xml:space="preserve"> </w:t>
      </w:r>
    </w:p>
    <w:p w:rsidR="0015626B" w:rsidRPr="007C1D4D" w:rsidRDefault="0015626B" w:rsidP="003A76CA">
      <w:pPr>
        <w:jc w:val="both"/>
        <w:rPr>
          <w:b/>
          <w:sz w:val="22"/>
          <w:szCs w:val="22"/>
        </w:rPr>
      </w:pPr>
    </w:p>
    <w:p w:rsidR="0015626B" w:rsidRPr="007C1D4D" w:rsidRDefault="0015626B" w:rsidP="003A76CA">
      <w:pPr>
        <w:jc w:val="both"/>
        <w:rPr>
          <w:sz w:val="22"/>
          <w:szCs w:val="22"/>
        </w:rPr>
      </w:pPr>
      <w:r w:rsidRPr="007C1D4D">
        <w:rPr>
          <w:sz w:val="22"/>
          <w:szCs w:val="22"/>
        </w:rPr>
        <w:t>PVC/Al -blist</w:t>
      </w:r>
      <w:r>
        <w:rPr>
          <w:sz w:val="22"/>
          <w:szCs w:val="22"/>
        </w:rPr>
        <w:t>e</w:t>
      </w:r>
      <w:r w:rsidRPr="007C1D4D">
        <w:rPr>
          <w:sz w:val="22"/>
          <w:szCs w:val="22"/>
        </w:rPr>
        <w:t>r, papierová škatuľka</w:t>
      </w:r>
      <w:r>
        <w:rPr>
          <w:sz w:val="22"/>
          <w:szCs w:val="22"/>
        </w:rPr>
        <w:t>.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sz w:val="22"/>
          <w:szCs w:val="22"/>
        </w:rPr>
      </w:pPr>
      <w:r w:rsidRPr="00D264FB">
        <w:rPr>
          <w:sz w:val="22"/>
          <w:szCs w:val="22"/>
        </w:rPr>
        <w:t>Veľkos</w:t>
      </w:r>
      <w:r>
        <w:rPr>
          <w:sz w:val="22"/>
          <w:szCs w:val="22"/>
        </w:rPr>
        <w:t>ť</w:t>
      </w:r>
      <w:r w:rsidRPr="00D264FB">
        <w:rPr>
          <w:sz w:val="22"/>
          <w:szCs w:val="22"/>
        </w:rPr>
        <w:t xml:space="preserve"> balenia</w:t>
      </w:r>
      <w:r w:rsidRPr="001771D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7C1D4D">
        <w:rPr>
          <w:sz w:val="22"/>
          <w:szCs w:val="22"/>
        </w:rPr>
        <w:t>50 alebo 100 tvrdých kapsúl.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Default="0015626B" w:rsidP="007D079E">
      <w:pPr>
        <w:ind w:right="-1"/>
        <w:rPr>
          <w:shadow/>
          <w:sz w:val="22"/>
          <w:szCs w:val="22"/>
          <w:u w:val="single"/>
        </w:rPr>
      </w:pPr>
      <w:r w:rsidRPr="00F92456">
        <w:rPr>
          <w:sz w:val="22"/>
          <w:szCs w:val="22"/>
        </w:rPr>
        <w:t>Na trh nemusia byť uvedené</w:t>
      </w:r>
      <w:r w:rsidRPr="00F92456">
        <w:rPr>
          <w:noProof/>
          <w:sz w:val="22"/>
          <w:szCs w:val="22"/>
        </w:rPr>
        <w:t xml:space="preserve"> </w:t>
      </w:r>
      <w:r w:rsidRPr="00F92456">
        <w:rPr>
          <w:sz w:val="22"/>
          <w:szCs w:val="22"/>
        </w:rPr>
        <w:t>všetky veľkosti balenia</w:t>
      </w:r>
      <w:r w:rsidRPr="00512D4D">
        <w:rPr>
          <w:sz w:val="22"/>
          <w:szCs w:val="22"/>
        </w:rPr>
        <w:t>.</w:t>
      </w:r>
      <w:r w:rsidRPr="00512D4D" w:rsidDel="001E222A">
        <w:rPr>
          <w:sz w:val="22"/>
          <w:szCs w:val="22"/>
        </w:rPr>
        <w:t xml:space="preserve"> 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b/>
          <w:sz w:val="22"/>
          <w:szCs w:val="22"/>
        </w:rPr>
      </w:pPr>
      <w:r w:rsidRPr="007C1D4D">
        <w:rPr>
          <w:b/>
          <w:sz w:val="22"/>
          <w:szCs w:val="22"/>
        </w:rPr>
        <w:t>6.6</w:t>
      </w:r>
      <w:r>
        <w:rPr>
          <w:b/>
          <w:sz w:val="22"/>
          <w:szCs w:val="22"/>
        </w:rPr>
        <w:t>.</w:t>
      </w:r>
      <w:r w:rsidRPr="007C1D4D">
        <w:rPr>
          <w:b/>
          <w:sz w:val="22"/>
          <w:szCs w:val="22"/>
        </w:rPr>
        <w:t xml:space="preserve"> </w:t>
      </w:r>
      <w:r w:rsidRPr="007C1D4D">
        <w:rPr>
          <w:b/>
          <w:sz w:val="22"/>
          <w:szCs w:val="22"/>
        </w:rPr>
        <w:tab/>
        <w:t>Špeciálne opatrenia na likvidáciu a iné zaobchádzanie s liekom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sz w:val="22"/>
          <w:szCs w:val="22"/>
        </w:rPr>
      </w:pPr>
      <w:r w:rsidRPr="007C1D4D">
        <w:rPr>
          <w:sz w:val="22"/>
          <w:szCs w:val="22"/>
        </w:rPr>
        <w:t>Žiadne zvláštne požiadavky.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caps/>
          <w:sz w:val="22"/>
          <w:szCs w:val="22"/>
        </w:rPr>
      </w:pPr>
      <w:r w:rsidRPr="007C1D4D">
        <w:rPr>
          <w:b/>
          <w:caps/>
          <w:sz w:val="22"/>
          <w:szCs w:val="22"/>
        </w:rPr>
        <w:t xml:space="preserve">7. </w:t>
      </w:r>
      <w:r w:rsidRPr="007C1D4D">
        <w:rPr>
          <w:b/>
          <w:caps/>
          <w:sz w:val="22"/>
          <w:szCs w:val="22"/>
        </w:rPr>
        <w:tab/>
        <w:t>Držiteľ rozhodnutia o registrácii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7C1D4D">
      <w:pPr>
        <w:autoSpaceDE w:val="0"/>
        <w:autoSpaceDN w:val="0"/>
        <w:rPr>
          <w:sz w:val="22"/>
          <w:szCs w:val="22"/>
          <w:lang w:eastAsia="de-DE"/>
        </w:rPr>
      </w:pPr>
      <w:r w:rsidRPr="007C1D4D">
        <w:rPr>
          <w:sz w:val="22"/>
          <w:szCs w:val="22"/>
        </w:rPr>
        <w:t>Dr. Falk Pharma GmbH</w:t>
      </w:r>
    </w:p>
    <w:p w:rsidR="0015626B" w:rsidRPr="007C1D4D" w:rsidRDefault="0015626B" w:rsidP="007C1D4D">
      <w:pPr>
        <w:autoSpaceDE w:val="0"/>
        <w:autoSpaceDN w:val="0"/>
        <w:rPr>
          <w:sz w:val="22"/>
          <w:szCs w:val="22"/>
          <w:lang w:val="de-DE" w:eastAsia="de-DE"/>
        </w:rPr>
      </w:pPr>
      <w:r w:rsidRPr="007C1D4D">
        <w:rPr>
          <w:sz w:val="22"/>
          <w:szCs w:val="22"/>
          <w:lang w:val="de-DE"/>
        </w:rPr>
        <w:t>Leinenweberstr. 5</w:t>
      </w:r>
    </w:p>
    <w:p w:rsidR="0015626B" w:rsidRPr="007C1D4D" w:rsidRDefault="0015626B" w:rsidP="007C1D4D">
      <w:pPr>
        <w:autoSpaceDE w:val="0"/>
        <w:autoSpaceDN w:val="0"/>
        <w:rPr>
          <w:sz w:val="22"/>
          <w:szCs w:val="22"/>
          <w:lang w:val="de-DE" w:eastAsia="de-DE"/>
        </w:rPr>
      </w:pPr>
      <w:r w:rsidRPr="007C1D4D">
        <w:rPr>
          <w:sz w:val="22"/>
          <w:szCs w:val="22"/>
          <w:lang w:val="de-DE"/>
        </w:rPr>
        <w:t>79108  Freiburg</w:t>
      </w:r>
    </w:p>
    <w:p w:rsidR="0015626B" w:rsidRPr="007C1D4D" w:rsidRDefault="0015626B" w:rsidP="007C1D4D">
      <w:pPr>
        <w:autoSpaceDE w:val="0"/>
        <w:autoSpaceDN w:val="0"/>
        <w:rPr>
          <w:sz w:val="22"/>
          <w:szCs w:val="22"/>
        </w:rPr>
      </w:pPr>
      <w:r w:rsidRPr="007C1D4D">
        <w:rPr>
          <w:sz w:val="22"/>
          <w:szCs w:val="22"/>
        </w:rPr>
        <w:t>Nemecko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caps/>
          <w:sz w:val="22"/>
          <w:szCs w:val="22"/>
        </w:rPr>
      </w:pPr>
      <w:r w:rsidRPr="007C1D4D">
        <w:rPr>
          <w:b/>
          <w:caps/>
          <w:sz w:val="22"/>
          <w:szCs w:val="22"/>
        </w:rPr>
        <w:t xml:space="preserve">8. </w:t>
      </w:r>
      <w:r w:rsidRPr="007C1D4D">
        <w:rPr>
          <w:b/>
          <w:caps/>
          <w:sz w:val="22"/>
          <w:szCs w:val="22"/>
        </w:rPr>
        <w:tab/>
        <w:t>Registračné číslo</w:t>
      </w:r>
    </w:p>
    <w:p w:rsidR="0015626B" w:rsidRPr="007C1D4D" w:rsidRDefault="0015626B" w:rsidP="003A76CA">
      <w:pPr>
        <w:jc w:val="both"/>
        <w:rPr>
          <w:snapToGrid w:val="0"/>
          <w:color w:val="000000"/>
          <w:sz w:val="22"/>
          <w:szCs w:val="22"/>
          <w:lang w:eastAsia="cs-CZ"/>
        </w:rPr>
      </w:pPr>
    </w:p>
    <w:p w:rsidR="0015626B" w:rsidRPr="007C1D4D" w:rsidRDefault="0015626B" w:rsidP="003A76CA">
      <w:pPr>
        <w:jc w:val="both"/>
        <w:rPr>
          <w:snapToGrid w:val="0"/>
          <w:color w:val="000000"/>
          <w:sz w:val="22"/>
          <w:szCs w:val="22"/>
          <w:lang w:eastAsia="cs-CZ"/>
        </w:rPr>
      </w:pPr>
      <w:r w:rsidRPr="007C1D4D">
        <w:rPr>
          <w:snapToGrid w:val="0"/>
          <w:color w:val="000000"/>
          <w:sz w:val="22"/>
          <w:szCs w:val="22"/>
          <w:lang w:eastAsia="cs-CZ"/>
        </w:rPr>
        <w:t>43/0397/92-S</w:t>
      </w:r>
    </w:p>
    <w:p w:rsidR="0015626B" w:rsidRPr="007C1D4D" w:rsidRDefault="0015626B" w:rsidP="003A76CA">
      <w:pPr>
        <w:jc w:val="both"/>
        <w:rPr>
          <w:b/>
          <w:sz w:val="22"/>
          <w:szCs w:val="22"/>
          <w:u w:val="single"/>
        </w:rPr>
      </w:pPr>
    </w:p>
    <w:p w:rsidR="0015626B" w:rsidRPr="007C1D4D" w:rsidRDefault="0015626B" w:rsidP="003A76CA">
      <w:pPr>
        <w:jc w:val="both"/>
        <w:rPr>
          <w:b/>
          <w:sz w:val="22"/>
          <w:szCs w:val="22"/>
          <w:u w:val="single"/>
        </w:rPr>
      </w:pPr>
    </w:p>
    <w:p w:rsidR="0015626B" w:rsidRPr="007C1D4D" w:rsidRDefault="0015626B" w:rsidP="003A76CA">
      <w:pPr>
        <w:jc w:val="both"/>
        <w:rPr>
          <w:b/>
          <w:caps/>
          <w:sz w:val="22"/>
          <w:szCs w:val="22"/>
        </w:rPr>
      </w:pPr>
      <w:r w:rsidRPr="007C1D4D">
        <w:rPr>
          <w:b/>
          <w:caps/>
          <w:sz w:val="22"/>
          <w:szCs w:val="22"/>
        </w:rPr>
        <w:t xml:space="preserve">9. </w:t>
      </w:r>
      <w:r w:rsidRPr="007C1D4D">
        <w:rPr>
          <w:b/>
          <w:caps/>
          <w:sz w:val="22"/>
          <w:szCs w:val="22"/>
        </w:rPr>
        <w:tab/>
        <w:t>Dátum prvej registrácie/ predĺženia registrácie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Default="0015626B" w:rsidP="003A76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Dátum prvej registrácie: </w:t>
      </w:r>
      <w:r w:rsidRPr="007C1D4D">
        <w:rPr>
          <w:sz w:val="22"/>
          <w:szCs w:val="22"/>
        </w:rPr>
        <w:t>24.</w:t>
      </w:r>
      <w:r>
        <w:rPr>
          <w:sz w:val="22"/>
          <w:szCs w:val="22"/>
        </w:rPr>
        <w:t xml:space="preserve"> júla </w:t>
      </w:r>
      <w:r w:rsidRPr="007C1D4D">
        <w:rPr>
          <w:sz w:val="22"/>
          <w:szCs w:val="22"/>
        </w:rPr>
        <w:t xml:space="preserve">1992 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Dátum posledného predĺženia registrácie: 07. februára 2003 </w:t>
      </w: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sz w:val="22"/>
          <w:szCs w:val="22"/>
        </w:rPr>
      </w:pPr>
    </w:p>
    <w:p w:rsidR="0015626B" w:rsidRPr="007C1D4D" w:rsidRDefault="0015626B" w:rsidP="003A76CA">
      <w:pPr>
        <w:jc w:val="both"/>
        <w:rPr>
          <w:caps/>
          <w:sz w:val="22"/>
          <w:szCs w:val="22"/>
        </w:rPr>
      </w:pPr>
      <w:r w:rsidRPr="007C1D4D">
        <w:rPr>
          <w:b/>
          <w:caps/>
          <w:sz w:val="22"/>
          <w:szCs w:val="22"/>
        </w:rPr>
        <w:t xml:space="preserve">10. </w:t>
      </w:r>
      <w:r w:rsidRPr="007C1D4D">
        <w:rPr>
          <w:b/>
          <w:caps/>
          <w:sz w:val="22"/>
          <w:szCs w:val="22"/>
        </w:rPr>
        <w:tab/>
        <w:t>Dátum revízie textu</w:t>
      </w:r>
    </w:p>
    <w:p w:rsidR="0015626B" w:rsidRDefault="0015626B" w:rsidP="007C1D4D">
      <w:pPr>
        <w:jc w:val="both"/>
        <w:rPr>
          <w:sz w:val="22"/>
          <w:szCs w:val="22"/>
        </w:rPr>
      </w:pPr>
    </w:p>
    <w:p w:rsidR="0015626B" w:rsidRPr="007C1D4D" w:rsidRDefault="0015626B" w:rsidP="007C1D4D">
      <w:pPr>
        <w:jc w:val="both"/>
        <w:rPr>
          <w:sz w:val="22"/>
          <w:szCs w:val="22"/>
        </w:rPr>
      </w:pPr>
      <w:r>
        <w:rPr>
          <w:sz w:val="22"/>
          <w:szCs w:val="22"/>
        </w:rPr>
        <w:t>04/2015</w:t>
      </w:r>
    </w:p>
    <w:sectPr w:rsidR="0015626B" w:rsidRPr="007C1D4D" w:rsidSect="005B7EA7">
      <w:footerReference w:type="default" r:id="rId7"/>
      <w:headerReference w:type="first" r:id="rId8"/>
      <w:footerReference w:type="first" r:id="rId9"/>
      <w:pgSz w:w="11907" w:h="16840"/>
      <w:pgMar w:top="1418" w:right="851" w:bottom="1701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6B" w:rsidRDefault="0015626B">
      <w:r>
        <w:separator/>
      </w:r>
    </w:p>
  </w:endnote>
  <w:endnote w:type="continuationSeparator" w:id="0">
    <w:p w:rsidR="0015626B" w:rsidRDefault="0015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26B" w:rsidRDefault="0015626B" w:rsidP="00CC674A">
    <w:pPr>
      <w:pStyle w:val="Footer"/>
      <w:jc w:val="center"/>
      <w:rPr>
        <w:sz w:val="18"/>
        <w:szCs w:val="18"/>
      </w:rPr>
    </w:pPr>
    <w:r w:rsidRPr="00836351">
      <w:rPr>
        <w:sz w:val="18"/>
        <w:szCs w:val="18"/>
      </w:rPr>
      <w:fldChar w:fldCharType="begin"/>
    </w:r>
    <w:r w:rsidRPr="00836351">
      <w:rPr>
        <w:sz w:val="18"/>
        <w:szCs w:val="18"/>
      </w:rPr>
      <w:instrText>PAGE   \* MERGEFORMAT</w:instrText>
    </w:r>
    <w:r w:rsidRPr="00836351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836351">
      <w:rPr>
        <w:sz w:val="18"/>
        <w:szCs w:val="18"/>
      </w:rPr>
      <w:fldChar w:fldCharType="end"/>
    </w:r>
  </w:p>
  <w:p w:rsidR="0015626B" w:rsidRDefault="001562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26B" w:rsidRDefault="0015626B">
    <w:pPr>
      <w:pStyle w:val="Footer"/>
      <w:jc w:val="right"/>
    </w:pPr>
    <w:r w:rsidRPr="00836351">
      <w:rPr>
        <w:sz w:val="18"/>
        <w:szCs w:val="18"/>
      </w:rPr>
      <w:fldChar w:fldCharType="begin"/>
    </w:r>
    <w:r w:rsidRPr="00836351">
      <w:rPr>
        <w:sz w:val="18"/>
        <w:szCs w:val="18"/>
      </w:rPr>
      <w:instrText xml:space="preserve"> PAGE   \* MERGEFORMAT </w:instrText>
    </w:r>
    <w:r w:rsidRPr="00836351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836351">
      <w:rPr>
        <w:sz w:val="18"/>
        <w:szCs w:val="18"/>
      </w:rPr>
      <w:fldChar w:fldCharType="end"/>
    </w:r>
  </w:p>
  <w:p w:rsidR="0015626B" w:rsidRDefault="001562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6B" w:rsidRDefault="0015626B">
      <w:r>
        <w:separator/>
      </w:r>
    </w:p>
  </w:footnote>
  <w:footnote w:type="continuationSeparator" w:id="0">
    <w:p w:rsidR="0015626B" w:rsidRDefault="00156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26B" w:rsidRDefault="0015626B" w:rsidP="00B27E99">
    <w:pPr>
      <w:pStyle w:val="Header"/>
      <w:rPr>
        <w:sz w:val="18"/>
        <w:szCs w:val="18"/>
      </w:rPr>
    </w:pPr>
    <w:r>
      <w:rPr>
        <w:sz w:val="18"/>
        <w:szCs w:val="18"/>
      </w:rPr>
      <w:t>Príloha č. 1 k notifikácii o zmene, ev. č. 2013/06660-Z1B</w:t>
    </w:r>
  </w:p>
  <w:p w:rsidR="0015626B" w:rsidRDefault="0015626B" w:rsidP="005C656C">
    <w:pPr>
      <w:pStyle w:val="Header"/>
      <w:rPr>
        <w:sz w:val="18"/>
        <w:szCs w:val="18"/>
      </w:rPr>
    </w:pPr>
    <w:r w:rsidRPr="00020245">
      <w:rPr>
        <w:sz w:val="18"/>
        <w:szCs w:val="18"/>
      </w:rPr>
      <w:t>Príloha č. 1 k notifikácii o zmene, ev. č.</w:t>
    </w:r>
    <w:r>
      <w:rPr>
        <w:sz w:val="18"/>
        <w:szCs w:val="18"/>
      </w:rPr>
      <w:t>: 2014/00380-Z1B</w:t>
    </w:r>
  </w:p>
  <w:p w:rsidR="0015626B" w:rsidRPr="00020245" w:rsidRDefault="0015626B" w:rsidP="005C656C">
    <w:pPr>
      <w:pStyle w:val="Header"/>
      <w:rPr>
        <w:sz w:val="18"/>
        <w:szCs w:val="18"/>
      </w:rPr>
    </w:pPr>
    <w:r>
      <w:rPr>
        <w:sz w:val="18"/>
        <w:szCs w:val="18"/>
      </w:rPr>
      <w:t>Príloha č. 2 k notifikácii o zmene, ev. č.: 2014/07179-Z1B</w:t>
    </w:r>
  </w:p>
  <w:p w:rsidR="0015626B" w:rsidRDefault="0015626B" w:rsidP="00B27E99">
    <w:pPr>
      <w:pStyle w:val="Header"/>
      <w:rPr>
        <w:sz w:val="18"/>
        <w:szCs w:val="18"/>
      </w:rPr>
    </w:pPr>
  </w:p>
  <w:p w:rsidR="0015626B" w:rsidRDefault="0015626B">
    <w:pPr>
      <w:pStyle w:val="Header"/>
      <w:jc w:val="right"/>
    </w:pPr>
  </w:p>
  <w:p w:rsidR="0015626B" w:rsidRDefault="001562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2B8"/>
    <w:rsid w:val="00003B2F"/>
    <w:rsid w:val="00011CF1"/>
    <w:rsid w:val="00017E1B"/>
    <w:rsid w:val="00020245"/>
    <w:rsid w:val="00021864"/>
    <w:rsid w:val="000310DF"/>
    <w:rsid w:val="00037B55"/>
    <w:rsid w:val="000429B4"/>
    <w:rsid w:val="0004589A"/>
    <w:rsid w:val="000479AB"/>
    <w:rsid w:val="0006190D"/>
    <w:rsid w:val="00062CF6"/>
    <w:rsid w:val="00075176"/>
    <w:rsid w:val="00075F04"/>
    <w:rsid w:val="0008084B"/>
    <w:rsid w:val="00092EE8"/>
    <w:rsid w:val="000A0B6A"/>
    <w:rsid w:val="000A3F9C"/>
    <w:rsid w:val="000A4CA6"/>
    <w:rsid w:val="000C588D"/>
    <w:rsid w:val="000C77DD"/>
    <w:rsid w:val="000D1C38"/>
    <w:rsid w:val="000D7D60"/>
    <w:rsid w:val="000F32AB"/>
    <w:rsid w:val="000F6D6C"/>
    <w:rsid w:val="00112D9F"/>
    <w:rsid w:val="00152203"/>
    <w:rsid w:val="00153814"/>
    <w:rsid w:val="0015626B"/>
    <w:rsid w:val="001771DF"/>
    <w:rsid w:val="00192BC2"/>
    <w:rsid w:val="001A42CA"/>
    <w:rsid w:val="001A5760"/>
    <w:rsid w:val="001B7EF7"/>
    <w:rsid w:val="001D6CEF"/>
    <w:rsid w:val="001E222A"/>
    <w:rsid w:val="001E2AD4"/>
    <w:rsid w:val="001F7305"/>
    <w:rsid w:val="0021338C"/>
    <w:rsid w:val="00223CDC"/>
    <w:rsid w:val="00237AB6"/>
    <w:rsid w:val="00241302"/>
    <w:rsid w:val="00243BDC"/>
    <w:rsid w:val="0025383E"/>
    <w:rsid w:val="0025774E"/>
    <w:rsid w:val="002600F8"/>
    <w:rsid w:val="002714DD"/>
    <w:rsid w:val="002864BD"/>
    <w:rsid w:val="00293B7A"/>
    <w:rsid w:val="002B6538"/>
    <w:rsid w:val="002B6E4E"/>
    <w:rsid w:val="002C2DE9"/>
    <w:rsid w:val="002C5ABF"/>
    <w:rsid w:val="002C754E"/>
    <w:rsid w:val="002D096D"/>
    <w:rsid w:val="002D38D9"/>
    <w:rsid w:val="002D58D0"/>
    <w:rsid w:val="002D67A7"/>
    <w:rsid w:val="002F5266"/>
    <w:rsid w:val="00304A5A"/>
    <w:rsid w:val="00320958"/>
    <w:rsid w:val="00321CB5"/>
    <w:rsid w:val="0034585E"/>
    <w:rsid w:val="00356781"/>
    <w:rsid w:val="00360A18"/>
    <w:rsid w:val="003669B3"/>
    <w:rsid w:val="003761A8"/>
    <w:rsid w:val="00390798"/>
    <w:rsid w:val="003918CD"/>
    <w:rsid w:val="00397B8C"/>
    <w:rsid w:val="003A76CA"/>
    <w:rsid w:val="003B0F9C"/>
    <w:rsid w:val="003C7A90"/>
    <w:rsid w:val="003D34F9"/>
    <w:rsid w:val="003E0325"/>
    <w:rsid w:val="003E3C38"/>
    <w:rsid w:val="003E57C6"/>
    <w:rsid w:val="003F4412"/>
    <w:rsid w:val="004041C4"/>
    <w:rsid w:val="0040665B"/>
    <w:rsid w:val="004126C6"/>
    <w:rsid w:val="004211E7"/>
    <w:rsid w:val="004277EC"/>
    <w:rsid w:val="00431BEC"/>
    <w:rsid w:val="00444068"/>
    <w:rsid w:val="00445A1C"/>
    <w:rsid w:val="00445C28"/>
    <w:rsid w:val="00446802"/>
    <w:rsid w:val="00447B41"/>
    <w:rsid w:val="00461105"/>
    <w:rsid w:val="00480713"/>
    <w:rsid w:val="004832B3"/>
    <w:rsid w:val="00486CE9"/>
    <w:rsid w:val="00497C20"/>
    <w:rsid w:val="004A5360"/>
    <w:rsid w:val="004A712F"/>
    <w:rsid w:val="004C06D8"/>
    <w:rsid w:val="004C3B94"/>
    <w:rsid w:val="004C3CD1"/>
    <w:rsid w:val="0050402B"/>
    <w:rsid w:val="0050509D"/>
    <w:rsid w:val="00512D4D"/>
    <w:rsid w:val="00520704"/>
    <w:rsid w:val="00533A8D"/>
    <w:rsid w:val="00534124"/>
    <w:rsid w:val="00536A7B"/>
    <w:rsid w:val="00552EDB"/>
    <w:rsid w:val="005737E4"/>
    <w:rsid w:val="00573928"/>
    <w:rsid w:val="0057393B"/>
    <w:rsid w:val="00576669"/>
    <w:rsid w:val="005826D4"/>
    <w:rsid w:val="0058674F"/>
    <w:rsid w:val="00590AAF"/>
    <w:rsid w:val="0059259A"/>
    <w:rsid w:val="005934F1"/>
    <w:rsid w:val="005A3B6B"/>
    <w:rsid w:val="005A5AF1"/>
    <w:rsid w:val="005B3053"/>
    <w:rsid w:val="005B7EA7"/>
    <w:rsid w:val="005C425A"/>
    <w:rsid w:val="005C656C"/>
    <w:rsid w:val="005D0CD8"/>
    <w:rsid w:val="005D18D5"/>
    <w:rsid w:val="005D1A16"/>
    <w:rsid w:val="005D6435"/>
    <w:rsid w:val="005E0708"/>
    <w:rsid w:val="005E365E"/>
    <w:rsid w:val="005E5685"/>
    <w:rsid w:val="005E585A"/>
    <w:rsid w:val="005F77FB"/>
    <w:rsid w:val="00600B28"/>
    <w:rsid w:val="00604C73"/>
    <w:rsid w:val="00612F67"/>
    <w:rsid w:val="00615790"/>
    <w:rsid w:val="00615C66"/>
    <w:rsid w:val="00615CC5"/>
    <w:rsid w:val="00617FE3"/>
    <w:rsid w:val="00625069"/>
    <w:rsid w:val="006330A1"/>
    <w:rsid w:val="006342BC"/>
    <w:rsid w:val="00640CAC"/>
    <w:rsid w:val="00666D0D"/>
    <w:rsid w:val="00677B53"/>
    <w:rsid w:val="006806EA"/>
    <w:rsid w:val="006A1F9B"/>
    <w:rsid w:val="006A2379"/>
    <w:rsid w:val="006C02FE"/>
    <w:rsid w:val="006E0E52"/>
    <w:rsid w:val="006E28F7"/>
    <w:rsid w:val="00706660"/>
    <w:rsid w:val="007068AF"/>
    <w:rsid w:val="00716A4C"/>
    <w:rsid w:val="007240EE"/>
    <w:rsid w:val="00733EEF"/>
    <w:rsid w:val="0073427C"/>
    <w:rsid w:val="00734CA8"/>
    <w:rsid w:val="00743798"/>
    <w:rsid w:val="00750E6A"/>
    <w:rsid w:val="00760A01"/>
    <w:rsid w:val="00767BD0"/>
    <w:rsid w:val="00771B0A"/>
    <w:rsid w:val="00772E42"/>
    <w:rsid w:val="007907CA"/>
    <w:rsid w:val="00795712"/>
    <w:rsid w:val="007A40DA"/>
    <w:rsid w:val="007A7851"/>
    <w:rsid w:val="007B0739"/>
    <w:rsid w:val="007B450D"/>
    <w:rsid w:val="007C1D4D"/>
    <w:rsid w:val="007D079E"/>
    <w:rsid w:val="007D582C"/>
    <w:rsid w:val="007E4694"/>
    <w:rsid w:val="007E591D"/>
    <w:rsid w:val="00816781"/>
    <w:rsid w:val="00836351"/>
    <w:rsid w:val="00844E36"/>
    <w:rsid w:val="00846036"/>
    <w:rsid w:val="008477BA"/>
    <w:rsid w:val="0085036D"/>
    <w:rsid w:val="00867DD4"/>
    <w:rsid w:val="0087389C"/>
    <w:rsid w:val="008A04A1"/>
    <w:rsid w:val="008A3A40"/>
    <w:rsid w:val="008D4CF0"/>
    <w:rsid w:val="008D72C6"/>
    <w:rsid w:val="00903482"/>
    <w:rsid w:val="00913D0B"/>
    <w:rsid w:val="00914842"/>
    <w:rsid w:val="00931A7E"/>
    <w:rsid w:val="009466D5"/>
    <w:rsid w:val="00954606"/>
    <w:rsid w:val="009577F1"/>
    <w:rsid w:val="00960C1B"/>
    <w:rsid w:val="00987C7B"/>
    <w:rsid w:val="00996E72"/>
    <w:rsid w:val="009A28E0"/>
    <w:rsid w:val="009B3544"/>
    <w:rsid w:val="009C7E13"/>
    <w:rsid w:val="009D1A5F"/>
    <w:rsid w:val="009E7932"/>
    <w:rsid w:val="009F2270"/>
    <w:rsid w:val="00A03A07"/>
    <w:rsid w:val="00A11E78"/>
    <w:rsid w:val="00A1678C"/>
    <w:rsid w:val="00A17522"/>
    <w:rsid w:val="00A23271"/>
    <w:rsid w:val="00A2679C"/>
    <w:rsid w:val="00A3076B"/>
    <w:rsid w:val="00A31BED"/>
    <w:rsid w:val="00A51308"/>
    <w:rsid w:val="00A555B8"/>
    <w:rsid w:val="00A561B0"/>
    <w:rsid w:val="00A5716C"/>
    <w:rsid w:val="00A57CD1"/>
    <w:rsid w:val="00A62C37"/>
    <w:rsid w:val="00A67452"/>
    <w:rsid w:val="00A72AB0"/>
    <w:rsid w:val="00A73593"/>
    <w:rsid w:val="00A84EF6"/>
    <w:rsid w:val="00AA1E7F"/>
    <w:rsid w:val="00AB6620"/>
    <w:rsid w:val="00AC4044"/>
    <w:rsid w:val="00AD15E4"/>
    <w:rsid w:val="00AD2466"/>
    <w:rsid w:val="00AD67B3"/>
    <w:rsid w:val="00AE4462"/>
    <w:rsid w:val="00AF6BC9"/>
    <w:rsid w:val="00B124C4"/>
    <w:rsid w:val="00B13930"/>
    <w:rsid w:val="00B14BEA"/>
    <w:rsid w:val="00B27E99"/>
    <w:rsid w:val="00B30313"/>
    <w:rsid w:val="00B40BFA"/>
    <w:rsid w:val="00B40E3A"/>
    <w:rsid w:val="00B41F64"/>
    <w:rsid w:val="00B42512"/>
    <w:rsid w:val="00B449ED"/>
    <w:rsid w:val="00B4532A"/>
    <w:rsid w:val="00B4780D"/>
    <w:rsid w:val="00B5445E"/>
    <w:rsid w:val="00B664C7"/>
    <w:rsid w:val="00B7001C"/>
    <w:rsid w:val="00B81EF4"/>
    <w:rsid w:val="00B840B2"/>
    <w:rsid w:val="00B863D8"/>
    <w:rsid w:val="00B903D5"/>
    <w:rsid w:val="00B9435F"/>
    <w:rsid w:val="00BA1D85"/>
    <w:rsid w:val="00BA2CEC"/>
    <w:rsid w:val="00BB4001"/>
    <w:rsid w:val="00BB4E2F"/>
    <w:rsid w:val="00BC010E"/>
    <w:rsid w:val="00BC7113"/>
    <w:rsid w:val="00BF102A"/>
    <w:rsid w:val="00BF15DE"/>
    <w:rsid w:val="00BF7DF8"/>
    <w:rsid w:val="00C01F09"/>
    <w:rsid w:val="00C01F2D"/>
    <w:rsid w:val="00C071D4"/>
    <w:rsid w:val="00C11681"/>
    <w:rsid w:val="00C20F88"/>
    <w:rsid w:val="00C250EA"/>
    <w:rsid w:val="00C4518C"/>
    <w:rsid w:val="00C4617A"/>
    <w:rsid w:val="00C62302"/>
    <w:rsid w:val="00C65857"/>
    <w:rsid w:val="00C77024"/>
    <w:rsid w:val="00C85A2E"/>
    <w:rsid w:val="00C907CB"/>
    <w:rsid w:val="00C95343"/>
    <w:rsid w:val="00CA3093"/>
    <w:rsid w:val="00CA31F5"/>
    <w:rsid w:val="00CB34B1"/>
    <w:rsid w:val="00CC21D4"/>
    <w:rsid w:val="00CC5592"/>
    <w:rsid w:val="00CC674A"/>
    <w:rsid w:val="00CD2DED"/>
    <w:rsid w:val="00D1092D"/>
    <w:rsid w:val="00D12145"/>
    <w:rsid w:val="00D12639"/>
    <w:rsid w:val="00D20B22"/>
    <w:rsid w:val="00D23FCF"/>
    <w:rsid w:val="00D264CC"/>
    <w:rsid w:val="00D264FB"/>
    <w:rsid w:val="00D36538"/>
    <w:rsid w:val="00D45995"/>
    <w:rsid w:val="00D45ED0"/>
    <w:rsid w:val="00D65766"/>
    <w:rsid w:val="00D831AD"/>
    <w:rsid w:val="00D92737"/>
    <w:rsid w:val="00DC34A9"/>
    <w:rsid w:val="00DC53A3"/>
    <w:rsid w:val="00DE2A1A"/>
    <w:rsid w:val="00DF0122"/>
    <w:rsid w:val="00DF22B8"/>
    <w:rsid w:val="00DF28D2"/>
    <w:rsid w:val="00E03FEF"/>
    <w:rsid w:val="00E04AEB"/>
    <w:rsid w:val="00E27A41"/>
    <w:rsid w:val="00E33620"/>
    <w:rsid w:val="00E368B7"/>
    <w:rsid w:val="00E51DD6"/>
    <w:rsid w:val="00E64734"/>
    <w:rsid w:val="00E71D97"/>
    <w:rsid w:val="00E71FFC"/>
    <w:rsid w:val="00E72388"/>
    <w:rsid w:val="00E77DE9"/>
    <w:rsid w:val="00E80599"/>
    <w:rsid w:val="00E853D2"/>
    <w:rsid w:val="00EA13FD"/>
    <w:rsid w:val="00EA4876"/>
    <w:rsid w:val="00EA5DAC"/>
    <w:rsid w:val="00EA6D8E"/>
    <w:rsid w:val="00EB0316"/>
    <w:rsid w:val="00EC46D7"/>
    <w:rsid w:val="00ED25CE"/>
    <w:rsid w:val="00F0077A"/>
    <w:rsid w:val="00F00DA5"/>
    <w:rsid w:val="00F01110"/>
    <w:rsid w:val="00F05334"/>
    <w:rsid w:val="00F07700"/>
    <w:rsid w:val="00F2010E"/>
    <w:rsid w:val="00F23EA4"/>
    <w:rsid w:val="00F25560"/>
    <w:rsid w:val="00F33EAF"/>
    <w:rsid w:val="00F352BF"/>
    <w:rsid w:val="00F5034A"/>
    <w:rsid w:val="00F50C3B"/>
    <w:rsid w:val="00F60522"/>
    <w:rsid w:val="00F62F16"/>
    <w:rsid w:val="00F64F97"/>
    <w:rsid w:val="00F7635D"/>
    <w:rsid w:val="00F92456"/>
    <w:rsid w:val="00FC24D1"/>
    <w:rsid w:val="00FD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A3"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53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71DF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DC53A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DC53A3"/>
    <w:pPr>
      <w:ind w:right="-1"/>
      <w:jc w:val="center"/>
    </w:pPr>
    <w:rPr>
      <w:rFonts w:ascii="Arial" w:hAnsi="Arial" w:cs="Arial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44680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DC53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001C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DC53A3"/>
    <w:pPr>
      <w:ind w:right="-1"/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680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802"/>
    <w:rPr>
      <w:rFonts w:cs="Times New Roman"/>
      <w:sz w:val="2"/>
    </w:rPr>
  </w:style>
  <w:style w:type="paragraph" w:customStyle="1" w:styleId="EMEAEnBodyText">
    <w:name w:val="EMEA En Body Text"/>
    <w:basedOn w:val="Normal"/>
    <w:uiPriority w:val="99"/>
    <w:rsid w:val="00666D0D"/>
    <w:pPr>
      <w:spacing w:before="120" w:after="120"/>
      <w:jc w:val="both"/>
    </w:pPr>
    <w:rPr>
      <w:sz w:val="22"/>
      <w:lang w:val="en-US" w:eastAsia="en-US"/>
    </w:rPr>
  </w:style>
  <w:style w:type="table" w:styleId="TableGrid">
    <w:name w:val="Table Grid"/>
    <w:basedOn w:val="TableNormal"/>
    <w:uiPriority w:val="99"/>
    <w:rsid w:val="003E57C6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C1D4D"/>
    <w:rPr>
      <w:rFonts w:cs="Times New Roman"/>
      <w:color w:val="0000FF"/>
      <w:u w:val="single"/>
    </w:rPr>
  </w:style>
  <w:style w:type="character" w:customStyle="1" w:styleId="FontStyle28">
    <w:name w:val="Font Style28"/>
    <w:basedOn w:val="DefaultParagraphFont"/>
    <w:uiPriority w:val="99"/>
    <w:rsid w:val="00C85A2E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612F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2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680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2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6802"/>
    <w:rPr>
      <w:b/>
      <w:bCs/>
    </w:rPr>
  </w:style>
  <w:style w:type="paragraph" w:styleId="Revision">
    <w:name w:val="Revision"/>
    <w:hidden/>
    <w:uiPriority w:val="99"/>
    <w:semiHidden/>
    <w:rsid w:val="005826D4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a.europa.eu/docs/en_GB/document_library/Template_or_form/2013/03/WC500139752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2568</Words>
  <Characters>14641</Characters>
  <Application>Microsoft Office Outlook</Application>
  <DocSecurity>0</DocSecurity>
  <Lines>0</Lines>
  <Paragraphs>0</Paragraphs>
  <ScaleCrop>false</ScaleCrop>
  <Company>Pre-installed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</dc:title>
  <dc:subject/>
  <dc:creator>Pre-installed User</dc:creator>
  <cp:keywords/>
  <dc:description/>
  <cp:lastModifiedBy>Zdenka Killingerova</cp:lastModifiedBy>
  <cp:revision>3</cp:revision>
  <cp:lastPrinted>2013-10-21T12:23:00Z</cp:lastPrinted>
  <dcterms:created xsi:type="dcterms:W3CDTF">2015-04-20T15:00:00Z</dcterms:created>
  <dcterms:modified xsi:type="dcterms:W3CDTF">2015-04-20T15:41:00Z</dcterms:modified>
</cp:coreProperties>
</file>