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4F3F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b/>
          <w:bCs/>
          <w:lang w:val="pt-BR"/>
        </w:rPr>
      </w:pPr>
      <w:bookmarkStart w:id="0" w:name="_GoBack"/>
      <w:bookmarkEnd w:id="0"/>
    </w:p>
    <w:p w14:paraId="187D2F7B" w14:textId="77777777" w:rsidR="00EC3D3F" w:rsidRPr="005E6F89" w:rsidRDefault="00EC3D3F" w:rsidP="00554155">
      <w:pPr>
        <w:tabs>
          <w:tab w:val="left" w:pos="680"/>
        </w:tabs>
        <w:spacing w:after="0" w:line="240" w:lineRule="auto"/>
        <w:ind w:right="-20"/>
        <w:jc w:val="center"/>
        <w:rPr>
          <w:rFonts w:ascii="Times New Roman" w:hAnsi="Times New Roman"/>
          <w:b/>
          <w:bCs/>
          <w:lang w:val="pt-BR"/>
        </w:rPr>
      </w:pPr>
      <w:r w:rsidRPr="005E6F89">
        <w:rPr>
          <w:rFonts w:ascii="Times New Roman" w:hAnsi="Times New Roman"/>
          <w:b/>
          <w:bCs/>
          <w:lang w:val="pt-BR"/>
        </w:rPr>
        <w:t>SÚHRN CHARAKTERISTICKÝCH VLASTNOSTÍ LIEKU</w:t>
      </w:r>
    </w:p>
    <w:p w14:paraId="15934473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bCs/>
          <w:lang w:val="pt-BR"/>
        </w:rPr>
      </w:pPr>
    </w:p>
    <w:p w14:paraId="4DB59D2F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bCs/>
          <w:lang w:val="pt-BR"/>
        </w:rPr>
      </w:pPr>
    </w:p>
    <w:p w14:paraId="4B5BF0C3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b/>
          <w:bCs/>
          <w:lang w:val="pt-BR"/>
        </w:rPr>
        <w:t>1.</w:t>
      </w:r>
      <w:r w:rsidRPr="005E6F89">
        <w:rPr>
          <w:rFonts w:ascii="Times New Roman" w:hAnsi="Times New Roman"/>
          <w:b/>
          <w:bCs/>
          <w:lang w:val="pt-BR"/>
        </w:rPr>
        <w:tab/>
        <w:t>NÁZOV LIEKU</w:t>
      </w:r>
    </w:p>
    <w:p w14:paraId="213036C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1B1D372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Memolan 20 mg filmom obalené tablety</w:t>
      </w:r>
    </w:p>
    <w:p w14:paraId="2E0998E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13AA8C2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268FD16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b/>
          <w:bCs/>
          <w:lang w:val="pt-BR"/>
        </w:rPr>
        <w:t>2.</w:t>
      </w:r>
      <w:r w:rsidRPr="005E6F89">
        <w:rPr>
          <w:rFonts w:ascii="Times New Roman" w:hAnsi="Times New Roman"/>
          <w:b/>
          <w:bCs/>
          <w:lang w:val="pt-BR"/>
        </w:rPr>
        <w:tab/>
        <w:t>KVALITATÍVNE A KVANTITATÍVNE ZLOŽENIE</w:t>
      </w:r>
    </w:p>
    <w:p w14:paraId="10C1E9F8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7A3992AE" w14:textId="77777777" w:rsidR="00EC3D3F" w:rsidRPr="005E6F89" w:rsidRDefault="00EC3D3F" w:rsidP="00B01281">
      <w:pPr>
        <w:spacing w:after="0" w:line="240" w:lineRule="auto"/>
        <w:ind w:right="126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Každá filmom obalená tableta obsahuje 20 mg memantíniumchloridu, čo zodpovedá 16,62 mg memantínu.</w:t>
      </w:r>
    </w:p>
    <w:p w14:paraId="0DBD07EA" w14:textId="77777777" w:rsidR="00EC3D3F" w:rsidRPr="005E6F89" w:rsidRDefault="00EC3D3F" w:rsidP="00B01281">
      <w:pPr>
        <w:spacing w:after="0" w:line="240" w:lineRule="auto"/>
        <w:ind w:right="126"/>
        <w:rPr>
          <w:rFonts w:ascii="Times New Roman" w:hAnsi="Times New Roman"/>
          <w:lang w:val="pt-BR"/>
        </w:rPr>
      </w:pPr>
    </w:p>
    <w:p w14:paraId="27E5424C" w14:textId="77777777" w:rsidR="00EC3D3F" w:rsidRPr="005E6F89" w:rsidRDefault="00EC3D3F" w:rsidP="00B01281">
      <w:pPr>
        <w:spacing w:after="0" w:line="240" w:lineRule="auto"/>
        <w:ind w:right="126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Úplný zoznam pomocných látok, pozri časť 6.1.</w:t>
      </w:r>
    </w:p>
    <w:p w14:paraId="212D307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DA9B47A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27D8556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b/>
          <w:bCs/>
          <w:lang w:val="pt-BR"/>
        </w:rPr>
        <w:t>3.</w:t>
      </w:r>
      <w:r w:rsidRPr="005E6F89">
        <w:rPr>
          <w:rFonts w:ascii="Times New Roman" w:hAnsi="Times New Roman"/>
          <w:b/>
          <w:bCs/>
          <w:lang w:val="pt-BR"/>
        </w:rPr>
        <w:tab/>
        <w:t>LIEKOVÁ FORMA</w:t>
      </w:r>
    </w:p>
    <w:p w14:paraId="347105FD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EFF9B44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Filmom obalené tablety.</w:t>
      </w:r>
    </w:p>
    <w:p w14:paraId="5EF4702B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6280142F" w14:textId="77777777" w:rsidR="00EC3D3F" w:rsidRPr="005E6F89" w:rsidRDefault="00EC3D3F" w:rsidP="001815C9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Bledočervené, oválne až podlhovasté, filmom obalené tablety s potlačou čísla „20“ na jednej strane.</w:t>
      </w:r>
    </w:p>
    <w:p w14:paraId="669344DC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AC59A7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9C2B7D1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</w:t>
      </w:r>
      <w:r w:rsidRPr="005E6F89">
        <w:rPr>
          <w:rFonts w:ascii="Times New Roman" w:hAnsi="Times New Roman"/>
          <w:b/>
          <w:bCs/>
          <w:lang w:val="sk-SK"/>
        </w:rPr>
        <w:tab/>
        <w:t>KLINICKÉ ÚDAJE</w:t>
      </w:r>
    </w:p>
    <w:p w14:paraId="4E12B3CD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E88A85F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4.1</w:t>
      </w:r>
      <w:r w:rsidRPr="005E6F89">
        <w:rPr>
          <w:rFonts w:ascii="Times New Roman" w:hAnsi="Times New Roman"/>
          <w:b/>
          <w:bCs/>
          <w:lang w:val="sk-SK"/>
        </w:rPr>
        <w:tab/>
        <w:t>Terapeutické indikácie</w:t>
      </w:r>
    </w:p>
    <w:p w14:paraId="1BB029BE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03E20B5" w14:textId="76D85F24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Liečba pacientov s Alzheimerovou chorobou stredného až </w:t>
      </w:r>
      <w:r w:rsidR="005E6F89" w:rsidRPr="005E6F89">
        <w:rPr>
          <w:rFonts w:ascii="Times New Roman" w:hAnsi="Times New Roman"/>
          <w:lang w:val="sk-SK"/>
        </w:rPr>
        <w:t>závažného</w:t>
      </w:r>
      <w:r w:rsidRPr="005E6F89">
        <w:rPr>
          <w:rFonts w:ascii="Times New Roman" w:hAnsi="Times New Roman"/>
          <w:lang w:val="sk-SK"/>
        </w:rPr>
        <w:t xml:space="preserve"> stupňa.</w:t>
      </w:r>
    </w:p>
    <w:p w14:paraId="7A79B2EA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9D1C22E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4.2</w:t>
      </w:r>
      <w:r w:rsidRPr="005E6F89">
        <w:rPr>
          <w:rFonts w:ascii="Times New Roman" w:hAnsi="Times New Roman"/>
          <w:b/>
          <w:bCs/>
          <w:lang w:val="sk-SK"/>
        </w:rPr>
        <w:tab/>
        <w:t>Dávkovanie a spôsob podávania</w:t>
      </w:r>
    </w:p>
    <w:p w14:paraId="6F132C42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D95E01A" w14:textId="77777777" w:rsidR="00527185" w:rsidRPr="005E6F89" w:rsidRDefault="00EC3D3F" w:rsidP="00D628C8">
      <w:pPr>
        <w:spacing w:after="0" w:line="240" w:lineRule="auto"/>
        <w:ind w:right="81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Liečbu má začať a sledovať lekár, skúsený v diagnostike a liečbe Alzheimerovej demencie. </w:t>
      </w:r>
    </w:p>
    <w:p w14:paraId="09C336AA" w14:textId="77777777" w:rsidR="00527185" w:rsidRPr="005E6F89" w:rsidRDefault="00527185" w:rsidP="00D628C8">
      <w:pPr>
        <w:spacing w:after="0" w:line="240" w:lineRule="auto"/>
        <w:ind w:right="81"/>
        <w:rPr>
          <w:rFonts w:ascii="Times New Roman" w:hAnsi="Times New Roman"/>
          <w:lang w:val="sk-SK"/>
        </w:rPr>
      </w:pPr>
    </w:p>
    <w:p w14:paraId="2114DCD8" w14:textId="77777777" w:rsidR="00527185" w:rsidRPr="00B31F4F" w:rsidRDefault="00527185" w:rsidP="00D628C8">
      <w:pPr>
        <w:spacing w:after="0" w:line="240" w:lineRule="auto"/>
        <w:ind w:right="81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>Dávkovanie</w:t>
      </w:r>
    </w:p>
    <w:p w14:paraId="38691014" w14:textId="28A0AAC8" w:rsidR="00EC3D3F" w:rsidRPr="005E6F89" w:rsidRDefault="00EC3D3F" w:rsidP="00D628C8">
      <w:pPr>
        <w:spacing w:after="0" w:line="240" w:lineRule="auto"/>
        <w:ind w:right="81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Terapia sa má začať len vtedy, ak je opatrovník schopný pravidelne kontrolovať, ako pacient užíva liek. Diagnóza má byť stanovená podľa súčasných diagnostických odporúčaní. Tolerancia a dávkovanie memantínu majú byť pravidelne prehodnocované, pokiaľ možno do troch mesiacov po začatí liečby. Ďalej má byť klinický prínos memantínu a tolerancia liečby vyhodnocovaná v pravidelných intervaloch podľa aktuálnych terapeutických postupov. V udržiavacej liečbe sa môže pokračovať, pokiaľ je </w:t>
      </w:r>
      <w:r w:rsidR="005E6F89" w:rsidRPr="005E6F89">
        <w:rPr>
          <w:rFonts w:ascii="Times New Roman" w:hAnsi="Times New Roman"/>
          <w:lang w:val="sk-SK"/>
        </w:rPr>
        <w:t xml:space="preserve">liečebný prínos priaznivý </w:t>
      </w:r>
      <w:r w:rsidRPr="005E6F89">
        <w:rPr>
          <w:rFonts w:ascii="Times New Roman" w:hAnsi="Times New Roman"/>
          <w:lang w:val="sk-SK"/>
        </w:rPr>
        <w:t xml:space="preserve">a </w:t>
      </w:r>
      <w:r w:rsidR="005E6F89" w:rsidRPr="005E6F89">
        <w:rPr>
          <w:rFonts w:ascii="Times New Roman" w:hAnsi="Times New Roman"/>
          <w:lang w:val="sk-SK"/>
        </w:rPr>
        <w:t xml:space="preserve">pacient </w:t>
      </w:r>
      <w:r w:rsidRPr="005E6F89">
        <w:rPr>
          <w:rFonts w:ascii="Times New Roman" w:hAnsi="Times New Roman"/>
          <w:lang w:val="sk-SK"/>
        </w:rPr>
        <w:t>liečbu memantínom toleruje. Prerušenie liečby memantínom sa má zvážiť v prípade, keď nebude prítomný preukázateľný terapeutický prínos alebo pacient nebude tolerovať liečbu.</w:t>
      </w:r>
    </w:p>
    <w:p w14:paraId="319A9F4A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3DDB36D" w14:textId="36C4825D" w:rsidR="00EC3D3F" w:rsidRPr="005E6F89" w:rsidRDefault="00EC3D3F" w:rsidP="00B01281">
      <w:pPr>
        <w:spacing w:after="0" w:line="240" w:lineRule="auto"/>
        <w:ind w:right="7813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i/>
          <w:lang w:val="sk-SK"/>
        </w:rPr>
        <w:t>Dospelí</w:t>
      </w:r>
    </w:p>
    <w:p w14:paraId="3B391266" w14:textId="77777777" w:rsidR="00527185" w:rsidRPr="005E6F89" w:rsidRDefault="00527185" w:rsidP="00B01281">
      <w:pPr>
        <w:spacing w:after="0" w:line="240" w:lineRule="auto"/>
        <w:ind w:right="7813"/>
        <w:rPr>
          <w:rFonts w:ascii="Times New Roman" w:hAnsi="Times New Roman"/>
          <w:lang w:val="sk-SK"/>
        </w:rPr>
      </w:pPr>
    </w:p>
    <w:p w14:paraId="17839691" w14:textId="77777777" w:rsidR="00EC3D3F" w:rsidRPr="00B31F4F" w:rsidRDefault="00EC3D3F" w:rsidP="00B01281">
      <w:pPr>
        <w:spacing w:after="0" w:line="240" w:lineRule="auto"/>
        <w:ind w:right="7813"/>
        <w:rPr>
          <w:rFonts w:ascii="Times New Roman" w:hAnsi="Times New Roman"/>
          <w:b/>
          <w:lang w:val="sk-SK"/>
        </w:rPr>
      </w:pPr>
      <w:r w:rsidRPr="00B31F4F">
        <w:rPr>
          <w:rFonts w:ascii="Times New Roman" w:hAnsi="Times New Roman"/>
          <w:b/>
          <w:lang w:val="sk-SK"/>
        </w:rPr>
        <w:t>Titrácia dávky</w:t>
      </w:r>
    </w:p>
    <w:p w14:paraId="1CC01A42" w14:textId="77777777" w:rsidR="00EC3D3F" w:rsidRPr="005E6F89" w:rsidRDefault="00EC3D3F" w:rsidP="00B01281">
      <w:pPr>
        <w:spacing w:after="0" w:line="240" w:lineRule="auto"/>
        <w:ind w:right="267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Maximálna denná dávka je 20 mg denne. Aby sa znížilo riziko nežiaducich účinkov, udržiavacia dávka sa dosahuje vzostupnou titráciou o 5 mg týždenne počas prvých 3 týždňov liečby nasledovne:</w:t>
      </w:r>
    </w:p>
    <w:p w14:paraId="10BC27A7" w14:textId="77777777" w:rsidR="00EC3D3F" w:rsidRPr="005E6F89" w:rsidRDefault="00EC3D3F" w:rsidP="00B01281">
      <w:pPr>
        <w:spacing w:after="0" w:line="240" w:lineRule="auto"/>
        <w:ind w:right="267"/>
        <w:rPr>
          <w:rFonts w:ascii="Times New Roman" w:hAnsi="Times New Roman"/>
          <w:lang w:val="sk-SK"/>
        </w:rPr>
      </w:pPr>
    </w:p>
    <w:p w14:paraId="1D49E4B2" w14:textId="77777777" w:rsidR="00EC3D3F" w:rsidRPr="005E6F89" w:rsidRDefault="00EC3D3F" w:rsidP="001815C9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Na zvýšenie dávky sú k dispozícii tablety s odlišnou silou účinku.</w:t>
      </w:r>
    </w:p>
    <w:p w14:paraId="36D74EE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CFA4C94" w14:textId="2BC9FD1B" w:rsidR="00EC3D3F" w:rsidRPr="00B31F4F" w:rsidRDefault="00EC3D3F" w:rsidP="00B01281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 w:rsidRPr="00B31F4F">
        <w:rPr>
          <w:rFonts w:ascii="Times New Roman" w:hAnsi="Times New Roman"/>
          <w:i/>
          <w:lang w:val="sk-SK"/>
        </w:rPr>
        <w:t>Týždeň č. 1 (deň 1-7)</w:t>
      </w:r>
    </w:p>
    <w:p w14:paraId="2958BC1C" w14:textId="77777777" w:rsidR="00EC3D3F" w:rsidRPr="00854EBA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Pacient má užívať polovicu 10 mg filmom obalenej tablety (5 mg) denne počas 7 dní.</w:t>
      </w:r>
    </w:p>
    <w:p w14:paraId="4C3538D7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0D27290" w14:textId="7EFFCE0B" w:rsidR="00EC3D3F" w:rsidRPr="00B31F4F" w:rsidRDefault="00EC3D3F" w:rsidP="00B01281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 w:rsidRPr="00B31F4F">
        <w:rPr>
          <w:rFonts w:ascii="Times New Roman" w:hAnsi="Times New Roman"/>
          <w:i/>
          <w:lang w:val="sk-SK"/>
        </w:rPr>
        <w:t>Týždeň č. 2 (deň 8-14)</w:t>
      </w:r>
    </w:p>
    <w:p w14:paraId="1481CBB7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lastRenderedPageBreak/>
        <w:t>Pacient má užívať jednu 10 mg filmom obalenú tabletu (10 mg) denne počas 7 dní.</w:t>
      </w:r>
    </w:p>
    <w:p w14:paraId="5270F74F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2CC64A5" w14:textId="36908903" w:rsidR="00EC3D3F" w:rsidRPr="00B31F4F" w:rsidRDefault="00EC3D3F" w:rsidP="00B01281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 w:rsidRPr="00B31F4F">
        <w:rPr>
          <w:rFonts w:ascii="Times New Roman" w:hAnsi="Times New Roman"/>
          <w:i/>
          <w:lang w:val="sk-SK"/>
        </w:rPr>
        <w:t>Týždeň č. 3 (deň 15-21)</w:t>
      </w:r>
    </w:p>
    <w:p w14:paraId="063DEAB5" w14:textId="77777777" w:rsidR="00EC3D3F" w:rsidRPr="00854EBA" w:rsidRDefault="00EC3D3F" w:rsidP="00B01281">
      <w:pPr>
        <w:spacing w:after="0" w:line="240" w:lineRule="auto"/>
        <w:ind w:right="1241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Pacient má užívať jednu a pol 10 mg filmom obalenej tablety (15 mg) denne počas 7 dní.</w:t>
      </w:r>
    </w:p>
    <w:p w14:paraId="1061D04A" w14:textId="77777777" w:rsidR="00EC3D3F" w:rsidRPr="005E6F89" w:rsidRDefault="00EC3D3F" w:rsidP="00B01281">
      <w:pPr>
        <w:spacing w:after="0" w:line="240" w:lineRule="auto"/>
        <w:ind w:right="1241"/>
        <w:rPr>
          <w:rFonts w:ascii="Times New Roman" w:hAnsi="Times New Roman"/>
          <w:lang w:val="sk-SK"/>
        </w:rPr>
      </w:pPr>
    </w:p>
    <w:p w14:paraId="138052A5" w14:textId="61E50C3C" w:rsidR="00EC3D3F" w:rsidRPr="00B31F4F" w:rsidRDefault="00EC3D3F" w:rsidP="00B01281">
      <w:pPr>
        <w:spacing w:after="0" w:line="240" w:lineRule="auto"/>
        <w:ind w:right="1241"/>
        <w:rPr>
          <w:rFonts w:ascii="Times New Roman" w:hAnsi="Times New Roman"/>
          <w:i/>
          <w:lang w:val="sk-SK"/>
        </w:rPr>
      </w:pPr>
      <w:r w:rsidRPr="00B31F4F">
        <w:rPr>
          <w:rFonts w:ascii="Times New Roman" w:hAnsi="Times New Roman"/>
          <w:i/>
          <w:lang w:val="sk-SK"/>
        </w:rPr>
        <w:t>Od týždňa č. 4 ďalej</w:t>
      </w:r>
    </w:p>
    <w:p w14:paraId="3CEF3A6A" w14:textId="77777777" w:rsidR="00EC3D3F" w:rsidRPr="00ED044C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Pacient má užívať jednu</w:t>
      </w:r>
      <w:r w:rsidRPr="00854EBA">
        <w:rPr>
          <w:rFonts w:ascii="Times New Roman" w:hAnsi="Times New Roman"/>
          <w:lang w:val="sk-SK"/>
        </w:rPr>
        <w:t xml:space="preserve"> </w:t>
      </w:r>
      <w:r w:rsidRPr="00ED044C">
        <w:rPr>
          <w:rFonts w:ascii="Times New Roman" w:hAnsi="Times New Roman"/>
          <w:lang w:val="sk-SK"/>
        </w:rPr>
        <w:t>20 mg filmom obalenú tabletu (20 mg) denne.</w:t>
      </w:r>
    </w:p>
    <w:p w14:paraId="40A0D05F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4669A82" w14:textId="2B1332F7" w:rsidR="00EC3D3F" w:rsidRPr="00B31F4F" w:rsidRDefault="00EC3D3F" w:rsidP="00B01281">
      <w:pPr>
        <w:spacing w:after="0" w:line="240" w:lineRule="auto"/>
        <w:ind w:right="-20"/>
        <w:rPr>
          <w:rFonts w:ascii="Times New Roman" w:hAnsi="Times New Roman"/>
          <w:b/>
          <w:lang w:val="sk-SK"/>
        </w:rPr>
      </w:pPr>
      <w:r w:rsidRPr="00B31F4F">
        <w:rPr>
          <w:rFonts w:ascii="Times New Roman" w:hAnsi="Times New Roman"/>
          <w:b/>
          <w:lang w:val="sk-SK"/>
        </w:rPr>
        <w:t>Udržiavacia dávka</w:t>
      </w:r>
    </w:p>
    <w:p w14:paraId="1F4270CE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Odporúčaná udržiavacia dávka je 20 mg denne.</w:t>
      </w:r>
    </w:p>
    <w:p w14:paraId="52EE40D0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9394B5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b/>
          <w:i/>
          <w:lang w:val="sk-SK"/>
        </w:rPr>
      </w:pPr>
      <w:r w:rsidRPr="005E6F89">
        <w:rPr>
          <w:rFonts w:ascii="Times New Roman" w:hAnsi="Times New Roman"/>
          <w:b/>
          <w:i/>
          <w:lang w:val="sk-SK"/>
        </w:rPr>
        <w:t>Špeciálna populácia</w:t>
      </w:r>
    </w:p>
    <w:p w14:paraId="460B67DF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E9CC31C" w14:textId="1A96E70E" w:rsidR="00527185" w:rsidRPr="005E6F89" w:rsidRDefault="00EC3D3F" w:rsidP="00B01281">
      <w:pPr>
        <w:spacing w:after="0" w:line="240" w:lineRule="auto"/>
        <w:ind w:right="264"/>
        <w:rPr>
          <w:rFonts w:ascii="Times New Roman" w:hAnsi="Times New Roman"/>
          <w:i/>
          <w:lang w:val="sk-SK"/>
        </w:rPr>
      </w:pPr>
      <w:r w:rsidRPr="005E6F89">
        <w:rPr>
          <w:rFonts w:ascii="Times New Roman" w:hAnsi="Times New Roman"/>
          <w:i/>
          <w:lang w:val="sk-SK"/>
        </w:rPr>
        <w:t>Starší pacienti</w:t>
      </w:r>
    </w:p>
    <w:p w14:paraId="1EF5CEA2" w14:textId="77777777" w:rsidR="00EC3D3F" w:rsidRPr="005E6F89" w:rsidRDefault="00EC3D3F" w:rsidP="00B01281">
      <w:pPr>
        <w:spacing w:after="0" w:line="240" w:lineRule="auto"/>
        <w:ind w:right="264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Na základe klinických štúdií je dávka odporúčaná pre pacientov nad 65 rokov 20 mg denne, ako bolo popísané vyššie.</w:t>
      </w:r>
    </w:p>
    <w:p w14:paraId="5704DEF0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0E97EF7" w14:textId="77777777" w:rsidR="00EC3D3F" w:rsidRPr="00ED044C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i/>
          <w:lang w:val="sk-SK"/>
        </w:rPr>
        <w:t xml:space="preserve">Poškodenie funkcie obličiek: </w:t>
      </w:r>
      <w:r w:rsidRPr="005E6F89">
        <w:rPr>
          <w:rFonts w:ascii="Times New Roman" w:hAnsi="Times New Roman"/>
          <w:lang w:val="sk-SK"/>
        </w:rPr>
        <w:t>U pacientov s mierne poškodeno</w:t>
      </w:r>
      <w:r w:rsidRPr="00ED044C">
        <w:rPr>
          <w:rFonts w:ascii="Times New Roman" w:hAnsi="Times New Roman"/>
          <w:lang w:val="sk-SK"/>
        </w:rPr>
        <w:t>u funkciou obličiek (klírens kreatinínu 50-</w:t>
      </w:r>
    </w:p>
    <w:p w14:paraId="48B8CB82" w14:textId="77777777" w:rsidR="00EC3D3F" w:rsidRPr="005E6F89" w:rsidRDefault="00EC3D3F" w:rsidP="0066137D">
      <w:pPr>
        <w:spacing w:after="0" w:line="240" w:lineRule="auto"/>
        <w:ind w:right="421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80 ml/min) sa nevyžaduje úprava dávky. U pacientov so stredne ťažkým obličkovým poškodením (klírens kreatinínu 30-49 ml/min) má byť denná dávka 10 mg denne. Ak dávka je dobre tolerovaná </w:t>
      </w:r>
      <w:r w:rsidR="00B77C66" w:rsidRPr="005E6F89">
        <w:rPr>
          <w:rFonts w:ascii="Times New Roman" w:hAnsi="Times New Roman"/>
          <w:lang w:val="sk-SK"/>
        </w:rPr>
        <w:t xml:space="preserve">aj po </w:t>
      </w:r>
      <w:r w:rsidRPr="005E6F89">
        <w:rPr>
          <w:rFonts w:ascii="Times New Roman" w:hAnsi="Times New Roman"/>
          <w:lang w:val="sk-SK"/>
        </w:rPr>
        <w:t>minimálne 7 d</w:t>
      </w:r>
      <w:r w:rsidR="00B77C66" w:rsidRPr="005E6F89">
        <w:rPr>
          <w:rFonts w:ascii="Times New Roman" w:hAnsi="Times New Roman"/>
          <w:lang w:val="sk-SK"/>
        </w:rPr>
        <w:t xml:space="preserve">ňoch </w:t>
      </w:r>
      <w:r w:rsidRPr="005E6F89">
        <w:rPr>
          <w:rFonts w:ascii="Times New Roman" w:hAnsi="Times New Roman"/>
          <w:lang w:val="sk-SK"/>
        </w:rPr>
        <w:t>liečby, môže byť zvýšená až do 20 mg/deň podľa štandardnej titračnej schémy.</w:t>
      </w:r>
      <w:r w:rsidR="00B77C66" w:rsidRPr="005E6F89">
        <w:rPr>
          <w:rFonts w:ascii="Times New Roman" w:hAnsi="Times New Roman"/>
          <w:lang w:val="sk-SK"/>
        </w:rPr>
        <w:t xml:space="preserve"> </w:t>
      </w:r>
      <w:r w:rsidRPr="005E6F89">
        <w:rPr>
          <w:rFonts w:ascii="Times New Roman" w:hAnsi="Times New Roman"/>
          <w:lang w:val="sk-SK"/>
        </w:rPr>
        <w:t>U pacientov s ťažko poškodenou funkciou obličiek (klírens kreatinínu 5-29 ml/min) má byť denná dávka 10 mg denne.</w:t>
      </w:r>
    </w:p>
    <w:p w14:paraId="746404C7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C183C3B" w14:textId="2A2AB5D7" w:rsidR="00527185" w:rsidRPr="005E6F89" w:rsidRDefault="00EC3D3F" w:rsidP="00AB590F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 w:rsidRPr="005E6F89">
        <w:rPr>
          <w:rFonts w:ascii="Times New Roman" w:hAnsi="Times New Roman"/>
          <w:i/>
          <w:lang w:val="sk-SK"/>
        </w:rPr>
        <w:t>Poškodenie funkcie pečene</w:t>
      </w:r>
    </w:p>
    <w:p w14:paraId="08CB79AE" w14:textId="77777777" w:rsidR="00EC3D3F" w:rsidRPr="005E6F89" w:rsidRDefault="00EC3D3F" w:rsidP="00AB590F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sk-SK"/>
        </w:rPr>
        <w:t>U pacientov s mierne až stredne ťažkou</w:t>
      </w:r>
      <w:r w:rsidRPr="00ED044C">
        <w:rPr>
          <w:rFonts w:ascii="Times New Roman" w:hAnsi="Times New Roman"/>
          <w:lang w:val="sk-SK"/>
        </w:rPr>
        <w:t xml:space="preserve"> poškodenou funkciou pečene (Child-Pugh A a Child-Pugh B) nie je potrebná úprava dávky. U pacientov s vážne poškodenou funkciou p</w:t>
      </w:r>
      <w:r w:rsidRPr="005E6F89">
        <w:rPr>
          <w:rFonts w:ascii="Times New Roman" w:hAnsi="Times New Roman"/>
          <w:lang w:val="sk-SK"/>
        </w:rPr>
        <w:t xml:space="preserve">ečene nie sú dostupné údaje o užívaní memantínu. </w:t>
      </w:r>
      <w:r w:rsidRPr="005E6F89">
        <w:rPr>
          <w:rFonts w:ascii="Times New Roman" w:hAnsi="Times New Roman"/>
          <w:lang w:val="pt-BR"/>
        </w:rPr>
        <w:t xml:space="preserve">Podanie </w:t>
      </w:r>
      <w:r w:rsidRPr="005E6F89">
        <w:rPr>
          <w:rFonts w:ascii="Times New Roman" w:hAnsi="Times New Roman"/>
          <w:lang w:val="sk-SK"/>
        </w:rPr>
        <w:t>Memolan</w:t>
      </w:r>
      <w:r w:rsidR="00D23F35" w:rsidRPr="005E6F89">
        <w:rPr>
          <w:rFonts w:ascii="Times New Roman" w:hAnsi="Times New Roman"/>
          <w:lang w:val="sk-SK"/>
        </w:rPr>
        <w:t>u</w:t>
      </w:r>
      <w:r w:rsidRPr="005E6F89">
        <w:rPr>
          <w:rFonts w:ascii="Times New Roman" w:hAnsi="Times New Roman"/>
          <w:lang w:val="pt-BR"/>
        </w:rPr>
        <w:t xml:space="preserve"> sa neodporúča pacientom s ťažko poškodenou funkciou pečene.</w:t>
      </w:r>
    </w:p>
    <w:p w14:paraId="0107BE50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11CBC16" w14:textId="438EC3F5" w:rsidR="00527185" w:rsidRPr="005E6F89" w:rsidRDefault="00EC3D3F" w:rsidP="001815C9">
      <w:pPr>
        <w:spacing w:after="0" w:line="240" w:lineRule="auto"/>
        <w:ind w:right="132"/>
        <w:rPr>
          <w:rFonts w:ascii="Times New Roman" w:hAnsi="Times New Roman"/>
          <w:i/>
          <w:lang w:val="sk-SK"/>
        </w:rPr>
      </w:pPr>
      <w:r w:rsidRPr="005E6F89">
        <w:rPr>
          <w:rFonts w:ascii="Times New Roman" w:hAnsi="Times New Roman"/>
          <w:i/>
          <w:lang w:val="sk-SK"/>
        </w:rPr>
        <w:t>Pediatrická populácia</w:t>
      </w:r>
    </w:p>
    <w:p w14:paraId="6668543C" w14:textId="57007973" w:rsidR="00EC3D3F" w:rsidRPr="005E6F89" w:rsidRDefault="00527185" w:rsidP="001815C9">
      <w:pPr>
        <w:spacing w:after="0" w:line="240" w:lineRule="auto"/>
        <w:ind w:right="132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K dispozícii nie sú žiadne údaje.</w:t>
      </w:r>
    </w:p>
    <w:p w14:paraId="4B7468A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highlight w:val="yellow"/>
          <w:lang w:val="sk-SK"/>
        </w:rPr>
      </w:pPr>
    </w:p>
    <w:p w14:paraId="4BDF077C" w14:textId="77777777" w:rsidR="00EC3D3F" w:rsidRPr="005E6F89" w:rsidRDefault="00EC3D3F" w:rsidP="00D628C8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>Spôsob podávania</w:t>
      </w:r>
    </w:p>
    <w:p w14:paraId="462F0AD2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Memolan sa má podávať jedenkrát denne a má sa užívať vždy v rovnakú dennú dobu. Filmom obalené tablety sa môžu užívať s jedlom alebo bez jedla.</w:t>
      </w:r>
    </w:p>
    <w:p w14:paraId="15BEEDE9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8B9D265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4.3</w:t>
      </w:r>
      <w:r w:rsidRPr="005E6F89">
        <w:rPr>
          <w:rFonts w:ascii="Times New Roman" w:hAnsi="Times New Roman"/>
          <w:b/>
          <w:bCs/>
          <w:lang w:val="sk-SK"/>
        </w:rPr>
        <w:tab/>
        <w:t>Kontraindikácie</w:t>
      </w:r>
    </w:p>
    <w:p w14:paraId="6BC942D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316C76B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Precitlivenosť na liečivo alebo na ktorúkoľvek z pomocných látok</w:t>
      </w:r>
      <w:r w:rsidR="00527185" w:rsidRPr="005E6F89">
        <w:rPr>
          <w:rFonts w:ascii="Times New Roman" w:hAnsi="Times New Roman"/>
          <w:lang w:val="sk-SK"/>
        </w:rPr>
        <w:t xml:space="preserve"> uvedených v časti 6.1</w:t>
      </w:r>
      <w:r w:rsidRPr="005E6F89">
        <w:rPr>
          <w:rFonts w:ascii="Times New Roman" w:hAnsi="Times New Roman"/>
          <w:lang w:val="sk-SK"/>
        </w:rPr>
        <w:t>.</w:t>
      </w:r>
    </w:p>
    <w:p w14:paraId="3BED1117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0B56232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b/>
          <w:bCs/>
          <w:lang w:val="pt-BR"/>
        </w:rPr>
        <w:t>4.4</w:t>
      </w:r>
      <w:r w:rsidRPr="005E6F89">
        <w:rPr>
          <w:rFonts w:ascii="Times New Roman" w:hAnsi="Times New Roman"/>
          <w:b/>
          <w:bCs/>
          <w:lang w:val="pt-BR"/>
        </w:rPr>
        <w:tab/>
        <w:t>Osobitné upozornenia a opatrenia pri používaní</w:t>
      </w:r>
    </w:p>
    <w:p w14:paraId="1984CC8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6A7A2B3" w14:textId="77777777" w:rsidR="00EC3D3F" w:rsidRPr="005E6F89" w:rsidRDefault="00EC3D3F" w:rsidP="00B01281">
      <w:pPr>
        <w:spacing w:after="0" w:line="240" w:lineRule="auto"/>
        <w:ind w:right="819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U pacientov s epilepsiou, so záchvatmi kŕčov v minulosti alebo s predispozičnými faktormi na epilepsiu sa odporúča opatrnosť.</w:t>
      </w:r>
    </w:p>
    <w:p w14:paraId="38197B5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49D183D" w14:textId="48401CC0" w:rsidR="00EC3D3F" w:rsidRPr="005E6F89" w:rsidRDefault="00EC3D3F" w:rsidP="00B01281">
      <w:pPr>
        <w:spacing w:after="0" w:line="240" w:lineRule="auto"/>
        <w:ind w:right="59" w:firstLine="1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Súčasnému</w:t>
      </w:r>
      <w:r w:rsidRPr="00ED044C">
        <w:rPr>
          <w:rFonts w:ascii="Times New Roman" w:hAnsi="Times New Roman"/>
          <w:lang w:val="pt-BR"/>
        </w:rPr>
        <w:t xml:space="preserve"> užívaniu N-metyl-D-aspartát (NMDA)-antagonistov ako je amantadín, ketamín alebo dextrometorfán s memantínom sa má vyhýbať. Tieto liečivá účinkujú na ten istý receptorový systém ako memantín, preto pri ich súčasnom užívaní by mohli byť častejšie alebo výraznejšie nežiaduce reakcie (</w:t>
      </w:r>
      <w:r w:rsidR="005E6F89" w:rsidRPr="005E6F89">
        <w:rPr>
          <w:rFonts w:ascii="Times New Roman" w:hAnsi="Times New Roman"/>
          <w:lang w:val="pt-BR"/>
        </w:rPr>
        <w:t>prevažne</w:t>
      </w:r>
      <w:r w:rsidRPr="005E6F89">
        <w:rPr>
          <w:rFonts w:ascii="Times New Roman" w:hAnsi="Times New Roman"/>
          <w:lang w:val="pt-BR"/>
        </w:rPr>
        <w:t xml:space="preserve"> týkajúce sa centrálneho nervového systému (CNS)) (pozri tiež časť 4.5).</w:t>
      </w:r>
    </w:p>
    <w:p w14:paraId="59B7A40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751C0EB5" w14:textId="77777777" w:rsidR="00EC3D3F" w:rsidRPr="005E6F89" w:rsidRDefault="00EC3D3F" w:rsidP="00B01281">
      <w:pPr>
        <w:spacing w:after="0" w:line="240" w:lineRule="auto"/>
        <w:ind w:right="19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 xml:space="preserve">Niektoré faktory, ktoré môžu zvýšiť pH moču (pozri časť 5.2 „Eliminácia“), vyžadujú starostlivé sledovanie pacienta. Tieto faktory zahŕňajú drastické zmeny diéty, napr. z mäsitej na vegetariánsku, alebo masívny príjem alkalizujúcich žalúdočných pufrov. Močové pH sa môže zvýšiť tiež pri stavoch renálnej tubulárnej acidózy (RTA) alebo pri ťažkých infekciách močového traktu bakteriálnymi kmeňmi </w:t>
      </w:r>
      <w:r w:rsidRPr="005E6F89">
        <w:rPr>
          <w:rFonts w:ascii="Times New Roman" w:hAnsi="Times New Roman"/>
          <w:i/>
          <w:lang w:val="pt-BR"/>
        </w:rPr>
        <w:t>Proteus.</w:t>
      </w:r>
    </w:p>
    <w:p w14:paraId="506D2D1D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7689904" w14:textId="5E9BC1C6" w:rsidR="00EC3D3F" w:rsidRPr="005E6F89" w:rsidRDefault="00EC3D3F" w:rsidP="00B01281">
      <w:pPr>
        <w:spacing w:after="0" w:line="240" w:lineRule="auto"/>
        <w:ind w:right="355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lastRenderedPageBreak/>
        <w:t xml:space="preserve">Vo väčšine klinických </w:t>
      </w:r>
      <w:r w:rsidR="005E6F89" w:rsidRPr="005E6F89">
        <w:rPr>
          <w:rFonts w:ascii="Times New Roman" w:hAnsi="Times New Roman"/>
          <w:lang w:val="pt-BR"/>
        </w:rPr>
        <w:t xml:space="preserve">skúšaní </w:t>
      </w:r>
      <w:r w:rsidRPr="005E6F89">
        <w:rPr>
          <w:rFonts w:ascii="Times New Roman" w:hAnsi="Times New Roman"/>
          <w:lang w:val="pt-BR"/>
        </w:rPr>
        <w:t>boli vylúčení pacienti s nedávnym infarktom myokardu, dekompenzovaným kongestívnym srdcovým zlyhaním (NYHA III-IV) alebo nekontrolovanou hypertenziou. Dôsledkom toho je fakt, že k dispozícii je len obmedzené množstvo údajov a pacienti s týmito ochoreniami majú byť starostlivo sledovaní.</w:t>
      </w:r>
    </w:p>
    <w:p w14:paraId="52C2DC02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87F235A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4.5</w:t>
      </w:r>
      <w:r w:rsidRPr="005E6F89">
        <w:rPr>
          <w:rFonts w:ascii="Times New Roman" w:hAnsi="Times New Roman"/>
          <w:b/>
          <w:bCs/>
          <w:lang w:val="sk-SK"/>
        </w:rPr>
        <w:tab/>
        <w:t>Liekové a iné interakcie</w:t>
      </w:r>
    </w:p>
    <w:p w14:paraId="607BF96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0F1AD53C" w14:textId="77777777" w:rsidR="00EC3D3F" w:rsidRPr="005E6F89" w:rsidRDefault="00EC3D3F" w:rsidP="00B01281">
      <w:pPr>
        <w:spacing w:after="0" w:line="240" w:lineRule="auto"/>
        <w:ind w:right="196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V dôsledku farmakologických efektov a mechanizmu účinku memantínu sa môžu objaviť nasledovné interakcie:</w:t>
      </w:r>
    </w:p>
    <w:p w14:paraId="13730DDB" w14:textId="77777777" w:rsidR="00EC3D3F" w:rsidRPr="00B31F4F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FE740BB" w14:textId="1865A279" w:rsidR="00EC3D3F" w:rsidRPr="00ED044C" w:rsidRDefault="00EC3D3F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823" w:hanging="284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Mechanizmus účinku naznačuje, že účinky L-dopy, dopamínergických agonistov a anticholínergík môžu byť pri sú</w:t>
      </w:r>
      <w:r w:rsidR="005E6F89" w:rsidRPr="00ED044C">
        <w:rPr>
          <w:rFonts w:ascii="Times New Roman" w:hAnsi="Times New Roman"/>
          <w:lang w:val="sk-SK"/>
        </w:rPr>
        <w:t>bežnej liečbe</w:t>
      </w:r>
      <w:r w:rsidRPr="00ED044C">
        <w:rPr>
          <w:rFonts w:ascii="Times New Roman" w:hAnsi="Times New Roman"/>
          <w:lang w:val="sk-SK"/>
        </w:rPr>
        <w:t xml:space="preserve"> NMDA-antagonistov, ako je memantín, zosilnené. Účinky barbiturátov a neuroleptík môžu byť znížené. Súčasné podávanie memantínu a myorelaxancií, dantrolénu alebo baklofénu, môže modifikovať ich účinky a vyžadovať úpravu dávok.</w:t>
      </w:r>
    </w:p>
    <w:p w14:paraId="25AB2C4A" w14:textId="77777777" w:rsidR="00EC3D3F" w:rsidRPr="005E6F89" w:rsidRDefault="00EC3D3F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Musí sa vyhnúť súčasnému užitiu memantínu a amantadínu, a to pre riziko farmakotoxickej psychózy. Obe liečivá sú chemicky príbuzné NMDA-antagonistom. To isté môže platiť pre ketamín a dextrometorfán (pozri tiež časť 4.4). Existuje len jedna publikovaná kazuistika možného rizika kombinácie memantínu a fenytoínu.</w:t>
      </w:r>
    </w:p>
    <w:p w14:paraId="32CECB01" w14:textId="77777777" w:rsidR="00EC3D3F" w:rsidRPr="005E6F89" w:rsidRDefault="00EC3D3F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Iné liečivá, ako sú cimetidín, ranitidín, prokaínamid, chinidín, chinín a nikotín, ktoré používajú ten istý obličkový katiónový transportný systém ako amantadín, môžu tiež interagovať s memantínom a viesť tak k potenciálnemu riziku zvýšených plazmatických hladín.</w:t>
      </w:r>
    </w:p>
    <w:p w14:paraId="424EC113" w14:textId="77777777" w:rsidR="00EC3D3F" w:rsidRPr="005E6F89" w:rsidRDefault="00EC3D3F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Ak sa memantín používa súčasne s hydrochlórotiazidom (HCT) alebo akoukoľvek kombináciou HCT, je tu možnosť zníženia sérovej hladiny HCT.</w:t>
      </w:r>
    </w:p>
    <w:p w14:paraId="6251DC54" w14:textId="0E16B1C2" w:rsidR="00EC3D3F" w:rsidRPr="005E6F89" w:rsidRDefault="00EC3D3F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153" w:hanging="284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Pri postmarketingovom sledovaní boli zaznamenané ojedinelé prípady zvýšenia hodnôt medzinárodného normalizovaného pomeru (INR) u pacientov užívajúcich súčasne warfarín. Aj keď priama súvislosť nebola potvrdená, u pacientov, ktorí sú súčasne liečení perorálnymi antikoagulanciami, sa </w:t>
      </w:r>
      <w:r w:rsidR="00025973" w:rsidRPr="005E6F89">
        <w:rPr>
          <w:rFonts w:ascii="Times New Roman" w:hAnsi="Times New Roman"/>
          <w:lang w:val="sk-SK"/>
        </w:rPr>
        <w:t xml:space="preserve">odporúča </w:t>
      </w:r>
      <w:r w:rsidRPr="005E6F89">
        <w:rPr>
          <w:rFonts w:ascii="Times New Roman" w:hAnsi="Times New Roman"/>
          <w:lang w:val="sk-SK"/>
        </w:rPr>
        <w:t>dôkladné sledovanie protrombínového času alebo INR.</w:t>
      </w:r>
    </w:p>
    <w:p w14:paraId="797E67F7" w14:textId="77777777" w:rsidR="00EC3D3F" w:rsidRPr="005E6F89" w:rsidRDefault="00EC3D3F" w:rsidP="009C2F83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lang w:val="sk-SK"/>
        </w:rPr>
      </w:pPr>
    </w:p>
    <w:p w14:paraId="01676CB0" w14:textId="17AE22FD" w:rsidR="00EC3D3F" w:rsidRPr="005E6F89" w:rsidRDefault="00EC3D3F" w:rsidP="00B01281">
      <w:pPr>
        <w:spacing w:after="0" w:line="240" w:lineRule="auto"/>
        <w:ind w:right="156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Pri </w:t>
      </w:r>
      <w:r w:rsidR="00025973" w:rsidRPr="005E6F89">
        <w:rPr>
          <w:rFonts w:ascii="Times New Roman" w:hAnsi="Times New Roman"/>
          <w:lang w:val="sk-SK"/>
        </w:rPr>
        <w:t>jednorazovej</w:t>
      </w:r>
      <w:r w:rsidRPr="005E6F89">
        <w:rPr>
          <w:rFonts w:ascii="Times New Roman" w:hAnsi="Times New Roman"/>
          <w:lang w:val="sk-SK"/>
        </w:rPr>
        <w:t xml:space="preserve"> dávke vo farmakokinet</w:t>
      </w:r>
      <w:r w:rsidR="00227CF3" w:rsidRPr="005E6F89">
        <w:rPr>
          <w:rFonts w:ascii="Times New Roman" w:hAnsi="Times New Roman"/>
          <w:lang w:val="sk-SK"/>
        </w:rPr>
        <w:t>i</w:t>
      </w:r>
      <w:r w:rsidRPr="005E6F89">
        <w:rPr>
          <w:rFonts w:ascii="Times New Roman" w:hAnsi="Times New Roman"/>
          <w:lang w:val="sk-SK"/>
        </w:rPr>
        <w:t>ckých (FK) štúdiách u mladých zdravých dobrovoľníkov nebola pozorovaná žiadna významná interakcia liečiv memantínu s glyburidom/metformínom alebo s donepezilom.</w:t>
      </w:r>
    </w:p>
    <w:p w14:paraId="77C15C7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00490AD" w14:textId="77777777" w:rsidR="00EC3D3F" w:rsidRPr="005E6F89" w:rsidRDefault="00EC3D3F" w:rsidP="00B01281">
      <w:pPr>
        <w:spacing w:after="0" w:line="240" w:lineRule="auto"/>
        <w:ind w:right="1018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V klinickej štúdii u mladých zdravých jedincov nebol pozorovaný žiaden významný účinok memantínu na farmakokinetiku galantamínu.</w:t>
      </w:r>
    </w:p>
    <w:p w14:paraId="5A2F2D9D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EF5C809" w14:textId="77777777" w:rsidR="00EC3D3F" w:rsidRPr="005E6F89" w:rsidRDefault="00EC3D3F" w:rsidP="00B01281">
      <w:pPr>
        <w:spacing w:after="0" w:line="240" w:lineRule="auto"/>
        <w:ind w:right="155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Memantín </w:t>
      </w:r>
      <w:r w:rsidRPr="005E6F89">
        <w:rPr>
          <w:rFonts w:ascii="Times New Roman" w:hAnsi="Times New Roman"/>
          <w:i/>
          <w:lang w:val="sk-SK"/>
        </w:rPr>
        <w:t xml:space="preserve">in vitro </w:t>
      </w:r>
      <w:r w:rsidRPr="005E6F89">
        <w:rPr>
          <w:rFonts w:ascii="Times New Roman" w:hAnsi="Times New Roman"/>
          <w:lang w:val="sk-SK"/>
        </w:rPr>
        <w:t>neinhibuje CYP 1A2, 2A6, 2C9, 2D6, 2E1, 3A, flavín obsahujúcu monoxygenázu, epoxid hydrolázu alebo sulfatión.</w:t>
      </w:r>
    </w:p>
    <w:p w14:paraId="1607DF9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71A0B16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4.6</w:t>
      </w:r>
      <w:r w:rsidRPr="005E6F89">
        <w:rPr>
          <w:rFonts w:ascii="Times New Roman" w:hAnsi="Times New Roman"/>
          <w:b/>
          <w:bCs/>
          <w:lang w:val="sk-SK"/>
        </w:rPr>
        <w:tab/>
        <w:t>Fertilita, gravidita a laktácia</w:t>
      </w:r>
    </w:p>
    <w:p w14:paraId="4D28134C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5792F51" w14:textId="77777777" w:rsidR="00EC3D3F" w:rsidRPr="005E6F89" w:rsidRDefault="00EC3D3F" w:rsidP="00B01281">
      <w:pPr>
        <w:spacing w:after="0" w:line="240" w:lineRule="auto"/>
        <w:ind w:right="51"/>
        <w:rPr>
          <w:rFonts w:ascii="Times New Roman" w:hAnsi="Times New Roman"/>
          <w:bCs/>
          <w:u w:val="single"/>
          <w:lang w:val="sk-SK"/>
        </w:rPr>
      </w:pPr>
      <w:r w:rsidRPr="005E6F89">
        <w:rPr>
          <w:rFonts w:ascii="Times New Roman" w:hAnsi="Times New Roman"/>
          <w:bCs/>
          <w:u w:val="single"/>
          <w:lang w:val="sk-SK"/>
        </w:rPr>
        <w:t>Gravidita</w:t>
      </w:r>
    </w:p>
    <w:p w14:paraId="6518EEB2" w14:textId="0868170F" w:rsidR="00EC3D3F" w:rsidRPr="005E6F89" w:rsidRDefault="00025973" w:rsidP="00B01281">
      <w:pPr>
        <w:spacing w:after="0" w:line="240" w:lineRule="auto"/>
        <w:ind w:right="51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Nie sú žiadne alebo len obmedzené údaje o použití memantínu u tehotných žien.</w:t>
      </w:r>
      <w:r w:rsidRPr="005E6F89" w:rsidDel="00480BF5">
        <w:rPr>
          <w:rFonts w:ascii="Times New Roman" w:hAnsi="Times New Roman"/>
          <w:lang w:val="sk-SK"/>
        </w:rPr>
        <w:t xml:space="preserve"> </w:t>
      </w:r>
      <w:r w:rsidR="00EC3D3F" w:rsidRPr="005E6F89">
        <w:rPr>
          <w:rFonts w:ascii="Times New Roman" w:hAnsi="Times New Roman"/>
          <w:lang w:val="sk-SK"/>
        </w:rPr>
        <w:t xml:space="preserve">Štúdie na zvieratách naznačujú potenciál pre znížený vnútromaternicový rast pri expozičných hladinách identických alebo mierne vyšších ako u ľudí (pozri časť 5.3). Nie je známe potenciálne riziko pre ľudí. Memantín môže byť používaný počas </w:t>
      </w:r>
      <w:r w:rsidRPr="005E6F89">
        <w:rPr>
          <w:rFonts w:ascii="Times New Roman" w:hAnsi="Times New Roman"/>
          <w:lang w:val="sk-SK"/>
        </w:rPr>
        <w:t>tehotenstva</w:t>
      </w:r>
      <w:r w:rsidR="00EC3D3F" w:rsidRPr="005E6F89">
        <w:rPr>
          <w:rFonts w:ascii="Times New Roman" w:hAnsi="Times New Roman"/>
          <w:lang w:val="sk-SK"/>
        </w:rPr>
        <w:t>, iba v nevyhnutných prípadoch.</w:t>
      </w:r>
    </w:p>
    <w:p w14:paraId="088A0C5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3073740" w14:textId="1C4945C3" w:rsidR="00EC3D3F" w:rsidRPr="005E6F89" w:rsidRDefault="00025973" w:rsidP="00B01281">
      <w:pPr>
        <w:spacing w:after="0" w:line="240" w:lineRule="auto"/>
        <w:ind w:right="696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bCs/>
          <w:u w:val="single"/>
          <w:lang w:val="sk-SK"/>
        </w:rPr>
        <w:t>Dojčenie</w:t>
      </w:r>
    </w:p>
    <w:p w14:paraId="36DF5217" w14:textId="77777777" w:rsidR="00EC3D3F" w:rsidRPr="005E6F89" w:rsidRDefault="00EC3D3F" w:rsidP="00B01281">
      <w:pPr>
        <w:spacing w:after="0" w:line="240" w:lineRule="auto"/>
        <w:ind w:right="696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Nie je známe, či sa memantín u žien vylučuje do materského mlieka, ale ak vezmeme do úvahy lipofilitu liečiva, je to pravdepodobné. Ženy, ktoré užívajú memantín, nemajú dojčiť.</w:t>
      </w:r>
    </w:p>
    <w:p w14:paraId="305D0CE8" w14:textId="77777777" w:rsidR="00025973" w:rsidRPr="005E6F89" w:rsidRDefault="00025973" w:rsidP="00B01281">
      <w:pPr>
        <w:spacing w:after="0" w:line="240" w:lineRule="auto"/>
        <w:ind w:right="696"/>
        <w:rPr>
          <w:rFonts w:ascii="Times New Roman" w:hAnsi="Times New Roman"/>
          <w:lang w:val="sk-SK"/>
        </w:rPr>
      </w:pPr>
    </w:p>
    <w:p w14:paraId="7CC4DDDE" w14:textId="77777777" w:rsidR="00025973" w:rsidRPr="005E6F89" w:rsidRDefault="00025973" w:rsidP="00025973">
      <w:pPr>
        <w:spacing w:after="0" w:line="240" w:lineRule="auto"/>
        <w:ind w:right="696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>Fertilita</w:t>
      </w:r>
    </w:p>
    <w:p w14:paraId="278099B1" w14:textId="77777777" w:rsidR="00025973" w:rsidRPr="005E6F89" w:rsidRDefault="00025973" w:rsidP="00B01281">
      <w:pPr>
        <w:spacing w:after="0" w:line="240" w:lineRule="auto"/>
        <w:ind w:right="696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Neboli zaznamenané žiadne nežiaduce reakcie memantínu na mužskú a ženskú plodnosť.</w:t>
      </w:r>
    </w:p>
    <w:p w14:paraId="0B94E18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99C19A2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4.7</w:t>
      </w:r>
      <w:r w:rsidRPr="005E6F89">
        <w:rPr>
          <w:rFonts w:ascii="Times New Roman" w:hAnsi="Times New Roman"/>
          <w:b/>
          <w:bCs/>
          <w:lang w:val="sk-SK"/>
        </w:rPr>
        <w:tab/>
        <w:t>Ovplyvnenie schopnosti viesť vozidlá a obsluhovať stroje</w:t>
      </w:r>
    </w:p>
    <w:p w14:paraId="24903ACA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C2C102E" w14:textId="77777777" w:rsidR="00EC3D3F" w:rsidRPr="005E6F89" w:rsidRDefault="00EC3D3F" w:rsidP="00B01281">
      <w:pPr>
        <w:spacing w:after="0" w:line="240" w:lineRule="auto"/>
        <w:ind w:right="138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lastRenderedPageBreak/>
        <w:t>Alzheimerova choroba stredného až ťažkého stupňa samotná obvykle spôsobuje zhoršenie schopnosti viesť vozidlá a obsluhovať stroje. Navyše Memolan má menší až stredný vplyv na schopnosť viesť vozidlá a obsluhovať stroje, takže ambulantných pacientov je potrebné upozorniť, aby boli osobitne opatrní.</w:t>
      </w:r>
    </w:p>
    <w:p w14:paraId="51758269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418DDD9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4.8</w:t>
      </w:r>
      <w:r w:rsidRPr="005E6F89">
        <w:rPr>
          <w:rFonts w:ascii="Times New Roman" w:hAnsi="Times New Roman"/>
          <w:b/>
          <w:bCs/>
          <w:lang w:val="sk-SK"/>
        </w:rPr>
        <w:tab/>
        <w:t>Nežiaduce účinky</w:t>
      </w:r>
    </w:p>
    <w:p w14:paraId="6903904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8C36B81" w14:textId="77777777" w:rsidR="00025973" w:rsidRPr="005E6F89" w:rsidRDefault="00025973" w:rsidP="00172E82">
      <w:pPr>
        <w:spacing w:after="0" w:line="240" w:lineRule="auto"/>
        <w:ind w:right="245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Súhrn bezpečnostného profilu</w:t>
      </w:r>
    </w:p>
    <w:p w14:paraId="0C00210A" w14:textId="77777777" w:rsidR="00EC3D3F" w:rsidRPr="005E6F89" w:rsidRDefault="00EC3D3F" w:rsidP="00172E82">
      <w:pPr>
        <w:spacing w:after="0" w:line="240" w:lineRule="auto"/>
        <w:ind w:right="245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V klinických štúdiách v miernej až ťažkej demencii, ktoré zahŕňali 1784 pacientov liečených memantínom a 1595 pacientov, ktorí užívali placebo, sa celkový výskyt nežiaducich účinkov pri liečbe memantínom nelíšil od výskytu pri placebe a nežiaduce účinky boli obvykle miernej až strednej závažnosti. Najčastejšie sa vyskytujúce nežiaduce účinky s vyšším výskytom v skupine s memantínom voči placebovej skupine boli závrat (6,3% voči 5,6%), bolesť hlavy (5,2% voči 3,9%), zápcha (4,6% voči 2,6%), ospalosť (3,4% voči 2,2%) a hypertenzia (4,1% voči 2,8%).</w:t>
      </w:r>
    </w:p>
    <w:p w14:paraId="7C0022B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C3FEAFF" w14:textId="7AC29EDF" w:rsidR="00EC3D3F" w:rsidRPr="005E6F89" w:rsidRDefault="00EC3D3F" w:rsidP="00B01281">
      <w:pPr>
        <w:spacing w:after="0" w:line="240" w:lineRule="auto"/>
        <w:ind w:right="395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Nasledujúce nežiaduce účinky v doleuvedenej tabuľke boli zozbierané z klinických štúdií s memantínom a z obdobia od jeho uvedenia na trh. </w:t>
      </w:r>
    </w:p>
    <w:p w14:paraId="2B26F482" w14:textId="77777777" w:rsidR="00025973" w:rsidRPr="005E6F89" w:rsidRDefault="00025973" w:rsidP="00B01281">
      <w:pPr>
        <w:spacing w:after="0" w:line="240" w:lineRule="auto"/>
        <w:ind w:right="395"/>
        <w:rPr>
          <w:rFonts w:ascii="Times New Roman" w:hAnsi="Times New Roman"/>
          <w:lang w:val="sk-SK"/>
        </w:rPr>
      </w:pPr>
    </w:p>
    <w:p w14:paraId="107ED7BA" w14:textId="77777777" w:rsidR="00EC3D3F" w:rsidRPr="005E6F89" w:rsidRDefault="00EC3D3F" w:rsidP="00B01281">
      <w:pPr>
        <w:spacing w:after="0" w:line="240" w:lineRule="auto"/>
        <w:ind w:right="236" w:firstLine="1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Nežiaduce účinky sú zoradené podľa tried orgánových systémov pri použití nasledovnej konvencie: veľmi časté (≥ 1/10), časté (≥ 1/100 až &lt;1/10), menej časté (≥ 1/1000 až &lt;1/100), zriedkavé (≥ 1/10000 až &lt;1/1000), veľmi zriedkavé (&lt;1/10000), neznáme (nedajú sa určiť z dostupných údajov).</w:t>
      </w:r>
      <w:r w:rsidR="00025973" w:rsidRPr="005E6F89">
        <w:rPr>
          <w:rFonts w:ascii="Times New Roman" w:hAnsi="Times New Roman"/>
          <w:lang w:val="sk-SK"/>
        </w:rPr>
        <w:t xml:space="preserve"> V rámci jednotlivých skupín frekvencií sú nežiaduce účinky usporiadané v poradí klesajúcej závažnosti. </w:t>
      </w:r>
    </w:p>
    <w:p w14:paraId="6D26AC65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126"/>
        <w:gridCol w:w="3120"/>
      </w:tblGrid>
      <w:tr w:rsidR="00025973" w:rsidRPr="005E6F89" w14:paraId="229F9840" w14:textId="77777777" w:rsidTr="000C7763">
        <w:tc>
          <w:tcPr>
            <w:tcW w:w="3652" w:type="dxa"/>
          </w:tcPr>
          <w:p w14:paraId="7FB096DF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TRIEDA ORGÁNOVÝCH SYSTÉMOV</w:t>
            </w:r>
          </w:p>
        </w:tc>
        <w:tc>
          <w:tcPr>
            <w:tcW w:w="2126" w:type="dxa"/>
          </w:tcPr>
          <w:p w14:paraId="3498F6B4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FREKVENCIA</w:t>
            </w:r>
          </w:p>
        </w:tc>
        <w:tc>
          <w:tcPr>
            <w:tcW w:w="3120" w:type="dxa"/>
          </w:tcPr>
          <w:p w14:paraId="6B3D1D72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NEŽIADUCE ÚČINKY</w:t>
            </w:r>
          </w:p>
        </w:tc>
      </w:tr>
      <w:tr w:rsidR="00025973" w:rsidRPr="005E6F89" w14:paraId="63677DBB" w14:textId="77777777" w:rsidTr="000C7763">
        <w:tc>
          <w:tcPr>
            <w:tcW w:w="3652" w:type="dxa"/>
          </w:tcPr>
          <w:p w14:paraId="5FA09036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Infekcie a nákazy</w:t>
            </w:r>
          </w:p>
        </w:tc>
        <w:tc>
          <w:tcPr>
            <w:tcW w:w="2126" w:type="dxa"/>
          </w:tcPr>
          <w:p w14:paraId="2DC953F7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1FA6F73C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Plesňové infekcie</w:t>
            </w:r>
          </w:p>
        </w:tc>
      </w:tr>
      <w:tr w:rsidR="00025973" w:rsidRPr="005E6F89" w14:paraId="2877E2D3" w14:textId="77777777" w:rsidTr="000C7763">
        <w:tc>
          <w:tcPr>
            <w:tcW w:w="3652" w:type="dxa"/>
          </w:tcPr>
          <w:p w14:paraId="144F4CF9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imunitného systému</w:t>
            </w:r>
          </w:p>
        </w:tc>
        <w:tc>
          <w:tcPr>
            <w:tcW w:w="2126" w:type="dxa"/>
          </w:tcPr>
          <w:p w14:paraId="41489E5C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19F00837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Precitlivenosť na liek</w:t>
            </w:r>
          </w:p>
        </w:tc>
      </w:tr>
      <w:tr w:rsidR="00025973" w:rsidRPr="005E6F89" w14:paraId="0054136C" w14:textId="77777777" w:rsidTr="000C7763">
        <w:tc>
          <w:tcPr>
            <w:tcW w:w="3652" w:type="dxa"/>
            <w:vMerge w:val="restart"/>
          </w:tcPr>
          <w:p w14:paraId="1A457F03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Psychické poruchy</w:t>
            </w:r>
          </w:p>
        </w:tc>
        <w:tc>
          <w:tcPr>
            <w:tcW w:w="2126" w:type="dxa"/>
          </w:tcPr>
          <w:p w14:paraId="77265F11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161A0C3C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Ospalosť</w:t>
            </w:r>
          </w:p>
        </w:tc>
      </w:tr>
      <w:tr w:rsidR="00025973" w:rsidRPr="005E6F89" w14:paraId="16108026" w14:textId="77777777" w:rsidTr="000C7763">
        <w:tc>
          <w:tcPr>
            <w:tcW w:w="3652" w:type="dxa"/>
            <w:vMerge/>
          </w:tcPr>
          <w:p w14:paraId="3479BD7F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3D6791DF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4953ECFB" w14:textId="1755C321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Zmätenosť</w:t>
            </w:r>
          </w:p>
          <w:p w14:paraId="33B73246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Halucinácie</w:t>
            </w:r>
            <w:r w:rsidRPr="005E6F89">
              <w:rPr>
                <w:rFonts w:ascii="Times New Roman" w:hAnsi="Times New Roman"/>
                <w:vertAlign w:val="superscript"/>
                <w:lang w:val="sk-SK"/>
              </w:rPr>
              <w:t>1</w:t>
            </w:r>
          </w:p>
        </w:tc>
      </w:tr>
      <w:tr w:rsidR="00025973" w:rsidRPr="005E6F89" w14:paraId="2783FC7F" w14:textId="77777777" w:rsidTr="000C7763">
        <w:tc>
          <w:tcPr>
            <w:tcW w:w="3652" w:type="dxa"/>
            <w:vMerge/>
          </w:tcPr>
          <w:p w14:paraId="1210E7AE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2D94C8B1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Neznáme</w:t>
            </w:r>
          </w:p>
        </w:tc>
        <w:tc>
          <w:tcPr>
            <w:tcW w:w="3120" w:type="dxa"/>
          </w:tcPr>
          <w:p w14:paraId="3FE3F6E8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Psychotické reakcie</w:t>
            </w:r>
            <w:r w:rsidRPr="005E6F89">
              <w:rPr>
                <w:rFonts w:ascii="Times New Roman" w:hAnsi="Times New Roman"/>
                <w:vertAlign w:val="superscript"/>
                <w:lang w:val="sk-SK"/>
              </w:rPr>
              <w:t>2</w:t>
            </w:r>
          </w:p>
        </w:tc>
      </w:tr>
      <w:tr w:rsidR="00025973" w:rsidRPr="005E6F89" w14:paraId="05C4703D" w14:textId="77777777" w:rsidTr="000C7763">
        <w:tc>
          <w:tcPr>
            <w:tcW w:w="3652" w:type="dxa"/>
            <w:vMerge w:val="restart"/>
          </w:tcPr>
          <w:p w14:paraId="0D7A624A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nervového systému</w:t>
            </w:r>
          </w:p>
        </w:tc>
        <w:tc>
          <w:tcPr>
            <w:tcW w:w="2126" w:type="dxa"/>
          </w:tcPr>
          <w:p w14:paraId="2B1975AB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0AC3F139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Závrat</w:t>
            </w:r>
          </w:p>
          <w:p w14:paraId="1A09D1DB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Porucha rovnováhy</w:t>
            </w:r>
          </w:p>
        </w:tc>
      </w:tr>
      <w:tr w:rsidR="00025973" w:rsidRPr="005E6F89" w14:paraId="5E22D630" w14:textId="77777777" w:rsidTr="000C7763">
        <w:tc>
          <w:tcPr>
            <w:tcW w:w="3652" w:type="dxa"/>
            <w:vMerge/>
          </w:tcPr>
          <w:p w14:paraId="5C12980B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505FCD90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065DF8EA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chôdze</w:t>
            </w:r>
          </w:p>
        </w:tc>
      </w:tr>
      <w:tr w:rsidR="00025973" w:rsidRPr="005E6F89" w14:paraId="423C68CF" w14:textId="77777777" w:rsidTr="000C7763">
        <w:tc>
          <w:tcPr>
            <w:tcW w:w="3652" w:type="dxa"/>
            <w:vMerge/>
          </w:tcPr>
          <w:p w14:paraId="797FDD94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3964776B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Veľmi zriedkavé</w:t>
            </w:r>
          </w:p>
        </w:tc>
        <w:tc>
          <w:tcPr>
            <w:tcW w:w="3120" w:type="dxa"/>
          </w:tcPr>
          <w:p w14:paraId="5E461910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Záchvaty</w:t>
            </w:r>
          </w:p>
        </w:tc>
      </w:tr>
      <w:tr w:rsidR="00025973" w:rsidRPr="005E6F89" w14:paraId="0106EA4D" w14:textId="77777777" w:rsidTr="000C7763">
        <w:tc>
          <w:tcPr>
            <w:tcW w:w="3652" w:type="dxa"/>
          </w:tcPr>
          <w:p w14:paraId="228D998E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srdca a srdcovej činnosti</w:t>
            </w:r>
          </w:p>
        </w:tc>
        <w:tc>
          <w:tcPr>
            <w:tcW w:w="2126" w:type="dxa"/>
          </w:tcPr>
          <w:p w14:paraId="2D489396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5452A168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Zlyhanie srdca</w:t>
            </w:r>
          </w:p>
        </w:tc>
      </w:tr>
      <w:tr w:rsidR="00025973" w:rsidRPr="005E6F89" w14:paraId="3FCE8639" w14:textId="77777777" w:rsidTr="000C7763">
        <w:tc>
          <w:tcPr>
            <w:tcW w:w="3652" w:type="dxa"/>
            <w:vMerge w:val="restart"/>
          </w:tcPr>
          <w:p w14:paraId="01574572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ciev</w:t>
            </w:r>
          </w:p>
        </w:tc>
        <w:tc>
          <w:tcPr>
            <w:tcW w:w="2126" w:type="dxa"/>
          </w:tcPr>
          <w:p w14:paraId="0C0FE61C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58FB67EB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Hypertenzia</w:t>
            </w:r>
          </w:p>
        </w:tc>
      </w:tr>
      <w:tr w:rsidR="00025973" w:rsidRPr="005E6F89" w14:paraId="02EC5172" w14:textId="77777777" w:rsidTr="000C7763">
        <w:tc>
          <w:tcPr>
            <w:tcW w:w="3652" w:type="dxa"/>
            <w:vMerge/>
          </w:tcPr>
          <w:p w14:paraId="71000FFF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2A729AEE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09AE6884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Žilová trombóza/tromboembólia</w:t>
            </w:r>
          </w:p>
        </w:tc>
      </w:tr>
      <w:tr w:rsidR="00025973" w:rsidRPr="005E6F89" w14:paraId="620867CD" w14:textId="77777777" w:rsidTr="000C7763">
        <w:tc>
          <w:tcPr>
            <w:tcW w:w="3652" w:type="dxa"/>
          </w:tcPr>
          <w:p w14:paraId="3EFD2C73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dýchacej sústavy, hrudníka a mediastína</w:t>
            </w:r>
          </w:p>
        </w:tc>
        <w:tc>
          <w:tcPr>
            <w:tcW w:w="2126" w:type="dxa"/>
          </w:tcPr>
          <w:p w14:paraId="119F0DCD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1DE129AC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Dyspnoe</w:t>
            </w:r>
          </w:p>
        </w:tc>
      </w:tr>
      <w:tr w:rsidR="00025973" w:rsidRPr="005E6F89" w14:paraId="7F44F504" w14:textId="77777777" w:rsidTr="000C7763">
        <w:tc>
          <w:tcPr>
            <w:tcW w:w="3652" w:type="dxa"/>
            <w:vMerge w:val="restart"/>
          </w:tcPr>
          <w:p w14:paraId="778305C7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gastrointestinálneho traktu</w:t>
            </w:r>
          </w:p>
        </w:tc>
        <w:tc>
          <w:tcPr>
            <w:tcW w:w="2126" w:type="dxa"/>
          </w:tcPr>
          <w:p w14:paraId="7881891E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1C763E69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Zápcha</w:t>
            </w:r>
          </w:p>
        </w:tc>
      </w:tr>
      <w:tr w:rsidR="00025973" w:rsidRPr="005E6F89" w14:paraId="5959E756" w14:textId="77777777" w:rsidTr="000C7763">
        <w:tc>
          <w:tcPr>
            <w:tcW w:w="3652" w:type="dxa"/>
            <w:vMerge/>
          </w:tcPr>
          <w:p w14:paraId="1378A779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16BD7ABE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position w:val="-1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7E1A7DD2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position w:val="-1"/>
                <w:lang w:val="sk-SK"/>
              </w:rPr>
              <w:t>Vracanie</w:t>
            </w:r>
          </w:p>
        </w:tc>
      </w:tr>
      <w:tr w:rsidR="00025973" w:rsidRPr="005E6F89" w14:paraId="037D078E" w14:textId="77777777" w:rsidTr="000C7763">
        <w:tc>
          <w:tcPr>
            <w:tcW w:w="3652" w:type="dxa"/>
            <w:vMerge/>
          </w:tcPr>
          <w:p w14:paraId="690CA66E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2559C226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Neznáme</w:t>
            </w:r>
          </w:p>
        </w:tc>
        <w:tc>
          <w:tcPr>
            <w:tcW w:w="3120" w:type="dxa"/>
          </w:tcPr>
          <w:p w14:paraId="7F79ECC4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Pankreatitída</w:t>
            </w:r>
            <w:r w:rsidRPr="005E6F89">
              <w:rPr>
                <w:rFonts w:ascii="Times New Roman" w:hAnsi="Times New Roman"/>
                <w:vertAlign w:val="superscript"/>
                <w:lang w:val="sk-SK"/>
              </w:rPr>
              <w:t>2</w:t>
            </w:r>
          </w:p>
        </w:tc>
      </w:tr>
      <w:tr w:rsidR="00025973" w:rsidRPr="00B31F4F" w14:paraId="5A9DF5F7" w14:textId="77777777" w:rsidTr="000C7763">
        <w:tc>
          <w:tcPr>
            <w:tcW w:w="3652" w:type="dxa"/>
            <w:vMerge w:val="restart"/>
          </w:tcPr>
          <w:p w14:paraId="6E9778DF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Poruchy pečene a žlčových ciest</w:t>
            </w:r>
          </w:p>
        </w:tc>
        <w:tc>
          <w:tcPr>
            <w:tcW w:w="2126" w:type="dxa"/>
          </w:tcPr>
          <w:p w14:paraId="4404FC3F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0E4DD2D5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Zvýšené hodnoty testov pečeňových funkcií</w:t>
            </w:r>
          </w:p>
        </w:tc>
      </w:tr>
      <w:tr w:rsidR="00025973" w:rsidRPr="005E6F89" w14:paraId="3CC2C024" w14:textId="77777777" w:rsidTr="000C7763">
        <w:tc>
          <w:tcPr>
            <w:tcW w:w="3652" w:type="dxa"/>
            <w:vMerge/>
          </w:tcPr>
          <w:p w14:paraId="78F1F498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754172B0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Neznáme</w:t>
            </w:r>
          </w:p>
        </w:tc>
        <w:tc>
          <w:tcPr>
            <w:tcW w:w="3120" w:type="dxa"/>
          </w:tcPr>
          <w:p w14:paraId="6AD9B35C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Hepatitída</w:t>
            </w:r>
          </w:p>
        </w:tc>
      </w:tr>
      <w:tr w:rsidR="00025973" w:rsidRPr="005E6F89" w14:paraId="52643C59" w14:textId="77777777" w:rsidTr="000C7763">
        <w:tc>
          <w:tcPr>
            <w:tcW w:w="3652" w:type="dxa"/>
            <w:vMerge w:val="restart"/>
          </w:tcPr>
          <w:p w14:paraId="1651F854" w14:textId="77777777" w:rsidR="00025973" w:rsidRPr="00ED044C" w:rsidRDefault="00025973" w:rsidP="00025973">
            <w:pPr>
              <w:spacing w:after="0" w:line="240" w:lineRule="auto"/>
              <w:ind w:left="49" w:right="-20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Celkové poruchy a reakcie v mieste podania</w:t>
            </w:r>
          </w:p>
        </w:tc>
        <w:tc>
          <w:tcPr>
            <w:tcW w:w="2126" w:type="dxa"/>
          </w:tcPr>
          <w:p w14:paraId="61B05A6C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4589CC02" w14:textId="77777777" w:rsidR="00025973" w:rsidRPr="00ED044C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D044C">
              <w:rPr>
                <w:rFonts w:ascii="Times New Roman" w:hAnsi="Times New Roman"/>
                <w:lang w:val="sk-SK"/>
              </w:rPr>
              <w:t>Bolesť hlavy</w:t>
            </w:r>
          </w:p>
        </w:tc>
      </w:tr>
      <w:tr w:rsidR="00025973" w:rsidRPr="005E6F89" w14:paraId="47712A73" w14:textId="77777777" w:rsidTr="000C7763">
        <w:tc>
          <w:tcPr>
            <w:tcW w:w="3652" w:type="dxa"/>
            <w:vMerge/>
          </w:tcPr>
          <w:p w14:paraId="6A6BF114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4A0C88CC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5DE8CF9A" w14:textId="77777777" w:rsidR="00025973" w:rsidRPr="005E6F89" w:rsidRDefault="00025973" w:rsidP="00025973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5E6F89">
              <w:rPr>
                <w:rFonts w:ascii="Times New Roman" w:hAnsi="Times New Roman"/>
                <w:lang w:val="sk-SK"/>
              </w:rPr>
              <w:t>Únava</w:t>
            </w:r>
          </w:p>
        </w:tc>
      </w:tr>
    </w:tbl>
    <w:p w14:paraId="5B766002" w14:textId="77777777" w:rsidR="00EC3D3F" w:rsidRPr="00ED044C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vertAlign w:val="superscript"/>
          <w:lang w:val="sk-SK"/>
        </w:rPr>
        <w:t>1</w:t>
      </w:r>
      <w:r w:rsidRPr="005E6F89">
        <w:rPr>
          <w:rFonts w:ascii="Times New Roman" w:hAnsi="Times New Roman"/>
          <w:lang w:val="sk-SK"/>
        </w:rPr>
        <w:t xml:space="preserve"> Halucinácie boli pozorované hlavne u pacientov s ťažkým stupňom Alzheimerovej choroby.</w:t>
      </w:r>
    </w:p>
    <w:p w14:paraId="674E0B95" w14:textId="77777777" w:rsidR="00EC3D3F" w:rsidRPr="00ED044C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ED044C">
        <w:rPr>
          <w:rFonts w:ascii="Times New Roman" w:hAnsi="Times New Roman"/>
          <w:vertAlign w:val="superscript"/>
          <w:lang w:val="sk-SK"/>
        </w:rPr>
        <w:t>2</w:t>
      </w:r>
      <w:r w:rsidRPr="00ED044C">
        <w:rPr>
          <w:rFonts w:ascii="Times New Roman" w:hAnsi="Times New Roman"/>
          <w:lang w:val="sk-SK"/>
        </w:rPr>
        <w:t xml:space="preserve"> Ojedinelé prípady zaznamenané z postmarketingového sledovania.</w:t>
      </w:r>
    </w:p>
    <w:p w14:paraId="381F51AF" w14:textId="77777777" w:rsidR="00EC3D3F" w:rsidRPr="00B31F4F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48D7866" w14:textId="502B950A" w:rsidR="00EC3D3F" w:rsidRPr="00ED044C" w:rsidRDefault="00EC3D3F" w:rsidP="00B01281">
      <w:pPr>
        <w:spacing w:after="0" w:line="240" w:lineRule="auto"/>
        <w:ind w:right="693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 xml:space="preserve">Alzheimerova choroba býva sprevádzaná depresiou, samovražednými predstavami a suicídiom. V postmarketingovom sledovaní boli tieto </w:t>
      </w:r>
      <w:r w:rsidR="00025973" w:rsidRPr="00ED044C">
        <w:rPr>
          <w:rFonts w:ascii="Times New Roman" w:hAnsi="Times New Roman"/>
          <w:lang w:val="pt-BR"/>
        </w:rPr>
        <w:t xml:space="preserve">reakcie </w:t>
      </w:r>
      <w:r w:rsidRPr="00ED044C">
        <w:rPr>
          <w:rFonts w:ascii="Times New Roman" w:hAnsi="Times New Roman"/>
          <w:lang w:val="pt-BR"/>
        </w:rPr>
        <w:t>hlásené u pacientov liečených memantínom.</w:t>
      </w:r>
    </w:p>
    <w:p w14:paraId="6250A20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A645FCD" w14:textId="77777777" w:rsidR="00EC3D3F" w:rsidRPr="005E6F89" w:rsidRDefault="00EC3D3F" w:rsidP="0041770A">
      <w:pPr>
        <w:spacing w:after="0" w:line="240" w:lineRule="auto"/>
        <w:ind w:right="693"/>
        <w:rPr>
          <w:rFonts w:ascii="Times New Roman" w:hAnsi="Times New Roman"/>
          <w:u w:val="single"/>
          <w:lang w:val="pt-BR"/>
        </w:rPr>
      </w:pPr>
      <w:r w:rsidRPr="005E6F89">
        <w:rPr>
          <w:rFonts w:ascii="Times New Roman" w:hAnsi="Times New Roman"/>
          <w:u w:val="single"/>
          <w:lang w:val="pt-BR"/>
        </w:rPr>
        <w:lastRenderedPageBreak/>
        <w:t>Hlásenie podozrení na nežiaduce reakcie</w:t>
      </w:r>
    </w:p>
    <w:p w14:paraId="07BC07FA" w14:textId="035CBDE3" w:rsidR="00EC3D3F" w:rsidRPr="005E6F89" w:rsidRDefault="00EC3D3F" w:rsidP="00335CF7">
      <w:pPr>
        <w:spacing w:after="0" w:line="240" w:lineRule="auto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025973" w:rsidRPr="005E6F89">
        <w:rPr>
          <w:rFonts w:ascii="Times New Roman" w:hAnsi="Times New Roman"/>
          <w:lang w:val="pt-BR"/>
        </w:rPr>
        <w:t xml:space="preserve">na </w:t>
      </w:r>
      <w:r w:rsidRPr="00B31F4F">
        <w:rPr>
          <w:rFonts w:ascii="Times New Roman" w:hAnsi="Times New Roman"/>
          <w:highlight w:val="lightGray"/>
          <w:lang w:val="sk-SK" w:eastAsia="sk-SK" w:bidi="my-MM"/>
        </w:rPr>
        <w:t xml:space="preserve">národné </w:t>
      </w:r>
      <w:r w:rsidR="00025973" w:rsidRPr="00B31F4F">
        <w:rPr>
          <w:rFonts w:ascii="Times New Roman" w:hAnsi="Times New Roman"/>
          <w:highlight w:val="lightGray"/>
          <w:lang w:val="sk-SK" w:eastAsia="sk-SK" w:bidi="my-MM"/>
        </w:rPr>
        <w:t xml:space="preserve">centrum </w:t>
      </w:r>
      <w:r w:rsidRPr="00B31F4F">
        <w:rPr>
          <w:rFonts w:ascii="Times New Roman" w:hAnsi="Times New Roman"/>
          <w:highlight w:val="lightGray"/>
          <w:lang w:val="sk-SK" w:eastAsia="sk-SK" w:bidi="my-MM"/>
        </w:rPr>
        <w:t>hlásenia uvedené v </w:t>
      </w:r>
      <w:hyperlink r:id="rId7" w:history="1">
        <w:r w:rsidRPr="00B31F4F">
          <w:rPr>
            <w:rFonts w:ascii="Times New Roman" w:hAnsi="Times New Roman"/>
            <w:highlight w:val="lightGray"/>
            <w:lang w:val="sk-SK" w:eastAsia="sk-SK" w:bidi="my-MM"/>
          </w:rPr>
          <w:t>Prílohe V</w:t>
        </w:r>
      </w:hyperlink>
      <w:r w:rsidRPr="00B31F4F">
        <w:rPr>
          <w:rFonts w:ascii="Times New Roman" w:hAnsi="Times New Roman"/>
          <w:lang w:val="sk-SK" w:eastAsia="sk-SK" w:bidi="my-MM"/>
        </w:rPr>
        <w:t>.</w:t>
      </w:r>
    </w:p>
    <w:p w14:paraId="538AC6C1" w14:textId="77777777" w:rsidR="00EC3D3F" w:rsidRPr="00ED044C" w:rsidRDefault="00EC3D3F" w:rsidP="0041770A">
      <w:pPr>
        <w:spacing w:after="0" w:line="240" w:lineRule="auto"/>
        <w:rPr>
          <w:rFonts w:ascii="Times New Roman" w:hAnsi="Times New Roman"/>
          <w:lang w:val="pt-BR"/>
        </w:rPr>
      </w:pPr>
    </w:p>
    <w:p w14:paraId="0DF7B827" w14:textId="77777777" w:rsidR="00EC3D3F" w:rsidRPr="00ED044C" w:rsidRDefault="00EC3D3F" w:rsidP="00B01281">
      <w:pPr>
        <w:tabs>
          <w:tab w:val="left" w:pos="7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ED044C">
        <w:rPr>
          <w:rFonts w:ascii="Times New Roman" w:hAnsi="Times New Roman"/>
          <w:b/>
          <w:bCs/>
          <w:lang w:val="pt-BR"/>
        </w:rPr>
        <w:t>4.9</w:t>
      </w:r>
      <w:r w:rsidRPr="00ED044C">
        <w:rPr>
          <w:rFonts w:ascii="Times New Roman" w:hAnsi="Times New Roman"/>
          <w:b/>
          <w:bCs/>
          <w:lang w:val="pt-BR"/>
        </w:rPr>
        <w:tab/>
        <w:t>Predávkovanie</w:t>
      </w:r>
    </w:p>
    <w:p w14:paraId="73606211" w14:textId="77777777" w:rsidR="00EC3D3F" w:rsidRPr="00ED044C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39F2554" w14:textId="77777777" w:rsidR="00EC3D3F" w:rsidRPr="005E6F89" w:rsidRDefault="00EC3D3F" w:rsidP="00B01281">
      <w:pPr>
        <w:spacing w:after="0" w:line="240" w:lineRule="auto"/>
        <w:ind w:right="1533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Z klinických štúdií a post-marketingového sledovania sú dostupné len obmedzené skúsenosti s predávkovaním.</w:t>
      </w:r>
    </w:p>
    <w:p w14:paraId="1B67EACC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7CA7616F" w14:textId="17ED4C7D" w:rsidR="00025973" w:rsidRPr="00B31F4F" w:rsidRDefault="00EC3D3F" w:rsidP="00B01281">
      <w:pPr>
        <w:spacing w:after="0" w:line="240" w:lineRule="auto"/>
        <w:ind w:right="49"/>
        <w:rPr>
          <w:rFonts w:ascii="Times New Roman" w:hAnsi="Times New Roman"/>
          <w:u w:val="single"/>
          <w:lang w:val="pt-BR"/>
        </w:rPr>
      </w:pPr>
      <w:r w:rsidRPr="00B31F4F">
        <w:rPr>
          <w:rFonts w:ascii="Times New Roman" w:hAnsi="Times New Roman"/>
          <w:u w:val="single"/>
          <w:lang w:val="pt-BR"/>
        </w:rPr>
        <w:t>Symptómy</w:t>
      </w:r>
    </w:p>
    <w:p w14:paraId="3C51CA8C" w14:textId="059C1288" w:rsidR="00EC3D3F" w:rsidRPr="00ED044C" w:rsidRDefault="00EC3D3F" w:rsidP="00B01281">
      <w:pPr>
        <w:spacing w:after="0" w:line="240" w:lineRule="auto"/>
        <w:ind w:right="49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 xml:space="preserve">Pomerne široký interval predávkovania (od 200 mg do 105 mg/deň počas 3 dní, jednotlivo) je spojený buď s príznakmi ako sú únava, slabosť a/alebo hnačka, alebo </w:t>
      </w:r>
      <w:r w:rsidRPr="00ED044C">
        <w:rPr>
          <w:rFonts w:ascii="Times New Roman" w:hAnsi="Times New Roman"/>
          <w:lang w:val="pt-BR"/>
        </w:rPr>
        <w:t xml:space="preserve">so žiadnymi príznakmi. V prípadoch predávkovania nižšími dávkami ako 140 mg dávkou alebo neznámou dávkou sa u pacienta prejavili príznaky ovplyvnenia centrálneho nervového systému (zmätenosť, ospanlivosť, somnolencia, závrat, </w:t>
      </w:r>
      <w:r w:rsidR="005E6F89" w:rsidRPr="00ED044C">
        <w:rPr>
          <w:rFonts w:ascii="Times New Roman" w:hAnsi="Times New Roman"/>
          <w:lang w:val="pt-BR"/>
        </w:rPr>
        <w:t>agitácia</w:t>
      </w:r>
      <w:r w:rsidRPr="00ED044C">
        <w:rPr>
          <w:rFonts w:ascii="Times New Roman" w:hAnsi="Times New Roman"/>
          <w:lang w:val="pt-BR"/>
        </w:rPr>
        <w:t>, agresivita, halucinácie a poruchy chôdze) a/alebo ťažkosti gastrointestinálneho pôvodu (vracanie a hnačka).</w:t>
      </w:r>
    </w:p>
    <w:p w14:paraId="28D4340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FDBC75A" w14:textId="4F7FAAF2" w:rsidR="00EC3D3F" w:rsidRPr="005E6F89" w:rsidRDefault="00EC3D3F" w:rsidP="00335CF7">
      <w:pPr>
        <w:spacing w:after="0" w:line="240" w:lineRule="auto"/>
        <w:ind w:right="166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Vo veľmi extrémnom prípade predávkovania, pacient prežil perorálne užitú dávku v celkovom množstve 2000 mg memantínu s účinkami na centrálny nervový systém (kóma počas 10 dní a neskôr diplopia a nepokoj). Pacientovi bola podaná symptomatická liečba a plazmaferéza. Pacient sa zotavil bez trvalých následkov.</w:t>
      </w:r>
    </w:p>
    <w:p w14:paraId="5D7BC25A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FDBDDDE" w14:textId="6FCDE0F3" w:rsidR="00EC3D3F" w:rsidRPr="005E6F89" w:rsidRDefault="00EC3D3F" w:rsidP="00B01281">
      <w:pPr>
        <w:spacing w:after="0" w:line="240" w:lineRule="auto"/>
        <w:ind w:right="83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 xml:space="preserve">V inom prípade značného predávkovania pacient taktiež prežil a zotavil sa. Pacient perorálne užil 400 mg memantínu. U pacienta sa prejavili príznaky centrálneho nervového systému, ako je nepokoj, psychóza, zrakové halucinácie, </w:t>
      </w:r>
      <w:r w:rsidR="005E6F89" w:rsidRPr="005E6F89">
        <w:rPr>
          <w:rFonts w:ascii="Times New Roman" w:hAnsi="Times New Roman"/>
          <w:lang w:val="pt-BR"/>
        </w:rPr>
        <w:t>prokonvulzívne pôsobenie</w:t>
      </w:r>
      <w:r w:rsidRPr="005E6F89">
        <w:rPr>
          <w:rFonts w:ascii="Times New Roman" w:hAnsi="Times New Roman"/>
          <w:lang w:val="pt-BR"/>
        </w:rPr>
        <w:t>, ospalosť, stupor a bezvedomie.</w:t>
      </w:r>
    </w:p>
    <w:p w14:paraId="60DB926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28D0DFA" w14:textId="483BBEB7" w:rsidR="00025973" w:rsidRPr="00B31F4F" w:rsidRDefault="00EC3D3F" w:rsidP="00B01281">
      <w:pPr>
        <w:spacing w:after="0" w:line="240" w:lineRule="auto"/>
        <w:ind w:right="232"/>
        <w:rPr>
          <w:rFonts w:ascii="Times New Roman" w:hAnsi="Times New Roman"/>
          <w:u w:val="single"/>
          <w:lang w:val="pt-BR"/>
        </w:rPr>
      </w:pPr>
      <w:r w:rsidRPr="00B31F4F">
        <w:rPr>
          <w:rFonts w:ascii="Times New Roman" w:hAnsi="Times New Roman"/>
          <w:u w:val="single"/>
          <w:lang w:val="pt-BR"/>
        </w:rPr>
        <w:t>Liečba</w:t>
      </w:r>
    </w:p>
    <w:p w14:paraId="585E1A5E" w14:textId="77777777" w:rsidR="00EC3D3F" w:rsidRPr="00ED044C" w:rsidRDefault="00EC3D3F" w:rsidP="00B01281">
      <w:pPr>
        <w:spacing w:after="0" w:line="240" w:lineRule="auto"/>
        <w:ind w:right="232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V prípade predávkovania má byť liečba symptomatická. Nie je dostupné žiadne špecifické antidotum pri intoxikácii alebo pri predávkovaní. Štandardné klinické postupy na odstránenie liečiva z tela, napr. výplach žalúdka, čierne uhlie (prerušenie možného entero- hepatálneho obehu), acidifikácia moču; nútená diuréza má byť pou</w:t>
      </w:r>
      <w:r w:rsidRPr="00ED044C">
        <w:rPr>
          <w:rFonts w:ascii="Times New Roman" w:hAnsi="Times New Roman"/>
          <w:lang w:val="pt-BR"/>
        </w:rPr>
        <w:t>žívaná primerane .</w:t>
      </w:r>
    </w:p>
    <w:p w14:paraId="2D266D3A" w14:textId="77777777" w:rsidR="00EC3D3F" w:rsidRPr="00ED044C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3639252F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ED044C">
        <w:rPr>
          <w:rFonts w:ascii="Times New Roman" w:hAnsi="Times New Roman"/>
          <w:lang w:val="pt-BR"/>
        </w:rPr>
        <w:t>V prípade náznakov a symptómov nadmernej celkovej stimulácie centrálneho nervového systému (CNS), sa má starostlivo zvážiť symptomatická klinická liečba.</w:t>
      </w:r>
    </w:p>
    <w:p w14:paraId="4954511E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2B8CBF5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6754A99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b/>
          <w:bCs/>
          <w:lang w:val="pt-BR"/>
        </w:rPr>
        <w:t>5.</w:t>
      </w:r>
      <w:r w:rsidRPr="005E6F89">
        <w:rPr>
          <w:rFonts w:ascii="Times New Roman" w:hAnsi="Times New Roman"/>
          <w:b/>
          <w:bCs/>
          <w:lang w:val="pt-BR"/>
        </w:rPr>
        <w:tab/>
        <w:t>FARMAKOLOGICKÉ VLASTNOSTI</w:t>
      </w:r>
    </w:p>
    <w:p w14:paraId="1CBBAC32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6C9C11E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b/>
          <w:bCs/>
          <w:lang w:val="pt-BR"/>
        </w:rPr>
        <w:t>5.1</w:t>
      </w:r>
      <w:r w:rsidRPr="005E6F89">
        <w:rPr>
          <w:rFonts w:ascii="Times New Roman" w:hAnsi="Times New Roman"/>
          <w:b/>
          <w:bCs/>
          <w:lang w:val="pt-BR"/>
        </w:rPr>
        <w:tab/>
        <w:t>Farmakodynamické vlastnosti</w:t>
      </w:r>
    </w:p>
    <w:p w14:paraId="65029CA0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303F8237" w14:textId="08DF255C" w:rsidR="005E6F89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Farmakoterapeutická skupina: Psychoanaleptiká; Iné lieky proti demencii</w:t>
      </w:r>
    </w:p>
    <w:p w14:paraId="0F733487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ATC kód: N06DX01.</w:t>
      </w:r>
    </w:p>
    <w:p w14:paraId="51B2C987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2EA1982" w14:textId="77777777" w:rsidR="00EC3D3F" w:rsidRPr="005E6F89" w:rsidRDefault="00EC3D3F" w:rsidP="00B01281">
      <w:pPr>
        <w:spacing w:after="0" w:line="240" w:lineRule="auto"/>
        <w:ind w:right="177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Vzrastá množstvo dôkazov o tom, že porušená funkcia glutamátergickej neurotransmisie, najmä na NMDA-receptoroch, sa podieľa na vzniku príznakov aj na progresii ochorenia u neurodegeneratívnej demencie.</w:t>
      </w:r>
    </w:p>
    <w:p w14:paraId="79E1656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6FCA7DD" w14:textId="77777777" w:rsidR="00EC3D3F" w:rsidRPr="005E6F89" w:rsidRDefault="00EC3D3F" w:rsidP="00B01281">
      <w:pPr>
        <w:spacing w:after="0" w:line="240" w:lineRule="auto"/>
        <w:ind w:right="56"/>
        <w:rPr>
          <w:rFonts w:ascii="Times New Roman" w:hAnsi="Times New Roman"/>
          <w:lang w:val="pt-BR"/>
        </w:rPr>
      </w:pPr>
      <w:r w:rsidRPr="005E6F89">
        <w:rPr>
          <w:rFonts w:ascii="Times New Roman" w:hAnsi="Times New Roman"/>
          <w:lang w:val="pt-BR"/>
        </w:rPr>
        <w:t>Memantín je na napätí závislý, nekompetitívny antagonista NMDA receptorov strednej afinity. Zmierňuje účinky patologicky zvýšených tonických hladín glutamátu, ktoré môžu viesť k neuronálnej dysfunkcii.</w:t>
      </w:r>
    </w:p>
    <w:p w14:paraId="35C0BC00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AB494B4" w14:textId="3270A597" w:rsidR="00EC3D3F" w:rsidRPr="005E6F89" w:rsidRDefault="00EC3D3F" w:rsidP="00B31F4F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B31F4F">
        <w:rPr>
          <w:rFonts w:ascii="Times New Roman" w:hAnsi="Times New Roman"/>
          <w:u w:val="single"/>
          <w:lang w:val="pt-BR"/>
        </w:rPr>
        <w:t>Klinické štúdie</w:t>
      </w:r>
      <w:r w:rsidR="00025973" w:rsidRPr="00B31F4F" w:rsidDel="00025973">
        <w:rPr>
          <w:rFonts w:ascii="Times New Roman" w:hAnsi="Times New Roman"/>
          <w:u w:val="single"/>
          <w:lang w:val="pt-BR"/>
        </w:rPr>
        <w:t xml:space="preserve"> </w:t>
      </w:r>
      <w:r w:rsidRPr="005E6F89">
        <w:rPr>
          <w:rFonts w:ascii="Times New Roman" w:hAnsi="Times New Roman"/>
          <w:lang w:val="pt-BR"/>
        </w:rPr>
        <w:t xml:space="preserve">Pivotná monoterapeutická štúdia v populácii pacientov trpiacich Alzheimerovou chorobou stredného až ťažkého stupňa (celkové skóre MMSE (skóre mini mental state examination) na začiatku liečby 3 – 14) zahŕňala 252 ambulantne liečených pacientov. </w:t>
      </w:r>
      <w:r w:rsidRPr="00ED044C">
        <w:rPr>
          <w:rFonts w:ascii="Times New Roman" w:hAnsi="Times New Roman"/>
          <w:lang w:val="sk-SK"/>
        </w:rPr>
        <w:t xml:space="preserve">Štúdia preukázala priaznivý účinok liečby memantínom v porovnaní s placebom po 6-tich mesiacoch (analýza pozorovaných </w:t>
      </w:r>
      <w:r w:rsidRPr="00ED044C">
        <w:rPr>
          <w:rFonts w:ascii="Times New Roman" w:hAnsi="Times New Roman"/>
          <w:lang w:val="sk-SK"/>
        </w:rPr>
        <w:lastRenderedPageBreak/>
        <w:t>prípadov - významnosť rozdielov pre CIBIC-plus (the clinician`s interview based impression of change): p=0,025; pre ADCS-ADLsev (Alzheimer`s disease cooperative study - activities of daily living): p=0,003; pre SIB (severe impairment battery): p=0,002).</w:t>
      </w:r>
    </w:p>
    <w:p w14:paraId="1CB96E8C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0D2AA55" w14:textId="77777777" w:rsidR="00EC3D3F" w:rsidRPr="005E6F89" w:rsidRDefault="00EC3D3F" w:rsidP="00DD383F">
      <w:pPr>
        <w:spacing w:after="0" w:line="240" w:lineRule="auto"/>
        <w:ind w:right="95" w:firstLine="1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Pivotná štúdia s memantínom v monoterapii v liečbe Alzheimerovej choroby mierneho až stredného stupňa (celkové skóre MMSE na začiatku liečby 10 – 22) zahŕňala 403 pacientov. U pacientov liečených memantínom bol pozorovaný štatisticky signifikantne lepší účinok v porovnaní s pacientmi, ktorým bolo podávané placebo, v primárnych ukazovateľoch v 24. týždni prevodom hodnôt z posledného dokumentovaného vyšetrenia (analýza LOCF): Alzheimer`s disease assessment scale ADAS-cog (p=0,003) a CIBIC-plus (p=0,004). V ďalšej monoterapeutickej štúdii v liečbe Alzheimerovej choroby mierneho až stredného stupňa bolo randomizovaných celkovo 470 pacientov (celkové skóre MMSE na začiatku liečby 11-23). V prospektívne definovanej primárnej analýze nebola dosiahnutá štatistická významnosť v primárnom ukazovateli účinnosti v 24. týždni.</w:t>
      </w:r>
    </w:p>
    <w:p w14:paraId="7CDD3E9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EB629A6" w14:textId="77777777" w:rsidR="00EC3D3F" w:rsidRPr="005E6F89" w:rsidRDefault="00EC3D3F" w:rsidP="00DD383F">
      <w:pPr>
        <w:spacing w:after="0" w:line="240" w:lineRule="auto"/>
        <w:ind w:right="572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Meta-analýza pacientov s Alzheimerovou chorobou stredného až ťažkého stupňa (celkové skóre MMSE &lt; 20) zo šiestich, placebom kontrolovaných, 6-mesačných klinických štúdií vo fáze III. (vrátane monoterapeutických štúdií a štúdií s pacientmi na ustálenej dávke inihibítorov acetylchol</w:t>
      </w:r>
      <w:r w:rsidR="009E1E17" w:rsidRPr="005E6F89">
        <w:rPr>
          <w:rFonts w:ascii="Times New Roman" w:hAnsi="Times New Roman"/>
          <w:lang w:val="sk-SK"/>
        </w:rPr>
        <w:t>í</w:t>
      </w:r>
      <w:r w:rsidRPr="005E6F89">
        <w:rPr>
          <w:rFonts w:ascii="Times New Roman" w:hAnsi="Times New Roman"/>
          <w:lang w:val="sk-SK"/>
        </w:rPr>
        <w:t>nesterázy) preukázala štatisticky signifikantný účinok v prospech liečby memantínom v kognitívnej, globálnej a funkčnej oblasti. Pri identifikovaní pacientov so súčasným zhoršením vo všetkých troch oblastiach výsledky ukázali štatisticky signifikantný účinok memantínu v prevencii zhoršenia. Až u dvojnásobného počtu pacientov na placebe v porovnaní s pacientmi na memantíne sa preukázalo zhoršenie vo všetkých troch oblastiach (21% voči 11%, p&lt;0,0001).</w:t>
      </w:r>
    </w:p>
    <w:p w14:paraId="3D68B19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471404C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b/>
          <w:bCs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5.2</w:t>
      </w:r>
      <w:r w:rsidRPr="005E6F89">
        <w:rPr>
          <w:rFonts w:ascii="Times New Roman" w:hAnsi="Times New Roman"/>
          <w:b/>
          <w:bCs/>
          <w:lang w:val="sk-SK"/>
        </w:rPr>
        <w:tab/>
        <w:t>Farmakokinetické vlastnosti</w:t>
      </w:r>
    </w:p>
    <w:p w14:paraId="37BC9307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58615147" w14:textId="268D634E" w:rsidR="00EC3D3F" w:rsidRPr="005E6F89" w:rsidRDefault="00EC3D3F" w:rsidP="00B01281">
      <w:pPr>
        <w:spacing w:after="0" w:line="240" w:lineRule="auto"/>
        <w:ind w:right="142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 xml:space="preserve">Absorpcia </w:t>
      </w:r>
    </w:p>
    <w:p w14:paraId="2877F38D" w14:textId="77777777" w:rsidR="00EC3D3F" w:rsidRPr="005E6F89" w:rsidRDefault="00EC3D3F" w:rsidP="00B01281">
      <w:pPr>
        <w:spacing w:after="0" w:line="240" w:lineRule="auto"/>
        <w:ind w:right="142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Memantín má absolútnu biodostupnosť približne 100%. T</w:t>
      </w:r>
      <w:r w:rsidRPr="005E6F89">
        <w:rPr>
          <w:rFonts w:ascii="Times New Roman" w:hAnsi="Times New Roman"/>
          <w:position w:val="-3"/>
          <w:vertAlign w:val="subscript"/>
          <w:lang w:val="sk-SK"/>
        </w:rPr>
        <w:t>max</w:t>
      </w:r>
      <w:r w:rsidRPr="005E6F89">
        <w:rPr>
          <w:rFonts w:ascii="Times New Roman" w:hAnsi="Times New Roman"/>
          <w:position w:val="-3"/>
          <w:lang w:val="sk-SK"/>
        </w:rPr>
        <w:t xml:space="preserve"> </w:t>
      </w:r>
      <w:r w:rsidRPr="005E6F89">
        <w:rPr>
          <w:rFonts w:ascii="Times New Roman" w:hAnsi="Times New Roman"/>
          <w:lang w:val="sk-SK"/>
        </w:rPr>
        <w:t>je medzi 3 a 8 hodín. Nie sú dôkazy o tom, že by potrava ovplyvňovala absorpciu memantínu.</w:t>
      </w:r>
    </w:p>
    <w:p w14:paraId="1CC72B2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FCE990F" w14:textId="19276BD3" w:rsidR="00EC3D3F" w:rsidRPr="005E6F89" w:rsidRDefault="00EC3D3F" w:rsidP="00B01281">
      <w:pPr>
        <w:spacing w:after="0" w:line="240" w:lineRule="auto"/>
        <w:ind w:right="529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>Distribúcia</w:t>
      </w:r>
    </w:p>
    <w:p w14:paraId="53D2A8E4" w14:textId="77777777" w:rsidR="00EC3D3F" w:rsidRPr="005E6F89" w:rsidRDefault="00EC3D3F" w:rsidP="00B01281">
      <w:pPr>
        <w:spacing w:after="0" w:line="240" w:lineRule="auto"/>
        <w:ind w:right="529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Denné dávky 20 mg vedú k rovnovážnym plazmatickým koncentráciám memantínu v rozmedzí od 70 do 150 ng/ml (0,5-1 µmol) s veľkými interindividuálnymi variáciami. Keď sa podávali denné dávky 5 až 30 mg, priemerný pomer cerebrospinálny likvor (CSF)/sérum bol vypočítaný na 0,52. Objem distribúcie je okolo 10 l/kg. Približne 45% memantínu sa viaže na plazmatické proteíny.</w:t>
      </w:r>
    </w:p>
    <w:p w14:paraId="53A627DE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8543ED9" w14:textId="186031E1" w:rsidR="00EC3D3F" w:rsidRPr="005E6F89" w:rsidRDefault="00EC3D3F" w:rsidP="00DD383F">
      <w:pPr>
        <w:spacing w:after="0" w:line="240" w:lineRule="auto"/>
        <w:ind w:right="252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 xml:space="preserve">Biotransformácia </w:t>
      </w:r>
    </w:p>
    <w:p w14:paraId="42FBE472" w14:textId="18FF9FB1" w:rsidR="00EC3D3F" w:rsidRPr="005E6F89" w:rsidRDefault="00EC3D3F" w:rsidP="00DD383F">
      <w:pPr>
        <w:spacing w:after="0" w:line="240" w:lineRule="auto"/>
        <w:ind w:right="252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U ľudí je asi 80% cirkulujúceho memantínového materiálu prítomného v podobe materskej látky. Hlavnými metabolitmi u ľudí sú N-3,5-dimetyl-gludantán, izomerická zmes 4- a 6-hydroxy-memantínu a 1-nitrózo-3,5-dimetyl-adamantán. Žiaden z týchto metabolitov nevykazuje NMDA-antagonistickú aktivitu. </w:t>
      </w:r>
      <w:r w:rsidRPr="005E6F89">
        <w:rPr>
          <w:rFonts w:ascii="Times New Roman" w:hAnsi="Times New Roman"/>
          <w:i/>
          <w:lang w:val="sk-SK"/>
        </w:rPr>
        <w:t xml:space="preserve">In vitro </w:t>
      </w:r>
      <w:r w:rsidRPr="005E6F89">
        <w:rPr>
          <w:rFonts w:ascii="Times New Roman" w:hAnsi="Times New Roman"/>
          <w:lang w:val="sk-SK"/>
        </w:rPr>
        <w:t>sa nezistil metabolizmus, katalyzovaný cytochrómo</w:t>
      </w:r>
      <w:r w:rsidR="005E6F89" w:rsidRPr="005E6F89">
        <w:rPr>
          <w:rFonts w:ascii="Times New Roman" w:hAnsi="Times New Roman"/>
          <w:lang w:val="sk-SK"/>
        </w:rPr>
        <w:t>m</w:t>
      </w:r>
      <w:r w:rsidRPr="005E6F89">
        <w:rPr>
          <w:rFonts w:ascii="Times New Roman" w:hAnsi="Times New Roman"/>
          <w:lang w:val="sk-SK"/>
        </w:rPr>
        <w:t xml:space="preserve"> P-450.</w:t>
      </w:r>
    </w:p>
    <w:p w14:paraId="5477CC8B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2EED640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V štúdii s použitím perorálne podávaného </w:t>
      </w:r>
      <w:r w:rsidRPr="005E6F89">
        <w:rPr>
          <w:rFonts w:ascii="Times New Roman" w:hAnsi="Times New Roman"/>
          <w:vertAlign w:val="subscript"/>
          <w:lang w:val="sk-SK"/>
        </w:rPr>
        <w:t>14</w:t>
      </w:r>
      <w:r w:rsidRPr="005E6F89">
        <w:rPr>
          <w:rFonts w:ascii="Times New Roman" w:hAnsi="Times New Roman"/>
          <w:lang w:val="sk-SK"/>
        </w:rPr>
        <w:t>C-memantínu vymizlo priemerne 84% dávky v priebehu 20 dní, pričom viac ako 99% sa vylúčilo obličkami.</w:t>
      </w:r>
    </w:p>
    <w:p w14:paraId="6F9E2259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098AD04" w14:textId="219E1B46" w:rsidR="00EC3D3F" w:rsidRPr="005E6F89" w:rsidRDefault="00EC3D3F" w:rsidP="00B01281">
      <w:pPr>
        <w:spacing w:after="0" w:line="240" w:lineRule="auto"/>
        <w:ind w:right="206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>Eliminácia</w:t>
      </w:r>
    </w:p>
    <w:p w14:paraId="1C322F86" w14:textId="77777777" w:rsidR="00EC3D3F" w:rsidRPr="005E6F89" w:rsidRDefault="00EC3D3F" w:rsidP="00B01281">
      <w:pPr>
        <w:spacing w:after="0" w:line="240" w:lineRule="auto"/>
        <w:ind w:right="206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Memantín sa vylučuje monoexponenciálnym spôsobom s konečným t</w:t>
      </w:r>
      <w:r w:rsidRPr="005E6F89">
        <w:rPr>
          <w:rFonts w:ascii="Times New Roman" w:hAnsi="Times New Roman"/>
          <w:position w:val="-3"/>
          <w:lang w:val="sk-SK"/>
        </w:rPr>
        <w:t xml:space="preserve">½ </w:t>
      </w:r>
      <w:r w:rsidRPr="005E6F89">
        <w:rPr>
          <w:rFonts w:ascii="Times New Roman" w:hAnsi="Times New Roman"/>
          <w:lang w:val="sk-SK"/>
        </w:rPr>
        <w:t>od 60 do 100 hodín. U dobrovoľníkov s normálnou funkciou obličiek dosahuje celkový klírens (Cl</w:t>
      </w:r>
      <w:r w:rsidRPr="005E6F89">
        <w:rPr>
          <w:rFonts w:ascii="Times New Roman" w:hAnsi="Times New Roman"/>
          <w:vertAlign w:val="subscript"/>
          <w:lang w:val="sk-SK"/>
        </w:rPr>
        <w:t>tot</w:t>
      </w:r>
      <w:r w:rsidRPr="005E6F89">
        <w:rPr>
          <w:rFonts w:ascii="Times New Roman" w:hAnsi="Times New Roman"/>
          <w:lang w:val="sk-SK"/>
        </w:rPr>
        <w:t>) množstvo do 170 ml/min/1,73 m²</w:t>
      </w:r>
      <w:r w:rsidRPr="005E6F89">
        <w:rPr>
          <w:rFonts w:ascii="Times New Roman" w:hAnsi="Times New Roman"/>
          <w:position w:val="10"/>
          <w:lang w:val="sk-SK"/>
        </w:rPr>
        <w:t xml:space="preserve"> </w:t>
      </w:r>
      <w:r w:rsidRPr="005E6F89">
        <w:rPr>
          <w:rFonts w:ascii="Times New Roman" w:hAnsi="Times New Roman"/>
          <w:lang w:val="sk-SK"/>
        </w:rPr>
        <w:t>a časť celkového obličkového klírensu sa dosahuje tubulárnou sekréciou.</w:t>
      </w:r>
    </w:p>
    <w:p w14:paraId="4C55DC9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4FBFCC0" w14:textId="77777777" w:rsidR="00EC3D3F" w:rsidRPr="005E6F89" w:rsidRDefault="00EC3D3F" w:rsidP="00B01281">
      <w:pPr>
        <w:spacing w:after="0" w:line="240" w:lineRule="auto"/>
        <w:ind w:right="147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Obličkový transport zahŕňa tiež tubulárnu reabsorpciu, pravdepodobne sprostredkovanú katiónovými transportnými proteínmi. Rýchlosť obličkovej eliminácie memantínu môže byť za alkalických podmienok moču znížená, faktor zníženia sa pohybuje od 7 do 9 (pozri časť 4.4). Alkalizácia moču môže byť výsledkom drastických zmien diéty, napr. z mäsitej na vegetariánsku, alebo masívneho príjmu alkalizujúcich žalúdočných pufrov.</w:t>
      </w:r>
    </w:p>
    <w:p w14:paraId="221C033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7B3B73C" w14:textId="49891B54" w:rsidR="00EC3D3F" w:rsidRPr="005E6F89" w:rsidRDefault="00EC3D3F" w:rsidP="00B01281">
      <w:pPr>
        <w:spacing w:after="0" w:line="240" w:lineRule="auto"/>
        <w:ind w:right="112"/>
        <w:rPr>
          <w:rFonts w:ascii="Times New Roman" w:hAnsi="Times New Roman"/>
          <w:u w:val="single"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lastRenderedPageBreak/>
        <w:t>Linearita</w:t>
      </w:r>
    </w:p>
    <w:p w14:paraId="34894E5E" w14:textId="77777777" w:rsidR="00EC3D3F" w:rsidRPr="005E6F89" w:rsidRDefault="00EC3D3F" w:rsidP="00B01281">
      <w:pPr>
        <w:spacing w:after="0" w:line="240" w:lineRule="auto"/>
        <w:ind w:right="112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Štúdie na dobrovoľníkoch demonštrovali lineárnu farmakokinetiku v dávkovom rozpätí 10 až 40 mg.</w:t>
      </w:r>
    </w:p>
    <w:p w14:paraId="1290304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0983216" w14:textId="2BEA499F" w:rsidR="00EC3D3F" w:rsidRPr="005E6F89" w:rsidRDefault="00EC3D3F" w:rsidP="00B01281">
      <w:pPr>
        <w:spacing w:after="0" w:line="240" w:lineRule="auto"/>
        <w:ind w:right="288"/>
        <w:rPr>
          <w:rFonts w:ascii="Times New Roman" w:hAnsi="Times New Roman"/>
          <w:i/>
          <w:lang w:val="sk-SK"/>
        </w:rPr>
      </w:pPr>
      <w:r w:rsidRPr="005E6F89">
        <w:rPr>
          <w:rFonts w:ascii="Times New Roman" w:hAnsi="Times New Roman"/>
          <w:u w:val="single"/>
          <w:lang w:val="sk-SK"/>
        </w:rPr>
        <w:t>Farmakokinetický/farmakodynamický vzťah</w:t>
      </w:r>
    </w:p>
    <w:p w14:paraId="29C6553A" w14:textId="77777777" w:rsidR="00EC3D3F" w:rsidRPr="005E6F89" w:rsidRDefault="00EC3D3F" w:rsidP="00B01281">
      <w:pPr>
        <w:spacing w:after="0" w:line="240" w:lineRule="auto"/>
        <w:ind w:right="288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Pri dávke memantínu 20 mg denne zodpovedajú hladiny memantínu v CSF hodnote k</w:t>
      </w:r>
      <w:r w:rsidRPr="005E6F89">
        <w:rPr>
          <w:rFonts w:ascii="Times New Roman" w:hAnsi="Times New Roman"/>
          <w:position w:val="-3"/>
          <w:lang w:val="sk-SK"/>
        </w:rPr>
        <w:t xml:space="preserve">i </w:t>
      </w:r>
      <w:r w:rsidRPr="005E6F89">
        <w:rPr>
          <w:rFonts w:ascii="Times New Roman" w:hAnsi="Times New Roman"/>
          <w:lang w:val="sk-SK"/>
        </w:rPr>
        <w:t>(k</w:t>
      </w:r>
      <w:r w:rsidRPr="005E6F89">
        <w:rPr>
          <w:rFonts w:ascii="Times New Roman" w:hAnsi="Times New Roman"/>
          <w:position w:val="-3"/>
          <w:lang w:val="sk-SK"/>
        </w:rPr>
        <w:t>i</w:t>
      </w:r>
      <w:r w:rsidRPr="005E6F89">
        <w:rPr>
          <w:rFonts w:ascii="Times New Roman" w:hAnsi="Times New Roman"/>
          <w:lang w:val="sk-SK"/>
        </w:rPr>
        <w:t>=inhibičná konštanta) memantínu, ktorá je 0,5 µmol v ľudskom frontálnom kortexe.</w:t>
      </w:r>
    </w:p>
    <w:p w14:paraId="38C066BD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832443D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5.3</w:t>
      </w:r>
      <w:r w:rsidRPr="005E6F89">
        <w:rPr>
          <w:rFonts w:ascii="Times New Roman" w:hAnsi="Times New Roman"/>
          <w:b/>
          <w:bCs/>
          <w:lang w:val="sk-SK"/>
        </w:rPr>
        <w:tab/>
        <w:t>Predklinické údaje o bezpečnosti</w:t>
      </w:r>
    </w:p>
    <w:p w14:paraId="4B70C15C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FB6C129" w14:textId="511A2558" w:rsidR="00EC3D3F" w:rsidRPr="00ED044C" w:rsidRDefault="00EC3D3F" w:rsidP="00B01281">
      <w:pPr>
        <w:spacing w:after="0" w:line="240" w:lineRule="auto"/>
        <w:ind w:right="5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V krátkodobých štúdiách u potkanov indukoval memantín, podobne ako iné NMDA-antagonisty, neuronálnu vakuolizáciu a nekrózu (Olneyho lézie) len po dávkach, vedúcich k veľmi vysokým sérovým koncentráciám. Ataxia a iné predklinické pr</w:t>
      </w:r>
      <w:r w:rsidR="005E6F89" w:rsidRPr="005E6F89">
        <w:rPr>
          <w:rFonts w:ascii="Times New Roman" w:hAnsi="Times New Roman"/>
          <w:lang w:val="sk-SK"/>
        </w:rPr>
        <w:t>ejavy</w:t>
      </w:r>
      <w:r w:rsidRPr="005E6F89">
        <w:rPr>
          <w:rFonts w:ascii="Times New Roman" w:hAnsi="Times New Roman"/>
          <w:lang w:val="sk-SK"/>
        </w:rPr>
        <w:t xml:space="preserve"> predchádzali vakuolizácii a nekróze. Keďže takéto účinky neboli pozorované v dlhodobých štúdiách u hlodavcov ani u nehlodavcov, klinický význam týchto zistení nie je jasný.</w:t>
      </w:r>
    </w:p>
    <w:p w14:paraId="611D1A75" w14:textId="77777777" w:rsidR="00EC3D3F" w:rsidRPr="00ED044C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48CEF2B" w14:textId="73177C27" w:rsidR="00EC3D3F" w:rsidRPr="005E6F89" w:rsidRDefault="00EC3D3F" w:rsidP="00B01281">
      <w:pPr>
        <w:spacing w:after="0" w:line="240" w:lineRule="auto"/>
        <w:ind w:right="55"/>
        <w:jc w:val="both"/>
        <w:rPr>
          <w:rFonts w:ascii="Times New Roman" w:hAnsi="Times New Roman"/>
          <w:lang w:val="sk-SK"/>
        </w:rPr>
      </w:pPr>
      <w:r w:rsidRPr="00ED044C">
        <w:rPr>
          <w:rFonts w:ascii="Times New Roman" w:hAnsi="Times New Roman"/>
          <w:lang w:val="sk-SK"/>
        </w:rPr>
        <w:t>V štúdiách toxicity po opakovan</w:t>
      </w:r>
      <w:r w:rsidR="005E6F89" w:rsidRPr="005E6F89">
        <w:rPr>
          <w:rFonts w:ascii="Times New Roman" w:hAnsi="Times New Roman"/>
          <w:lang w:val="sk-SK"/>
        </w:rPr>
        <w:t>om podávaní</w:t>
      </w:r>
      <w:r w:rsidRPr="005E6F89">
        <w:rPr>
          <w:rFonts w:ascii="Times New Roman" w:hAnsi="Times New Roman"/>
          <w:lang w:val="sk-SK"/>
        </w:rPr>
        <w:t xml:space="preserve"> u hlodavcov a psov, ale nie u opíc, sa premenlivo pozorovali očné zmeny. Špecifické oftalmoskopické vyšetrenia v klinických štúdiách s memantínom však žiadne takéto zmeny neodhalili.</w:t>
      </w:r>
    </w:p>
    <w:p w14:paraId="1DC01758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D4C52D3" w14:textId="6702E68B" w:rsidR="00EC3D3F" w:rsidRPr="005E6F89" w:rsidRDefault="00EC3D3F" w:rsidP="00B01281">
      <w:pPr>
        <w:spacing w:after="0" w:line="240" w:lineRule="auto"/>
        <w:ind w:right="188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U hlodavcov sa pozorovala fosfolipidóza v pľúcnych makrofágoch v dôsledku nahromadenia memantínu v lyzozómoch. Tento účinok je známy aj u iných účinných látok s kationovými amfifilickými vlastnosťami. </w:t>
      </w:r>
      <w:r w:rsidR="005E6F89" w:rsidRPr="005E6F89">
        <w:rPr>
          <w:rFonts w:ascii="Times New Roman" w:hAnsi="Times New Roman"/>
          <w:lang w:val="sk-SK"/>
        </w:rPr>
        <w:t>Existuje</w:t>
      </w:r>
      <w:r w:rsidRPr="005E6F89">
        <w:rPr>
          <w:rFonts w:ascii="Times New Roman" w:hAnsi="Times New Roman"/>
          <w:lang w:val="sk-SK"/>
        </w:rPr>
        <w:t xml:space="preserve"> možný vzťah medzi touto akumuláciou a vakuolizáciou pozorovanou v pľúcach. Tento účinok bol pozorovaný u hlodavcov len pri vysokých dávkach. Klinický význam týchto zistení je nejasný.</w:t>
      </w:r>
    </w:p>
    <w:p w14:paraId="241249E9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CAA40CA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Pri štandardných vyšetreniach sa po testovaní memantínu nezistila žiadna genotoxicita.</w:t>
      </w:r>
    </w:p>
    <w:p w14:paraId="5A847AB8" w14:textId="77777777" w:rsidR="00EC3D3F" w:rsidRPr="005E6F89" w:rsidRDefault="00EC3D3F" w:rsidP="00335CF7">
      <w:pPr>
        <w:spacing w:after="0" w:line="240" w:lineRule="auto"/>
        <w:ind w:right="458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V celoživotných štúdiách na myšiach a potkanoch sa nedokázala žiadna karcinogenita. Memantín nebol u potkanov a králikov teratogénny, dokonca ani pri dávkach toxických pre matku, a nezaznamenali sa žiadne nežiaduce účinky memantínu na fertilitu. U potkanov sa zistilo zníženie rastu plodu pri expozičných hladinách, ktoré boli identické alebo mierne vyššie ako expozičné hladiny u ľudí.</w:t>
      </w:r>
    </w:p>
    <w:p w14:paraId="2764D01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18EF33E" w14:textId="77777777" w:rsidR="00EC3D3F" w:rsidRPr="00B31F4F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4166DE9" w14:textId="77777777" w:rsidR="00EC3D3F" w:rsidRPr="00B31F4F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B31F4F">
        <w:rPr>
          <w:rFonts w:ascii="Times New Roman" w:hAnsi="Times New Roman"/>
          <w:b/>
          <w:bCs/>
          <w:lang w:val="sk-SK"/>
        </w:rPr>
        <w:t>6.</w:t>
      </w:r>
      <w:r w:rsidRPr="00B31F4F">
        <w:rPr>
          <w:rFonts w:ascii="Times New Roman" w:hAnsi="Times New Roman"/>
          <w:b/>
          <w:bCs/>
          <w:lang w:val="sk-SK"/>
        </w:rPr>
        <w:tab/>
        <w:t>FARMACEUTICKÉ INFORMÁCIE</w:t>
      </w:r>
    </w:p>
    <w:p w14:paraId="2B835C10" w14:textId="77777777" w:rsidR="00EC3D3F" w:rsidRPr="00B31F4F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96F922C" w14:textId="77777777" w:rsidR="00EC3D3F" w:rsidRPr="00B31F4F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B31F4F">
        <w:rPr>
          <w:rFonts w:ascii="Times New Roman" w:hAnsi="Times New Roman"/>
          <w:b/>
          <w:bCs/>
          <w:lang w:val="sk-SK"/>
        </w:rPr>
        <w:t>6.1</w:t>
      </w:r>
      <w:r w:rsidRPr="00B31F4F">
        <w:rPr>
          <w:rFonts w:ascii="Times New Roman" w:hAnsi="Times New Roman"/>
          <w:b/>
          <w:bCs/>
          <w:lang w:val="sk-SK"/>
        </w:rPr>
        <w:tab/>
        <w:t>Zoznam pomocných látok</w:t>
      </w:r>
    </w:p>
    <w:p w14:paraId="7847A34F" w14:textId="77777777" w:rsidR="00EC3D3F" w:rsidRPr="00B31F4F" w:rsidRDefault="00EC3D3F" w:rsidP="007C2CEC">
      <w:pPr>
        <w:spacing w:after="0" w:line="240" w:lineRule="auto"/>
        <w:rPr>
          <w:rFonts w:ascii="Times New Roman" w:hAnsi="Times New Roman"/>
          <w:lang w:val="sk-SK"/>
        </w:rPr>
      </w:pPr>
    </w:p>
    <w:p w14:paraId="6F50FB2B" w14:textId="75533E6E" w:rsidR="00EC3D3F" w:rsidRPr="00B31F4F" w:rsidRDefault="00EC3D3F" w:rsidP="007C2CEC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B31F4F">
        <w:rPr>
          <w:rFonts w:ascii="Times New Roman" w:hAnsi="Times New Roman"/>
          <w:u w:val="single"/>
          <w:lang w:val="sk-SK"/>
        </w:rPr>
        <w:t>Jadro tablety</w:t>
      </w:r>
    </w:p>
    <w:p w14:paraId="10C08900" w14:textId="2997FF7D" w:rsidR="00EC3D3F" w:rsidRPr="00854EBA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</w:t>
      </w:r>
      <w:r w:rsidR="00EC3D3F" w:rsidRPr="00854EBA">
        <w:rPr>
          <w:rFonts w:ascii="Times New Roman" w:hAnsi="Times New Roman"/>
          <w:lang w:val="sk-SK"/>
        </w:rPr>
        <w:t>ikrokryštalická celulóza</w:t>
      </w:r>
    </w:p>
    <w:p w14:paraId="45547986" w14:textId="65F5EA68" w:rsidR="00EC3D3F" w:rsidRPr="00854EBA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854EBA">
        <w:rPr>
          <w:rFonts w:ascii="Times New Roman" w:hAnsi="Times New Roman"/>
          <w:lang w:val="sk-SK"/>
        </w:rPr>
        <w:t>k</w:t>
      </w:r>
      <w:r w:rsidR="00EC3D3F" w:rsidRPr="00854EBA">
        <w:rPr>
          <w:rFonts w:ascii="Times New Roman" w:hAnsi="Times New Roman"/>
          <w:lang w:val="sk-SK"/>
        </w:rPr>
        <w:t>oloidný oxid kremičitý</w:t>
      </w:r>
      <w:r w:rsidR="00854EBA">
        <w:rPr>
          <w:rFonts w:ascii="Times New Roman" w:hAnsi="Times New Roman"/>
          <w:lang w:val="sk-SK"/>
        </w:rPr>
        <w:t>,</w:t>
      </w:r>
      <w:r w:rsidR="00854EBA" w:rsidRPr="00854EBA">
        <w:rPr>
          <w:rFonts w:ascii="Times New Roman" w:hAnsi="Times New Roman"/>
          <w:lang w:val="sk-SK"/>
        </w:rPr>
        <w:t xml:space="preserve"> </w:t>
      </w:r>
      <w:r w:rsidR="00854EBA" w:rsidRPr="00F07D19">
        <w:rPr>
          <w:rFonts w:ascii="Times New Roman" w:hAnsi="Times New Roman"/>
          <w:lang w:val="sk-SK"/>
        </w:rPr>
        <w:t>bezvodý</w:t>
      </w:r>
    </w:p>
    <w:p w14:paraId="54C6F02E" w14:textId="60E61A1E" w:rsidR="00EC3D3F" w:rsidRPr="00854EBA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854EBA">
        <w:rPr>
          <w:rFonts w:ascii="Times New Roman" w:hAnsi="Times New Roman"/>
          <w:lang w:val="sk-SK"/>
        </w:rPr>
        <w:t>s</w:t>
      </w:r>
      <w:r w:rsidR="00EC3D3F" w:rsidRPr="00854EBA">
        <w:rPr>
          <w:rFonts w:ascii="Times New Roman" w:hAnsi="Times New Roman"/>
          <w:lang w:val="sk-SK"/>
        </w:rPr>
        <w:t>odná soľ kroskarmelózy</w:t>
      </w:r>
    </w:p>
    <w:p w14:paraId="6EF90121" w14:textId="63F191D3" w:rsidR="00EC3D3F" w:rsidRPr="00ED044C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ED044C">
        <w:rPr>
          <w:rFonts w:ascii="Times New Roman" w:hAnsi="Times New Roman"/>
          <w:lang w:val="sk-SK"/>
        </w:rPr>
        <w:t>m</w:t>
      </w:r>
      <w:r w:rsidR="00EC3D3F" w:rsidRPr="00ED044C">
        <w:rPr>
          <w:rFonts w:ascii="Times New Roman" w:hAnsi="Times New Roman"/>
          <w:lang w:val="sk-SK"/>
        </w:rPr>
        <w:t>astenec</w:t>
      </w:r>
    </w:p>
    <w:p w14:paraId="61AD48D2" w14:textId="15F70B9E" w:rsidR="00EC3D3F" w:rsidRPr="005E6F89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stearan horečnatý</w:t>
      </w:r>
    </w:p>
    <w:p w14:paraId="4FCF879D" w14:textId="77777777" w:rsidR="00EC3D3F" w:rsidRPr="005E6F89" w:rsidRDefault="00EC3D3F" w:rsidP="007C2CEC">
      <w:pPr>
        <w:spacing w:after="0" w:line="240" w:lineRule="auto"/>
        <w:rPr>
          <w:rFonts w:ascii="Times New Roman" w:hAnsi="Times New Roman"/>
          <w:lang w:val="sk-SK"/>
        </w:rPr>
      </w:pPr>
    </w:p>
    <w:p w14:paraId="7A07421A" w14:textId="3BC160B1" w:rsidR="00EC3D3F" w:rsidRPr="00854EBA" w:rsidRDefault="00EC3D3F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B31F4F">
        <w:rPr>
          <w:rFonts w:ascii="Times New Roman" w:hAnsi="Times New Roman"/>
          <w:u w:val="single"/>
          <w:lang w:val="sk-SK"/>
        </w:rPr>
        <w:t>Obal tablety</w:t>
      </w:r>
      <w:r w:rsidR="00025973" w:rsidRPr="00B31F4F" w:rsidDel="00025973">
        <w:rPr>
          <w:rFonts w:ascii="Times New Roman" w:hAnsi="Times New Roman"/>
          <w:u w:val="single"/>
          <w:lang w:val="sk-SK"/>
        </w:rPr>
        <w:t xml:space="preserve"> </w:t>
      </w:r>
      <w:r w:rsidR="005E6F89" w:rsidRPr="005E6F89">
        <w:rPr>
          <w:rFonts w:ascii="Times New Roman" w:hAnsi="Times New Roman"/>
          <w:lang w:val="sk-SK"/>
        </w:rPr>
        <w:t>h</w:t>
      </w:r>
      <w:r w:rsidRPr="00854EBA">
        <w:rPr>
          <w:rFonts w:ascii="Times New Roman" w:hAnsi="Times New Roman"/>
          <w:lang w:val="sk-SK"/>
        </w:rPr>
        <w:t>ypromelóza</w:t>
      </w:r>
    </w:p>
    <w:p w14:paraId="037FCABF" w14:textId="2C3301DA" w:rsidR="00EC3D3F" w:rsidRPr="00ED044C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854EBA">
        <w:rPr>
          <w:rFonts w:ascii="Times New Roman" w:hAnsi="Times New Roman"/>
          <w:lang w:val="sk-SK"/>
        </w:rPr>
        <w:t>h</w:t>
      </w:r>
      <w:r w:rsidR="00EC3D3F" w:rsidRPr="00ED044C">
        <w:rPr>
          <w:rFonts w:ascii="Times New Roman" w:hAnsi="Times New Roman"/>
          <w:lang w:val="sk-SK"/>
        </w:rPr>
        <w:t>ydroxypropylcelulóza</w:t>
      </w:r>
    </w:p>
    <w:p w14:paraId="5891B90F" w14:textId="543006B2" w:rsidR="00EC3D3F" w:rsidRPr="00ED044C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ED044C">
        <w:rPr>
          <w:rFonts w:ascii="Times New Roman" w:hAnsi="Times New Roman"/>
          <w:lang w:val="sk-SK"/>
        </w:rPr>
        <w:t>m</w:t>
      </w:r>
      <w:r w:rsidR="00EC3D3F" w:rsidRPr="00ED044C">
        <w:rPr>
          <w:rFonts w:ascii="Times New Roman" w:hAnsi="Times New Roman"/>
          <w:lang w:val="sk-SK"/>
        </w:rPr>
        <w:t>astenec</w:t>
      </w:r>
    </w:p>
    <w:p w14:paraId="69754CB6" w14:textId="5EA7E8DA" w:rsidR="00EC3D3F" w:rsidRPr="005E6F89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ED044C">
        <w:rPr>
          <w:rFonts w:ascii="Times New Roman" w:hAnsi="Times New Roman"/>
          <w:lang w:val="sk-SK"/>
        </w:rPr>
        <w:t>o</w:t>
      </w:r>
      <w:r w:rsidR="00EC3D3F" w:rsidRPr="005E6F89">
        <w:rPr>
          <w:rFonts w:ascii="Times New Roman" w:hAnsi="Times New Roman"/>
          <w:lang w:val="sk-SK"/>
        </w:rPr>
        <w:t>xid titaničitý (E 171)</w:t>
      </w:r>
    </w:p>
    <w:p w14:paraId="540CE145" w14:textId="1FD99CC2" w:rsidR="00EC3D3F" w:rsidRPr="005E6F89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č</w:t>
      </w:r>
      <w:r w:rsidR="00EC3D3F" w:rsidRPr="005E6F89">
        <w:rPr>
          <w:rFonts w:ascii="Times New Roman" w:hAnsi="Times New Roman"/>
          <w:lang w:val="sk-SK"/>
        </w:rPr>
        <w:t>ervený oxid železitý (E 172)</w:t>
      </w:r>
    </w:p>
    <w:p w14:paraId="0D2AF746" w14:textId="3D2A3237" w:rsidR="00EC3D3F" w:rsidRPr="005E6F89" w:rsidRDefault="005E6F89" w:rsidP="007C2CEC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č</w:t>
      </w:r>
      <w:r w:rsidR="00EC3D3F" w:rsidRPr="005E6F89">
        <w:rPr>
          <w:rFonts w:ascii="Times New Roman" w:hAnsi="Times New Roman"/>
          <w:lang w:val="sk-SK"/>
        </w:rPr>
        <w:t>ierny oxid železitý (E 172)</w:t>
      </w:r>
    </w:p>
    <w:p w14:paraId="445CFECA" w14:textId="77777777" w:rsidR="00EC3D3F" w:rsidRPr="005E6F89" w:rsidRDefault="00EC3D3F" w:rsidP="007C2CEC">
      <w:pPr>
        <w:spacing w:after="0" w:line="240" w:lineRule="auto"/>
        <w:rPr>
          <w:rFonts w:ascii="Times New Roman" w:hAnsi="Times New Roman"/>
          <w:lang w:val="sk-SK"/>
        </w:rPr>
      </w:pPr>
    </w:p>
    <w:p w14:paraId="3EA7545D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6.2</w:t>
      </w:r>
      <w:r w:rsidRPr="005E6F89">
        <w:rPr>
          <w:rFonts w:ascii="Times New Roman" w:hAnsi="Times New Roman"/>
          <w:b/>
          <w:bCs/>
          <w:lang w:val="sk-SK"/>
        </w:rPr>
        <w:tab/>
        <w:t>Inkompatibility</w:t>
      </w:r>
    </w:p>
    <w:p w14:paraId="345C4A7A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3A20A3A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Neaplikovateľné.</w:t>
      </w:r>
    </w:p>
    <w:p w14:paraId="0A6F4018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8FA9735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6.3</w:t>
      </w:r>
      <w:r w:rsidRPr="005E6F89">
        <w:rPr>
          <w:rFonts w:ascii="Times New Roman" w:hAnsi="Times New Roman"/>
          <w:b/>
          <w:bCs/>
          <w:lang w:val="sk-SK"/>
        </w:rPr>
        <w:tab/>
        <w:t>Čas použiteľnosti</w:t>
      </w:r>
    </w:p>
    <w:p w14:paraId="7087B8D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1CA5810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3 roky.</w:t>
      </w:r>
    </w:p>
    <w:p w14:paraId="6AA11662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0E48CC3" w14:textId="77777777" w:rsidR="00B77C66" w:rsidRPr="005E6F89" w:rsidRDefault="00B77C66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Tablety môžu byť uložené mimo blistra po dobu najviac 7 dní (napr. v krabičke na tablety).</w:t>
      </w:r>
    </w:p>
    <w:p w14:paraId="1AF8E28B" w14:textId="77777777" w:rsidR="00B77C66" w:rsidRPr="005E6F89" w:rsidRDefault="00B77C66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917AFD5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6.4</w:t>
      </w:r>
      <w:r w:rsidRPr="005E6F89">
        <w:rPr>
          <w:rFonts w:ascii="Times New Roman" w:hAnsi="Times New Roman"/>
          <w:b/>
          <w:bCs/>
          <w:lang w:val="sk-SK"/>
        </w:rPr>
        <w:tab/>
        <w:t>Špeciálne upozornenia na uchovávanie</w:t>
      </w:r>
    </w:p>
    <w:p w14:paraId="7CC1673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2A11427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Tento liek nevyžaduje žiadne zvláštne podmienky na uchovávanie.</w:t>
      </w:r>
    </w:p>
    <w:p w14:paraId="188EE32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CAC1CFD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6.5</w:t>
      </w:r>
      <w:r w:rsidRPr="005E6F89">
        <w:rPr>
          <w:rFonts w:ascii="Times New Roman" w:hAnsi="Times New Roman"/>
          <w:b/>
          <w:bCs/>
          <w:lang w:val="sk-SK"/>
        </w:rPr>
        <w:tab/>
        <w:t>Druh obalu a obsah balenia</w:t>
      </w:r>
    </w:p>
    <w:p w14:paraId="31E0F200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DB0A68B" w14:textId="77777777" w:rsidR="00EC3D3F" w:rsidRPr="005E6F89" w:rsidRDefault="00EC3D3F" w:rsidP="00207DAE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Transparentný blister PVC/PE/PVDC – Alumíniová fólia</w:t>
      </w:r>
      <w:r w:rsidR="00D23F35" w:rsidRPr="005E6F89">
        <w:rPr>
          <w:rFonts w:ascii="Times New Roman" w:hAnsi="Times New Roman"/>
          <w:lang w:val="sk-SK"/>
        </w:rPr>
        <w:t>.</w:t>
      </w:r>
    </w:p>
    <w:p w14:paraId="1CF1F359" w14:textId="77777777" w:rsidR="00EC3D3F" w:rsidRPr="005E6F89" w:rsidRDefault="00EC3D3F" w:rsidP="00207DAE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Memolan 20 mg filmom obalené tablety je dostupný v balení po 7, 10, 14, 28, 30, 42, 49, 50, 56, 70, 84, 98, 100 alebo 112 filmom obalených tabliet.</w:t>
      </w:r>
    </w:p>
    <w:p w14:paraId="09115070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8478784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Na trh nemusia byť uvedené všetky veľkosti balenia.</w:t>
      </w:r>
    </w:p>
    <w:p w14:paraId="6B26C0F2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8C4F6A1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6.6</w:t>
      </w:r>
      <w:r w:rsidRPr="005E6F89">
        <w:rPr>
          <w:rFonts w:ascii="Times New Roman" w:hAnsi="Times New Roman"/>
          <w:b/>
          <w:bCs/>
          <w:lang w:val="sk-SK"/>
        </w:rPr>
        <w:tab/>
        <w:t>Špeciálne opatrenia na likvidáciu</w:t>
      </w:r>
    </w:p>
    <w:p w14:paraId="47365BEC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0B7159FC" w14:textId="77777777" w:rsidR="00EC3D3F" w:rsidRPr="005E6F89" w:rsidRDefault="00EC3D3F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Žiadne zvláštne požiadavky.</w:t>
      </w:r>
    </w:p>
    <w:p w14:paraId="1695C595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0AC99EFA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3E498FC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b/>
          <w:bCs/>
          <w:lang w:val="sk-SK"/>
        </w:rPr>
        <w:t>7.</w:t>
      </w:r>
      <w:r w:rsidRPr="005E6F89">
        <w:rPr>
          <w:rFonts w:ascii="Times New Roman" w:hAnsi="Times New Roman"/>
          <w:b/>
          <w:bCs/>
          <w:lang w:val="sk-SK"/>
        </w:rPr>
        <w:tab/>
        <w:t>DRŽITEĽ ROZHODNUTIA O REGISTRÁCII</w:t>
      </w:r>
    </w:p>
    <w:p w14:paraId="23CDF648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F6DF004" w14:textId="77777777" w:rsidR="00EC3D3F" w:rsidRPr="005E6F89" w:rsidRDefault="00EC3D3F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G.L. Pharma GmbH</w:t>
      </w:r>
    </w:p>
    <w:p w14:paraId="279D8459" w14:textId="77777777" w:rsidR="00EC3D3F" w:rsidRPr="005E6F89" w:rsidRDefault="00EC3D3F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Schlossplatz 1</w:t>
      </w:r>
    </w:p>
    <w:p w14:paraId="60EB1B54" w14:textId="77777777" w:rsidR="00EC3D3F" w:rsidRPr="005E6F89" w:rsidRDefault="00EC3D3F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8502 Lannach</w:t>
      </w:r>
    </w:p>
    <w:p w14:paraId="36844CEB" w14:textId="77777777" w:rsidR="00EC3D3F" w:rsidRPr="005E6F89" w:rsidRDefault="00EC3D3F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Rakúsko</w:t>
      </w:r>
    </w:p>
    <w:p w14:paraId="0C87A05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4A1E5888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09374515" w14:textId="16D53AEE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cs-CZ"/>
        </w:rPr>
      </w:pPr>
      <w:r w:rsidRPr="005E6F89">
        <w:rPr>
          <w:rFonts w:ascii="Times New Roman" w:hAnsi="Times New Roman"/>
          <w:b/>
          <w:bCs/>
          <w:lang w:val="cs-CZ"/>
        </w:rPr>
        <w:t>8.</w:t>
      </w:r>
      <w:r w:rsidRPr="005E6F89">
        <w:rPr>
          <w:rFonts w:ascii="Times New Roman" w:hAnsi="Times New Roman"/>
          <w:b/>
          <w:bCs/>
          <w:lang w:val="cs-CZ"/>
        </w:rPr>
        <w:tab/>
        <w:t>REGISTRAČNÉ ČÍSL</w:t>
      </w:r>
      <w:r w:rsidR="005E6F89" w:rsidRPr="005E6F89">
        <w:rPr>
          <w:rFonts w:ascii="Times New Roman" w:hAnsi="Times New Roman"/>
          <w:b/>
          <w:bCs/>
          <w:lang w:val="cs-CZ"/>
        </w:rPr>
        <w:t>O</w:t>
      </w:r>
    </w:p>
    <w:p w14:paraId="2861EAC8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4F78BE51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cs-CZ"/>
        </w:rPr>
      </w:pPr>
      <w:r w:rsidRPr="005E6F89">
        <w:rPr>
          <w:rFonts w:ascii="Times New Roman" w:hAnsi="Times New Roman"/>
          <w:lang w:val="cs-CZ"/>
        </w:rPr>
        <w:t>06/0433/13-S</w:t>
      </w:r>
    </w:p>
    <w:p w14:paraId="662A0416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74EBB7F3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11FCDE11" w14:textId="77777777" w:rsidR="00EC3D3F" w:rsidRPr="005E6F89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cs-CZ"/>
        </w:rPr>
      </w:pPr>
      <w:r w:rsidRPr="005E6F89">
        <w:rPr>
          <w:rFonts w:ascii="Times New Roman" w:hAnsi="Times New Roman"/>
          <w:b/>
          <w:bCs/>
          <w:lang w:val="cs-CZ"/>
        </w:rPr>
        <w:t>9.</w:t>
      </w:r>
      <w:r w:rsidRPr="005E6F89">
        <w:rPr>
          <w:rFonts w:ascii="Times New Roman" w:hAnsi="Times New Roman"/>
          <w:b/>
          <w:bCs/>
          <w:lang w:val="cs-CZ"/>
        </w:rPr>
        <w:tab/>
        <w:t>DÁTUM PRVEJ REGISTRÁCIE/ PREDĹŽENIA REGISTRÁCIE</w:t>
      </w:r>
    </w:p>
    <w:p w14:paraId="2CDFDE29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235A9646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>Dátum prvej registrácie: 21. novembr</w:t>
      </w:r>
      <w:r w:rsidR="004F439D" w:rsidRPr="005E6F89">
        <w:rPr>
          <w:rFonts w:ascii="Times New Roman" w:hAnsi="Times New Roman"/>
          <w:lang w:val="sk-SK"/>
        </w:rPr>
        <w:t>a</w:t>
      </w:r>
      <w:r w:rsidRPr="005E6F89">
        <w:rPr>
          <w:rFonts w:ascii="Times New Roman" w:hAnsi="Times New Roman"/>
          <w:lang w:val="sk-SK"/>
        </w:rPr>
        <w:t xml:space="preserve"> 2013</w:t>
      </w:r>
    </w:p>
    <w:p w14:paraId="6543CAED" w14:textId="77777777" w:rsidR="0038377D" w:rsidRPr="005E6F89" w:rsidRDefault="0038377D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5E6F89">
        <w:rPr>
          <w:rFonts w:ascii="Times New Roman" w:hAnsi="Times New Roman"/>
          <w:lang w:val="sk-SK"/>
        </w:rPr>
        <w:t xml:space="preserve">Dátum </w:t>
      </w:r>
      <w:r w:rsidR="005E6F89" w:rsidRPr="005E6F89">
        <w:rPr>
          <w:rFonts w:ascii="Times New Roman" w:hAnsi="Times New Roman"/>
          <w:lang w:val="sk-SK"/>
        </w:rPr>
        <w:t xml:space="preserve">posledného </w:t>
      </w:r>
      <w:r w:rsidRPr="005E6F89">
        <w:rPr>
          <w:rFonts w:ascii="Times New Roman" w:hAnsi="Times New Roman"/>
          <w:lang w:val="sk-SK"/>
        </w:rPr>
        <w:t>predĺženia registrácie:</w:t>
      </w:r>
    </w:p>
    <w:p w14:paraId="74CCDB95" w14:textId="77777777" w:rsidR="00EC3D3F" w:rsidRPr="00B31F4F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210DC23" w14:textId="77777777" w:rsidR="00EC3D3F" w:rsidRPr="00B31F4F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0BDA120B" w14:textId="77777777" w:rsidR="00EC3D3F" w:rsidRPr="00B31F4F" w:rsidRDefault="00EC3D3F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B31F4F">
        <w:rPr>
          <w:rFonts w:ascii="Times New Roman" w:hAnsi="Times New Roman"/>
          <w:b/>
          <w:bCs/>
          <w:lang w:val="sk-SK"/>
        </w:rPr>
        <w:t>10.</w:t>
      </w:r>
      <w:r w:rsidRPr="00B31F4F">
        <w:rPr>
          <w:rFonts w:ascii="Times New Roman" w:hAnsi="Times New Roman"/>
          <w:b/>
          <w:bCs/>
          <w:lang w:val="sk-SK"/>
        </w:rPr>
        <w:tab/>
        <w:t>DÁTUM REVÍZIE TEXTU</w:t>
      </w:r>
    </w:p>
    <w:p w14:paraId="47F2F60E" w14:textId="77777777" w:rsidR="00EC3D3F" w:rsidRPr="00B31F4F" w:rsidRDefault="00EC3D3F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ED64A8E" w14:textId="035D2333" w:rsidR="00EC3D3F" w:rsidRPr="005E6F89" w:rsidRDefault="0038377D" w:rsidP="00B01281">
      <w:pPr>
        <w:spacing w:after="0" w:line="240" w:lineRule="auto"/>
        <w:ind w:right="-20"/>
        <w:rPr>
          <w:rFonts w:ascii="Times New Roman" w:hAnsi="Times New Roman"/>
          <w:lang w:val="de-DE"/>
        </w:rPr>
      </w:pPr>
      <w:r w:rsidRPr="005E6F89">
        <w:rPr>
          <w:rFonts w:ascii="Times New Roman" w:hAnsi="Times New Roman"/>
          <w:lang w:val="de-DE"/>
        </w:rPr>
        <w:t>0</w:t>
      </w:r>
      <w:r w:rsidR="005E6F89" w:rsidRPr="005E6F89">
        <w:rPr>
          <w:rFonts w:ascii="Times New Roman" w:hAnsi="Times New Roman"/>
          <w:lang w:val="de-DE"/>
        </w:rPr>
        <w:t>5</w:t>
      </w:r>
      <w:r w:rsidRPr="005E6F89">
        <w:rPr>
          <w:rFonts w:ascii="Times New Roman" w:hAnsi="Times New Roman"/>
          <w:lang w:val="de-DE"/>
        </w:rPr>
        <w:t>/</w:t>
      </w:r>
      <w:r w:rsidR="00EC3D3F" w:rsidRPr="005E6F89">
        <w:rPr>
          <w:rFonts w:ascii="Times New Roman" w:hAnsi="Times New Roman"/>
          <w:lang w:val="de-DE"/>
        </w:rPr>
        <w:t>201</w:t>
      </w:r>
      <w:r w:rsidRPr="005E6F89">
        <w:rPr>
          <w:rFonts w:ascii="Times New Roman" w:hAnsi="Times New Roman"/>
          <w:lang w:val="de-DE"/>
        </w:rPr>
        <w:t>8</w:t>
      </w:r>
    </w:p>
    <w:p w14:paraId="0DF710C4" w14:textId="77777777" w:rsidR="00EC3D3F" w:rsidRPr="005E6F89" w:rsidRDefault="00EC3D3F" w:rsidP="00B01281">
      <w:pPr>
        <w:spacing w:after="0" w:line="240" w:lineRule="auto"/>
        <w:rPr>
          <w:rFonts w:ascii="Times New Roman" w:hAnsi="Times New Roman"/>
          <w:lang w:val="de-DE"/>
        </w:rPr>
      </w:pPr>
    </w:p>
    <w:sectPr w:rsidR="00EC3D3F" w:rsidRPr="005E6F89" w:rsidSect="00897939">
      <w:headerReference w:type="default" r:id="rId8"/>
      <w:footerReference w:type="even" r:id="rId9"/>
      <w:footerReference w:type="default" r:id="rId10"/>
      <w:pgSz w:w="11920" w:h="16840"/>
      <w:pgMar w:top="1320" w:right="1400" w:bottom="960" w:left="130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5C86A" w14:textId="77777777" w:rsidR="00DC43D1" w:rsidRDefault="00DC43D1">
      <w:pPr>
        <w:spacing w:after="0" w:line="240" w:lineRule="auto"/>
      </w:pPr>
      <w:r>
        <w:separator/>
      </w:r>
    </w:p>
  </w:endnote>
  <w:endnote w:type="continuationSeparator" w:id="0">
    <w:p w14:paraId="45BA1663" w14:textId="77777777" w:rsidR="00DC43D1" w:rsidRDefault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BD72" w14:textId="77777777" w:rsidR="00EC3D3F" w:rsidRDefault="00EC3D3F" w:rsidP="00C90B5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95B6BD3" w14:textId="77777777" w:rsidR="00EC3D3F" w:rsidRDefault="00EC3D3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ACBBF" w14:textId="77777777" w:rsidR="00EC3D3F" w:rsidRPr="00D23F35" w:rsidRDefault="00EC3D3F" w:rsidP="00C90B57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18"/>
        <w:szCs w:val="18"/>
      </w:rPr>
    </w:pPr>
    <w:r w:rsidRPr="005E0585">
      <w:rPr>
        <w:rStyle w:val="slostrany"/>
        <w:rFonts w:ascii="Times New Roman" w:hAnsi="Times New Roman"/>
        <w:sz w:val="18"/>
        <w:szCs w:val="18"/>
      </w:rPr>
      <w:fldChar w:fldCharType="begin"/>
    </w:r>
    <w:r w:rsidRPr="00D23F35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5E0585">
      <w:rPr>
        <w:rStyle w:val="slostrany"/>
        <w:rFonts w:ascii="Times New Roman" w:hAnsi="Times New Roman"/>
        <w:sz w:val="18"/>
        <w:szCs w:val="18"/>
      </w:rPr>
      <w:fldChar w:fldCharType="separate"/>
    </w:r>
    <w:r w:rsidR="00B31F4F">
      <w:rPr>
        <w:rStyle w:val="slostrany"/>
        <w:rFonts w:ascii="Times New Roman" w:hAnsi="Times New Roman"/>
        <w:noProof/>
        <w:sz w:val="18"/>
        <w:szCs w:val="18"/>
      </w:rPr>
      <w:t>1</w:t>
    </w:r>
    <w:r w:rsidRPr="005E0585">
      <w:rPr>
        <w:rStyle w:val="slostrany"/>
        <w:rFonts w:ascii="Times New Roman" w:hAnsi="Times New Roman"/>
        <w:sz w:val="18"/>
        <w:szCs w:val="18"/>
      </w:rPr>
      <w:fldChar w:fldCharType="end"/>
    </w:r>
  </w:p>
  <w:p w14:paraId="49B734A1" w14:textId="77777777" w:rsidR="00EC3D3F" w:rsidRDefault="00EC3D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9383" w14:textId="77777777" w:rsidR="00DC43D1" w:rsidRDefault="00DC43D1">
      <w:pPr>
        <w:spacing w:after="0" w:line="240" w:lineRule="auto"/>
      </w:pPr>
      <w:r>
        <w:separator/>
      </w:r>
    </w:p>
  </w:footnote>
  <w:footnote w:type="continuationSeparator" w:id="0">
    <w:p w14:paraId="1B7E4899" w14:textId="77777777" w:rsidR="00DC43D1" w:rsidRDefault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38DF" w14:textId="77777777" w:rsidR="00527185" w:rsidRDefault="00527185">
    <w:pPr>
      <w:pStyle w:val="Hlavika"/>
    </w:pPr>
  </w:p>
  <w:p w14:paraId="6D04A2D8" w14:textId="77777777" w:rsidR="00527185" w:rsidRPr="00B31F4F" w:rsidRDefault="00527185">
    <w:pPr>
      <w:pStyle w:val="Hlavika"/>
      <w:rPr>
        <w:rFonts w:ascii="Times New Roman" w:hAnsi="Times New Roman"/>
        <w:sz w:val="18"/>
        <w:szCs w:val="18"/>
        <w:lang w:val="sk-SK"/>
      </w:rPr>
    </w:pPr>
    <w:r>
      <w:rPr>
        <w:rFonts w:ascii="Times New Roman" w:hAnsi="Times New Roman"/>
        <w:sz w:val="18"/>
        <w:szCs w:val="18"/>
        <w:lang w:val="sk-SK"/>
      </w:rPr>
      <w:t>Schválený text k rozhodnutiu o predĺžení, ev. č.: 2017/01855-PRE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814AB"/>
    <w:multiLevelType w:val="hybridMultilevel"/>
    <w:tmpl w:val="17E031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1DA1"/>
    <w:multiLevelType w:val="hybridMultilevel"/>
    <w:tmpl w:val="ABA2ECB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93DEA"/>
    <w:multiLevelType w:val="hybridMultilevel"/>
    <w:tmpl w:val="C68450F8"/>
    <w:lvl w:ilvl="0" w:tplc="D632BFE2">
      <w:numFmt w:val="bullet"/>
      <w:lvlText w:val="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6807"/>
    <w:multiLevelType w:val="hybridMultilevel"/>
    <w:tmpl w:val="3A342832"/>
    <w:lvl w:ilvl="0" w:tplc="02F6E5CA">
      <w:numFmt w:val="bullet"/>
      <w:lvlText w:val="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DD92AD1"/>
    <w:multiLevelType w:val="hybridMultilevel"/>
    <w:tmpl w:val="A84E6A5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2A07"/>
    <w:multiLevelType w:val="hybridMultilevel"/>
    <w:tmpl w:val="04660E2C"/>
    <w:lvl w:ilvl="0" w:tplc="BB286D56">
      <w:start w:val="1"/>
      <w:numFmt w:val="decimal"/>
      <w:lvlText w:val="%1."/>
      <w:lvlJc w:val="left"/>
      <w:pPr>
        <w:ind w:left="676" w:hanging="67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86"/>
    <w:rsid w:val="000179A4"/>
    <w:rsid w:val="00025973"/>
    <w:rsid w:val="00051D22"/>
    <w:rsid w:val="0006512A"/>
    <w:rsid w:val="000752A5"/>
    <w:rsid w:val="000802BC"/>
    <w:rsid w:val="00086CD1"/>
    <w:rsid w:val="00090E46"/>
    <w:rsid w:val="000C7763"/>
    <w:rsid w:val="000E1DEB"/>
    <w:rsid w:val="001222B3"/>
    <w:rsid w:val="00172E82"/>
    <w:rsid w:val="001730EA"/>
    <w:rsid w:val="00173D7E"/>
    <w:rsid w:val="00174209"/>
    <w:rsid w:val="001815C9"/>
    <w:rsid w:val="001840C7"/>
    <w:rsid w:val="001C75B8"/>
    <w:rsid w:val="001F65D7"/>
    <w:rsid w:val="00207DAE"/>
    <w:rsid w:val="00227CF3"/>
    <w:rsid w:val="002441C7"/>
    <w:rsid w:val="00254FB0"/>
    <w:rsid w:val="002606F7"/>
    <w:rsid w:val="00293404"/>
    <w:rsid w:val="002B3DAA"/>
    <w:rsid w:val="002D5242"/>
    <w:rsid w:val="0031188E"/>
    <w:rsid w:val="00311EAA"/>
    <w:rsid w:val="0032206D"/>
    <w:rsid w:val="003353A3"/>
    <w:rsid w:val="00335CF7"/>
    <w:rsid w:val="00344582"/>
    <w:rsid w:val="00346A34"/>
    <w:rsid w:val="0038377D"/>
    <w:rsid w:val="003945C5"/>
    <w:rsid w:val="003C635C"/>
    <w:rsid w:val="003D50C9"/>
    <w:rsid w:val="003F1C4E"/>
    <w:rsid w:val="0041770A"/>
    <w:rsid w:val="00454614"/>
    <w:rsid w:val="00487F49"/>
    <w:rsid w:val="004E3A29"/>
    <w:rsid w:val="004F439D"/>
    <w:rsid w:val="005226D7"/>
    <w:rsid w:val="00527185"/>
    <w:rsid w:val="00542569"/>
    <w:rsid w:val="00554155"/>
    <w:rsid w:val="0057139E"/>
    <w:rsid w:val="005B402A"/>
    <w:rsid w:val="005D2C0A"/>
    <w:rsid w:val="005E0585"/>
    <w:rsid w:val="005E6F89"/>
    <w:rsid w:val="00616145"/>
    <w:rsid w:val="0066137D"/>
    <w:rsid w:val="006E2718"/>
    <w:rsid w:val="007119CE"/>
    <w:rsid w:val="00714C2C"/>
    <w:rsid w:val="00731BC7"/>
    <w:rsid w:val="0076398A"/>
    <w:rsid w:val="00783D90"/>
    <w:rsid w:val="00787737"/>
    <w:rsid w:val="00791E61"/>
    <w:rsid w:val="0079705B"/>
    <w:rsid w:val="007C2CEC"/>
    <w:rsid w:val="007E1856"/>
    <w:rsid w:val="007E4EF3"/>
    <w:rsid w:val="00832AC1"/>
    <w:rsid w:val="0083755A"/>
    <w:rsid w:val="00854EBA"/>
    <w:rsid w:val="008853CD"/>
    <w:rsid w:val="0089749A"/>
    <w:rsid w:val="00897939"/>
    <w:rsid w:val="008B0298"/>
    <w:rsid w:val="008B2111"/>
    <w:rsid w:val="008D621F"/>
    <w:rsid w:val="008E6CCB"/>
    <w:rsid w:val="00900586"/>
    <w:rsid w:val="009268FC"/>
    <w:rsid w:val="009374E0"/>
    <w:rsid w:val="00943709"/>
    <w:rsid w:val="00966581"/>
    <w:rsid w:val="009C15D0"/>
    <w:rsid w:val="009C2F83"/>
    <w:rsid w:val="009E11F1"/>
    <w:rsid w:val="009E1E17"/>
    <w:rsid w:val="009E400D"/>
    <w:rsid w:val="00A0288E"/>
    <w:rsid w:val="00A51D04"/>
    <w:rsid w:val="00A567C0"/>
    <w:rsid w:val="00A632BF"/>
    <w:rsid w:val="00A820E3"/>
    <w:rsid w:val="00AB4BE5"/>
    <w:rsid w:val="00AB590F"/>
    <w:rsid w:val="00AC089B"/>
    <w:rsid w:val="00AE3398"/>
    <w:rsid w:val="00B01281"/>
    <w:rsid w:val="00B27DFD"/>
    <w:rsid w:val="00B31F4F"/>
    <w:rsid w:val="00B47435"/>
    <w:rsid w:val="00B541D3"/>
    <w:rsid w:val="00B7024A"/>
    <w:rsid w:val="00B77735"/>
    <w:rsid w:val="00B77C66"/>
    <w:rsid w:val="00B815BE"/>
    <w:rsid w:val="00B87E20"/>
    <w:rsid w:val="00BA0F8A"/>
    <w:rsid w:val="00BD7F35"/>
    <w:rsid w:val="00C151FD"/>
    <w:rsid w:val="00C834CD"/>
    <w:rsid w:val="00C90B57"/>
    <w:rsid w:val="00C961E3"/>
    <w:rsid w:val="00CA70E7"/>
    <w:rsid w:val="00CE3F07"/>
    <w:rsid w:val="00CE67D1"/>
    <w:rsid w:val="00D23F35"/>
    <w:rsid w:val="00D628C8"/>
    <w:rsid w:val="00D8146A"/>
    <w:rsid w:val="00DB2F94"/>
    <w:rsid w:val="00DC43D1"/>
    <w:rsid w:val="00DD383F"/>
    <w:rsid w:val="00E00D88"/>
    <w:rsid w:val="00E04653"/>
    <w:rsid w:val="00E132FE"/>
    <w:rsid w:val="00E371E3"/>
    <w:rsid w:val="00E3785E"/>
    <w:rsid w:val="00EC3D3F"/>
    <w:rsid w:val="00ED044C"/>
    <w:rsid w:val="00F17A26"/>
    <w:rsid w:val="00F22A2B"/>
    <w:rsid w:val="00F53B14"/>
    <w:rsid w:val="00F5493F"/>
    <w:rsid w:val="00F63DE0"/>
    <w:rsid w:val="00F67CBD"/>
    <w:rsid w:val="00FA1A30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7B856"/>
  <w15:docId w15:val="{3C482650-419F-4D16-B593-C07F214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3D90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C2F83"/>
    <w:pPr>
      <w:ind w:left="720"/>
      <w:contextualSpacing/>
    </w:pPr>
  </w:style>
  <w:style w:type="character" w:styleId="Hypertextovprepojenie">
    <w:name w:val="Hyperlink"/>
    <w:uiPriority w:val="99"/>
    <w:rsid w:val="00335CF7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207DAE"/>
    <w:pPr>
      <w:spacing w:after="0" w:line="240" w:lineRule="auto"/>
    </w:pPr>
    <w:rPr>
      <w:rFonts w:ascii="Tahoma" w:hAnsi="Tahoma"/>
      <w:sz w:val="16"/>
      <w:szCs w:val="16"/>
      <w:lang w:val="sk-SK"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207DAE"/>
    <w:rPr>
      <w:rFonts w:ascii="Tahoma" w:hAnsi="Tahoma"/>
      <w:sz w:val="16"/>
    </w:rPr>
  </w:style>
  <w:style w:type="table" w:styleId="Mriekatabuky">
    <w:name w:val="Table Grid"/>
    <w:basedOn w:val="Normlnatabuka"/>
    <w:uiPriority w:val="99"/>
    <w:rsid w:val="00A0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C961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6E2EE4"/>
    <w:rPr>
      <w:lang w:val="en-US" w:eastAsia="en-US"/>
    </w:rPr>
  </w:style>
  <w:style w:type="character" w:styleId="slostrany">
    <w:name w:val="page number"/>
    <w:uiPriority w:val="99"/>
    <w:rsid w:val="00C961E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C961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6E2EE4"/>
    <w:rPr>
      <w:lang w:val="en-US" w:eastAsia="en-US"/>
    </w:rPr>
  </w:style>
  <w:style w:type="character" w:styleId="Odkaznakomentr">
    <w:name w:val="annotation reference"/>
    <w:uiPriority w:val="99"/>
    <w:semiHidden/>
    <w:unhideWhenUsed/>
    <w:rsid w:val="009E1E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1E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9E1E17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1E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E1E1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Memantin</vt:lpstr>
    </vt:vector>
  </TitlesOfParts>
  <Manager>ul</Manager>
  <Company>DiaMed</Company>
  <LinksUpToDate>false</LinksUpToDate>
  <CharactersWithSpaces>19923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Memantin</dc:title>
  <dc:subject>SmPC - SK</dc:subject>
  <dc:creator>GLPharma 6</dc:creator>
  <cp:lastModifiedBy>Molnárová, Zuzana</cp:lastModifiedBy>
  <cp:revision>3</cp:revision>
  <dcterms:created xsi:type="dcterms:W3CDTF">2018-05-30T07:35:00Z</dcterms:created>
  <dcterms:modified xsi:type="dcterms:W3CDTF">2018-05-30T07:35:00Z</dcterms:modified>
</cp:coreProperties>
</file>