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53" w:rsidRPr="00D86468" w:rsidRDefault="00D35F53">
      <w:pPr>
        <w:pStyle w:val="Nadpis1"/>
      </w:pPr>
      <w:r w:rsidRPr="00D86468">
        <w:t>Súhrn charakteristických vlastností lieku</w:t>
      </w:r>
    </w:p>
    <w:p w:rsidR="00D35F53" w:rsidRPr="003A4976" w:rsidRDefault="00D35F53">
      <w:pPr>
        <w:pStyle w:val="Nadpis1"/>
      </w:pPr>
    </w:p>
    <w:p w:rsidR="00D35F53" w:rsidRPr="003A4976" w:rsidRDefault="00D35F53">
      <w:pPr>
        <w:pStyle w:val="Nadpis1"/>
      </w:pPr>
    </w:p>
    <w:p w:rsidR="00D35F53" w:rsidRPr="003A4976" w:rsidRDefault="00D35F53">
      <w:pPr>
        <w:pStyle w:val="Nadpis1"/>
        <w:rPr>
          <w:bCs/>
        </w:rPr>
      </w:pPr>
      <w:r w:rsidRPr="003A4976">
        <w:rPr>
          <w:bCs/>
        </w:rPr>
        <w:t>1.       NÁZOV LIEKU</w:t>
      </w:r>
    </w:p>
    <w:p w:rsidR="00D35F53" w:rsidRPr="003A4976" w:rsidRDefault="00D35F53">
      <w:pPr>
        <w:rPr>
          <w:noProof/>
          <w:szCs w:val="22"/>
        </w:rPr>
      </w:pPr>
    </w:p>
    <w:p w:rsidR="00F95FEB" w:rsidRDefault="00D35F53">
      <w:pPr>
        <w:ind w:left="284" w:right="284" w:hanging="284"/>
        <w:rPr>
          <w:snapToGrid w:val="0"/>
          <w:szCs w:val="22"/>
        </w:rPr>
      </w:pPr>
      <w:bookmarkStart w:id="0" w:name="_Hlk515880874"/>
      <w:r w:rsidRPr="003A4976">
        <w:rPr>
          <w:snapToGrid w:val="0"/>
          <w:szCs w:val="22"/>
        </w:rPr>
        <w:t>AJATIN PROFARMA TINKTÚRA</w:t>
      </w:r>
      <w:r w:rsidR="0033114D" w:rsidRPr="003A4976">
        <w:rPr>
          <w:snapToGrid w:val="0"/>
          <w:szCs w:val="22"/>
        </w:rPr>
        <w:t xml:space="preserve"> </w:t>
      </w:r>
    </w:p>
    <w:p w:rsidR="00F95FEB" w:rsidRDefault="00F95FEB">
      <w:pPr>
        <w:ind w:left="284" w:right="284" w:hanging="284"/>
        <w:rPr>
          <w:snapToGrid w:val="0"/>
          <w:szCs w:val="22"/>
        </w:rPr>
      </w:pPr>
    </w:p>
    <w:p w:rsidR="00D35F53" w:rsidRPr="003A4976" w:rsidRDefault="0033114D">
      <w:pPr>
        <w:ind w:left="284" w:right="284" w:hanging="284"/>
        <w:rPr>
          <w:snapToGrid w:val="0"/>
          <w:szCs w:val="22"/>
        </w:rPr>
      </w:pPr>
      <w:r w:rsidRPr="003A4976">
        <w:rPr>
          <w:snapToGrid w:val="0"/>
          <w:szCs w:val="22"/>
        </w:rPr>
        <w:t>100</w:t>
      </w:r>
      <w:r w:rsidR="004B5174" w:rsidRPr="003A4976">
        <w:rPr>
          <w:snapToGrid w:val="0"/>
          <w:szCs w:val="22"/>
        </w:rPr>
        <w:t xml:space="preserve"> </w:t>
      </w:r>
      <w:r w:rsidR="00091FD4" w:rsidRPr="003A4976">
        <w:rPr>
          <w:snapToGrid w:val="0"/>
          <w:szCs w:val="22"/>
        </w:rPr>
        <w:t>mg</w:t>
      </w:r>
      <w:r w:rsidRPr="003A4976">
        <w:rPr>
          <w:snapToGrid w:val="0"/>
          <w:szCs w:val="22"/>
        </w:rPr>
        <w:t>/</w:t>
      </w:r>
      <w:r w:rsidR="00091FD4" w:rsidRPr="003A4976">
        <w:rPr>
          <w:snapToGrid w:val="0"/>
          <w:szCs w:val="22"/>
        </w:rPr>
        <w:t>ml</w:t>
      </w:r>
      <w:r w:rsidRPr="003A4976">
        <w:rPr>
          <w:snapToGrid w:val="0"/>
          <w:szCs w:val="22"/>
        </w:rPr>
        <w:t xml:space="preserve"> </w:t>
      </w:r>
      <w:r w:rsidR="00191F98" w:rsidRPr="003A4976">
        <w:rPr>
          <w:snapToGrid w:val="0"/>
          <w:szCs w:val="22"/>
        </w:rPr>
        <w:t>dermálny</w:t>
      </w:r>
      <w:r w:rsidRPr="003A4976">
        <w:rPr>
          <w:snapToGrid w:val="0"/>
          <w:szCs w:val="22"/>
        </w:rPr>
        <w:t xml:space="preserve"> roztok</w:t>
      </w:r>
    </w:p>
    <w:bookmarkEnd w:id="0"/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2.</w:t>
      </w:r>
      <w:r w:rsidRPr="003A4976">
        <w:rPr>
          <w:b/>
          <w:noProof/>
          <w:szCs w:val="22"/>
        </w:rPr>
        <w:tab/>
        <w:t>KVALITATÍVNE A KVANTITATÍVNE ZLOŽENIE</w:t>
      </w:r>
    </w:p>
    <w:p w:rsidR="00D35F53" w:rsidRPr="003A4976" w:rsidRDefault="00D35F53">
      <w:pPr>
        <w:rPr>
          <w:i/>
          <w:noProof/>
          <w:szCs w:val="22"/>
        </w:rPr>
      </w:pPr>
    </w:p>
    <w:p w:rsidR="0033114D" w:rsidRPr="003A4976" w:rsidRDefault="0033114D" w:rsidP="0033114D">
      <w:pPr>
        <w:rPr>
          <w:szCs w:val="22"/>
        </w:rPr>
      </w:pPr>
      <w:bookmarkStart w:id="1" w:name="_Hlk515880828"/>
      <w:r w:rsidRPr="003A4976">
        <w:rPr>
          <w:szCs w:val="22"/>
        </w:rPr>
        <w:t xml:space="preserve">Jeden ml </w:t>
      </w:r>
      <w:r w:rsidR="00736FA8" w:rsidRPr="003A4976">
        <w:rPr>
          <w:szCs w:val="22"/>
        </w:rPr>
        <w:t xml:space="preserve">dermálneho </w:t>
      </w:r>
      <w:r w:rsidRPr="003A4976">
        <w:rPr>
          <w:szCs w:val="22"/>
        </w:rPr>
        <w:t xml:space="preserve">roztoku obsahuje </w:t>
      </w:r>
      <w:r w:rsidR="002207EA" w:rsidRPr="003A4976">
        <w:rPr>
          <w:szCs w:val="22"/>
        </w:rPr>
        <w:t xml:space="preserve">100 mg </w:t>
      </w:r>
      <w:r w:rsidR="00F603F3" w:rsidRPr="003A4976">
        <w:rPr>
          <w:szCs w:val="22"/>
        </w:rPr>
        <w:t xml:space="preserve">10% roztoku </w:t>
      </w:r>
      <w:proofErr w:type="spellStart"/>
      <w:r w:rsidRPr="003A4976">
        <w:rPr>
          <w:szCs w:val="22"/>
        </w:rPr>
        <w:t>benzododec</w:t>
      </w:r>
      <w:r w:rsidR="00DF5A04" w:rsidRPr="003A4976">
        <w:rPr>
          <w:szCs w:val="22"/>
        </w:rPr>
        <w:t>í</w:t>
      </w:r>
      <w:r w:rsidRPr="003A4976">
        <w:rPr>
          <w:szCs w:val="22"/>
        </w:rPr>
        <w:t>ni</w:t>
      </w:r>
      <w:r w:rsidR="002207EA" w:rsidRPr="003A4976">
        <w:rPr>
          <w:szCs w:val="22"/>
        </w:rPr>
        <w:t>umbromidu</w:t>
      </w:r>
      <w:bookmarkEnd w:id="1"/>
      <w:proofErr w:type="spellEnd"/>
      <w:r w:rsidRPr="003A4976">
        <w:rPr>
          <w:szCs w:val="22"/>
        </w:rPr>
        <w:t>.</w:t>
      </w:r>
    </w:p>
    <w:p w:rsidR="00D35F53" w:rsidRPr="003A4976" w:rsidRDefault="00D35F53">
      <w:pPr>
        <w:ind w:left="284" w:hanging="284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 </w:t>
      </w:r>
    </w:p>
    <w:p w:rsidR="00D35F53" w:rsidRPr="003A4976" w:rsidRDefault="00D35F53">
      <w:pPr>
        <w:outlineLvl w:val="0"/>
        <w:rPr>
          <w:noProof/>
          <w:szCs w:val="22"/>
        </w:rPr>
      </w:pPr>
      <w:r w:rsidRPr="003A4976">
        <w:rPr>
          <w:noProof/>
          <w:szCs w:val="22"/>
        </w:rPr>
        <w:t>Úplný zoznam pomocných látok, pozri časť 6.1.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caps/>
          <w:noProof/>
          <w:szCs w:val="22"/>
        </w:rPr>
      </w:pPr>
      <w:r w:rsidRPr="003A4976">
        <w:rPr>
          <w:b/>
          <w:noProof/>
          <w:szCs w:val="22"/>
        </w:rPr>
        <w:t>3.</w:t>
      </w:r>
      <w:r w:rsidRPr="003A4976">
        <w:rPr>
          <w:b/>
          <w:noProof/>
          <w:szCs w:val="22"/>
        </w:rPr>
        <w:tab/>
        <w:t>LIEKOVÁ FORMA</w:t>
      </w:r>
    </w:p>
    <w:p w:rsidR="00D35F53" w:rsidRPr="003A4976" w:rsidRDefault="00D35F53">
      <w:pPr>
        <w:rPr>
          <w:noProof/>
          <w:szCs w:val="22"/>
        </w:rPr>
      </w:pPr>
    </w:p>
    <w:p w:rsidR="0033114D" w:rsidRPr="003A4976" w:rsidRDefault="00191F98">
      <w:pPr>
        <w:ind w:left="284" w:right="284" w:hanging="284"/>
        <w:rPr>
          <w:snapToGrid w:val="0"/>
          <w:szCs w:val="22"/>
        </w:rPr>
      </w:pPr>
      <w:r w:rsidRPr="003A4976">
        <w:rPr>
          <w:snapToGrid w:val="0"/>
          <w:szCs w:val="22"/>
        </w:rPr>
        <w:t>Dermálny</w:t>
      </w:r>
      <w:r w:rsidR="0033114D" w:rsidRPr="003A4976">
        <w:rPr>
          <w:snapToGrid w:val="0"/>
          <w:szCs w:val="22"/>
        </w:rPr>
        <w:t xml:space="preserve"> roztok</w:t>
      </w:r>
      <w:r w:rsidR="00EA061E" w:rsidRPr="003A4976">
        <w:rPr>
          <w:snapToGrid w:val="0"/>
          <w:szCs w:val="22"/>
        </w:rPr>
        <w:t xml:space="preserve"> </w:t>
      </w:r>
    </w:p>
    <w:p w:rsidR="00D35F53" w:rsidRPr="003A4976" w:rsidRDefault="0033114D">
      <w:pPr>
        <w:ind w:left="284" w:right="284" w:hanging="284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Popis: </w:t>
      </w:r>
      <w:r w:rsidR="00D35F53" w:rsidRPr="003A4976">
        <w:rPr>
          <w:snapToGrid w:val="0"/>
          <w:szCs w:val="22"/>
        </w:rPr>
        <w:t>číry, žltooranžový roztok charakteristickej vône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caps/>
          <w:noProof/>
          <w:szCs w:val="22"/>
        </w:rPr>
      </w:pPr>
      <w:r w:rsidRPr="003A4976">
        <w:rPr>
          <w:b/>
          <w:caps/>
          <w:noProof/>
          <w:szCs w:val="22"/>
        </w:rPr>
        <w:t>4.</w:t>
      </w:r>
      <w:r w:rsidRPr="003A4976">
        <w:rPr>
          <w:b/>
          <w:caps/>
          <w:noProof/>
          <w:szCs w:val="22"/>
        </w:rPr>
        <w:tab/>
        <w:t>KLINICKÉ ÚDAJE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4.1</w:t>
      </w:r>
      <w:r w:rsidRPr="003A4976">
        <w:rPr>
          <w:b/>
          <w:noProof/>
          <w:szCs w:val="22"/>
        </w:rPr>
        <w:tab/>
        <w:t>Terapeutické indikácie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Zkladntext2"/>
        <w:rPr>
          <w:rFonts w:ascii="Times New Roman" w:hAnsi="Times New Roman" w:cs="Times New Roman"/>
          <w:szCs w:val="22"/>
        </w:rPr>
      </w:pPr>
      <w:r w:rsidRPr="003A4976">
        <w:rPr>
          <w:rFonts w:ascii="Times New Roman" w:hAnsi="Times New Roman" w:cs="Times New Roman"/>
          <w:szCs w:val="22"/>
        </w:rPr>
        <w:t>Prípravok je určený na dezinfekciu operačného poľa a bežných poranení povrchu pokožky u všetkých vekových kategórií.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4.2</w:t>
      </w:r>
      <w:r w:rsidRPr="003A4976">
        <w:rPr>
          <w:b/>
          <w:noProof/>
          <w:szCs w:val="22"/>
        </w:rPr>
        <w:tab/>
        <w:t>Dávkovanie a spôsob podávania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Zarkazkladnhotextu"/>
        <w:spacing w:before="0" w:after="0" w:line="240" w:lineRule="auto"/>
        <w:ind w:left="0" w:right="284"/>
        <w:rPr>
          <w:sz w:val="22"/>
          <w:szCs w:val="22"/>
          <w:lang w:val="sk-SK"/>
        </w:rPr>
      </w:pPr>
      <w:r w:rsidRPr="003A4976">
        <w:rPr>
          <w:sz w:val="22"/>
          <w:szCs w:val="22"/>
          <w:lang w:val="sk-SK"/>
        </w:rPr>
        <w:t xml:space="preserve">Dôkladne potrieť pokožku úplne presiaknutým tampónom, potom treba </w:t>
      </w:r>
      <w:r w:rsidR="0096080C" w:rsidRPr="003A4976">
        <w:rPr>
          <w:sz w:val="22"/>
          <w:szCs w:val="22"/>
          <w:lang w:val="sk-SK"/>
        </w:rPr>
        <w:t xml:space="preserve">počkať kým </w:t>
      </w:r>
      <w:r w:rsidR="00191F98" w:rsidRPr="003A4976">
        <w:rPr>
          <w:sz w:val="22"/>
          <w:szCs w:val="22"/>
          <w:lang w:val="sk-SK"/>
        </w:rPr>
        <w:t>dermáln</w:t>
      </w:r>
      <w:r w:rsidR="0096080C" w:rsidRPr="003A4976">
        <w:rPr>
          <w:sz w:val="22"/>
          <w:szCs w:val="22"/>
          <w:lang w:val="sk-SK"/>
        </w:rPr>
        <w:t>y</w:t>
      </w:r>
      <w:r w:rsidR="00191F98" w:rsidRPr="003A4976">
        <w:rPr>
          <w:sz w:val="22"/>
          <w:szCs w:val="22"/>
          <w:lang w:val="sk-SK"/>
        </w:rPr>
        <w:t xml:space="preserve"> roztok</w:t>
      </w:r>
      <w:r w:rsidR="0096080C" w:rsidRPr="003A4976">
        <w:rPr>
          <w:sz w:val="22"/>
          <w:szCs w:val="22"/>
          <w:lang w:val="sk-SK"/>
        </w:rPr>
        <w:t xml:space="preserve"> zaschne</w:t>
      </w:r>
      <w:r w:rsidRPr="003A4976">
        <w:rPr>
          <w:sz w:val="22"/>
          <w:szCs w:val="22"/>
          <w:lang w:val="sk-SK"/>
        </w:rPr>
        <w:t xml:space="preserve">. U balení opatrených mechanickým rozprašovačom sa prípravok aplikuje </w:t>
      </w:r>
      <w:r w:rsidR="0096080C" w:rsidRPr="003A4976">
        <w:rPr>
          <w:sz w:val="22"/>
          <w:szCs w:val="22"/>
          <w:lang w:val="sk-SK"/>
        </w:rPr>
        <w:t xml:space="preserve">vo </w:t>
      </w:r>
      <w:r w:rsidRPr="003A4976">
        <w:rPr>
          <w:sz w:val="22"/>
          <w:szCs w:val="22"/>
          <w:lang w:val="sk-SK"/>
        </w:rPr>
        <w:t>vzdialenosti 10</w:t>
      </w:r>
      <w:r w:rsidR="0058741C" w:rsidRPr="003A4976">
        <w:rPr>
          <w:sz w:val="22"/>
          <w:szCs w:val="22"/>
          <w:lang w:val="sk-SK"/>
        </w:rPr>
        <w:t xml:space="preserve"> </w:t>
      </w:r>
      <w:r w:rsidRPr="003A4976">
        <w:rPr>
          <w:sz w:val="22"/>
          <w:szCs w:val="22"/>
          <w:lang w:val="sk-SK"/>
        </w:rPr>
        <w:t xml:space="preserve">cm od </w:t>
      </w:r>
      <w:r w:rsidR="0096080C" w:rsidRPr="003A4976">
        <w:rPr>
          <w:sz w:val="22"/>
          <w:szCs w:val="22"/>
          <w:lang w:val="sk-SK"/>
        </w:rPr>
        <w:t>miesta určeného na </w:t>
      </w:r>
      <w:r w:rsidRPr="003A4976">
        <w:rPr>
          <w:sz w:val="22"/>
          <w:szCs w:val="22"/>
          <w:lang w:val="sk-SK"/>
        </w:rPr>
        <w:t>dezinfekci</w:t>
      </w:r>
      <w:r w:rsidR="0096080C" w:rsidRPr="003A4976">
        <w:rPr>
          <w:sz w:val="22"/>
          <w:szCs w:val="22"/>
          <w:lang w:val="sk-SK"/>
        </w:rPr>
        <w:t>u</w:t>
      </w:r>
      <w:r w:rsidRPr="003A4976">
        <w:rPr>
          <w:sz w:val="22"/>
          <w:szCs w:val="22"/>
          <w:lang w:val="sk-SK"/>
        </w:rPr>
        <w:t>.</w:t>
      </w:r>
      <w:r w:rsidR="00501488" w:rsidRPr="003A4976">
        <w:rPr>
          <w:sz w:val="22"/>
          <w:szCs w:val="22"/>
          <w:lang w:val="sk-SK"/>
        </w:rPr>
        <w:t xml:space="preserve"> Pred prvým použitím prípravku je treba niekoľkokrát stlačiť mechanický rozprašovač, až kým nie je rozprašovanie rovnomerné.</w:t>
      </w:r>
    </w:p>
    <w:p w:rsidR="00D35F53" w:rsidRPr="003A4976" w:rsidRDefault="00D35F53">
      <w:pPr>
        <w:ind w:left="284" w:right="284" w:hanging="284"/>
        <w:rPr>
          <w:snapToGrid w:val="0"/>
          <w:szCs w:val="22"/>
        </w:rPr>
      </w:pPr>
      <w:r w:rsidRPr="003A4976">
        <w:rPr>
          <w:snapToGrid w:val="0"/>
          <w:szCs w:val="22"/>
        </w:rPr>
        <w:t>Len na vonkajšiu dezinfekciu!</w:t>
      </w:r>
    </w:p>
    <w:p w:rsidR="00D35F53" w:rsidRPr="003A4976" w:rsidRDefault="00D35F53">
      <w:pPr>
        <w:ind w:left="0" w:firstLine="0"/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4.3</w:t>
      </w:r>
      <w:r w:rsidRPr="003A4976">
        <w:rPr>
          <w:b/>
          <w:noProof/>
          <w:szCs w:val="22"/>
        </w:rPr>
        <w:tab/>
        <w:t xml:space="preserve">Kontraindikácie 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3A4976">
        <w:rPr>
          <w:rFonts w:ascii="Times New Roman" w:hAnsi="Times New Roman" w:cs="Times New Roman"/>
          <w:sz w:val="22"/>
          <w:szCs w:val="22"/>
          <w:lang w:val="sk-SK"/>
        </w:rPr>
        <w:t>Epidermálna</w:t>
      </w:r>
      <w:proofErr w:type="spellEnd"/>
      <w:r w:rsidRPr="003A497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3A4976">
        <w:rPr>
          <w:rFonts w:ascii="Times New Roman" w:hAnsi="Times New Roman" w:cs="Times New Roman"/>
          <w:sz w:val="22"/>
          <w:szCs w:val="22"/>
          <w:lang w:val="sk-SK"/>
        </w:rPr>
        <w:t>senzibilizácia</w:t>
      </w:r>
      <w:proofErr w:type="spellEnd"/>
      <w:r w:rsidRPr="003A4976">
        <w:rPr>
          <w:rFonts w:ascii="Times New Roman" w:hAnsi="Times New Roman" w:cs="Times New Roman"/>
          <w:sz w:val="22"/>
          <w:szCs w:val="22"/>
          <w:lang w:val="sk-SK"/>
        </w:rPr>
        <w:t xml:space="preserve"> na účinnú látku alebo na pomocné látky </w:t>
      </w:r>
      <w:r w:rsidR="00501488" w:rsidRPr="003A4976">
        <w:rPr>
          <w:rFonts w:ascii="Times New Roman" w:hAnsi="Times New Roman" w:cs="Times New Roman"/>
          <w:sz w:val="22"/>
          <w:szCs w:val="22"/>
          <w:lang w:val="sk-SK"/>
        </w:rPr>
        <w:t xml:space="preserve">uvedené v bode 6.1 </w:t>
      </w:r>
      <w:r w:rsidRPr="003A4976">
        <w:rPr>
          <w:rFonts w:ascii="Times New Roman" w:hAnsi="Times New Roman" w:cs="Times New Roman"/>
          <w:sz w:val="22"/>
          <w:szCs w:val="22"/>
          <w:lang w:val="sk-SK"/>
        </w:rPr>
        <w:t>a na látky rovnakej chemickej skupiny.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numPr>
          <w:ilvl w:val="1"/>
          <w:numId w:val="3"/>
        </w:numPr>
        <w:rPr>
          <w:b/>
          <w:noProof/>
          <w:szCs w:val="22"/>
        </w:rPr>
      </w:pPr>
      <w:r w:rsidRPr="003A4976">
        <w:rPr>
          <w:b/>
          <w:noProof/>
          <w:szCs w:val="22"/>
        </w:rPr>
        <w:t>Osobitné upozornenia a opatrenia pri používaní</w:t>
      </w:r>
    </w:p>
    <w:p w:rsidR="0058741C" w:rsidRPr="003A4976" w:rsidRDefault="0058741C">
      <w:pPr>
        <w:ind w:left="0" w:firstLine="0"/>
        <w:rPr>
          <w:b/>
          <w:noProof/>
          <w:szCs w:val="22"/>
        </w:rPr>
      </w:pPr>
    </w:p>
    <w:p w:rsidR="00501488" w:rsidRPr="003A4976" w:rsidRDefault="00501488">
      <w:pPr>
        <w:ind w:left="0" w:firstLine="0"/>
        <w:rPr>
          <w:b/>
          <w:noProof/>
          <w:szCs w:val="22"/>
        </w:rPr>
      </w:pPr>
      <w:r w:rsidRPr="003A4976">
        <w:rPr>
          <w:noProof/>
          <w:szCs w:val="22"/>
        </w:rPr>
        <w:t>Prípravok sa nesmie užívať vnútorne.</w:t>
      </w:r>
    </w:p>
    <w:p w:rsidR="00D35F53" w:rsidRPr="003A4976" w:rsidRDefault="00D35F53">
      <w:pPr>
        <w:pStyle w:val="Zkladntext2"/>
        <w:rPr>
          <w:rFonts w:ascii="Times New Roman" w:hAnsi="Times New Roman" w:cs="Times New Roman"/>
          <w:szCs w:val="22"/>
        </w:rPr>
      </w:pPr>
      <w:r w:rsidRPr="003A4976">
        <w:rPr>
          <w:rFonts w:ascii="Times New Roman" w:hAnsi="Times New Roman" w:cs="Times New Roman"/>
          <w:szCs w:val="22"/>
        </w:rPr>
        <w:t xml:space="preserve">Pri podráždení pokožky je potrebné použiť dezinfekčný prostriedok iného chemického zloženia. </w:t>
      </w:r>
    </w:p>
    <w:p w:rsidR="00D35F53" w:rsidRPr="003A4976" w:rsidRDefault="00D35F53">
      <w:pPr>
        <w:pStyle w:val="Zkladntext2"/>
        <w:rPr>
          <w:rFonts w:ascii="Times New Roman" w:hAnsi="Times New Roman" w:cs="Times New Roman"/>
          <w:szCs w:val="22"/>
        </w:rPr>
      </w:pPr>
      <w:r w:rsidRPr="003A4976">
        <w:rPr>
          <w:rFonts w:ascii="Times New Roman" w:hAnsi="Times New Roman" w:cs="Times New Roman"/>
          <w:szCs w:val="22"/>
        </w:rPr>
        <w:t xml:space="preserve">Farebná zložka prípravku sfarbuje trvale niektoré plastické hmoty a vlákna. </w:t>
      </w:r>
    </w:p>
    <w:p w:rsidR="00D35F53" w:rsidRPr="003A4976" w:rsidRDefault="00D35F53">
      <w:pPr>
        <w:ind w:left="0" w:right="284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Z pokožky sa odstraňuje veľmi dobre </w:t>
      </w:r>
      <w:proofErr w:type="spellStart"/>
      <w:r w:rsidRPr="003A4976">
        <w:rPr>
          <w:snapToGrid w:val="0"/>
          <w:szCs w:val="22"/>
        </w:rPr>
        <w:t>benzínalkoholom</w:t>
      </w:r>
      <w:proofErr w:type="spellEnd"/>
      <w:r w:rsidRPr="003A4976">
        <w:rPr>
          <w:snapToGrid w:val="0"/>
          <w:szCs w:val="22"/>
        </w:rPr>
        <w:t>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4.5</w:t>
      </w:r>
      <w:r w:rsidRPr="003A4976">
        <w:rPr>
          <w:b/>
          <w:noProof/>
          <w:szCs w:val="22"/>
        </w:rPr>
        <w:tab/>
        <w:t>Liekové a iné interakcie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Zkladntext2"/>
        <w:rPr>
          <w:rFonts w:ascii="Times New Roman" w:hAnsi="Times New Roman" w:cs="Times New Roman"/>
          <w:szCs w:val="22"/>
        </w:rPr>
      </w:pPr>
      <w:r w:rsidRPr="003A4976">
        <w:rPr>
          <w:rFonts w:ascii="Times New Roman" w:hAnsi="Times New Roman" w:cs="Times New Roman"/>
          <w:szCs w:val="22"/>
        </w:rPr>
        <w:t xml:space="preserve">Alkálie (mydlá) rušia dezinfekčný účinok. Nie je vhodná kombinácia </w:t>
      </w:r>
      <w:proofErr w:type="spellStart"/>
      <w:r w:rsidRPr="003A4976">
        <w:rPr>
          <w:rFonts w:ascii="Times New Roman" w:hAnsi="Times New Roman" w:cs="Times New Roman"/>
          <w:szCs w:val="22"/>
        </w:rPr>
        <w:t>Ajatinu</w:t>
      </w:r>
      <w:proofErr w:type="spellEnd"/>
      <w:r w:rsidRPr="003A4976">
        <w:rPr>
          <w:rFonts w:ascii="Times New Roman" w:hAnsi="Times New Roman" w:cs="Times New Roman"/>
          <w:szCs w:val="22"/>
        </w:rPr>
        <w:t xml:space="preserve"> so silne oxidujúcimi látkami (napr. peroxid vodíka).</w:t>
      </w:r>
    </w:p>
    <w:p w:rsidR="00D35F53" w:rsidRPr="003A4976" w:rsidRDefault="00D35F53">
      <w:pPr>
        <w:rPr>
          <w:noProof/>
          <w:szCs w:val="22"/>
        </w:rPr>
      </w:pPr>
      <w:bookmarkStart w:id="2" w:name="_Hlk518463300"/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4.6</w:t>
      </w:r>
      <w:r w:rsidRPr="003A4976">
        <w:rPr>
          <w:b/>
          <w:noProof/>
          <w:szCs w:val="22"/>
        </w:rPr>
        <w:tab/>
      </w:r>
      <w:r w:rsidR="00501488" w:rsidRPr="003A4976">
        <w:rPr>
          <w:b/>
          <w:noProof/>
          <w:szCs w:val="22"/>
        </w:rPr>
        <w:t>Fertilita, g</w:t>
      </w:r>
      <w:r w:rsidRPr="003A4976">
        <w:rPr>
          <w:b/>
          <w:noProof/>
          <w:szCs w:val="22"/>
        </w:rPr>
        <w:t>ravidita a laktácia</w:t>
      </w:r>
    </w:p>
    <w:p w:rsidR="00D35F53" w:rsidRPr="003A4976" w:rsidRDefault="00D35F53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</w:p>
    <w:p w:rsidR="002A65FF" w:rsidRPr="003A4976" w:rsidRDefault="002A65FF" w:rsidP="002A65FF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u w:val="single"/>
          <w:lang w:val="sk-SK"/>
        </w:rPr>
      </w:pPr>
      <w:proofErr w:type="spellStart"/>
      <w:r w:rsidRPr="003A4976">
        <w:rPr>
          <w:rFonts w:ascii="Times New Roman" w:hAnsi="Times New Roman" w:cs="Times New Roman"/>
          <w:sz w:val="22"/>
          <w:u w:val="single"/>
          <w:lang w:val="sk-SK"/>
        </w:rPr>
        <w:t>Fertilita</w:t>
      </w:r>
      <w:proofErr w:type="spellEnd"/>
    </w:p>
    <w:p w:rsidR="002A65FF" w:rsidRPr="003A4976" w:rsidRDefault="002A65FF" w:rsidP="002A65FF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lang w:val="sk-SK"/>
        </w:rPr>
      </w:pPr>
      <w:proofErr w:type="spellStart"/>
      <w:r w:rsidRPr="003A4976">
        <w:rPr>
          <w:rFonts w:ascii="Times New Roman" w:hAnsi="Times New Roman" w:cs="Times New Roman"/>
          <w:sz w:val="22"/>
          <w:lang w:val="sk-SK"/>
        </w:rPr>
        <w:t>Ajatin</w:t>
      </w:r>
      <w:proofErr w:type="spellEnd"/>
      <w:r w:rsidRPr="003A4976">
        <w:rPr>
          <w:rFonts w:ascii="Times New Roman" w:hAnsi="Times New Roman" w:cs="Times New Roman"/>
          <w:sz w:val="22"/>
          <w:lang w:val="sk-SK"/>
        </w:rPr>
        <w:t xml:space="preserve"> </w:t>
      </w:r>
      <w:proofErr w:type="spellStart"/>
      <w:r w:rsidRPr="003A4976">
        <w:rPr>
          <w:rFonts w:ascii="Times New Roman" w:hAnsi="Times New Roman" w:cs="Times New Roman"/>
          <w:sz w:val="22"/>
          <w:lang w:val="sk-SK"/>
        </w:rPr>
        <w:t>Profarma</w:t>
      </w:r>
      <w:proofErr w:type="spellEnd"/>
      <w:r w:rsidRPr="003A4976">
        <w:rPr>
          <w:rFonts w:ascii="Times New Roman" w:hAnsi="Times New Roman" w:cs="Times New Roman"/>
          <w:sz w:val="22"/>
          <w:lang w:val="sk-SK"/>
        </w:rPr>
        <w:t xml:space="preserve"> tinktúru môžu používať ženy vo fertilnom veku.</w:t>
      </w:r>
    </w:p>
    <w:p w:rsidR="002A65FF" w:rsidRPr="003A4976" w:rsidRDefault="002A65FF" w:rsidP="002A65FF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</w:p>
    <w:p w:rsidR="00501488" w:rsidRPr="003A4976" w:rsidRDefault="00501488" w:rsidP="002A65FF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3A4976">
        <w:rPr>
          <w:rFonts w:ascii="Times New Roman" w:hAnsi="Times New Roman" w:cs="Times New Roman"/>
          <w:sz w:val="22"/>
          <w:szCs w:val="22"/>
          <w:lang w:val="sk-SK"/>
        </w:rPr>
        <w:t>Gravidita</w:t>
      </w:r>
    </w:p>
    <w:p w:rsidR="00E93EE8" w:rsidRPr="003A4976" w:rsidRDefault="00D35F53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3A4976">
        <w:rPr>
          <w:rFonts w:ascii="Times New Roman" w:hAnsi="Times New Roman" w:cs="Times New Roman"/>
          <w:sz w:val="22"/>
          <w:szCs w:val="22"/>
          <w:lang w:val="sk-SK"/>
        </w:rPr>
        <w:t>Prípravok sa môže používať v</w:t>
      </w:r>
      <w:r w:rsidR="00501488" w:rsidRPr="003A4976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3A4976">
        <w:rPr>
          <w:rFonts w:ascii="Times New Roman" w:hAnsi="Times New Roman" w:cs="Times New Roman"/>
          <w:sz w:val="22"/>
          <w:szCs w:val="22"/>
          <w:lang w:val="sk-SK"/>
        </w:rPr>
        <w:t>gravidite</w:t>
      </w:r>
      <w:r w:rsidR="00501488" w:rsidRPr="003A4976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87690C" w:rsidRPr="003A4976" w:rsidRDefault="0087690C" w:rsidP="00501488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</w:p>
    <w:p w:rsidR="00501488" w:rsidRPr="003A4976" w:rsidRDefault="002A65FF" w:rsidP="00501488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3A4976">
        <w:rPr>
          <w:rFonts w:ascii="Times New Roman" w:hAnsi="Times New Roman" w:cs="Times New Roman"/>
          <w:sz w:val="22"/>
          <w:szCs w:val="22"/>
          <w:lang w:val="sk-SK"/>
        </w:rPr>
        <w:t>Dojčenie</w:t>
      </w:r>
    </w:p>
    <w:p w:rsidR="00501488" w:rsidRPr="003A4976" w:rsidRDefault="00501488" w:rsidP="00501488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3A4976">
        <w:rPr>
          <w:rFonts w:ascii="Times New Roman" w:hAnsi="Times New Roman" w:cs="Times New Roman"/>
          <w:sz w:val="22"/>
          <w:szCs w:val="22"/>
          <w:lang w:val="sk-SK"/>
        </w:rPr>
        <w:t>Prípravok sa môže používať</w:t>
      </w:r>
      <w:r w:rsidR="003A497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bookmarkStart w:id="3" w:name="_GoBack"/>
      <w:bookmarkEnd w:id="3"/>
      <w:r w:rsidRPr="003A4976">
        <w:rPr>
          <w:rFonts w:ascii="Times New Roman" w:hAnsi="Times New Roman" w:cs="Times New Roman"/>
          <w:sz w:val="22"/>
          <w:szCs w:val="22"/>
          <w:lang w:val="sk-SK"/>
        </w:rPr>
        <w:t>počas laktácie.</w:t>
      </w:r>
    </w:p>
    <w:p w:rsidR="00501488" w:rsidRPr="003A4976" w:rsidRDefault="00501488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</w:p>
    <w:bookmarkEnd w:id="2"/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4.7</w:t>
      </w:r>
      <w:r w:rsidRPr="003A4976">
        <w:rPr>
          <w:b/>
          <w:noProof/>
          <w:szCs w:val="22"/>
        </w:rPr>
        <w:tab/>
        <w:t>Ovplyvnenie schopnosti viesť vozidlá a obsluhovať stroje</w:t>
      </w:r>
    </w:p>
    <w:p w:rsidR="00D35F53" w:rsidRPr="003A4976" w:rsidRDefault="00D35F53">
      <w:pPr>
        <w:ind w:left="284" w:right="284" w:hanging="284"/>
        <w:rPr>
          <w:snapToGrid w:val="0"/>
          <w:szCs w:val="22"/>
        </w:rPr>
      </w:pPr>
    </w:p>
    <w:p w:rsidR="0087690C" w:rsidRPr="003A4976" w:rsidRDefault="0087690C" w:rsidP="0087690C">
      <w:pPr>
        <w:ind w:left="284" w:right="284" w:hanging="284"/>
        <w:rPr>
          <w:snapToGrid w:val="0"/>
        </w:rPr>
      </w:pPr>
      <w:proofErr w:type="spellStart"/>
      <w:r w:rsidRPr="003A4976">
        <w:t>Ajatin</w:t>
      </w:r>
      <w:proofErr w:type="spellEnd"/>
      <w:r w:rsidRPr="003A4976">
        <w:t xml:space="preserve"> </w:t>
      </w:r>
      <w:proofErr w:type="spellStart"/>
      <w:r w:rsidRPr="003A4976">
        <w:t>Profarma</w:t>
      </w:r>
      <w:proofErr w:type="spellEnd"/>
      <w:r w:rsidRPr="003A4976">
        <w:t xml:space="preserve"> tinktúra </w:t>
      </w:r>
      <w:r w:rsidRPr="003A4976">
        <w:rPr>
          <w:szCs w:val="22"/>
        </w:rPr>
        <w:t>nemá žiadny vplyv</w:t>
      </w:r>
      <w:r w:rsidRPr="003A4976">
        <w:rPr>
          <w:snapToGrid w:val="0"/>
        </w:rPr>
        <w:t xml:space="preserve"> </w:t>
      </w:r>
      <w:r w:rsidRPr="003A4976">
        <w:rPr>
          <w:szCs w:val="22"/>
        </w:rPr>
        <w:t>na schopnosť viesť vozidlá a obsluhovať stroje</w:t>
      </w:r>
      <w:r w:rsidRPr="003A4976">
        <w:rPr>
          <w:snapToGrid w:val="0"/>
        </w:rPr>
        <w:t>.</w:t>
      </w:r>
    </w:p>
    <w:p w:rsidR="00D35F53" w:rsidRPr="003A4976" w:rsidRDefault="00D35F53" w:rsidP="00E93EE8">
      <w:pPr>
        <w:ind w:left="284" w:right="284" w:hanging="284"/>
        <w:rPr>
          <w:noProof/>
          <w:szCs w:val="22"/>
        </w:rPr>
      </w:pPr>
    </w:p>
    <w:p w:rsidR="00D35F53" w:rsidRPr="003A4976" w:rsidRDefault="00D35F53">
      <w:pPr>
        <w:rPr>
          <w:b/>
          <w:noProof/>
          <w:szCs w:val="22"/>
        </w:rPr>
      </w:pPr>
      <w:r w:rsidRPr="003A4976">
        <w:rPr>
          <w:b/>
          <w:noProof/>
          <w:szCs w:val="22"/>
        </w:rPr>
        <w:t>4.8</w:t>
      </w:r>
      <w:r w:rsidRPr="003A4976">
        <w:rPr>
          <w:b/>
          <w:noProof/>
          <w:szCs w:val="22"/>
        </w:rPr>
        <w:tab/>
        <w:t>Nežiaduce účinky</w:t>
      </w:r>
    </w:p>
    <w:p w:rsidR="00D35F53" w:rsidRPr="003A4976" w:rsidRDefault="00D35F53">
      <w:pPr>
        <w:ind w:left="284" w:right="284" w:hanging="284"/>
        <w:jc w:val="both"/>
        <w:rPr>
          <w:snapToGrid w:val="0"/>
          <w:szCs w:val="22"/>
        </w:rPr>
      </w:pPr>
    </w:p>
    <w:p w:rsidR="003D073E" w:rsidRPr="003A4976" w:rsidRDefault="00D35F53" w:rsidP="00E93EE8">
      <w:pPr>
        <w:pStyle w:val="Zkladntext3"/>
        <w:rPr>
          <w:szCs w:val="22"/>
        </w:rPr>
      </w:pPr>
      <w:r w:rsidRPr="003A4976">
        <w:rPr>
          <w:szCs w:val="22"/>
        </w:rPr>
        <w:t>U precitlive</w:t>
      </w:r>
      <w:r w:rsidR="004B5174" w:rsidRPr="003A4976">
        <w:rPr>
          <w:szCs w:val="22"/>
        </w:rPr>
        <w:t>n</w:t>
      </w:r>
      <w:r w:rsidRPr="003A4976">
        <w:rPr>
          <w:szCs w:val="22"/>
        </w:rPr>
        <w:t>ých osôb alebo po opakovanom použití sa môžu na koži objaviť vyrážky rôzneho charakteru a</w:t>
      </w:r>
      <w:r w:rsidR="0087690C" w:rsidRPr="003A4976">
        <w:rPr>
          <w:szCs w:val="22"/>
        </w:rPr>
        <w:t> </w:t>
      </w:r>
      <w:r w:rsidRPr="003A4976">
        <w:rPr>
          <w:szCs w:val="22"/>
        </w:rPr>
        <w:t>intenzity</w:t>
      </w:r>
      <w:r w:rsidR="0087690C" w:rsidRPr="003A4976">
        <w:rPr>
          <w:szCs w:val="22"/>
        </w:rPr>
        <w:t xml:space="preserve">. </w:t>
      </w:r>
    </w:p>
    <w:p w:rsidR="0087690C" w:rsidRPr="003A4976" w:rsidRDefault="0087690C" w:rsidP="0087690C">
      <w:pPr>
        <w:pStyle w:val="Zkladntext3"/>
        <w:rPr>
          <w:szCs w:val="22"/>
        </w:rPr>
      </w:pPr>
    </w:p>
    <w:p w:rsidR="0087690C" w:rsidRPr="003A4976" w:rsidRDefault="0087690C" w:rsidP="0087690C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 w:rsidRPr="003A4976">
        <w:rPr>
          <w:sz w:val="22"/>
          <w:szCs w:val="22"/>
          <w:u w:val="single"/>
          <w:lang w:val="sk-SK"/>
        </w:rPr>
        <w:t>Hlásenie podozrení na nežiaduce reakcie</w:t>
      </w:r>
    </w:p>
    <w:p w:rsidR="00D35F53" w:rsidRPr="003A4976" w:rsidRDefault="00077BE5" w:rsidP="00937442">
      <w:pPr>
        <w:pStyle w:val="Zkladntext3"/>
        <w:rPr>
          <w:noProof/>
          <w:szCs w:val="22"/>
        </w:rPr>
      </w:pPr>
      <w:r w:rsidRPr="003A4976">
        <w:rPr>
          <w:szCs w:val="22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na </w:t>
      </w:r>
      <w:r w:rsidR="00937442" w:rsidRPr="00A334D9">
        <w:rPr>
          <w:highlight w:val="lightGray"/>
        </w:rPr>
        <w:t>národné centrum hlásenia uvedené v </w:t>
      </w:r>
      <w:hyperlink r:id="rId7">
        <w:r w:rsidR="00937442" w:rsidRPr="00A334D9">
          <w:rPr>
            <w:rStyle w:val="Hypertextovprepojenie"/>
            <w:highlight w:val="lightGray"/>
          </w:rPr>
          <w:t>Prílohe V</w:t>
        </w:r>
      </w:hyperlink>
      <w:r w:rsidR="00937442" w:rsidRPr="003A4976">
        <w:rPr>
          <w:color w:val="008000"/>
        </w:rPr>
        <w:t>.</w:t>
      </w: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4.9</w:t>
      </w:r>
      <w:r w:rsidRPr="003A4976">
        <w:rPr>
          <w:b/>
          <w:noProof/>
          <w:szCs w:val="22"/>
        </w:rPr>
        <w:tab/>
        <w:t>Predávkovanie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4B5174">
      <w:pPr>
        <w:ind w:left="0" w:right="284" w:firstLine="0"/>
        <w:jc w:val="both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Môže sa vyskytnúť </w:t>
      </w:r>
      <w:r w:rsidR="00D35F53" w:rsidRPr="003A4976">
        <w:rPr>
          <w:snapToGrid w:val="0"/>
          <w:szCs w:val="22"/>
        </w:rPr>
        <w:t>kožn</w:t>
      </w:r>
      <w:r w:rsidRPr="003A4976">
        <w:rPr>
          <w:snapToGrid w:val="0"/>
          <w:szCs w:val="22"/>
        </w:rPr>
        <w:t>á</w:t>
      </w:r>
      <w:r w:rsidR="00D35F53" w:rsidRPr="003A4976">
        <w:rPr>
          <w:snapToGrid w:val="0"/>
          <w:szCs w:val="22"/>
        </w:rPr>
        <w:t xml:space="preserve"> vyrážk</w:t>
      </w:r>
      <w:r w:rsidRPr="003A4976">
        <w:rPr>
          <w:snapToGrid w:val="0"/>
          <w:szCs w:val="22"/>
        </w:rPr>
        <w:t>a</w:t>
      </w:r>
      <w:r w:rsidR="00D35F53" w:rsidRPr="003A4976">
        <w:rPr>
          <w:snapToGrid w:val="0"/>
          <w:szCs w:val="22"/>
        </w:rPr>
        <w:t xml:space="preserve"> rôzneho charakteru a intenzity. Liečba je symptomatická. Pri náhodnom požití prípravku je treba vypiť </w:t>
      </w:r>
      <w:r w:rsidRPr="003A4976">
        <w:rPr>
          <w:snapToGrid w:val="0"/>
          <w:szCs w:val="22"/>
        </w:rPr>
        <w:t xml:space="preserve">väčšie </w:t>
      </w:r>
      <w:r w:rsidR="00D35F53" w:rsidRPr="003A4976">
        <w:rPr>
          <w:snapToGrid w:val="0"/>
          <w:szCs w:val="22"/>
        </w:rPr>
        <w:t>množstvo vody (2-3 litre) a vyvolať vracanie.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5.</w:t>
      </w:r>
      <w:r w:rsidRPr="003A4976">
        <w:rPr>
          <w:b/>
          <w:noProof/>
          <w:szCs w:val="22"/>
        </w:rPr>
        <w:tab/>
        <w:t>FARMAKOLOGICKÉ VLASTNOSTI</w:t>
      </w:r>
    </w:p>
    <w:p w:rsidR="00D35F53" w:rsidRPr="003A4976" w:rsidRDefault="00D35F53">
      <w:pPr>
        <w:rPr>
          <w:bCs/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5.1</w:t>
      </w:r>
      <w:r w:rsidRPr="003A4976">
        <w:rPr>
          <w:b/>
          <w:noProof/>
          <w:szCs w:val="22"/>
        </w:rPr>
        <w:tab/>
        <w:t>Farmakodynamické vlastnosti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Pta"/>
        <w:rPr>
          <w:szCs w:val="22"/>
        </w:rPr>
      </w:pPr>
      <w:r w:rsidRPr="003A4976">
        <w:rPr>
          <w:noProof/>
          <w:szCs w:val="22"/>
        </w:rPr>
        <w:t xml:space="preserve">Farmakoterapeutická skupina: </w:t>
      </w:r>
      <w:r w:rsidR="00077BE5" w:rsidRPr="003A4976">
        <w:rPr>
          <w:szCs w:val="22"/>
        </w:rPr>
        <w:t xml:space="preserve">Antiseptiká a </w:t>
      </w:r>
      <w:proofErr w:type="spellStart"/>
      <w:r w:rsidR="00077BE5" w:rsidRPr="003A4976">
        <w:rPr>
          <w:szCs w:val="22"/>
        </w:rPr>
        <w:t>dezinficienciá</w:t>
      </w:r>
      <w:proofErr w:type="spellEnd"/>
      <w:r w:rsidRPr="003A4976">
        <w:rPr>
          <w:noProof/>
          <w:szCs w:val="22"/>
        </w:rPr>
        <w:t xml:space="preserve">, ATC kód: </w:t>
      </w:r>
      <w:r w:rsidRPr="003A4976">
        <w:rPr>
          <w:szCs w:val="22"/>
        </w:rPr>
        <w:t>D08AJ</w:t>
      </w:r>
    </w:p>
    <w:p w:rsidR="00D35F53" w:rsidRPr="003A4976" w:rsidRDefault="00D35F53">
      <w:pPr>
        <w:pStyle w:val="Pta"/>
        <w:tabs>
          <w:tab w:val="clear" w:pos="4153"/>
          <w:tab w:val="clear" w:pos="8306"/>
        </w:tabs>
        <w:outlineLvl w:val="0"/>
        <w:rPr>
          <w:noProof/>
          <w:szCs w:val="22"/>
        </w:rPr>
      </w:pPr>
    </w:p>
    <w:p w:rsidR="00D35F53" w:rsidRPr="003A4976" w:rsidRDefault="004B5174">
      <w:pPr>
        <w:ind w:left="0" w:right="284" w:firstLine="0"/>
        <w:jc w:val="both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Mechanizmus </w:t>
      </w:r>
      <w:r w:rsidR="00D35F53" w:rsidRPr="003A4976">
        <w:rPr>
          <w:snapToGrid w:val="0"/>
          <w:szCs w:val="22"/>
        </w:rPr>
        <w:t xml:space="preserve">účinku: Dezinfekčný prípravok zo skupiny kvartérnych amóniových solí s fenolovým koeficientom 20-30, </w:t>
      </w:r>
      <w:proofErr w:type="spellStart"/>
      <w:r w:rsidR="00D35F53" w:rsidRPr="003A4976">
        <w:rPr>
          <w:snapToGrid w:val="0"/>
          <w:szCs w:val="22"/>
        </w:rPr>
        <w:t>benzododecínium</w:t>
      </w:r>
      <w:proofErr w:type="spellEnd"/>
      <w:r w:rsidR="00D35F53" w:rsidRPr="003A4976">
        <w:rPr>
          <w:snapToGrid w:val="0"/>
          <w:szCs w:val="22"/>
        </w:rPr>
        <w:t xml:space="preserve"> ako </w:t>
      </w:r>
      <w:proofErr w:type="spellStart"/>
      <w:r w:rsidR="00D35F53" w:rsidRPr="003A4976">
        <w:rPr>
          <w:snapToGrid w:val="0"/>
          <w:szCs w:val="22"/>
        </w:rPr>
        <w:t>bromid</w:t>
      </w:r>
      <w:proofErr w:type="spellEnd"/>
      <w:r w:rsidR="00D35F53" w:rsidRPr="003A4976">
        <w:rPr>
          <w:snapToGrid w:val="0"/>
          <w:szCs w:val="22"/>
        </w:rPr>
        <w:t xml:space="preserve"> je veľmi dobre rozpustný vo vode, svojím </w:t>
      </w:r>
      <w:proofErr w:type="spellStart"/>
      <w:r w:rsidR="00D35F53" w:rsidRPr="003A4976">
        <w:rPr>
          <w:snapToGrid w:val="0"/>
          <w:szCs w:val="22"/>
        </w:rPr>
        <w:t>detergentným</w:t>
      </w:r>
      <w:proofErr w:type="spellEnd"/>
      <w:r w:rsidR="00D35F53" w:rsidRPr="003A4976">
        <w:rPr>
          <w:snapToGrid w:val="0"/>
          <w:szCs w:val="22"/>
        </w:rPr>
        <w:t xml:space="preserve"> účinkom ruší transportnú funkciu membrány predovšetkým </w:t>
      </w:r>
      <w:proofErr w:type="spellStart"/>
      <w:r w:rsidR="00D35F53" w:rsidRPr="003A4976">
        <w:rPr>
          <w:snapToGrid w:val="0"/>
          <w:szCs w:val="22"/>
        </w:rPr>
        <w:t>grampozitívnych</w:t>
      </w:r>
      <w:proofErr w:type="spellEnd"/>
      <w:r w:rsidR="00D35F53" w:rsidRPr="003A4976">
        <w:rPr>
          <w:snapToGrid w:val="0"/>
          <w:szCs w:val="22"/>
        </w:rPr>
        <w:t xml:space="preserve"> mikróbov. V nižšej koncentrácii má neistý účinok na niektoré </w:t>
      </w:r>
      <w:proofErr w:type="spellStart"/>
      <w:r w:rsidR="00D35F53" w:rsidRPr="003A4976">
        <w:rPr>
          <w:snapToGrid w:val="0"/>
          <w:szCs w:val="22"/>
        </w:rPr>
        <w:t>gramnegatívne</w:t>
      </w:r>
      <w:proofErr w:type="spellEnd"/>
      <w:r w:rsidR="00D35F53" w:rsidRPr="003A4976">
        <w:rPr>
          <w:snapToGrid w:val="0"/>
          <w:szCs w:val="22"/>
        </w:rPr>
        <w:t xml:space="preserve"> podmienene patogénne mikróby (</w:t>
      </w:r>
      <w:proofErr w:type="spellStart"/>
      <w:r w:rsidR="00D35F53" w:rsidRPr="003A4976">
        <w:rPr>
          <w:snapToGrid w:val="0"/>
          <w:szCs w:val="22"/>
        </w:rPr>
        <w:t>Proteus</w:t>
      </w:r>
      <w:proofErr w:type="spellEnd"/>
      <w:r w:rsidR="00D35F53" w:rsidRPr="003A4976">
        <w:rPr>
          <w:snapToGrid w:val="0"/>
          <w:szCs w:val="22"/>
        </w:rPr>
        <w:t xml:space="preserve">, </w:t>
      </w:r>
      <w:proofErr w:type="spellStart"/>
      <w:r w:rsidR="00D35F53" w:rsidRPr="003A4976">
        <w:rPr>
          <w:snapToGrid w:val="0"/>
          <w:szCs w:val="22"/>
        </w:rPr>
        <w:t>Pseudomonas</w:t>
      </w:r>
      <w:proofErr w:type="spellEnd"/>
      <w:r w:rsidR="00D35F53" w:rsidRPr="003A4976">
        <w:rPr>
          <w:snapToGrid w:val="0"/>
          <w:szCs w:val="22"/>
        </w:rPr>
        <w:t xml:space="preserve"> apod.). </w:t>
      </w:r>
      <w:r w:rsidRPr="003A4976">
        <w:rPr>
          <w:snapToGrid w:val="0"/>
          <w:szCs w:val="22"/>
        </w:rPr>
        <w:t xml:space="preserve">Nelikviduje </w:t>
      </w:r>
      <w:proofErr w:type="spellStart"/>
      <w:r w:rsidR="00D35F53" w:rsidRPr="003A4976">
        <w:rPr>
          <w:i/>
          <w:iCs/>
          <w:snapToGrid w:val="0"/>
          <w:szCs w:val="22"/>
        </w:rPr>
        <w:t>Mycobacterium</w:t>
      </w:r>
      <w:proofErr w:type="spellEnd"/>
      <w:r w:rsidR="00D35F53" w:rsidRPr="003A4976">
        <w:rPr>
          <w:snapToGrid w:val="0"/>
          <w:szCs w:val="22"/>
        </w:rPr>
        <w:t xml:space="preserve"> </w:t>
      </w:r>
      <w:proofErr w:type="spellStart"/>
      <w:r w:rsidR="00D35F53" w:rsidRPr="003A4976">
        <w:rPr>
          <w:i/>
          <w:iCs/>
          <w:snapToGrid w:val="0"/>
          <w:szCs w:val="22"/>
        </w:rPr>
        <w:t>tuberculosis</w:t>
      </w:r>
      <w:proofErr w:type="spellEnd"/>
      <w:r w:rsidR="00D35F53" w:rsidRPr="003A4976">
        <w:rPr>
          <w:snapToGrid w:val="0"/>
          <w:szCs w:val="22"/>
        </w:rPr>
        <w:t xml:space="preserve"> a spóry baktérii. Pri dlhších expozíciách inaktivuje niektoré vírusy.</w:t>
      </w:r>
    </w:p>
    <w:p w:rsidR="00D35F53" w:rsidRPr="003A4976" w:rsidRDefault="00D35F53">
      <w:pPr>
        <w:tabs>
          <w:tab w:val="left" w:pos="0"/>
        </w:tabs>
        <w:ind w:left="0" w:firstLine="0"/>
        <w:rPr>
          <w:noProof/>
          <w:szCs w:val="22"/>
        </w:rPr>
      </w:pPr>
    </w:p>
    <w:p w:rsidR="00D35F53" w:rsidRPr="003A4976" w:rsidRDefault="00D35F53">
      <w:pPr>
        <w:tabs>
          <w:tab w:val="left" w:pos="0"/>
        </w:tabs>
        <w:ind w:left="0" w:firstLine="0"/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5.2</w:t>
      </w:r>
      <w:r w:rsidRPr="003A4976">
        <w:rPr>
          <w:b/>
          <w:noProof/>
          <w:szCs w:val="22"/>
        </w:rPr>
        <w:tab/>
        <w:t>Farmakokinetické vlastnosti</w:t>
      </w:r>
    </w:p>
    <w:p w:rsidR="00D35F53" w:rsidRPr="003A4976" w:rsidRDefault="00D35F53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</w:p>
    <w:p w:rsidR="00D35F53" w:rsidRPr="003A4976" w:rsidRDefault="00D35F53">
      <w:pPr>
        <w:pStyle w:val="Oznaitext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3A4976">
        <w:rPr>
          <w:rFonts w:ascii="Times New Roman" w:hAnsi="Times New Roman" w:cs="Times New Roman"/>
          <w:sz w:val="22"/>
          <w:szCs w:val="22"/>
          <w:lang w:val="sk-SK"/>
        </w:rPr>
        <w:t>Prípravok je určen</w:t>
      </w:r>
      <w:r w:rsidR="004B5174" w:rsidRPr="003A4976">
        <w:rPr>
          <w:rFonts w:ascii="Times New Roman" w:hAnsi="Times New Roman" w:cs="Times New Roman"/>
          <w:sz w:val="22"/>
          <w:szCs w:val="22"/>
          <w:lang w:val="sk-SK"/>
        </w:rPr>
        <w:t>ý</w:t>
      </w:r>
      <w:r w:rsidRPr="003A4976">
        <w:rPr>
          <w:rFonts w:ascii="Times New Roman" w:hAnsi="Times New Roman" w:cs="Times New Roman"/>
          <w:sz w:val="22"/>
          <w:szCs w:val="22"/>
          <w:lang w:val="sk-SK"/>
        </w:rPr>
        <w:t xml:space="preserve"> len na vonkajšie použitie, absorpcia pokožkou je minimálna.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5.3</w:t>
      </w:r>
      <w:r w:rsidRPr="003A4976">
        <w:rPr>
          <w:b/>
          <w:noProof/>
          <w:szCs w:val="22"/>
        </w:rPr>
        <w:tab/>
        <w:t>Predklinické údaje o bezpečnosti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pStyle w:val="Zkladntext2"/>
        <w:rPr>
          <w:rFonts w:ascii="Times New Roman" w:hAnsi="Times New Roman" w:cs="Times New Roman"/>
          <w:szCs w:val="22"/>
        </w:rPr>
      </w:pPr>
      <w:r w:rsidRPr="003A4976">
        <w:rPr>
          <w:rFonts w:ascii="Times New Roman" w:hAnsi="Times New Roman" w:cs="Times New Roman"/>
          <w:szCs w:val="22"/>
        </w:rPr>
        <w:t xml:space="preserve">Bezpečnosť prípravku bola preukázaná dlhodobým </w:t>
      </w:r>
      <w:r w:rsidR="004B5174" w:rsidRPr="003A4976">
        <w:rPr>
          <w:rFonts w:ascii="Times New Roman" w:hAnsi="Times New Roman" w:cs="Times New Roman"/>
          <w:szCs w:val="22"/>
        </w:rPr>
        <w:t>po</w:t>
      </w:r>
      <w:r w:rsidRPr="003A4976">
        <w:rPr>
          <w:rFonts w:ascii="Times New Roman" w:hAnsi="Times New Roman" w:cs="Times New Roman"/>
          <w:szCs w:val="22"/>
        </w:rPr>
        <w:t>užív</w:t>
      </w:r>
      <w:r w:rsidR="004B5174" w:rsidRPr="003A4976">
        <w:rPr>
          <w:rFonts w:ascii="Times New Roman" w:hAnsi="Times New Roman" w:cs="Times New Roman"/>
          <w:szCs w:val="22"/>
        </w:rPr>
        <w:t>a</w:t>
      </w:r>
      <w:r w:rsidRPr="003A4976">
        <w:rPr>
          <w:rFonts w:ascii="Times New Roman" w:hAnsi="Times New Roman" w:cs="Times New Roman"/>
          <w:szCs w:val="22"/>
        </w:rPr>
        <w:t>ním v klinickej praxi.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b/>
          <w:noProof/>
          <w:szCs w:val="22"/>
        </w:rPr>
      </w:pPr>
      <w:r w:rsidRPr="003A4976">
        <w:rPr>
          <w:b/>
          <w:noProof/>
          <w:szCs w:val="22"/>
        </w:rPr>
        <w:t>6.</w:t>
      </w:r>
      <w:r w:rsidRPr="003A4976">
        <w:rPr>
          <w:b/>
          <w:noProof/>
          <w:szCs w:val="22"/>
        </w:rPr>
        <w:tab/>
        <w:t>FARMACEUTICKÉ INFORMÁCIE</w:t>
      </w:r>
    </w:p>
    <w:p w:rsidR="00D35F53" w:rsidRPr="003A4976" w:rsidRDefault="00D35F53">
      <w:pPr>
        <w:rPr>
          <w:b/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6.1</w:t>
      </w:r>
      <w:r w:rsidRPr="003A4976">
        <w:rPr>
          <w:b/>
          <w:noProof/>
          <w:szCs w:val="22"/>
        </w:rPr>
        <w:tab/>
        <w:t>Zoznam pomocných látok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441BDC">
      <w:pPr>
        <w:pStyle w:val="Nadpis6"/>
        <w:spacing w:before="0" w:after="0" w:line="240" w:lineRule="auto"/>
        <w:ind w:left="0" w:right="284"/>
        <w:rPr>
          <w:sz w:val="22"/>
          <w:szCs w:val="22"/>
          <w:lang w:val="sk-SK"/>
        </w:rPr>
      </w:pPr>
      <w:r w:rsidRPr="003A4976">
        <w:rPr>
          <w:sz w:val="22"/>
          <w:szCs w:val="22"/>
          <w:lang w:val="sk-SK"/>
        </w:rPr>
        <w:t>e</w:t>
      </w:r>
      <w:r w:rsidR="00D35F53" w:rsidRPr="003A4976">
        <w:rPr>
          <w:sz w:val="22"/>
          <w:szCs w:val="22"/>
          <w:lang w:val="sk-SK"/>
        </w:rPr>
        <w:t>tanol denatur</w:t>
      </w:r>
      <w:r w:rsidR="00D35E94" w:rsidRPr="003A4976">
        <w:rPr>
          <w:sz w:val="22"/>
          <w:szCs w:val="22"/>
          <w:lang w:val="sk-SK"/>
        </w:rPr>
        <w:t xml:space="preserve">ovaný </w:t>
      </w:r>
      <w:proofErr w:type="spellStart"/>
      <w:r w:rsidR="00D35E94" w:rsidRPr="003A4976">
        <w:rPr>
          <w:sz w:val="22"/>
          <w:szCs w:val="22"/>
          <w:lang w:val="sk-SK"/>
        </w:rPr>
        <w:t>tymolom</w:t>
      </w:r>
      <w:proofErr w:type="spellEnd"/>
      <w:r w:rsidR="00D35F53" w:rsidRPr="003A4976">
        <w:rPr>
          <w:sz w:val="22"/>
          <w:szCs w:val="22"/>
          <w:lang w:val="sk-SK"/>
        </w:rPr>
        <w:t xml:space="preserve">  </w:t>
      </w:r>
    </w:p>
    <w:p w:rsidR="00D35F53" w:rsidRPr="003A4976" w:rsidRDefault="00D35F53">
      <w:pPr>
        <w:ind w:left="0" w:right="284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 </w:t>
      </w:r>
      <w:r w:rsidRPr="003A4976">
        <w:rPr>
          <w:snapToGrid w:val="0"/>
          <w:szCs w:val="22"/>
        </w:rPr>
        <w:tab/>
      </w:r>
      <w:r w:rsidR="00441BDC" w:rsidRPr="003A4976">
        <w:rPr>
          <w:snapToGrid w:val="0"/>
          <w:szCs w:val="22"/>
        </w:rPr>
        <w:t>c</w:t>
      </w:r>
      <w:r w:rsidR="00D35E94" w:rsidRPr="003A4976">
        <w:rPr>
          <w:snapToGrid w:val="0"/>
          <w:szCs w:val="22"/>
        </w:rPr>
        <w:t>itrónová žltá</w:t>
      </w:r>
    </w:p>
    <w:p w:rsidR="00D35F53" w:rsidRPr="003A4976" w:rsidRDefault="00D35F53">
      <w:pPr>
        <w:ind w:left="0" w:right="284"/>
        <w:rPr>
          <w:snapToGrid w:val="0"/>
          <w:szCs w:val="22"/>
        </w:rPr>
      </w:pPr>
      <w:r w:rsidRPr="003A4976">
        <w:rPr>
          <w:snapToGrid w:val="0"/>
          <w:szCs w:val="22"/>
        </w:rPr>
        <w:t xml:space="preserve"> </w:t>
      </w:r>
      <w:r w:rsidRPr="003A4976">
        <w:rPr>
          <w:snapToGrid w:val="0"/>
          <w:szCs w:val="22"/>
        </w:rPr>
        <w:tab/>
      </w:r>
      <w:r w:rsidR="00441BDC" w:rsidRPr="003A4976">
        <w:rPr>
          <w:snapToGrid w:val="0"/>
          <w:szCs w:val="22"/>
        </w:rPr>
        <w:t>č</w:t>
      </w:r>
      <w:r w:rsidR="00D35E94" w:rsidRPr="003A4976">
        <w:rPr>
          <w:snapToGrid w:val="0"/>
          <w:szCs w:val="22"/>
        </w:rPr>
        <w:t>istená voda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6.2</w:t>
      </w:r>
      <w:r w:rsidRPr="003A4976">
        <w:rPr>
          <w:b/>
          <w:noProof/>
          <w:szCs w:val="22"/>
        </w:rPr>
        <w:tab/>
        <w:t>Inkompatibility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6B7E6F">
      <w:pPr>
        <w:rPr>
          <w:noProof/>
          <w:szCs w:val="22"/>
        </w:rPr>
      </w:pPr>
      <w:r w:rsidRPr="003A4976">
        <w:rPr>
          <w:noProof/>
          <w:szCs w:val="22"/>
        </w:rPr>
        <w:t>Alkálie (mydlo) rušia dezinfekčný účinok Ajatínu</w:t>
      </w:r>
      <w:r w:rsidR="00191F98" w:rsidRPr="003A4976">
        <w:rPr>
          <w:noProof/>
          <w:szCs w:val="22"/>
        </w:rPr>
        <w:t xml:space="preserve">. </w:t>
      </w:r>
      <w:r w:rsidR="00191F98" w:rsidRPr="003A4976">
        <w:rPr>
          <w:szCs w:val="22"/>
        </w:rPr>
        <w:t xml:space="preserve">Nie je vhodná kombinácia </w:t>
      </w:r>
      <w:proofErr w:type="spellStart"/>
      <w:r w:rsidR="00191F98" w:rsidRPr="003A4976">
        <w:rPr>
          <w:szCs w:val="22"/>
        </w:rPr>
        <w:t>Ajatinu</w:t>
      </w:r>
      <w:proofErr w:type="spellEnd"/>
      <w:r w:rsidR="00191F98" w:rsidRPr="003A4976">
        <w:rPr>
          <w:szCs w:val="22"/>
        </w:rPr>
        <w:t xml:space="preserve"> so siln</w:t>
      </w:r>
      <w:r w:rsidR="00913CB0" w:rsidRPr="003A4976">
        <w:rPr>
          <w:szCs w:val="22"/>
        </w:rPr>
        <w:t>o</w:t>
      </w:r>
      <w:r w:rsidR="00191F98" w:rsidRPr="003A4976">
        <w:rPr>
          <w:szCs w:val="22"/>
        </w:rPr>
        <w:t xml:space="preserve"> oxidujúcimi látkami (napr. peroxid vodíka)</w:t>
      </w:r>
      <w:r w:rsidRPr="003A4976">
        <w:rPr>
          <w:noProof/>
          <w:szCs w:val="22"/>
        </w:rPr>
        <w:t xml:space="preserve"> (pozri. Časť 4.5.)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6.3</w:t>
      </w:r>
      <w:r w:rsidRPr="003A4976">
        <w:rPr>
          <w:b/>
          <w:noProof/>
          <w:szCs w:val="22"/>
        </w:rPr>
        <w:tab/>
        <w:t>Čas použiteľnosti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ind w:left="540" w:hanging="540"/>
        <w:rPr>
          <w:noProof/>
          <w:szCs w:val="22"/>
        </w:rPr>
      </w:pPr>
      <w:r w:rsidRPr="003A4976">
        <w:rPr>
          <w:noProof/>
          <w:szCs w:val="22"/>
        </w:rPr>
        <w:t>5 rokov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6.4</w:t>
      </w:r>
      <w:r w:rsidRPr="003A4976">
        <w:rPr>
          <w:b/>
          <w:noProof/>
          <w:szCs w:val="22"/>
        </w:rPr>
        <w:tab/>
        <w:t>Špeciálne upozornenia na uchovávanie</w:t>
      </w:r>
    </w:p>
    <w:p w:rsidR="00D35F53" w:rsidRPr="003A4976" w:rsidRDefault="00D35F53">
      <w:pPr>
        <w:rPr>
          <w:noProof/>
          <w:szCs w:val="22"/>
        </w:rPr>
      </w:pPr>
    </w:p>
    <w:p w:rsidR="00096B7D" w:rsidRPr="003A4976" w:rsidRDefault="00EC7CF0">
      <w:pPr>
        <w:rPr>
          <w:noProof/>
          <w:szCs w:val="22"/>
        </w:rPr>
      </w:pPr>
      <w:r w:rsidRPr="003A4976">
        <w:rPr>
          <w:snapToGrid w:val="0"/>
          <w:szCs w:val="22"/>
        </w:rPr>
        <w:t xml:space="preserve">Uchovávajte </w:t>
      </w:r>
      <w:r w:rsidR="00D35F53" w:rsidRPr="003A4976">
        <w:rPr>
          <w:snapToGrid w:val="0"/>
          <w:szCs w:val="22"/>
        </w:rPr>
        <w:t xml:space="preserve">v dobre uzavretom </w:t>
      </w:r>
      <w:r w:rsidRPr="003A4976">
        <w:rPr>
          <w:noProof/>
          <w:szCs w:val="22"/>
        </w:rPr>
        <w:t>pôvodnom</w:t>
      </w:r>
      <w:r w:rsidRPr="003A4976" w:rsidDel="00EC7CF0">
        <w:rPr>
          <w:snapToGrid w:val="0"/>
          <w:szCs w:val="22"/>
        </w:rPr>
        <w:t xml:space="preserve"> </w:t>
      </w:r>
      <w:r w:rsidR="00D35F53" w:rsidRPr="003A4976">
        <w:rPr>
          <w:snapToGrid w:val="0"/>
          <w:szCs w:val="22"/>
        </w:rPr>
        <w:t xml:space="preserve">obale pri teplote </w:t>
      </w:r>
      <w:r w:rsidRPr="003A4976">
        <w:rPr>
          <w:snapToGrid w:val="0"/>
          <w:szCs w:val="22"/>
        </w:rPr>
        <w:t>do</w:t>
      </w:r>
      <w:r w:rsidR="006B7E6F" w:rsidRPr="003A4976">
        <w:rPr>
          <w:snapToGrid w:val="0"/>
          <w:szCs w:val="22"/>
        </w:rPr>
        <w:t xml:space="preserve"> </w:t>
      </w:r>
      <w:r w:rsidR="00D35F53" w:rsidRPr="003A4976">
        <w:rPr>
          <w:snapToGrid w:val="0"/>
          <w:szCs w:val="22"/>
        </w:rPr>
        <w:t xml:space="preserve">25 </w:t>
      </w:r>
      <w:r w:rsidR="00D35F53" w:rsidRPr="003A4976">
        <w:rPr>
          <w:snapToGrid w:val="0"/>
          <w:position w:val="6"/>
          <w:szCs w:val="22"/>
        </w:rPr>
        <w:t>o</w:t>
      </w:r>
      <w:r w:rsidR="00D35F53" w:rsidRPr="003A4976">
        <w:rPr>
          <w:snapToGrid w:val="0"/>
          <w:szCs w:val="22"/>
        </w:rPr>
        <w:t>C</w:t>
      </w:r>
      <w:r w:rsidR="00483933" w:rsidRPr="003A4976">
        <w:rPr>
          <w:snapToGrid w:val="0"/>
          <w:szCs w:val="22"/>
        </w:rPr>
        <w:t>.</w:t>
      </w:r>
      <w:r w:rsidR="00D35F53" w:rsidRPr="003A4976">
        <w:rPr>
          <w:snapToGrid w:val="0"/>
          <w:szCs w:val="22"/>
        </w:rPr>
        <w:t xml:space="preserve"> </w:t>
      </w:r>
      <w:r w:rsidR="00096B7D" w:rsidRPr="003A4976">
        <w:rPr>
          <w:noProof/>
          <w:szCs w:val="22"/>
        </w:rPr>
        <w:t xml:space="preserve">Neuchovávajte v chladničke </w:t>
      </w:r>
    </w:p>
    <w:p w:rsidR="00096B7D" w:rsidRPr="003A4976" w:rsidRDefault="00096B7D">
      <w:pPr>
        <w:rPr>
          <w:snapToGrid w:val="0"/>
          <w:szCs w:val="22"/>
        </w:rPr>
      </w:pPr>
      <w:r w:rsidRPr="003A4976">
        <w:rPr>
          <w:noProof/>
          <w:szCs w:val="22"/>
        </w:rPr>
        <w:t>alebo mrazničke</w:t>
      </w:r>
      <w:r w:rsidRPr="003A4976">
        <w:rPr>
          <w:snapToGrid w:val="0"/>
          <w:szCs w:val="22"/>
        </w:rPr>
        <w:t>.</w:t>
      </w:r>
    </w:p>
    <w:p w:rsidR="00D35F53" w:rsidRPr="003A4976" w:rsidRDefault="00D35F53">
      <w:pPr>
        <w:rPr>
          <w:b/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6.5</w:t>
      </w:r>
      <w:r w:rsidRPr="003A4976">
        <w:rPr>
          <w:b/>
          <w:noProof/>
          <w:szCs w:val="22"/>
        </w:rPr>
        <w:tab/>
        <w:t>Druh obalu a obsah balenia</w:t>
      </w:r>
      <w:r w:rsidRPr="003A4976">
        <w:rPr>
          <w:b/>
          <w:noProof/>
          <w:color w:val="0000FF"/>
          <w:szCs w:val="22"/>
        </w:rPr>
        <w:t xml:space="preserve"> </w:t>
      </w:r>
    </w:p>
    <w:p w:rsidR="00D35F53" w:rsidRPr="003A4976" w:rsidRDefault="00D35F53">
      <w:pPr>
        <w:rPr>
          <w:noProof/>
          <w:szCs w:val="22"/>
        </w:rPr>
      </w:pPr>
    </w:p>
    <w:p w:rsidR="00471A5B" w:rsidRPr="003A4976" w:rsidRDefault="00913CB0">
      <w:pPr>
        <w:ind w:left="0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>Pre 10 ml, 25 ml, 50 ml dermálneho roztoku: h</w:t>
      </w:r>
      <w:r w:rsidR="00EF2125" w:rsidRPr="003A4976">
        <w:rPr>
          <w:snapToGrid w:val="0"/>
          <w:szCs w:val="22"/>
        </w:rPr>
        <w:t xml:space="preserve">nedá sklenená fľaštička s </w:t>
      </w:r>
      <w:r w:rsidRPr="003A4976">
        <w:rPr>
          <w:snapToGrid w:val="0"/>
          <w:szCs w:val="22"/>
        </w:rPr>
        <w:t xml:space="preserve">bezpečnostným </w:t>
      </w:r>
      <w:r w:rsidR="00EF2125" w:rsidRPr="003A4976">
        <w:rPr>
          <w:snapToGrid w:val="0"/>
          <w:szCs w:val="22"/>
        </w:rPr>
        <w:t xml:space="preserve">PP </w:t>
      </w:r>
      <w:r w:rsidR="00077BE5" w:rsidRPr="003A4976">
        <w:rPr>
          <w:snapToGrid w:val="0"/>
          <w:szCs w:val="22"/>
        </w:rPr>
        <w:t>uzáverom so závitom</w:t>
      </w:r>
      <w:r w:rsidR="003A4976" w:rsidRPr="003A4976">
        <w:rPr>
          <w:snapToGrid w:val="0"/>
          <w:szCs w:val="22"/>
        </w:rPr>
        <w:t xml:space="preserve"> a</w:t>
      </w:r>
      <w:r w:rsidR="00EF2125" w:rsidRPr="003A4976">
        <w:rPr>
          <w:snapToGrid w:val="0"/>
          <w:szCs w:val="22"/>
        </w:rPr>
        <w:t xml:space="preserve"> PE vložkou, </w:t>
      </w:r>
      <w:r w:rsidR="003D1398" w:rsidRPr="003A4976">
        <w:rPr>
          <w:snapToGrid w:val="0"/>
          <w:szCs w:val="22"/>
        </w:rPr>
        <w:t>škatuľka</w:t>
      </w:r>
    </w:p>
    <w:p w:rsidR="00D35F53" w:rsidRPr="003A4976" w:rsidRDefault="00913CB0" w:rsidP="00471A5B">
      <w:pPr>
        <w:ind w:left="0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>Pre 1000 ml dermálneho roztoku: h</w:t>
      </w:r>
      <w:r w:rsidR="00471A5B" w:rsidRPr="003A4976">
        <w:rPr>
          <w:snapToGrid w:val="0"/>
          <w:szCs w:val="22"/>
        </w:rPr>
        <w:t>nedá sklenená fľaš</w:t>
      </w:r>
      <w:r w:rsidR="006F3302" w:rsidRPr="003A4976">
        <w:rPr>
          <w:snapToGrid w:val="0"/>
          <w:szCs w:val="22"/>
        </w:rPr>
        <w:t xml:space="preserve">ka </w:t>
      </w:r>
      <w:r w:rsidR="00471A5B" w:rsidRPr="003A4976">
        <w:rPr>
          <w:snapToGrid w:val="0"/>
          <w:szCs w:val="22"/>
        </w:rPr>
        <w:t>s</w:t>
      </w:r>
      <w:r w:rsidR="003A4976" w:rsidRPr="003A4976">
        <w:rPr>
          <w:snapToGrid w:val="0"/>
          <w:szCs w:val="22"/>
        </w:rPr>
        <w:t xml:space="preserve">o </w:t>
      </w:r>
      <w:proofErr w:type="spellStart"/>
      <w:r w:rsidR="00471A5B" w:rsidRPr="003A4976">
        <w:rPr>
          <w:snapToGrid w:val="0"/>
          <w:szCs w:val="22"/>
        </w:rPr>
        <w:t>skrutkovacím</w:t>
      </w:r>
      <w:proofErr w:type="spellEnd"/>
      <w:r w:rsidR="00471A5B" w:rsidRPr="003A4976">
        <w:rPr>
          <w:snapToGrid w:val="0"/>
          <w:szCs w:val="22"/>
        </w:rPr>
        <w:t xml:space="preserve"> PP uzáverom </w:t>
      </w:r>
      <w:r w:rsidR="00441BDC" w:rsidRPr="003A4976">
        <w:rPr>
          <w:snapToGrid w:val="0"/>
          <w:szCs w:val="22"/>
        </w:rPr>
        <w:t>so závitom</w:t>
      </w:r>
      <w:r w:rsidR="003A4976" w:rsidRPr="003A4976">
        <w:rPr>
          <w:snapToGrid w:val="0"/>
          <w:szCs w:val="22"/>
        </w:rPr>
        <w:t xml:space="preserve"> </w:t>
      </w:r>
      <w:r w:rsidR="00471A5B" w:rsidRPr="003A4976">
        <w:rPr>
          <w:snapToGrid w:val="0"/>
          <w:szCs w:val="22"/>
        </w:rPr>
        <w:t>a PE vložkou</w:t>
      </w:r>
    </w:p>
    <w:p w:rsidR="00471A5B" w:rsidRPr="003A4976" w:rsidRDefault="00913CB0">
      <w:pPr>
        <w:ind w:left="0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>Pre 10 ml, 25 ml, 50 ml dermálneho roztoku: h</w:t>
      </w:r>
      <w:r w:rsidR="00471A5B" w:rsidRPr="003A4976">
        <w:rPr>
          <w:snapToGrid w:val="0"/>
          <w:szCs w:val="22"/>
        </w:rPr>
        <w:t xml:space="preserve">nedá sklenená fľaštička, s mechanickým rozprašovačom, </w:t>
      </w:r>
      <w:r w:rsidRPr="003A4976">
        <w:rPr>
          <w:snapToGrid w:val="0"/>
          <w:szCs w:val="22"/>
        </w:rPr>
        <w:t>škatuľka</w:t>
      </w:r>
    </w:p>
    <w:p w:rsidR="00D35F53" w:rsidRPr="003A4976" w:rsidRDefault="00471A5B">
      <w:pPr>
        <w:ind w:left="0" w:firstLine="0"/>
        <w:rPr>
          <w:snapToGrid w:val="0"/>
          <w:szCs w:val="22"/>
        </w:rPr>
      </w:pPr>
      <w:r w:rsidRPr="003A4976">
        <w:rPr>
          <w:szCs w:val="22"/>
        </w:rPr>
        <w:t>Na trh nemusia byť uvedené</w:t>
      </w:r>
      <w:r w:rsidRPr="003A4976">
        <w:rPr>
          <w:noProof/>
          <w:szCs w:val="22"/>
        </w:rPr>
        <w:t xml:space="preserve"> </w:t>
      </w:r>
      <w:r w:rsidRPr="003A4976">
        <w:rPr>
          <w:szCs w:val="22"/>
        </w:rPr>
        <w:t>všetky veľkosti balenia.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b/>
          <w:bCs/>
          <w:noProof/>
          <w:szCs w:val="22"/>
        </w:rPr>
      </w:pPr>
      <w:r w:rsidRPr="003A4976">
        <w:rPr>
          <w:b/>
          <w:noProof/>
          <w:szCs w:val="22"/>
        </w:rPr>
        <w:t>6.6</w:t>
      </w:r>
      <w:r w:rsidRPr="003A4976">
        <w:rPr>
          <w:b/>
          <w:noProof/>
          <w:szCs w:val="22"/>
        </w:rPr>
        <w:tab/>
      </w:r>
      <w:r w:rsidRPr="003A4976">
        <w:rPr>
          <w:b/>
          <w:bCs/>
          <w:noProof/>
          <w:szCs w:val="22"/>
        </w:rPr>
        <w:t xml:space="preserve">Špeciálne opatrenia na likvidáciu </w:t>
      </w:r>
    </w:p>
    <w:p w:rsidR="00D35F53" w:rsidRPr="003A4976" w:rsidRDefault="00D35F53">
      <w:pPr>
        <w:rPr>
          <w:noProof/>
          <w:szCs w:val="22"/>
        </w:rPr>
      </w:pPr>
    </w:p>
    <w:p w:rsidR="00471A5B" w:rsidRPr="003A4976" w:rsidRDefault="00471A5B" w:rsidP="00471A5B">
      <w:pPr>
        <w:pStyle w:val="Zarkazkladnhotextu"/>
        <w:spacing w:before="0" w:after="0" w:line="240" w:lineRule="auto"/>
        <w:ind w:left="0" w:right="284"/>
        <w:jc w:val="both"/>
        <w:rPr>
          <w:noProof/>
          <w:sz w:val="22"/>
          <w:szCs w:val="22"/>
          <w:lang w:val="sk-SK"/>
        </w:rPr>
      </w:pPr>
      <w:r w:rsidRPr="003A4976">
        <w:rPr>
          <w:noProof/>
          <w:sz w:val="22"/>
          <w:szCs w:val="22"/>
          <w:lang w:val="sk-SK"/>
        </w:rPr>
        <w:t xml:space="preserve">Ajatín Profarma tinktúra </w:t>
      </w:r>
      <w:r w:rsidR="00D35F53" w:rsidRPr="003A4976">
        <w:rPr>
          <w:noProof/>
          <w:sz w:val="22"/>
          <w:szCs w:val="22"/>
          <w:lang w:val="sk-SK"/>
        </w:rPr>
        <w:t>sa nesm</w:t>
      </w:r>
      <w:r w:rsidRPr="003A4976">
        <w:rPr>
          <w:noProof/>
          <w:sz w:val="22"/>
          <w:szCs w:val="22"/>
          <w:lang w:val="sk-SK"/>
        </w:rPr>
        <w:t>ie</w:t>
      </w:r>
      <w:r w:rsidR="00D35F53" w:rsidRPr="003A4976">
        <w:rPr>
          <w:noProof/>
          <w:sz w:val="22"/>
          <w:szCs w:val="22"/>
          <w:lang w:val="sk-SK"/>
        </w:rPr>
        <w:t xml:space="preserve"> likvidovať odpadovou vodou alebo domovým odpadom. </w:t>
      </w:r>
    </w:p>
    <w:p w:rsidR="00471A5B" w:rsidRPr="003A4976" w:rsidRDefault="00077BE5" w:rsidP="00471A5B">
      <w:pPr>
        <w:pStyle w:val="Zarkazkladnhotextu"/>
        <w:spacing w:before="0" w:after="0" w:line="240" w:lineRule="auto"/>
        <w:ind w:left="0" w:right="284"/>
        <w:jc w:val="both"/>
        <w:rPr>
          <w:noProof/>
          <w:sz w:val="22"/>
          <w:szCs w:val="22"/>
          <w:lang w:val="sk-SK"/>
        </w:rPr>
      </w:pPr>
      <w:r w:rsidRPr="003A4976">
        <w:rPr>
          <w:noProof/>
          <w:sz w:val="22"/>
          <w:szCs w:val="22"/>
          <w:lang w:val="sk-SK"/>
        </w:rPr>
        <w:t>Všetok nepoužitý liek alebo odpad vzniknutý z lieku sa má zlikvidovať v súlade s národnými požiadavkami</w:t>
      </w:r>
      <w:r w:rsidR="00471A5B" w:rsidRPr="003A4976">
        <w:rPr>
          <w:noProof/>
          <w:sz w:val="22"/>
          <w:szCs w:val="22"/>
          <w:lang w:val="sk-SK"/>
        </w:rPr>
        <w:t>.</w:t>
      </w:r>
    </w:p>
    <w:p w:rsidR="00D35F53" w:rsidRPr="003A4976" w:rsidRDefault="00D35F53" w:rsidP="00471A5B">
      <w:pPr>
        <w:pStyle w:val="Zarkazkladnhotextu"/>
        <w:spacing w:before="0" w:after="0" w:line="240" w:lineRule="auto"/>
        <w:ind w:left="0" w:right="284"/>
        <w:jc w:val="both"/>
        <w:rPr>
          <w:b/>
          <w:sz w:val="22"/>
          <w:szCs w:val="22"/>
          <w:lang w:val="sk-SK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7.</w:t>
      </w:r>
      <w:r w:rsidRPr="003A4976">
        <w:rPr>
          <w:b/>
          <w:noProof/>
          <w:szCs w:val="22"/>
        </w:rPr>
        <w:tab/>
        <w:t>DRŽITEĽ ROZHODNUTIA O REGISTRÁCII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ind w:left="0" w:right="284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>PROFARMA-PRODUKT, s.r.o.</w:t>
      </w:r>
    </w:p>
    <w:p w:rsidR="00D35F53" w:rsidRPr="003A4976" w:rsidRDefault="00D35F53">
      <w:pPr>
        <w:pStyle w:val="Nadpis7"/>
        <w:ind w:right="284"/>
        <w:rPr>
          <w:i w:val="0"/>
          <w:szCs w:val="22"/>
          <w:lang w:val="sk-SK"/>
        </w:rPr>
      </w:pPr>
      <w:proofErr w:type="spellStart"/>
      <w:r w:rsidRPr="003A4976">
        <w:rPr>
          <w:i w:val="0"/>
          <w:szCs w:val="22"/>
          <w:lang w:val="sk-SK"/>
        </w:rPr>
        <w:t>Liberecká</w:t>
      </w:r>
      <w:proofErr w:type="spellEnd"/>
      <w:r w:rsidRPr="003A4976">
        <w:rPr>
          <w:i w:val="0"/>
          <w:szCs w:val="22"/>
          <w:lang w:val="sk-SK"/>
        </w:rPr>
        <w:t xml:space="preserve"> </w:t>
      </w:r>
      <w:r w:rsidR="00471A5B" w:rsidRPr="003A4976">
        <w:rPr>
          <w:i w:val="0"/>
          <w:szCs w:val="22"/>
          <w:lang w:val="sk-SK"/>
        </w:rPr>
        <w:t>801/</w:t>
      </w:r>
      <w:r w:rsidRPr="003A4976">
        <w:rPr>
          <w:i w:val="0"/>
          <w:szCs w:val="22"/>
          <w:lang w:val="sk-SK"/>
        </w:rPr>
        <w:t>20</w:t>
      </w:r>
    </w:p>
    <w:p w:rsidR="00D35F53" w:rsidRPr="003A4976" w:rsidRDefault="00D35F53">
      <w:pPr>
        <w:pStyle w:val="Nadpis6"/>
        <w:spacing w:before="0" w:after="0" w:line="240" w:lineRule="auto"/>
        <w:ind w:left="0" w:right="284"/>
        <w:rPr>
          <w:sz w:val="22"/>
          <w:szCs w:val="22"/>
          <w:lang w:val="sk-SK"/>
        </w:rPr>
      </w:pPr>
      <w:r w:rsidRPr="003A4976">
        <w:rPr>
          <w:sz w:val="22"/>
          <w:szCs w:val="22"/>
          <w:lang w:val="sk-SK"/>
        </w:rPr>
        <w:t>46601 Jablonec nad Nisou</w:t>
      </w:r>
      <w:r w:rsidR="00F7166D" w:rsidRPr="003A4976">
        <w:rPr>
          <w:sz w:val="22"/>
          <w:szCs w:val="22"/>
          <w:lang w:val="sk-SK"/>
        </w:rPr>
        <w:t xml:space="preserve"> </w:t>
      </w:r>
    </w:p>
    <w:p w:rsidR="00D35F53" w:rsidRPr="003A4976" w:rsidRDefault="00D35F53">
      <w:pPr>
        <w:ind w:left="0" w:right="284" w:firstLine="0"/>
        <w:rPr>
          <w:snapToGrid w:val="0"/>
          <w:szCs w:val="22"/>
        </w:rPr>
      </w:pPr>
      <w:r w:rsidRPr="003A4976">
        <w:rPr>
          <w:snapToGrid w:val="0"/>
          <w:szCs w:val="22"/>
        </w:rPr>
        <w:t>Česká Republika</w:t>
      </w:r>
    </w:p>
    <w:p w:rsidR="00D35F53" w:rsidRPr="003A4976" w:rsidRDefault="00471A5B">
      <w:pPr>
        <w:rPr>
          <w:noProof/>
          <w:szCs w:val="22"/>
        </w:rPr>
      </w:pPr>
      <w:r w:rsidRPr="003A4976">
        <w:rPr>
          <w:noProof/>
          <w:szCs w:val="22"/>
        </w:rPr>
        <w:t>Tel: +420 483 100 308</w:t>
      </w:r>
    </w:p>
    <w:p w:rsidR="00471A5B" w:rsidRPr="003A4976" w:rsidRDefault="00471A5B">
      <w:pPr>
        <w:rPr>
          <w:noProof/>
          <w:szCs w:val="22"/>
        </w:rPr>
      </w:pPr>
      <w:r w:rsidRPr="003A4976">
        <w:rPr>
          <w:noProof/>
          <w:szCs w:val="22"/>
        </w:rPr>
        <w:t>e-mail: profarma@profarma.cz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b/>
          <w:noProof/>
          <w:szCs w:val="22"/>
        </w:rPr>
      </w:pPr>
      <w:r w:rsidRPr="003A4976">
        <w:rPr>
          <w:b/>
          <w:noProof/>
          <w:szCs w:val="22"/>
        </w:rPr>
        <w:t>8.</w:t>
      </w:r>
      <w:r w:rsidRPr="003A4976">
        <w:rPr>
          <w:b/>
          <w:noProof/>
          <w:szCs w:val="22"/>
        </w:rPr>
        <w:tab/>
        <w:t>REGISTRAČNÉ ČÍSLO</w:t>
      </w:r>
    </w:p>
    <w:p w:rsidR="00D35F53" w:rsidRPr="003A4976" w:rsidRDefault="00D35F53">
      <w:pPr>
        <w:rPr>
          <w:b/>
          <w:noProof/>
          <w:szCs w:val="22"/>
        </w:rPr>
      </w:pPr>
      <w:r w:rsidRPr="003A4976">
        <w:rPr>
          <w:b/>
          <w:noProof/>
          <w:szCs w:val="22"/>
        </w:rPr>
        <w:t xml:space="preserve"> </w:t>
      </w:r>
    </w:p>
    <w:p w:rsidR="00D35F53" w:rsidRPr="003A4976" w:rsidRDefault="00D35F53">
      <w:pPr>
        <w:rPr>
          <w:noProof/>
          <w:szCs w:val="22"/>
        </w:rPr>
      </w:pPr>
      <w:r w:rsidRPr="003A4976">
        <w:rPr>
          <w:noProof/>
          <w:szCs w:val="22"/>
        </w:rPr>
        <w:t>32/0113/02-S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D35F53">
      <w:pPr>
        <w:rPr>
          <w:noProof/>
          <w:szCs w:val="22"/>
        </w:rPr>
      </w:pPr>
      <w:r w:rsidRPr="003A4976">
        <w:rPr>
          <w:b/>
          <w:noProof/>
          <w:szCs w:val="22"/>
        </w:rPr>
        <w:t>9.</w:t>
      </w:r>
      <w:r w:rsidRPr="003A4976">
        <w:rPr>
          <w:b/>
          <w:noProof/>
          <w:szCs w:val="22"/>
        </w:rPr>
        <w:tab/>
        <w:t>DÁTUM PRVEJ REGISTRÁCIE</w:t>
      </w:r>
    </w:p>
    <w:p w:rsidR="00D35F53" w:rsidRPr="003A4976" w:rsidRDefault="00D35F53">
      <w:pPr>
        <w:rPr>
          <w:noProof/>
          <w:szCs w:val="22"/>
        </w:rPr>
      </w:pPr>
    </w:p>
    <w:p w:rsidR="00057256" w:rsidRPr="003A4976" w:rsidRDefault="00057256" w:rsidP="00057256">
      <w:pPr>
        <w:rPr>
          <w:noProof/>
          <w:szCs w:val="22"/>
        </w:rPr>
      </w:pPr>
      <w:r w:rsidRPr="003A4976">
        <w:rPr>
          <w:noProof/>
          <w:szCs w:val="22"/>
        </w:rPr>
        <w:t>Dátum prvej registrácie: 06. apríla 2000</w:t>
      </w:r>
    </w:p>
    <w:p w:rsidR="00D35F53" w:rsidRPr="003A4976" w:rsidRDefault="00057256">
      <w:pPr>
        <w:rPr>
          <w:noProof/>
          <w:szCs w:val="22"/>
        </w:rPr>
      </w:pPr>
      <w:r w:rsidRPr="003A4976">
        <w:rPr>
          <w:noProof/>
          <w:szCs w:val="22"/>
        </w:rPr>
        <w:t xml:space="preserve">Dátum posledného predĺženia registrácie: </w:t>
      </w:r>
      <w:r w:rsidR="00135113" w:rsidRPr="003A4976">
        <w:rPr>
          <w:noProof/>
          <w:szCs w:val="22"/>
        </w:rPr>
        <w:t>19. novembra 2009</w:t>
      </w:r>
    </w:p>
    <w:p w:rsidR="00135113" w:rsidRPr="003A4976" w:rsidRDefault="00135113">
      <w:pPr>
        <w:rPr>
          <w:b/>
          <w:noProof/>
          <w:szCs w:val="22"/>
        </w:rPr>
      </w:pPr>
    </w:p>
    <w:p w:rsidR="00D35F53" w:rsidRPr="003A4976" w:rsidRDefault="00D35F53">
      <w:pPr>
        <w:rPr>
          <w:b/>
          <w:noProof/>
          <w:szCs w:val="22"/>
        </w:rPr>
      </w:pPr>
      <w:r w:rsidRPr="003A4976">
        <w:rPr>
          <w:b/>
          <w:noProof/>
          <w:szCs w:val="22"/>
        </w:rPr>
        <w:lastRenderedPageBreak/>
        <w:t>10.</w:t>
      </w:r>
      <w:r w:rsidRPr="003A4976">
        <w:rPr>
          <w:b/>
          <w:noProof/>
          <w:szCs w:val="22"/>
        </w:rPr>
        <w:tab/>
        <w:t>DÁTUM REVÍZIE TEXTU</w:t>
      </w:r>
    </w:p>
    <w:p w:rsidR="00D35F53" w:rsidRPr="003A4976" w:rsidRDefault="00D35F53">
      <w:pPr>
        <w:rPr>
          <w:noProof/>
          <w:szCs w:val="22"/>
        </w:rPr>
      </w:pPr>
    </w:p>
    <w:p w:rsidR="00D35F53" w:rsidRPr="003A4976" w:rsidRDefault="00E170CD">
      <w:pPr>
        <w:rPr>
          <w:noProof/>
          <w:szCs w:val="22"/>
        </w:rPr>
      </w:pPr>
      <w:r w:rsidRPr="003A4976">
        <w:rPr>
          <w:noProof/>
          <w:szCs w:val="22"/>
        </w:rPr>
        <w:t>0</w:t>
      </w:r>
      <w:r w:rsidR="0087690C" w:rsidRPr="003A4976">
        <w:rPr>
          <w:noProof/>
          <w:szCs w:val="22"/>
        </w:rPr>
        <w:t>7</w:t>
      </w:r>
      <w:r w:rsidR="00E522E9" w:rsidRPr="003A4976">
        <w:rPr>
          <w:noProof/>
          <w:szCs w:val="22"/>
        </w:rPr>
        <w:t>/2018</w:t>
      </w:r>
    </w:p>
    <w:sectPr w:rsidR="00D35F53" w:rsidRPr="003A4976" w:rsidSect="00121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88" w:rsidRDefault="008A2B88">
      <w:r>
        <w:separator/>
      </w:r>
    </w:p>
  </w:endnote>
  <w:endnote w:type="continuationSeparator" w:id="0">
    <w:p w:rsidR="008A2B88" w:rsidRDefault="008A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53" w:rsidRDefault="00572B6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35F5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35F53" w:rsidRDefault="00D35F5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D" w:rsidRPr="00F4749D" w:rsidRDefault="00572B60">
    <w:pPr>
      <w:pStyle w:val="Pta"/>
      <w:jc w:val="center"/>
      <w:rPr>
        <w:sz w:val="18"/>
        <w:szCs w:val="18"/>
      </w:rPr>
    </w:pPr>
    <w:r w:rsidRPr="00F4749D">
      <w:rPr>
        <w:sz w:val="18"/>
        <w:szCs w:val="18"/>
      </w:rPr>
      <w:fldChar w:fldCharType="begin"/>
    </w:r>
    <w:r w:rsidR="00F4749D" w:rsidRPr="00F4749D">
      <w:rPr>
        <w:sz w:val="18"/>
        <w:szCs w:val="18"/>
      </w:rPr>
      <w:instrText>PAGE   \* MERGEFORMAT</w:instrText>
    </w:r>
    <w:r w:rsidRPr="00F4749D">
      <w:rPr>
        <w:sz w:val="18"/>
        <w:szCs w:val="18"/>
      </w:rPr>
      <w:fldChar w:fldCharType="separate"/>
    </w:r>
    <w:r w:rsidR="00F95FEB" w:rsidRPr="00F95FEB">
      <w:rPr>
        <w:noProof/>
        <w:sz w:val="18"/>
        <w:szCs w:val="18"/>
        <w:lang w:val="cs-CZ"/>
      </w:rPr>
      <w:t>1</w:t>
    </w:r>
    <w:r w:rsidRPr="00F4749D">
      <w:rPr>
        <w:sz w:val="18"/>
        <w:szCs w:val="18"/>
      </w:rPr>
      <w:fldChar w:fldCharType="end"/>
    </w:r>
  </w:p>
  <w:p w:rsidR="00D35F53" w:rsidRDefault="00D35F5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E0" w:rsidRDefault="00E17DE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88" w:rsidRDefault="008A2B88">
      <w:r>
        <w:separator/>
      </w:r>
    </w:p>
  </w:footnote>
  <w:footnote w:type="continuationSeparator" w:id="0">
    <w:p w:rsidR="008A2B88" w:rsidRDefault="008A2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E0" w:rsidRDefault="00E17DE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DE" w:rsidRPr="003A4976" w:rsidRDefault="00077BE5">
    <w:pPr>
      <w:pStyle w:val="Hlavika"/>
      <w:rPr>
        <w:sz w:val="18"/>
        <w:szCs w:val="18"/>
      </w:rPr>
    </w:pPr>
    <w:r w:rsidRPr="003A4976">
      <w:rPr>
        <w:sz w:val="18"/>
        <w:szCs w:val="18"/>
      </w:rPr>
      <w:t xml:space="preserve">Príloha č.1 k notifikácii o zmene, </w:t>
    </w:r>
    <w:proofErr w:type="spellStart"/>
    <w:r w:rsidRPr="003A4976">
      <w:rPr>
        <w:sz w:val="18"/>
        <w:szCs w:val="18"/>
      </w:rPr>
      <w:t>ev.č</w:t>
    </w:r>
    <w:proofErr w:type="spellEnd"/>
    <w:r w:rsidRPr="003A4976">
      <w:rPr>
        <w:sz w:val="18"/>
        <w:szCs w:val="18"/>
      </w:rPr>
      <w:t>.: 2017/05646-Z1B</w:t>
    </w:r>
    <w:r w:rsidR="00DD155D">
      <w:rPr>
        <w:sz w:val="18"/>
        <w:szCs w:val="18"/>
      </w:rPr>
      <w:t xml:space="preserve"> a</w:t>
    </w:r>
    <w:r w:rsidR="00E17DE0">
      <w:rPr>
        <w:sz w:val="18"/>
        <w:szCs w:val="18"/>
      </w:rPr>
      <w:t> 2018/04542-Z1B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E0" w:rsidRDefault="00E17DE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C55BF"/>
    <w:multiLevelType w:val="multilevel"/>
    <w:tmpl w:val="6FC69B8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69"/>
    <w:rsid w:val="00030B26"/>
    <w:rsid w:val="00055900"/>
    <w:rsid w:val="00057256"/>
    <w:rsid w:val="00077BE5"/>
    <w:rsid w:val="00091FD4"/>
    <w:rsid w:val="00096B7D"/>
    <w:rsid w:val="000B01E2"/>
    <w:rsid w:val="000C2EF7"/>
    <w:rsid w:val="0010768E"/>
    <w:rsid w:val="00120160"/>
    <w:rsid w:val="00121C04"/>
    <w:rsid w:val="00135113"/>
    <w:rsid w:val="00191F98"/>
    <w:rsid w:val="001C0C7B"/>
    <w:rsid w:val="001D1FA2"/>
    <w:rsid w:val="001F4C52"/>
    <w:rsid w:val="001F775A"/>
    <w:rsid w:val="0021045D"/>
    <w:rsid w:val="002207EA"/>
    <w:rsid w:val="00220E4C"/>
    <w:rsid w:val="002642D6"/>
    <w:rsid w:val="002A65FF"/>
    <w:rsid w:val="002B630B"/>
    <w:rsid w:val="00314CC2"/>
    <w:rsid w:val="0033114D"/>
    <w:rsid w:val="0036743E"/>
    <w:rsid w:val="003A4976"/>
    <w:rsid w:val="003A5F09"/>
    <w:rsid w:val="003D073E"/>
    <w:rsid w:val="003D1398"/>
    <w:rsid w:val="00441BDC"/>
    <w:rsid w:val="004656CD"/>
    <w:rsid w:val="00471A5B"/>
    <w:rsid w:val="00483933"/>
    <w:rsid w:val="004A323B"/>
    <w:rsid w:val="004A47E2"/>
    <w:rsid w:val="004B5174"/>
    <w:rsid w:val="005012DE"/>
    <w:rsid w:val="00501488"/>
    <w:rsid w:val="00572B60"/>
    <w:rsid w:val="0058741C"/>
    <w:rsid w:val="005A511C"/>
    <w:rsid w:val="00610B20"/>
    <w:rsid w:val="0064558D"/>
    <w:rsid w:val="006B7E6F"/>
    <w:rsid w:val="006C7323"/>
    <w:rsid w:val="006F3302"/>
    <w:rsid w:val="007329CD"/>
    <w:rsid w:val="00736FA8"/>
    <w:rsid w:val="00772F21"/>
    <w:rsid w:val="007F5C3D"/>
    <w:rsid w:val="0087690C"/>
    <w:rsid w:val="008A2B88"/>
    <w:rsid w:val="008C078C"/>
    <w:rsid w:val="008E008C"/>
    <w:rsid w:val="008F610C"/>
    <w:rsid w:val="00913CB0"/>
    <w:rsid w:val="00917DCC"/>
    <w:rsid w:val="00937442"/>
    <w:rsid w:val="00957637"/>
    <w:rsid w:val="0096080C"/>
    <w:rsid w:val="009774F5"/>
    <w:rsid w:val="009965F0"/>
    <w:rsid w:val="009A7CCB"/>
    <w:rsid w:val="009E3D57"/>
    <w:rsid w:val="009F2191"/>
    <w:rsid w:val="00A3106E"/>
    <w:rsid w:val="00A334D9"/>
    <w:rsid w:val="00A4648A"/>
    <w:rsid w:val="00AD1B9F"/>
    <w:rsid w:val="00AD505C"/>
    <w:rsid w:val="00B15BF8"/>
    <w:rsid w:val="00B46450"/>
    <w:rsid w:val="00BC1810"/>
    <w:rsid w:val="00BF5B5C"/>
    <w:rsid w:val="00C04228"/>
    <w:rsid w:val="00CE4096"/>
    <w:rsid w:val="00CF7522"/>
    <w:rsid w:val="00D27DC8"/>
    <w:rsid w:val="00D35E94"/>
    <w:rsid w:val="00D35F53"/>
    <w:rsid w:val="00D86468"/>
    <w:rsid w:val="00DB467A"/>
    <w:rsid w:val="00DD155D"/>
    <w:rsid w:val="00DF5A04"/>
    <w:rsid w:val="00E170CD"/>
    <w:rsid w:val="00E17DE0"/>
    <w:rsid w:val="00E522E9"/>
    <w:rsid w:val="00E71C69"/>
    <w:rsid w:val="00E72948"/>
    <w:rsid w:val="00E93EE8"/>
    <w:rsid w:val="00EA061E"/>
    <w:rsid w:val="00EC7CF0"/>
    <w:rsid w:val="00EF2125"/>
    <w:rsid w:val="00F129FF"/>
    <w:rsid w:val="00F45ADB"/>
    <w:rsid w:val="00F4749D"/>
    <w:rsid w:val="00F603F3"/>
    <w:rsid w:val="00F7166D"/>
    <w:rsid w:val="00F95FEB"/>
    <w:rsid w:val="00FB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C04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121C04"/>
    <w:pPr>
      <w:keepNext/>
      <w:ind w:left="0" w:firstLine="0"/>
      <w:outlineLvl w:val="0"/>
    </w:pPr>
    <w:rPr>
      <w:b/>
      <w:caps/>
      <w:noProof/>
      <w:szCs w:val="22"/>
    </w:rPr>
  </w:style>
  <w:style w:type="paragraph" w:styleId="Nadpis5">
    <w:name w:val="heading 5"/>
    <w:basedOn w:val="Normlny"/>
    <w:next w:val="Normlny"/>
    <w:qFormat/>
    <w:rsid w:val="00121C04"/>
    <w:pPr>
      <w:keepNext/>
      <w:ind w:left="0" w:firstLine="0"/>
      <w:outlineLvl w:val="4"/>
    </w:pPr>
    <w:rPr>
      <w:b/>
      <w:snapToGrid w:val="0"/>
      <w:sz w:val="28"/>
      <w:szCs w:val="20"/>
      <w:lang w:val="cs-CZ" w:eastAsia="cs-CZ"/>
    </w:rPr>
  </w:style>
  <w:style w:type="paragraph" w:styleId="Nadpis6">
    <w:name w:val="heading 6"/>
    <w:basedOn w:val="Normlny"/>
    <w:next w:val="Normlny"/>
    <w:qFormat/>
    <w:rsid w:val="00121C04"/>
    <w:pPr>
      <w:keepNext/>
      <w:spacing w:before="120" w:after="120" w:line="360" w:lineRule="auto"/>
      <w:ind w:left="284" w:firstLine="0"/>
      <w:outlineLvl w:val="5"/>
    </w:pPr>
    <w:rPr>
      <w:snapToGrid w:val="0"/>
      <w:sz w:val="28"/>
      <w:szCs w:val="20"/>
      <w:lang w:val="cs-CZ" w:eastAsia="cs-CZ"/>
    </w:rPr>
  </w:style>
  <w:style w:type="paragraph" w:styleId="Nadpis7">
    <w:name w:val="heading 7"/>
    <w:basedOn w:val="Normlny"/>
    <w:next w:val="Normlny"/>
    <w:qFormat/>
    <w:rsid w:val="00121C04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121C04"/>
    <w:rPr>
      <w:color w:val="0000FF"/>
      <w:u w:val="single"/>
    </w:rPr>
  </w:style>
  <w:style w:type="paragraph" w:styleId="Textbubliny">
    <w:name w:val="Balloon Text"/>
    <w:basedOn w:val="Normlny"/>
    <w:semiHidden/>
    <w:rsid w:val="00121C04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121C0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21C04"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sid w:val="00121C04"/>
    <w:rPr>
      <w:b/>
      <w:bCs/>
    </w:rPr>
  </w:style>
  <w:style w:type="paragraph" w:customStyle="1" w:styleId="EMEAEnBodyText">
    <w:name w:val="EMEA En Body Text"/>
    <w:basedOn w:val="Normlny"/>
    <w:rsid w:val="00121C04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semiHidden/>
    <w:rsid w:val="00121C04"/>
    <w:pPr>
      <w:ind w:left="0" w:firstLine="0"/>
    </w:pPr>
  </w:style>
  <w:style w:type="paragraph" w:customStyle="1" w:styleId="Textbubliny1">
    <w:name w:val="Text bubliny1"/>
    <w:basedOn w:val="Normlny"/>
    <w:semiHidden/>
    <w:rsid w:val="00121C0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121C04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semiHidden/>
    <w:rsid w:val="00121C04"/>
  </w:style>
  <w:style w:type="paragraph" w:styleId="Hlavika">
    <w:name w:val="header"/>
    <w:basedOn w:val="Normlny"/>
    <w:link w:val="HlavikaChar"/>
    <w:uiPriority w:val="99"/>
    <w:rsid w:val="00121C04"/>
    <w:pPr>
      <w:tabs>
        <w:tab w:val="center" w:pos="4153"/>
        <w:tab w:val="right" w:pos="8306"/>
      </w:tabs>
    </w:pPr>
  </w:style>
  <w:style w:type="paragraph" w:styleId="Zkladntext2">
    <w:name w:val="Body Text 2"/>
    <w:basedOn w:val="Normlny"/>
    <w:semiHidden/>
    <w:rsid w:val="00121C04"/>
    <w:pPr>
      <w:ind w:left="0" w:right="284" w:firstLine="0"/>
    </w:pPr>
    <w:rPr>
      <w:rFonts w:ascii="Arial" w:hAnsi="Arial" w:cs="Arial"/>
      <w:snapToGrid w:val="0"/>
    </w:rPr>
  </w:style>
  <w:style w:type="paragraph" w:styleId="Zarkazkladnhotextu">
    <w:name w:val="Body Text Indent"/>
    <w:basedOn w:val="Normlny"/>
    <w:semiHidden/>
    <w:rsid w:val="00121C04"/>
    <w:pPr>
      <w:spacing w:before="120" w:after="120" w:line="360" w:lineRule="auto"/>
      <w:ind w:left="284" w:firstLine="0"/>
    </w:pPr>
    <w:rPr>
      <w:snapToGrid w:val="0"/>
      <w:sz w:val="28"/>
      <w:szCs w:val="20"/>
      <w:lang w:val="cs-CZ" w:eastAsia="cs-CZ"/>
    </w:rPr>
  </w:style>
  <w:style w:type="paragraph" w:styleId="Oznaitext">
    <w:name w:val="Block Text"/>
    <w:basedOn w:val="Normlny"/>
    <w:semiHidden/>
    <w:rsid w:val="00121C04"/>
    <w:pPr>
      <w:spacing w:before="120" w:after="120" w:line="360" w:lineRule="auto"/>
      <w:ind w:left="284" w:right="284" w:firstLine="0"/>
    </w:pPr>
    <w:rPr>
      <w:rFonts w:ascii="Arial" w:hAnsi="Arial" w:cs="Arial"/>
      <w:snapToGrid w:val="0"/>
      <w:sz w:val="20"/>
      <w:szCs w:val="20"/>
      <w:lang w:val="cs-CZ" w:eastAsia="cs-CZ"/>
    </w:rPr>
  </w:style>
  <w:style w:type="character" w:styleId="PouitHypertextovPrepojenie">
    <w:name w:val="FollowedHyperlink"/>
    <w:semiHidden/>
    <w:rsid w:val="00121C04"/>
    <w:rPr>
      <w:color w:val="800080"/>
      <w:u w:val="single"/>
    </w:rPr>
  </w:style>
  <w:style w:type="paragraph" w:styleId="Zkladntext3">
    <w:name w:val="Body Text 3"/>
    <w:basedOn w:val="Normlny"/>
    <w:semiHidden/>
    <w:rsid w:val="00121C04"/>
    <w:pPr>
      <w:ind w:left="0" w:right="284" w:firstLine="0"/>
      <w:jc w:val="both"/>
    </w:pPr>
    <w:rPr>
      <w:snapToGrid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1F98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191F98"/>
  </w:style>
  <w:style w:type="character" w:customStyle="1" w:styleId="PredmetkomentraChar">
    <w:name w:val="Predmet komentára Char"/>
    <w:basedOn w:val="TextkomentraChar"/>
    <w:link w:val="Predmetkomentra"/>
    <w:rsid w:val="00191F98"/>
  </w:style>
  <w:style w:type="character" w:customStyle="1" w:styleId="HlavikaChar">
    <w:name w:val="Hlavička Char"/>
    <w:link w:val="Hlavika"/>
    <w:uiPriority w:val="99"/>
    <w:rsid w:val="00F4749D"/>
    <w:rPr>
      <w:sz w:val="22"/>
      <w:szCs w:val="24"/>
      <w:lang w:val="sk-SK" w:eastAsia="sk-SK"/>
    </w:rPr>
  </w:style>
  <w:style w:type="character" w:customStyle="1" w:styleId="PtaChar">
    <w:name w:val="Päta Char"/>
    <w:link w:val="Pta"/>
    <w:uiPriority w:val="99"/>
    <w:rsid w:val="00F4749D"/>
    <w:rPr>
      <w:sz w:val="22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87690C"/>
    <w:pPr>
      <w:spacing w:before="100" w:beforeAutospacing="1" w:after="100" w:afterAutospacing="1"/>
      <w:ind w:left="0" w:firstLine="0"/>
    </w:pPr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Version 7</vt:lpstr>
      <vt:lpstr>Version 7</vt:lpstr>
    </vt:vector>
  </TitlesOfParts>
  <Company>Štátny ústav pre kontrolu liečiv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</dc:title>
  <dc:subject>General-EMEA/220782/2008</dc:subject>
  <dc:creator>Acer</dc:creator>
  <cp:keywords/>
  <dc:description/>
  <cp:lastModifiedBy> Jana Repiščáková</cp:lastModifiedBy>
  <cp:revision>3</cp:revision>
  <cp:lastPrinted>2009-09-14T09:09:00Z</cp:lastPrinted>
  <dcterms:created xsi:type="dcterms:W3CDTF">2018-07-23T11:43:00Z</dcterms:created>
  <dcterms:modified xsi:type="dcterms:W3CDTF">2018-07-23T14:46:00Z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General-EMEA/220782/2008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Prizzi Monica</vt:lpwstr>
  </property>
  <property fmtid="{D5CDD505-2E9C-101B-9397-08002B2CF9AE}" pid="10" name="DM_Creation_Date">
    <vt:lpwstr>01/07/2008 15:34:22</vt:lpwstr>
  </property>
  <property fmtid="{D5CDD505-2E9C-101B-9397-08002B2CF9AE}" pid="11" name="DM_Creator_Name">
    <vt:lpwstr>Molnar Tunde</vt:lpwstr>
  </property>
  <property fmtid="{D5CDD505-2E9C-101B-9397-08002B2CF9AE}" pid="12" name="DM_Modifer_Name">
    <vt:lpwstr>Molnar Tunde</vt:lpwstr>
  </property>
  <property fmtid="{D5CDD505-2E9C-101B-9397-08002B2CF9AE}" pid="13" name="DM_Modified_Date">
    <vt:lpwstr>01/07/2008 15:34:22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EMEA/220782/2008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220782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