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1B" w:rsidRPr="000149E8" w:rsidRDefault="0006431B" w:rsidP="000149E8">
      <w:pPr>
        <w:keepNext/>
        <w:tabs>
          <w:tab w:val="left" w:pos="2127"/>
        </w:tabs>
        <w:outlineLvl w:val="0"/>
        <w:rPr>
          <w:sz w:val="22"/>
          <w:szCs w:val="22"/>
        </w:rPr>
      </w:pPr>
      <w:bookmarkStart w:id="0" w:name="_GoBack"/>
      <w:bookmarkEnd w:id="0"/>
    </w:p>
    <w:p w:rsidR="0006431B" w:rsidRPr="000149E8" w:rsidRDefault="0006431B" w:rsidP="000149E8">
      <w:pPr>
        <w:jc w:val="center"/>
        <w:rPr>
          <w:b/>
          <w:sz w:val="22"/>
          <w:szCs w:val="22"/>
        </w:rPr>
      </w:pPr>
      <w:r w:rsidRPr="000149E8">
        <w:rPr>
          <w:b/>
          <w:sz w:val="22"/>
          <w:szCs w:val="22"/>
        </w:rPr>
        <w:t>Písomná informácia pre používateľa</w:t>
      </w:r>
    </w:p>
    <w:p w:rsidR="0006431B" w:rsidRPr="000149E8" w:rsidRDefault="0006431B" w:rsidP="000149E8">
      <w:pPr>
        <w:jc w:val="center"/>
        <w:rPr>
          <w:sz w:val="22"/>
          <w:szCs w:val="22"/>
        </w:rPr>
      </w:pPr>
    </w:p>
    <w:p w:rsidR="0006431B" w:rsidRPr="000149E8" w:rsidRDefault="0006431B" w:rsidP="000149E8">
      <w:pPr>
        <w:jc w:val="center"/>
        <w:rPr>
          <w:b/>
          <w:sz w:val="22"/>
          <w:szCs w:val="22"/>
          <w:vertAlign w:val="superscript"/>
        </w:rPr>
      </w:pPr>
      <w:r w:rsidRPr="000149E8">
        <w:rPr>
          <w:b/>
          <w:sz w:val="22"/>
          <w:szCs w:val="22"/>
        </w:rPr>
        <w:t>S</w:t>
      </w:r>
      <w:r w:rsidR="009B369F">
        <w:rPr>
          <w:b/>
          <w:sz w:val="22"/>
          <w:szCs w:val="22"/>
        </w:rPr>
        <w:t>yntostigmin</w:t>
      </w:r>
    </w:p>
    <w:p w:rsidR="00AA56D4" w:rsidRPr="00D34113" w:rsidRDefault="001621EB" w:rsidP="000149E8">
      <w:pPr>
        <w:jc w:val="center"/>
        <w:rPr>
          <w:b/>
          <w:sz w:val="22"/>
          <w:szCs w:val="22"/>
        </w:rPr>
      </w:pPr>
      <w:r w:rsidRPr="00D34113">
        <w:rPr>
          <w:b/>
          <w:sz w:val="22"/>
          <w:szCs w:val="22"/>
        </w:rPr>
        <w:t>15 mg</w:t>
      </w:r>
    </w:p>
    <w:p w:rsidR="0006431B" w:rsidRPr="00D34113" w:rsidRDefault="001621EB" w:rsidP="000149E8">
      <w:pPr>
        <w:jc w:val="center"/>
        <w:rPr>
          <w:b/>
          <w:sz w:val="22"/>
          <w:szCs w:val="22"/>
        </w:rPr>
      </w:pPr>
      <w:r w:rsidRPr="00D34113">
        <w:rPr>
          <w:b/>
          <w:sz w:val="22"/>
          <w:szCs w:val="22"/>
        </w:rPr>
        <w:t>tablety</w:t>
      </w:r>
    </w:p>
    <w:p w:rsidR="00AA56D4" w:rsidRPr="000149E8" w:rsidRDefault="00AA56D4" w:rsidP="000149E8">
      <w:pPr>
        <w:jc w:val="center"/>
        <w:rPr>
          <w:sz w:val="22"/>
          <w:szCs w:val="22"/>
        </w:rPr>
      </w:pPr>
    </w:p>
    <w:p w:rsidR="0006431B" w:rsidRPr="000149E8" w:rsidRDefault="00C34DEC" w:rsidP="000149E8">
      <w:pPr>
        <w:jc w:val="center"/>
        <w:rPr>
          <w:sz w:val="22"/>
          <w:szCs w:val="22"/>
        </w:rPr>
      </w:pPr>
      <w:r w:rsidRPr="000149E8">
        <w:rPr>
          <w:sz w:val="22"/>
          <w:szCs w:val="22"/>
        </w:rPr>
        <w:t>neostigmín</w:t>
      </w:r>
      <w:r w:rsidR="00AA56D4" w:rsidRPr="000149E8">
        <w:rPr>
          <w:sz w:val="22"/>
          <w:szCs w:val="22"/>
        </w:rPr>
        <w:t>ium</w:t>
      </w:r>
      <w:r w:rsidRPr="000149E8">
        <w:rPr>
          <w:sz w:val="22"/>
          <w:szCs w:val="22"/>
        </w:rPr>
        <w:t>bromid</w:t>
      </w:r>
    </w:p>
    <w:p w:rsidR="0006431B" w:rsidRPr="000149E8" w:rsidRDefault="0006431B" w:rsidP="000149E8">
      <w:pPr>
        <w:rPr>
          <w:b/>
          <w:sz w:val="22"/>
          <w:szCs w:val="22"/>
          <w:lang w:eastAsia="en-US"/>
        </w:rPr>
      </w:pPr>
    </w:p>
    <w:p w:rsidR="0006431B" w:rsidRPr="000149E8" w:rsidRDefault="0006431B" w:rsidP="00D34113">
      <w:pPr>
        <w:keepNext/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Pozorne si prečítajte celú písomnú informáciu predtým, ako začnete užívať tento liek</w:t>
      </w:r>
      <w:r w:rsidR="00AA56D4" w:rsidRPr="000149E8">
        <w:rPr>
          <w:b/>
          <w:noProof/>
          <w:sz w:val="22"/>
          <w:szCs w:val="22"/>
        </w:rPr>
        <w:t>, pretože obsahuje pre vás dôležité informácie</w:t>
      </w:r>
      <w:r w:rsidRPr="000149E8">
        <w:rPr>
          <w:b/>
          <w:sz w:val="22"/>
          <w:szCs w:val="22"/>
          <w:lang w:eastAsia="en-US"/>
        </w:rPr>
        <w:t>.</w:t>
      </w:r>
    </w:p>
    <w:p w:rsidR="0006431B" w:rsidRPr="000149E8" w:rsidRDefault="0006431B" w:rsidP="000149E8">
      <w:pPr>
        <w:numPr>
          <w:ilvl w:val="0"/>
          <w:numId w:val="10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Túto písomnú informáciu si uschovajte. Možno bude potrebné, aby ste si ju znovu prečítali.</w:t>
      </w:r>
    </w:p>
    <w:p w:rsidR="0006431B" w:rsidRPr="000149E8" w:rsidRDefault="0006431B" w:rsidP="000149E8">
      <w:pPr>
        <w:numPr>
          <w:ilvl w:val="0"/>
          <w:numId w:val="10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Ak máte akékoľvek ďalšie otázky, obráťte sa na svojho lekára alebo lekárnika.</w:t>
      </w:r>
    </w:p>
    <w:p w:rsidR="0006431B" w:rsidRPr="000149E8" w:rsidRDefault="0006431B" w:rsidP="000149E8">
      <w:pPr>
        <w:numPr>
          <w:ilvl w:val="0"/>
          <w:numId w:val="10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Tento liek bol predpísaný vám. Nedávajte ho nikomu inému. Môže mu uškodiť, dokonca aj vtedy, ak má rovnaké pr</w:t>
      </w:r>
      <w:r w:rsidR="00A4617A">
        <w:rPr>
          <w:sz w:val="22"/>
          <w:szCs w:val="22"/>
          <w:lang w:eastAsia="en-US"/>
        </w:rPr>
        <w:t>ejavy ochorenia</w:t>
      </w:r>
      <w:r w:rsidRPr="000149E8">
        <w:rPr>
          <w:sz w:val="22"/>
          <w:szCs w:val="22"/>
          <w:lang w:eastAsia="en-US"/>
        </w:rPr>
        <w:t xml:space="preserve"> ako vy.</w:t>
      </w:r>
    </w:p>
    <w:p w:rsidR="0006431B" w:rsidRPr="000149E8" w:rsidRDefault="0006431B" w:rsidP="000149E8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 xml:space="preserve">Ak sa u vás vyskytne akýkoľvek vedľajší účinok, </w:t>
      </w:r>
      <w:r w:rsidRPr="000149E8">
        <w:rPr>
          <w:noProof/>
          <w:sz w:val="22"/>
          <w:szCs w:val="22"/>
          <w:lang w:eastAsia="en-US"/>
        </w:rPr>
        <w:t xml:space="preserve">obráťte sa na svojho lekára, </w:t>
      </w:r>
      <w:r w:rsidRPr="000149E8">
        <w:rPr>
          <w:sz w:val="22"/>
          <w:szCs w:val="22"/>
          <w:lang w:eastAsia="en-US"/>
        </w:rPr>
        <w:t xml:space="preserve">alebo </w:t>
      </w:r>
      <w:r w:rsidRPr="000149E8">
        <w:rPr>
          <w:noProof/>
          <w:sz w:val="22"/>
          <w:szCs w:val="22"/>
          <w:lang w:eastAsia="en-US"/>
        </w:rPr>
        <w:t>lekárnika.</w:t>
      </w:r>
      <w:r w:rsidRPr="000149E8">
        <w:rPr>
          <w:sz w:val="22"/>
          <w:szCs w:val="22"/>
          <w:lang w:eastAsia="en-US"/>
        </w:rPr>
        <w:t xml:space="preserve"> To sa týka aj akýchkoľvek vedľajších účinkov, ktoré nie sú uvedené v tejto písomnej informácii. Pozri časť 4.</w:t>
      </w:r>
    </w:p>
    <w:p w:rsidR="0006431B" w:rsidRPr="000149E8" w:rsidRDefault="0006431B" w:rsidP="000149E8">
      <w:pPr>
        <w:rPr>
          <w:b/>
          <w:sz w:val="22"/>
          <w:szCs w:val="22"/>
          <w:lang w:eastAsia="en-US"/>
        </w:rPr>
      </w:pPr>
    </w:p>
    <w:p w:rsidR="0006431B" w:rsidRPr="000149E8" w:rsidRDefault="0006431B" w:rsidP="000149E8">
      <w:pPr>
        <w:keepNext/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V tejto písomnej informácii sa dozviete</w:t>
      </w:r>
      <w:r w:rsidRPr="00D34113">
        <w:rPr>
          <w:sz w:val="22"/>
          <w:szCs w:val="22"/>
          <w:lang w:eastAsia="en-US"/>
        </w:rPr>
        <w:t>: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1.</w:t>
      </w:r>
      <w:r w:rsidRPr="000149E8">
        <w:rPr>
          <w:sz w:val="22"/>
          <w:szCs w:val="22"/>
          <w:lang w:eastAsia="en-US"/>
        </w:rPr>
        <w:tab/>
        <w:t>Čo je S</w:t>
      </w:r>
      <w:r w:rsidR="009B369F" w:rsidRPr="009B369F">
        <w:rPr>
          <w:sz w:val="22"/>
          <w:szCs w:val="22"/>
          <w:lang w:eastAsia="en-US"/>
        </w:rPr>
        <w:t>yntostigmin</w:t>
      </w:r>
      <w:r w:rsidRPr="000149E8">
        <w:rPr>
          <w:sz w:val="22"/>
          <w:szCs w:val="22"/>
          <w:lang w:eastAsia="en-US"/>
        </w:rPr>
        <w:t xml:space="preserve"> a na čo sa používa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2.</w:t>
      </w:r>
      <w:r w:rsidRPr="000149E8">
        <w:rPr>
          <w:sz w:val="22"/>
          <w:szCs w:val="22"/>
          <w:lang w:eastAsia="en-US"/>
        </w:rPr>
        <w:tab/>
        <w:t>Čo potrebujete vedieť predtým</w:t>
      </w:r>
      <w:r w:rsidR="00AA56D4" w:rsidRPr="000149E8">
        <w:rPr>
          <w:sz w:val="22"/>
          <w:szCs w:val="22"/>
          <w:lang w:eastAsia="en-US"/>
        </w:rPr>
        <w:t>,</w:t>
      </w:r>
      <w:r w:rsidRPr="000149E8">
        <w:rPr>
          <w:sz w:val="22"/>
          <w:szCs w:val="22"/>
          <w:lang w:eastAsia="en-US"/>
        </w:rPr>
        <w:t xml:space="preserve"> ako užijete S</w:t>
      </w:r>
      <w:r w:rsidR="009B369F" w:rsidRPr="009B369F">
        <w:rPr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3.</w:t>
      </w:r>
      <w:r w:rsidRPr="000149E8">
        <w:rPr>
          <w:sz w:val="22"/>
          <w:szCs w:val="22"/>
          <w:lang w:eastAsia="en-US"/>
        </w:rPr>
        <w:tab/>
        <w:t>Ako užívať S</w:t>
      </w:r>
      <w:r w:rsidR="009B369F" w:rsidRPr="009B369F">
        <w:rPr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4.</w:t>
      </w:r>
      <w:r w:rsidRPr="000149E8">
        <w:rPr>
          <w:sz w:val="22"/>
          <w:szCs w:val="22"/>
          <w:lang w:eastAsia="en-US"/>
        </w:rPr>
        <w:tab/>
        <w:t>Možné vedľajšie účinky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5.</w:t>
      </w:r>
      <w:r w:rsidRPr="000149E8">
        <w:rPr>
          <w:sz w:val="22"/>
          <w:szCs w:val="22"/>
          <w:lang w:eastAsia="en-US"/>
        </w:rPr>
        <w:tab/>
        <w:t>Ako uchovávať S</w:t>
      </w:r>
      <w:r w:rsidR="009B369F" w:rsidRPr="009B369F">
        <w:rPr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6.</w:t>
      </w:r>
      <w:r w:rsidRPr="000149E8">
        <w:rPr>
          <w:sz w:val="22"/>
          <w:szCs w:val="22"/>
          <w:lang w:eastAsia="en-US"/>
        </w:rPr>
        <w:tab/>
        <w:t>Obsah balenia a ďalšie informácie</w:t>
      </w: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keepNext/>
        <w:numPr>
          <w:ilvl w:val="12"/>
          <w:numId w:val="0"/>
        </w:numPr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1.</w:t>
      </w:r>
      <w:r w:rsidRPr="000149E8">
        <w:rPr>
          <w:b/>
          <w:sz w:val="22"/>
          <w:szCs w:val="22"/>
          <w:lang w:eastAsia="en-US"/>
        </w:rPr>
        <w:tab/>
        <w:t>Čo je Syntostigmin a na čo sa používa</w:t>
      </w:r>
    </w:p>
    <w:p w:rsidR="0006431B" w:rsidRPr="000149E8" w:rsidRDefault="0006431B" w:rsidP="000149E8">
      <w:pPr>
        <w:keepNext/>
        <w:rPr>
          <w:sz w:val="22"/>
          <w:szCs w:val="22"/>
          <w:lang w:eastAsia="en-US"/>
        </w:rPr>
      </w:pP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patrí do skupiny tzv. parasympatomimetík, ktoré pôsobia ako inhibítory enzýmu acetylchol</w:t>
      </w:r>
      <w:r w:rsidR="00AA56D4" w:rsidRPr="000149E8">
        <w:rPr>
          <w:sz w:val="22"/>
          <w:szCs w:val="22"/>
        </w:rPr>
        <w:t>í</w:t>
      </w:r>
      <w:r w:rsidRPr="000149E8">
        <w:rPr>
          <w:sz w:val="22"/>
          <w:szCs w:val="22"/>
        </w:rPr>
        <w:t>nesterázy.</w:t>
      </w:r>
    </w:p>
    <w:p w:rsidR="0006431B" w:rsidRPr="000149E8" w:rsidRDefault="0006431B" w:rsidP="000149E8">
      <w:pPr>
        <w:rPr>
          <w:sz w:val="22"/>
          <w:szCs w:val="22"/>
        </w:rPr>
      </w:pPr>
    </w:p>
    <w:p w:rsidR="0048797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Tablety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sa užívajú na liečbu myast</w:t>
      </w:r>
      <w:r w:rsidR="00AA56D4" w:rsidRPr="000149E8">
        <w:rPr>
          <w:sz w:val="22"/>
          <w:szCs w:val="22"/>
        </w:rPr>
        <w:t>h</w:t>
      </w:r>
      <w:r w:rsidRPr="000149E8">
        <w:rPr>
          <w:sz w:val="22"/>
          <w:szCs w:val="22"/>
        </w:rPr>
        <w:t>enia gravis (porucha prenosu podnetov alebo vzruchov svalom v oblasti spojenia svalu a nervu, spôsobená imunitnou poruchou a prejavujúca sa svalovou slabosťou)</w:t>
      </w:r>
      <w:r w:rsidR="0048797B" w:rsidRPr="000149E8">
        <w:rPr>
          <w:sz w:val="22"/>
          <w:szCs w:val="22"/>
        </w:rPr>
        <w:t xml:space="preserve"> u dospelých pacientov a</w:t>
      </w:r>
      <w:r w:rsidR="00236383">
        <w:rPr>
          <w:sz w:val="22"/>
          <w:szCs w:val="22"/>
        </w:rPr>
        <w:t xml:space="preserve"> u </w:t>
      </w:r>
      <w:r w:rsidR="0048797B" w:rsidRPr="000149E8">
        <w:rPr>
          <w:sz w:val="22"/>
          <w:szCs w:val="22"/>
        </w:rPr>
        <w:t xml:space="preserve">detí </w:t>
      </w:r>
      <w:r w:rsidR="00236383">
        <w:rPr>
          <w:sz w:val="22"/>
          <w:szCs w:val="22"/>
        </w:rPr>
        <w:t>a dospievajúcich</w:t>
      </w:r>
      <w:r w:rsidR="0048797B" w:rsidRPr="000149E8">
        <w:rPr>
          <w:sz w:val="22"/>
          <w:szCs w:val="22"/>
        </w:rPr>
        <w:t xml:space="preserve"> s telesnou hmotnosťou vyššou ako </w:t>
      </w:r>
      <w:r w:rsidR="00236383">
        <w:rPr>
          <w:sz w:val="22"/>
          <w:szCs w:val="22"/>
        </w:rPr>
        <w:t>4</w:t>
      </w:r>
      <w:r w:rsidR="0048797B" w:rsidRPr="000149E8">
        <w:rPr>
          <w:sz w:val="22"/>
          <w:szCs w:val="22"/>
        </w:rPr>
        <w:t>0 kg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Ďalej sa používajú na liečbu zadržiavania moču pri strate napätia zvierača močového mechúra (hypoaktivity detrusora neurogénneho aj non-neurogénneho pôvodu)</w:t>
      </w:r>
      <w:r w:rsidR="0048797B" w:rsidRPr="000149E8">
        <w:rPr>
          <w:sz w:val="22"/>
          <w:szCs w:val="22"/>
        </w:rPr>
        <w:t xml:space="preserve"> u dospelých pacientov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rPr>
          <w:sz w:val="22"/>
          <w:szCs w:val="22"/>
        </w:rPr>
      </w:pP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Mechanizmus účinku lieku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(neostigmínu) spočíva v zabránení odbúravania acetylcholínu prostredníctvom ovplyvnenia enzýmu acetylcholínesterázy. Acetylcholín je látka umožňujúca prenos podnetu (vzruchu) medzi nervovým zakončením a svalom. Zvýšenie koncentrácie acetylcholínu, vyvolané S</w:t>
      </w:r>
      <w:r w:rsidR="009B369F" w:rsidRPr="009B369F">
        <w:rPr>
          <w:sz w:val="22"/>
          <w:szCs w:val="22"/>
        </w:rPr>
        <w:t>yntostigmin</w:t>
      </w:r>
      <w:r w:rsidR="009B369F">
        <w:rPr>
          <w:sz w:val="22"/>
          <w:szCs w:val="22"/>
        </w:rPr>
        <w:t>om</w:t>
      </w:r>
      <w:r w:rsidRPr="000149E8">
        <w:rPr>
          <w:sz w:val="22"/>
          <w:szCs w:val="22"/>
        </w:rPr>
        <w:t>, je zodpovedné za zlepšenie prenosu nervových podnetov medzi nervovým zakončením a svalom.</w:t>
      </w: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Najvýraznejšie účinky neostigmínu sa prejavujú v oblasti spojenia nervov a svalov (na tzv. nervo</w:t>
      </w:r>
      <w:r w:rsidR="007B4E4D" w:rsidRPr="000149E8">
        <w:rPr>
          <w:sz w:val="22"/>
          <w:szCs w:val="22"/>
        </w:rPr>
        <w:t>vo</w:t>
      </w:r>
      <w:r w:rsidRPr="000149E8">
        <w:rPr>
          <w:sz w:val="22"/>
          <w:szCs w:val="22"/>
        </w:rPr>
        <w:t xml:space="preserve">svalovej platničke kostrových svalov), kde zvyšuje silu svalových sťahov a zlepšuje svalovú výkonnosť, ďalej v oblasti oka, kde vyvoláva zúženie zrenice, močových ciest, kde vyvoláva zvýšenie napätia </w:t>
      </w:r>
      <w:r w:rsidR="007B4E4D" w:rsidRPr="000149E8">
        <w:rPr>
          <w:sz w:val="22"/>
          <w:szCs w:val="22"/>
        </w:rPr>
        <w:t>svalu vyprázdňujúceho</w:t>
      </w:r>
      <w:r w:rsidRPr="000149E8">
        <w:rPr>
          <w:sz w:val="22"/>
          <w:szCs w:val="22"/>
        </w:rPr>
        <w:t xml:space="preserve"> močov</w:t>
      </w:r>
      <w:r w:rsidR="007B4E4D" w:rsidRPr="000149E8">
        <w:rPr>
          <w:sz w:val="22"/>
          <w:szCs w:val="22"/>
        </w:rPr>
        <w:t>ý</w:t>
      </w:r>
      <w:r w:rsidRPr="000149E8">
        <w:rPr>
          <w:sz w:val="22"/>
          <w:szCs w:val="22"/>
        </w:rPr>
        <w:t xml:space="preserve"> mechúr, tráviaceho ústrojenstva, kde stimuluje pohyby žalúdka a čriev a zvyšuje napätie žalúdka, dýchacieho ústrojenstva, kde zvyšuje tvorbu tekutiny a môže viesť k zúženiu priedušiek, potných žliaz, kde zvyšuje tvorbu potu a jeho vylučovanie a kardiovaskulárneho </w:t>
      </w:r>
      <w:r w:rsidR="009A13C0" w:rsidRPr="000149E8">
        <w:rPr>
          <w:sz w:val="22"/>
          <w:szCs w:val="22"/>
        </w:rPr>
        <w:t xml:space="preserve">(srdcového a cievneho) </w:t>
      </w:r>
      <w:r w:rsidR="007B4E4D" w:rsidRPr="000149E8">
        <w:rPr>
          <w:sz w:val="22"/>
          <w:szCs w:val="22"/>
        </w:rPr>
        <w:t>systému</w:t>
      </w:r>
      <w:r w:rsidRPr="000149E8">
        <w:rPr>
          <w:sz w:val="22"/>
          <w:szCs w:val="22"/>
        </w:rPr>
        <w:t>, kde môže viesť k spomaleniu srdcovej činnosti.</w:t>
      </w:r>
    </w:p>
    <w:p w:rsidR="00EF42AF" w:rsidRDefault="00EF42AF" w:rsidP="000149E8">
      <w:pPr>
        <w:tabs>
          <w:tab w:val="left" w:pos="2127"/>
        </w:tabs>
        <w:rPr>
          <w:sz w:val="22"/>
          <w:szCs w:val="22"/>
        </w:rPr>
      </w:pP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môžu užívať dospelí</w:t>
      </w:r>
      <w:r w:rsidR="00EF42AF">
        <w:rPr>
          <w:sz w:val="22"/>
          <w:szCs w:val="22"/>
        </w:rPr>
        <w:t>,</w:t>
      </w:r>
      <w:r w:rsidR="00614B88">
        <w:rPr>
          <w:sz w:val="22"/>
          <w:szCs w:val="22"/>
        </w:rPr>
        <w:t xml:space="preserve"> </w:t>
      </w:r>
      <w:r w:rsidRPr="000149E8">
        <w:rPr>
          <w:sz w:val="22"/>
          <w:szCs w:val="22"/>
        </w:rPr>
        <w:t>deti</w:t>
      </w:r>
      <w:r w:rsidR="00614B88">
        <w:rPr>
          <w:sz w:val="22"/>
          <w:szCs w:val="22"/>
        </w:rPr>
        <w:t xml:space="preserve"> a dospievajúci</w:t>
      </w:r>
      <w:r w:rsidRPr="000149E8">
        <w:rPr>
          <w:sz w:val="22"/>
          <w:szCs w:val="22"/>
        </w:rPr>
        <w:t xml:space="preserve"> s telesnou hmotnosťou </w:t>
      </w:r>
      <w:r w:rsidR="00EF42AF">
        <w:rPr>
          <w:sz w:val="22"/>
          <w:szCs w:val="22"/>
        </w:rPr>
        <w:t>vyššou ako</w:t>
      </w:r>
      <w:r w:rsidRPr="000149E8">
        <w:rPr>
          <w:sz w:val="22"/>
          <w:szCs w:val="22"/>
        </w:rPr>
        <w:t xml:space="preserve"> </w:t>
      </w:r>
      <w:r w:rsidR="00EF42AF">
        <w:rPr>
          <w:sz w:val="22"/>
          <w:szCs w:val="22"/>
        </w:rPr>
        <w:t>4</w:t>
      </w:r>
      <w:r w:rsidRPr="000149E8">
        <w:rPr>
          <w:sz w:val="22"/>
          <w:szCs w:val="22"/>
        </w:rPr>
        <w:t xml:space="preserve">0 kg na </w:t>
      </w:r>
      <w:r w:rsidR="00C34DEC" w:rsidRPr="000149E8">
        <w:rPr>
          <w:sz w:val="22"/>
          <w:szCs w:val="22"/>
        </w:rPr>
        <w:t>lekársky predpis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rPr>
          <w:sz w:val="22"/>
          <w:szCs w:val="22"/>
        </w:rPr>
      </w:pPr>
    </w:p>
    <w:p w:rsidR="0006431B" w:rsidRPr="000149E8" w:rsidRDefault="0006431B" w:rsidP="000149E8">
      <w:pPr>
        <w:rPr>
          <w:sz w:val="22"/>
          <w:szCs w:val="22"/>
        </w:rPr>
      </w:pPr>
    </w:p>
    <w:p w:rsidR="0006431B" w:rsidRPr="000149E8" w:rsidRDefault="0006431B" w:rsidP="000149E8">
      <w:pPr>
        <w:keepNext/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lastRenderedPageBreak/>
        <w:t>2.</w:t>
      </w:r>
      <w:r w:rsidRPr="000149E8">
        <w:rPr>
          <w:b/>
          <w:noProof/>
          <w:sz w:val="22"/>
          <w:szCs w:val="22"/>
        </w:rPr>
        <w:tab/>
        <w:t>Čo potrebujete vedieť predtým, ako užijete S</w:t>
      </w:r>
      <w:r w:rsidR="009B369F" w:rsidRPr="009B369F">
        <w:rPr>
          <w:b/>
          <w:noProof/>
          <w:sz w:val="22"/>
          <w:szCs w:val="22"/>
        </w:rPr>
        <w:t>yntostigmin</w:t>
      </w:r>
    </w:p>
    <w:p w:rsidR="0006431B" w:rsidRPr="000149E8" w:rsidRDefault="0006431B" w:rsidP="000149E8">
      <w:pPr>
        <w:keepNext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keepNext/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0149E8">
        <w:rPr>
          <w:b/>
          <w:sz w:val="22"/>
          <w:szCs w:val="22"/>
        </w:rPr>
        <w:t>Neužívajte</w:t>
      </w:r>
      <w:r w:rsidRPr="000149E8">
        <w:rPr>
          <w:b/>
          <w:bCs/>
          <w:sz w:val="22"/>
          <w:szCs w:val="22"/>
        </w:rPr>
        <w:t xml:space="preserve"> S</w:t>
      </w:r>
      <w:r w:rsidR="009B369F" w:rsidRPr="009B369F">
        <w:rPr>
          <w:b/>
          <w:bCs/>
          <w:sz w:val="22"/>
          <w:szCs w:val="22"/>
        </w:rPr>
        <w:t>yntostigmin</w:t>
      </w:r>
    </w:p>
    <w:p w:rsidR="0006431B" w:rsidRPr="000149E8" w:rsidRDefault="0006431B" w:rsidP="000149E8">
      <w:pPr>
        <w:numPr>
          <w:ilvl w:val="0"/>
          <w:numId w:val="12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0149E8">
        <w:rPr>
          <w:bCs/>
          <w:color w:val="000000"/>
          <w:sz w:val="22"/>
          <w:szCs w:val="22"/>
        </w:rPr>
        <w:t xml:space="preserve">ak ste alergický </w:t>
      </w:r>
      <w:r w:rsidRPr="000149E8">
        <w:rPr>
          <w:sz w:val="22"/>
          <w:szCs w:val="22"/>
        </w:rPr>
        <w:t>na neostigmín, bromidy</w:t>
      </w:r>
      <w:r w:rsidRPr="000149E8">
        <w:rPr>
          <w:bCs/>
          <w:color w:val="000000"/>
          <w:sz w:val="22"/>
          <w:szCs w:val="22"/>
        </w:rPr>
        <w:t xml:space="preserve"> alebo na ktorúkoľvek z ďalších zložiek tohto lieku (uvedených v časti 6)</w:t>
      </w:r>
      <w:r w:rsidR="009A13C0" w:rsidRPr="000149E8">
        <w:rPr>
          <w:bCs/>
          <w:color w:val="000000"/>
          <w:sz w:val="22"/>
          <w:szCs w:val="22"/>
        </w:rPr>
        <w:t>.</w:t>
      </w:r>
    </w:p>
    <w:p w:rsidR="009A13C0" w:rsidRPr="000149E8" w:rsidRDefault="009A13C0" w:rsidP="000149E8">
      <w:pPr>
        <w:numPr>
          <w:ilvl w:val="0"/>
          <w:numId w:val="12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0149E8">
        <w:rPr>
          <w:bCs/>
          <w:color w:val="000000"/>
          <w:sz w:val="22"/>
          <w:szCs w:val="22"/>
        </w:rPr>
        <w:t>pri zápale pobrušnice (peritonitída).</w:t>
      </w:r>
    </w:p>
    <w:p w:rsidR="0006431B" w:rsidRPr="000149E8" w:rsidRDefault="0006431B" w:rsidP="000149E8">
      <w:pPr>
        <w:numPr>
          <w:ilvl w:val="0"/>
          <w:numId w:val="12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0149E8">
        <w:rPr>
          <w:sz w:val="22"/>
          <w:szCs w:val="22"/>
        </w:rPr>
        <w:t>pri zúžení alebo nepriechodnosti tráviaceho alebo močového ústrojenstva</w:t>
      </w:r>
      <w:r w:rsidR="009A13C0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rPr>
          <w:sz w:val="22"/>
          <w:szCs w:val="22"/>
        </w:rPr>
      </w:pPr>
    </w:p>
    <w:p w:rsidR="0006431B" w:rsidRPr="000149E8" w:rsidRDefault="0006431B" w:rsidP="000149E8">
      <w:pPr>
        <w:keepNext/>
        <w:numPr>
          <w:ilvl w:val="12"/>
          <w:numId w:val="0"/>
        </w:numPr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Upozornenia a opatrenia</w:t>
      </w:r>
    </w:p>
    <w:p w:rsidR="0006431B" w:rsidRPr="000149E8" w:rsidRDefault="00C34DEC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Predtým</w:t>
      </w:r>
      <w:r w:rsidR="0006431B" w:rsidRPr="000149E8">
        <w:rPr>
          <w:sz w:val="22"/>
          <w:szCs w:val="22"/>
        </w:rPr>
        <w:t>, ako začnete užívať tablety S</w:t>
      </w:r>
      <w:r w:rsidR="009B369F" w:rsidRPr="009B369F">
        <w:rPr>
          <w:sz w:val="22"/>
          <w:szCs w:val="22"/>
        </w:rPr>
        <w:t>yntostigmin</w:t>
      </w:r>
      <w:r w:rsidR="0006431B" w:rsidRPr="000149E8">
        <w:rPr>
          <w:sz w:val="22"/>
          <w:szCs w:val="22"/>
        </w:rPr>
        <w:t xml:space="preserve">, </w:t>
      </w:r>
      <w:r w:rsidR="009A1D33" w:rsidRPr="000149E8">
        <w:rPr>
          <w:sz w:val="22"/>
          <w:szCs w:val="22"/>
        </w:rPr>
        <w:t>obráťte sa na svojho lekára alebo lekárnika</w:t>
      </w:r>
      <w:r w:rsidR="0006431B" w:rsidRPr="000149E8">
        <w:rPr>
          <w:sz w:val="22"/>
          <w:szCs w:val="22"/>
        </w:rPr>
        <w:t>:</w:t>
      </w:r>
    </w:p>
    <w:p w:rsidR="0006431B" w:rsidRPr="000149E8" w:rsidRDefault="0006431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ak </w:t>
      </w:r>
      <w:r w:rsidR="00A4617A">
        <w:rPr>
          <w:sz w:val="22"/>
          <w:szCs w:val="22"/>
        </w:rPr>
        <w:t>máte</w:t>
      </w:r>
      <w:r w:rsidR="00A4617A" w:rsidRPr="000149E8">
        <w:rPr>
          <w:sz w:val="22"/>
          <w:szCs w:val="22"/>
        </w:rPr>
        <w:t xml:space="preserve"> </w:t>
      </w:r>
      <w:r w:rsidRPr="000149E8">
        <w:rPr>
          <w:sz w:val="22"/>
          <w:szCs w:val="22"/>
        </w:rPr>
        <w:t>bronchiálnou astmu alebo in</w:t>
      </w:r>
      <w:r w:rsidR="00A4617A">
        <w:rPr>
          <w:sz w:val="22"/>
          <w:szCs w:val="22"/>
        </w:rPr>
        <w:t>é</w:t>
      </w:r>
      <w:r w:rsidRPr="000149E8">
        <w:rPr>
          <w:sz w:val="22"/>
          <w:szCs w:val="22"/>
        </w:rPr>
        <w:t xml:space="preserve"> akútn</w:t>
      </w:r>
      <w:r w:rsidR="00A4617A">
        <w:rPr>
          <w:sz w:val="22"/>
          <w:szCs w:val="22"/>
        </w:rPr>
        <w:t>e</w:t>
      </w:r>
      <w:r w:rsidRPr="000149E8">
        <w:rPr>
          <w:sz w:val="22"/>
          <w:szCs w:val="22"/>
        </w:rPr>
        <w:t xml:space="preserve"> alebo chronick</w:t>
      </w:r>
      <w:r w:rsidR="00A4617A">
        <w:rPr>
          <w:sz w:val="22"/>
          <w:szCs w:val="22"/>
        </w:rPr>
        <w:t>é</w:t>
      </w:r>
      <w:r w:rsidRPr="000149E8">
        <w:rPr>
          <w:sz w:val="22"/>
          <w:szCs w:val="22"/>
        </w:rPr>
        <w:t xml:space="preserve"> ochoren</w:t>
      </w:r>
      <w:r w:rsidR="00A4617A">
        <w:rPr>
          <w:sz w:val="22"/>
          <w:szCs w:val="22"/>
        </w:rPr>
        <w:t>ie</w:t>
      </w:r>
      <w:r w:rsidRPr="000149E8">
        <w:rPr>
          <w:sz w:val="22"/>
          <w:szCs w:val="22"/>
        </w:rPr>
        <w:t xml:space="preserve"> pľúc</w:t>
      </w:r>
      <w:r w:rsidR="005973AB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ak </w:t>
      </w:r>
      <w:r w:rsidR="00A4617A">
        <w:rPr>
          <w:sz w:val="22"/>
          <w:szCs w:val="22"/>
        </w:rPr>
        <w:t>máte</w:t>
      </w:r>
      <w:r w:rsidRPr="000149E8">
        <w:rPr>
          <w:sz w:val="22"/>
          <w:szCs w:val="22"/>
        </w:rPr>
        <w:t xml:space="preserve"> spomalen</w:t>
      </w:r>
      <w:r w:rsidR="00A4617A">
        <w:rPr>
          <w:sz w:val="22"/>
          <w:szCs w:val="22"/>
        </w:rPr>
        <w:t>ú</w:t>
      </w:r>
      <w:r w:rsidRPr="000149E8">
        <w:rPr>
          <w:sz w:val="22"/>
          <w:szCs w:val="22"/>
        </w:rPr>
        <w:t xml:space="preserve"> srdcov</w:t>
      </w:r>
      <w:r w:rsidR="00A4617A">
        <w:rPr>
          <w:sz w:val="22"/>
          <w:szCs w:val="22"/>
        </w:rPr>
        <w:t>ú</w:t>
      </w:r>
      <w:r w:rsidRPr="000149E8">
        <w:rPr>
          <w:sz w:val="22"/>
          <w:szCs w:val="22"/>
        </w:rPr>
        <w:t xml:space="preserve"> frekvenci</w:t>
      </w:r>
      <w:r w:rsidR="00A4617A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(tzv. bradykardiu) alebo poruch</w:t>
      </w:r>
      <w:r w:rsidR="00A4617A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vedenia vzruchu srdcovým svalom (</w:t>
      </w:r>
      <w:r w:rsidR="00E0516D" w:rsidRPr="000149E8">
        <w:rPr>
          <w:sz w:val="22"/>
          <w:szCs w:val="22"/>
        </w:rPr>
        <w:t>arytmiu</w:t>
      </w:r>
      <w:r w:rsidR="005973AB" w:rsidRPr="000149E8">
        <w:rPr>
          <w:sz w:val="22"/>
          <w:szCs w:val="22"/>
        </w:rPr>
        <w:t xml:space="preserve"> alebo </w:t>
      </w:r>
      <w:r w:rsidRPr="000149E8">
        <w:rPr>
          <w:sz w:val="22"/>
          <w:szCs w:val="22"/>
        </w:rPr>
        <w:t>tzv. AV-blokádu)</w:t>
      </w:r>
      <w:r w:rsidR="005973AB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ak </w:t>
      </w:r>
      <w:r w:rsidR="00A4617A">
        <w:rPr>
          <w:sz w:val="22"/>
          <w:szCs w:val="22"/>
        </w:rPr>
        <w:t>máte</w:t>
      </w:r>
      <w:r w:rsidR="00A4617A" w:rsidRPr="000149E8">
        <w:rPr>
          <w:sz w:val="22"/>
          <w:szCs w:val="22"/>
        </w:rPr>
        <w:t xml:space="preserve"> </w:t>
      </w:r>
      <w:r w:rsidRPr="000149E8">
        <w:rPr>
          <w:sz w:val="22"/>
          <w:szCs w:val="22"/>
        </w:rPr>
        <w:t>akútnu alebo chronick</w:t>
      </w:r>
      <w:r w:rsidR="00A4617A">
        <w:rPr>
          <w:sz w:val="22"/>
          <w:szCs w:val="22"/>
        </w:rPr>
        <w:t>ú</w:t>
      </w:r>
      <w:r w:rsidRPr="000149E8">
        <w:rPr>
          <w:sz w:val="22"/>
          <w:szCs w:val="22"/>
        </w:rPr>
        <w:t xml:space="preserve"> infekciu močových ciest</w:t>
      </w:r>
      <w:r w:rsidR="005973AB" w:rsidRPr="000149E8">
        <w:rPr>
          <w:sz w:val="22"/>
          <w:szCs w:val="22"/>
        </w:rPr>
        <w:t>.</w:t>
      </w:r>
    </w:p>
    <w:p w:rsidR="005973AB" w:rsidRPr="000149E8" w:rsidRDefault="005973A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ak ste prednedávnom podstúpili operáciu čriev alebo močového mechúra.</w:t>
      </w:r>
    </w:p>
    <w:p w:rsidR="005973AB" w:rsidRPr="000149E8" w:rsidRDefault="005973A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ak ste prednedávnom prekonali infarkt myokardu.</w:t>
      </w:r>
    </w:p>
    <w:p w:rsidR="005973AB" w:rsidRPr="000149E8" w:rsidRDefault="005973A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ak </w:t>
      </w:r>
      <w:r w:rsidR="00A4617A">
        <w:rPr>
          <w:sz w:val="22"/>
          <w:szCs w:val="22"/>
        </w:rPr>
        <w:t>máte</w:t>
      </w:r>
      <w:r w:rsidRPr="000149E8">
        <w:rPr>
          <w:sz w:val="22"/>
          <w:szCs w:val="22"/>
        </w:rPr>
        <w:t xml:space="preserve"> peptick</w:t>
      </w:r>
      <w:r w:rsidR="00A4617A">
        <w:rPr>
          <w:sz w:val="22"/>
          <w:szCs w:val="22"/>
        </w:rPr>
        <w:t xml:space="preserve">é </w:t>
      </w:r>
      <w:r w:rsidR="00E0516D" w:rsidRPr="000149E8">
        <w:rPr>
          <w:sz w:val="22"/>
          <w:szCs w:val="22"/>
        </w:rPr>
        <w:t>vredov</w:t>
      </w:r>
      <w:r w:rsidR="00A4617A">
        <w:rPr>
          <w:sz w:val="22"/>
          <w:szCs w:val="22"/>
        </w:rPr>
        <w:t>é</w:t>
      </w:r>
      <w:r w:rsidR="00E0516D" w:rsidRPr="000149E8">
        <w:rPr>
          <w:sz w:val="22"/>
          <w:szCs w:val="22"/>
        </w:rPr>
        <w:t xml:space="preserve"> ochoren</w:t>
      </w:r>
      <w:r w:rsidR="00A4617A">
        <w:rPr>
          <w:sz w:val="22"/>
          <w:szCs w:val="22"/>
        </w:rPr>
        <w:t>ie</w:t>
      </w:r>
      <w:r w:rsidR="00E0516D" w:rsidRPr="000149E8">
        <w:rPr>
          <w:sz w:val="22"/>
          <w:szCs w:val="22"/>
        </w:rPr>
        <w:t xml:space="preserve"> (vred v žalúdku a</w:t>
      </w:r>
      <w:r w:rsidRPr="000149E8">
        <w:rPr>
          <w:sz w:val="22"/>
          <w:szCs w:val="22"/>
        </w:rPr>
        <w:t xml:space="preserve"> na začiatku tenkého čreva) alebo zvýšen</w:t>
      </w:r>
      <w:r w:rsidR="00A4617A">
        <w:rPr>
          <w:sz w:val="22"/>
          <w:szCs w:val="22"/>
        </w:rPr>
        <w:t>ú</w:t>
      </w:r>
      <w:r w:rsidRPr="000149E8">
        <w:rPr>
          <w:sz w:val="22"/>
          <w:szCs w:val="22"/>
        </w:rPr>
        <w:t xml:space="preserve"> činnosť štítnej žľazy (hypertyreóza).</w:t>
      </w:r>
    </w:p>
    <w:p w:rsidR="005973AB" w:rsidRPr="000149E8" w:rsidRDefault="005973A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ak máte epilepsiu alebo Parkinsonov</w:t>
      </w:r>
      <w:r w:rsidR="00F303A1" w:rsidRPr="000149E8">
        <w:rPr>
          <w:sz w:val="22"/>
          <w:szCs w:val="22"/>
        </w:rPr>
        <w:t>u chorobu.</w:t>
      </w:r>
    </w:p>
    <w:p w:rsidR="00F303A1" w:rsidRPr="000149E8" w:rsidRDefault="00F303A1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pri zvýšenej dráždivosti parasympatického nervového systému (vagotónia).</w:t>
      </w:r>
    </w:p>
    <w:p w:rsidR="0006431B" w:rsidRPr="000149E8" w:rsidRDefault="0006431B" w:rsidP="000149E8">
      <w:pPr>
        <w:numPr>
          <w:ilvl w:val="0"/>
          <w:numId w:val="20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ak ste tehotná alebo dojčíte.</w:t>
      </w: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Lekára informujte, ak:</w:t>
      </w:r>
    </w:p>
    <w:p w:rsidR="0006431B" w:rsidRPr="000149E8" w:rsidRDefault="0006431B" w:rsidP="009B369F">
      <w:pPr>
        <w:numPr>
          <w:ilvl w:val="0"/>
          <w:numId w:val="16"/>
        </w:numPr>
        <w:rPr>
          <w:sz w:val="22"/>
          <w:szCs w:val="22"/>
        </w:rPr>
      </w:pPr>
      <w:r w:rsidRPr="000149E8">
        <w:rPr>
          <w:sz w:val="22"/>
          <w:szCs w:val="22"/>
        </w:rPr>
        <w:t>po užití tabliet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sa vaše príznaky svalovej slabosti nezlepšili alebo došlo len k</w:t>
      </w:r>
      <w:r w:rsidR="00C34DEC" w:rsidRPr="000149E8">
        <w:rPr>
          <w:bCs/>
          <w:color w:val="000000"/>
          <w:sz w:val="22"/>
          <w:szCs w:val="22"/>
        </w:rPr>
        <w:t> </w:t>
      </w:r>
      <w:r w:rsidR="00C34DEC" w:rsidRPr="000149E8" w:rsidDel="00C34DEC">
        <w:rPr>
          <w:sz w:val="22"/>
          <w:szCs w:val="22"/>
        </w:rPr>
        <w:t xml:space="preserve"> </w:t>
      </w:r>
      <w:r w:rsidRPr="000149E8">
        <w:rPr>
          <w:sz w:val="22"/>
          <w:szCs w:val="22"/>
        </w:rPr>
        <w:t>čiastočnej úľave od príznakov</w:t>
      </w:r>
      <w:r w:rsidR="00F303A1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0"/>
          <w:numId w:val="17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ste dostali infekciu dýchacieho alebo močového ústrojenstva</w:t>
      </w:r>
      <w:r w:rsidR="00F303A1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0"/>
          <w:numId w:val="17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sa objavili nižšie uvedené, alebo aj iné vedľajšie účinky</w:t>
      </w:r>
      <w:r w:rsidR="00F303A1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Deti a dospievajúci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9E8">
        <w:rPr>
          <w:noProof/>
          <w:sz w:val="22"/>
          <w:szCs w:val="22"/>
        </w:rPr>
        <w:t>S</w:t>
      </w:r>
      <w:r w:rsidR="009B369F" w:rsidRPr="009B369F">
        <w:rPr>
          <w:noProof/>
          <w:sz w:val="22"/>
          <w:szCs w:val="22"/>
        </w:rPr>
        <w:t>yntostigmin</w:t>
      </w:r>
      <w:r w:rsidRPr="000149E8">
        <w:rPr>
          <w:noProof/>
          <w:sz w:val="22"/>
          <w:szCs w:val="22"/>
        </w:rPr>
        <w:t xml:space="preserve"> nesmú užívať deti </w:t>
      </w:r>
      <w:r w:rsidR="009B369F" w:rsidRPr="009B369F">
        <w:rPr>
          <w:noProof/>
          <w:sz w:val="22"/>
          <w:szCs w:val="22"/>
        </w:rPr>
        <w:t>a dospievajúci s telesnou hmotnosťou 40 kg a nižšou</w:t>
      </w:r>
      <w:r w:rsidRPr="000149E8">
        <w:rPr>
          <w:noProof/>
          <w:sz w:val="22"/>
          <w:szCs w:val="22"/>
        </w:rPr>
        <w:t>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Iné lieky a S</w:t>
      </w:r>
      <w:r w:rsidR="009B369F" w:rsidRPr="009B369F">
        <w:rPr>
          <w:b/>
          <w:noProof/>
          <w:sz w:val="22"/>
          <w:szCs w:val="22"/>
        </w:rPr>
        <w:t>yntostigmin</w:t>
      </w:r>
    </w:p>
    <w:p w:rsidR="0006431B" w:rsidRPr="000149E8" w:rsidRDefault="0006431B" w:rsidP="000149E8">
      <w:pPr>
        <w:autoSpaceDE w:val="0"/>
        <w:autoSpaceDN w:val="0"/>
        <w:adjustRightInd w:val="0"/>
        <w:rPr>
          <w:sz w:val="22"/>
          <w:szCs w:val="22"/>
        </w:rPr>
      </w:pPr>
      <w:r w:rsidRPr="000149E8">
        <w:rPr>
          <w:sz w:val="22"/>
          <w:szCs w:val="22"/>
        </w:rPr>
        <w:t>Ak teraz užívate alebo ste v poslednom čase užívali, či práve budete užívať ďalšie lieky, povedzte to svojmu lekárovi alebo lekárnikovi.</w:t>
      </w:r>
    </w:p>
    <w:p w:rsidR="0006431B" w:rsidRPr="000149E8" w:rsidRDefault="0006431B" w:rsidP="000149E8">
      <w:pPr>
        <w:spacing w:before="120"/>
        <w:rPr>
          <w:sz w:val="22"/>
          <w:szCs w:val="22"/>
        </w:rPr>
      </w:pPr>
      <w:r w:rsidRPr="000149E8">
        <w:rPr>
          <w:sz w:val="22"/>
          <w:szCs w:val="22"/>
        </w:rPr>
        <w:t>Účinky S</w:t>
      </w:r>
      <w:r w:rsidR="009B369F" w:rsidRPr="009B369F">
        <w:rPr>
          <w:sz w:val="22"/>
          <w:szCs w:val="22"/>
        </w:rPr>
        <w:t>yntostigmin</w:t>
      </w:r>
      <w:r w:rsidR="009B369F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a iných súčasne užívaných liekov sa môžu navzájom ovplyvňovať. </w:t>
      </w:r>
    </w:p>
    <w:p w:rsidR="0006431B" w:rsidRPr="000149E8" w:rsidRDefault="0006431B" w:rsidP="000149E8">
      <w:pPr>
        <w:spacing w:before="120"/>
        <w:rPr>
          <w:sz w:val="22"/>
          <w:szCs w:val="22"/>
        </w:rPr>
      </w:pPr>
    </w:p>
    <w:p w:rsidR="00F303A1" w:rsidRPr="000149E8" w:rsidRDefault="00F303A1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môže zvyšovať účinok súčasne </w:t>
      </w:r>
      <w:r w:rsidR="00A4617A">
        <w:rPr>
          <w:sz w:val="22"/>
          <w:szCs w:val="22"/>
        </w:rPr>
        <w:t>uží</w:t>
      </w:r>
      <w:r w:rsidRPr="000149E8">
        <w:rPr>
          <w:sz w:val="22"/>
          <w:szCs w:val="22"/>
        </w:rPr>
        <w:t>vaných liekov obsahujúcich:</w:t>
      </w:r>
    </w:p>
    <w:p w:rsidR="00F303A1" w:rsidRPr="000149E8" w:rsidRDefault="00F303A1" w:rsidP="000149E8">
      <w:pPr>
        <w:numPr>
          <w:ilvl w:val="0"/>
          <w:numId w:val="21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betablokátory, digoxín (liečivá na liečbu srdcových ochorení). Pri súčasnom </w:t>
      </w:r>
      <w:r w:rsidR="00A4617A">
        <w:rPr>
          <w:sz w:val="22"/>
          <w:szCs w:val="22"/>
        </w:rPr>
        <w:t>užití</w:t>
      </w:r>
      <w:r w:rsidRPr="000149E8">
        <w:rPr>
          <w:sz w:val="22"/>
          <w:szCs w:val="22"/>
        </w:rPr>
        <w:t xml:space="preserve"> môže dôjsť k spomaleniu srdcovej frekvencie (bradykardii) a zníženiu </w:t>
      </w:r>
      <w:r w:rsidR="00914E4C" w:rsidRPr="000149E8">
        <w:rPr>
          <w:sz w:val="22"/>
          <w:szCs w:val="22"/>
        </w:rPr>
        <w:t>krvného tlaku (hypotenzii</w:t>
      </w:r>
      <w:r w:rsidRPr="000149E8">
        <w:rPr>
          <w:sz w:val="22"/>
          <w:szCs w:val="22"/>
        </w:rPr>
        <w:t>).</w:t>
      </w:r>
    </w:p>
    <w:p w:rsidR="00F303A1" w:rsidRPr="000149E8" w:rsidRDefault="00CD1CD7" w:rsidP="000149E8">
      <w:pPr>
        <w:numPr>
          <w:ilvl w:val="0"/>
          <w:numId w:val="21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d</w:t>
      </w:r>
      <w:r w:rsidR="00914E4C" w:rsidRPr="000149E8">
        <w:rPr>
          <w:sz w:val="22"/>
          <w:szCs w:val="22"/>
        </w:rPr>
        <w:t>epolarizujúce svalové myorelaxanciá (uvoľňujú svalové napätie) ako je suxametónium (sukcinylcholín).</w:t>
      </w:r>
    </w:p>
    <w:p w:rsidR="00914E4C" w:rsidRPr="000149E8" w:rsidRDefault="00914E4C" w:rsidP="000149E8">
      <w:pPr>
        <w:numPr>
          <w:ilvl w:val="0"/>
          <w:numId w:val="21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niektoré lieky proti silnej bolesti (morfín a jeho deriváty).</w:t>
      </w: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  <w:r w:rsidRPr="000149E8">
        <w:rPr>
          <w:sz w:val="22"/>
          <w:szCs w:val="22"/>
        </w:rPr>
        <w:t>Účinok S</w:t>
      </w:r>
      <w:r w:rsidR="009B369F" w:rsidRPr="009B369F">
        <w:rPr>
          <w:sz w:val="22"/>
          <w:szCs w:val="22"/>
        </w:rPr>
        <w:t>yntostigmin</w:t>
      </w:r>
      <w:r w:rsidR="009B369F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môžu zvyšovať:</w:t>
      </w:r>
    </w:p>
    <w:p w:rsidR="009A65A0" w:rsidRPr="000149E8" w:rsidRDefault="009A65A0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liečivá s podobným účinkom, ako sú napr. liečivá používané pri liečbe Alzheimerovej choroby (donepezil, galantamín alebo rivastigmín).</w:t>
      </w: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  <w:r w:rsidRPr="000149E8">
        <w:rPr>
          <w:sz w:val="22"/>
          <w:szCs w:val="22"/>
        </w:rPr>
        <w:t>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znižuje účinok súčasne </w:t>
      </w:r>
      <w:r w:rsidR="00E44DE1">
        <w:rPr>
          <w:sz w:val="22"/>
          <w:szCs w:val="22"/>
        </w:rPr>
        <w:t>užívaných</w:t>
      </w:r>
      <w:r w:rsidRPr="000149E8">
        <w:rPr>
          <w:sz w:val="22"/>
          <w:szCs w:val="22"/>
        </w:rPr>
        <w:t xml:space="preserve"> liekov obsahujúcich:</w:t>
      </w:r>
    </w:p>
    <w:p w:rsidR="009A65A0" w:rsidRPr="000149E8" w:rsidRDefault="009A65A0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svalové relaxanciá (napr. tubokurarín).</w:t>
      </w: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</w:p>
    <w:p w:rsidR="009A65A0" w:rsidRPr="000149E8" w:rsidRDefault="009A65A0" w:rsidP="000149E8">
      <w:pPr>
        <w:tabs>
          <w:tab w:val="left" w:pos="567"/>
        </w:tabs>
        <w:rPr>
          <w:sz w:val="22"/>
          <w:szCs w:val="22"/>
        </w:rPr>
      </w:pPr>
      <w:r w:rsidRPr="000149E8">
        <w:rPr>
          <w:sz w:val="22"/>
          <w:szCs w:val="22"/>
        </w:rPr>
        <w:t>Účinok S</w:t>
      </w:r>
      <w:r w:rsidR="009B369F" w:rsidRPr="009B369F">
        <w:rPr>
          <w:sz w:val="22"/>
          <w:szCs w:val="22"/>
        </w:rPr>
        <w:t>yntostigmin</w:t>
      </w:r>
      <w:r w:rsidR="009B369F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</w:t>
      </w:r>
      <w:r w:rsidR="0006431B" w:rsidRPr="000149E8">
        <w:rPr>
          <w:sz w:val="22"/>
          <w:szCs w:val="22"/>
        </w:rPr>
        <w:t>môžu oslabovať</w:t>
      </w:r>
      <w:r w:rsidRPr="000149E8">
        <w:rPr>
          <w:sz w:val="22"/>
          <w:szCs w:val="22"/>
        </w:rPr>
        <w:t>:</w:t>
      </w:r>
    </w:p>
    <w:p w:rsidR="0006431B" w:rsidRPr="000149E8" w:rsidRDefault="0006431B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hormóny zo skupiny kortikosteroidov. Pri vzájomnej kombinácii sa pozorovala predĺžená svalová slabosť, ktorá sa postupne rozvíja niekoľko desiatok hodín alebo dní od začiatku </w:t>
      </w:r>
      <w:r w:rsidR="009A65A0" w:rsidRPr="000149E8">
        <w:rPr>
          <w:sz w:val="22"/>
          <w:szCs w:val="22"/>
        </w:rPr>
        <w:t>súbežnej</w:t>
      </w:r>
      <w:r w:rsidRPr="000149E8">
        <w:rPr>
          <w:sz w:val="22"/>
          <w:szCs w:val="22"/>
        </w:rPr>
        <w:t xml:space="preserve"> liečby. Súčasné podávanie hormónov zo skupiny kortikosteroidov pacientom s myast</w:t>
      </w:r>
      <w:r w:rsidR="009A65A0" w:rsidRPr="000149E8">
        <w:rPr>
          <w:sz w:val="22"/>
          <w:szCs w:val="22"/>
        </w:rPr>
        <w:t>h</w:t>
      </w:r>
      <w:r w:rsidRPr="000149E8">
        <w:rPr>
          <w:sz w:val="22"/>
          <w:szCs w:val="22"/>
        </w:rPr>
        <w:t>enia gravis je možné len na odporúčanie lekára.</w:t>
      </w:r>
    </w:p>
    <w:p w:rsidR="009A65A0" w:rsidRPr="000149E8" w:rsidRDefault="009A65A0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8F349A">
        <w:rPr>
          <w:sz w:val="22"/>
          <w:szCs w:val="22"/>
        </w:rPr>
        <w:lastRenderedPageBreak/>
        <w:t>anticholinergné li</w:t>
      </w:r>
      <w:r w:rsidRPr="000149E8">
        <w:rPr>
          <w:sz w:val="22"/>
          <w:szCs w:val="22"/>
        </w:rPr>
        <w:t>eky</w:t>
      </w:r>
      <w:r w:rsidR="007A246B">
        <w:rPr>
          <w:sz w:val="22"/>
          <w:szCs w:val="22"/>
        </w:rPr>
        <w:t xml:space="preserve"> (blokujúce účinok acetylcholínu, t.j. látky prenášajúcej vzruchy v nervovej sústave)</w:t>
      </w:r>
      <w:r w:rsidRPr="000149E8">
        <w:rPr>
          <w:sz w:val="22"/>
          <w:szCs w:val="22"/>
        </w:rPr>
        <w:t>, napr. atropín.</w:t>
      </w:r>
    </w:p>
    <w:p w:rsidR="009A65A0" w:rsidRPr="000149E8" w:rsidRDefault="009A65A0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lieky používané na liečbu porúch srdcového rytmu (napr. chinidín, prokaínamid, propafenón).</w:t>
      </w:r>
    </w:p>
    <w:p w:rsidR="00530F17" w:rsidRPr="000149E8" w:rsidRDefault="009A65A0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lieky používané na liečbu malárie (chlorochín, hydroxychlorochín).</w:t>
      </w:r>
    </w:p>
    <w:p w:rsidR="009A65A0" w:rsidRPr="000149E8" w:rsidRDefault="00530F17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l</w:t>
      </w:r>
      <w:r w:rsidR="009A65A0" w:rsidRPr="000149E8">
        <w:rPr>
          <w:sz w:val="22"/>
          <w:szCs w:val="22"/>
        </w:rPr>
        <w:t>okálne anestetiká (napr. lidokaín).</w:t>
      </w:r>
    </w:p>
    <w:p w:rsidR="00530F17" w:rsidRPr="000149E8" w:rsidRDefault="00582D0E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n</w:t>
      </w:r>
      <w:r w:rsidR="00530F17" w:rsidRPr="000149E8">
        <w:rPr>
          <w:sz w:val="22"/>
          <w:szCs w:val="22"/>
        </w:rPr>
        <w:t>iektoré antibiotiká (napr. aminoglykozidové, linkozamidové a polype</w:t>
      </w:r>
      <w:r w:rsidRPr="000149E8">
        <w:rPr>
          <w:sz w:val="22"/>
          <w:szCs w:val="22"/>
        </w:rPr>
        <w:t>p</w:t>
      </w:r>
      <w:r w:rsidR="00530F17" w:rsidRPr="000149E8">
        <w:rPr>
          <w:sz w:val="22"/>
          <w:szCs w:val="22"/>
        </w:rPr>
        <w:t>tidové antibiotiká</w:t>
      </w:r>
      <w:r w:rsidRPr="000149E8">
        <w:rPr>
          <w:sz w:val="22"/>
          <w:szCs w:val="22"/>
        </w:rPr>
        <w:t>, fluorochinolóny, rolitetracyklín, oxytetracyklín, erytromycín a telitromycín</w:t>
      </w:r>
      <w:r w:rsidR="00530F17" w:rsidRPr="000149E8">
        <w:rPr>
          <w:sz w:val="22"/>
          <w:szCs w:val="22"/>
        </w:rPr>
        <w:t>)</w:t>
      </w:r>
      <w:r w:rsidRPr="000149E8">
        <w:rPr>
          <w:sz w:val="22"/>
          <w:szCs w:val="22"/>
        </w:rPr>
        <w:t>.</w:t>
      </w:r>
    </w:p>
    <w:p w:rsidR="00582D0E" w:rsidRPr="000149E8" w:rsidRDefault="00582D0E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inhalačné anestetiká (napr. desfluran, sevofluran, isofluran, halotan).</w:t>
      </w:r>
    </w:p>
    <w:p w:rsidR="00582D0E" w:rsidRPr="000149E8" w:rsidRDefault="00582D0E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lieky používané </w:t>
      </w:r>
      <w:r w:rsidR="00E44DE1">
        <w:rPr>
          <w:sz w:val="22"/>
          <w:szCs w:val="22"/>
        </w:rPr>
        <w:t>na</w:t>
      </w:r>
      <w:r w:rsidRPr="000149E8">
        <w:rPr>
          <w:sz w:val="22"/>
          <w:szCs w:val="22"/>
        </w:rPr>
        <w:t> liečb</w:t>
      </w:r>
      <w:r w:rsidR="00E44DE1">
        <w:rPr>
          <w:sz w:val="22"/>
          <w:szCs w:val="22"/>
        </w:rPr>
        <w:t>u</w:t>
      </w:r>
      <w:r w:rsidRPr="000149E8">
        <w:rPr>
          <w:sz w:val="22"/>
          <w:szCs w:val="22"/>
        </w:rPr>
        <w:t xml:space="preserve"> vysokého krvného tlaku (verapamil).</w:t>
      </w:r>
    </w:p>
    <w:p w:rsidR="00582D0E" w:rsidRPr="000149E8" w:rsidRDefault="00582D0E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n</w:t>
      </w:r>
      <w:r w:rsidR="00E0516D" w:rsidRPr="000149E8">
        <w:rPr>
          <w:sz w:val="22"/>
          <w:szCs w:val="22"/>
        </w:rPr>
        <w:t>iektoré lieky používané na liečbu</w:t>
      </w:r>
      <w:r w:rsidRPr="000149E8">
        <w:rPr>
          <w:sz w:val="22"/>
          <w:szCs w:val="22"/>
        </w:rPr>
        <w:t xml:space="preserve"> depresie (lítium, bupropión).</w:t>
      </w:r>
    </w:p>
    <w:p w:rsidR="00582D0E" w:rsidRPr="000149E8" w:rsidRDefault="00582D0E" w:rsidP="000149E8">
      <w:pPr>
        <w:numPr>
          <w:ilvl w:val="0"/>
          <w:numId w:val="2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tramadol (na liečbu bolesti).</w:t>
      </w:r>
    </w:p>
    <w:p w:rsidR="009A65A0" w:rsidRPr="000149E8" w:rsidRDefault="009A65A0" w:rsidP="000149E8">
      <w:pPr>
        <w:tabs>
          <w:tab w:val="left" w:pos="2127"/>
        </w:tabs>
        <w:rPr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S</w:t>
      </w:r>
      <w:r w:rsidR="009B369F" w:rsidRPr="009B369F">
        <w:rPr>
          <w:b/>
          <w:noProof/>
          <w:sz w:val="22"/>
          <w:szCs w:val="22"/>
        </w:rPr>
        <w:t>yntostigmin</w:t>
      </w:r>
      <w:r w:rsidRPr="000149E8">
        <w:rPr>
          <w:b/>
          <w:noProof/>
          <w:sz w:val="22"/>
          <w:szCs w:val="22"/>
        </w:rPr>
        <w:t xml:space="preserve"> a jedlo, nápoje a alkohol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9E8">
        <w:rPr>
          <w:noProof/>
          <w:sz w:val="22"/>
          <w:szCs w:val="22"/>
        </w:rPr>
        <w:t>S</w:t>
      </w:r>
      <w:r w:rsidR="009B369F" w:rsidRPr="009B369F">
        <w:rPr>
          <w:noProof/>
          <w:sz w:val="22"/>
          <w:szCs w:val="22"/>
        </w:rPr>
        <w:t>yntostigmin</w:t>
      </w:r>
      <w:r w:rsidRPr="000149E8">
        <w:rPr>
          <w:noProof/>
          <w:sz w:val="22"/>
          <w:szCs w:val="22"/>
        </w:rPr>
        <w:t xml:space="preserve"> sa užíva </w:t>
      </w:r>
      <w:r w:rsidR="008D6274" w:rsidRPr="000149E8">
        <w:rPr>
          <w:noProof/>
          <w:sz w:val="22"/>
          <w:szCs w:val="22"/>
        </w:rPr>
        <w:t>pred</w:t>
      </w:r>
      <w:r w:rsidRPr="000149E8">
        <w:rPr>
          <w:noProof/>
          <w:sz w:val="22"/>
          <w:szCs w:val="22"/>
        </w:rPr>
        <w:t xml:space="preserve"> jedlom</w:t>
      </w:r>
      <w:r w:rsidR="008D6274" w:rsidRPr="000149E8">
        <w:rPr>
          <w:noProof/>
          <w:sz w:val="22"/>
          <w:szCs w:val="22"/>
        </w:rPr>
        <w:t>, počas jedla alebo po</w:t>
      </w:r>
      <w:r w:rsidRPr="000149E8">
        <w:rPr>
          <w:noProof/>
          <w:sz w:val="22"/>
          <w:szCs w:val="22"/>
        </w:rPr>
        <w:t xml:space="preserve"> jedl</w:t>
      </w:r>
      <w:r w:rsidR="008D6274" w:rsidRPr="000149E8">
        <w:rPr>
          <w:noProof/>
          <w:sz w:val="22"/>
          <w:szCs w:val="22"/>
        </w:rPr>
        <w:t>e</w:t>
      </w:r>
      <w:r w:rsidRPr="000149E8">
        <w:rPr>
          <w:noProof/>
          <w:sz w:val="22"/>
          <w:szCs w:val="22"/>
        </w:rPr>
        <w:t>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D34113">
      <w:pPr>
        <w:numPr>
          <w:ilvl w:val="12"/>
          <w:numId w:val="0"/>
        </w:numPr>
        <w:tabs>
          <w:tab w:val="center" w:pos="4536"/>
        </w:tabs>
        <w:ind w:right="-2"/>
        <w:outlineLvl w:val="0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Tehotenstvo, dojčenie a plodnosť</w:t>
      </w:r>
      <w:r w:rsidR="00E44DE1">
        <w:rPr>
          <w:b/>
          <w:noProof/>
          <w:sz w:val="22"/>
          <w:szCs w:val="22"/>
        </w:rPr>
        <w:tab/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9E8">
        <w:rPr>
          <w:noProof/>
          <w:sz w:val="22"/>
          <w:szCs w:val="22"/>
        </w:rPr>
        <w:t>Ak ste tehotná alebo dojčíte, ak si myslíte, že ste tehotná alebo ak plánujete otehotnieť, poraďte sa so svojím lekárom alebo lekárnikom predtým</w:t>
      </w:r>
      <w:r w:rsidR="008D6274" w:rsidRPr="000149E8">
        <w:rPr>
          <w:noProof/>
          <w:sz w:val="22"/>
          <w:szCs w:val="22"/>
        </w:rPr>
        <w:t>,</w:t>
      </w:r>
      <w:r w:rsidRPr="000149E8">
        <w:rPr>
          <w:noProof/>
          <w:sz w:val="22"/>
          <w:szCs w:val="22"/>
        </w:rPr>
        <w:t xml:space="preserve"> ako začnete užívať tento liek.</w:t>
      </w: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Tehotné a dojčiace ženy môžu tablety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užívať len v nevyhnutných prípadoch a na výslovný pokyn lekára. 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Vedenie vozidiel a obsluha strojov</w:t>
      </w:r>
    </w:p>
    <w:p w:rsidR="0006431B" w:rsidRPr="000149E8" w:rsidRDefault="0006431B" w:rsidP="000149E8">
      <w:pPr>
        <w:rPr>
          <w:sz w:val="22"/>
          <w:szCs w:val="22"/>
        </w:rPr>
      </w:pPr>
      <w:r w:rsidRPr="000149E8">
        <w:rPr>
          <w:sz w:val="22"/>
          <w:szCs w:val="22"/>
        </w:rPr>
        <w:t>Predovšetkým na začiatku liečby môže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spôsobiť zúženie zreníc a poruchy schopnosti ostrého videnia.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ale nepriaznivo neovplyvňuje pozornosť a schopnosť sústredenia. Schopnosť obsluhovať stroje, pracovať vo výškach alebo viesť vozidl</w:t>
      </w:r>
      <w:r w:rsidR="00310928" w:rsidRPr="000149E8">
        <w:rPr>
          <w:sz w:val="22"/>
          <w:szCs w:val="22"/>
        </w:rPr>
        <w:t>á</w:t>
      </w:r>
      <w:r w:rsidRPr="000149E8">
        <w:rPr>
          <w:sz w:val="22"/>
          <w:szCs w:val="22"/>
        </w:rPr>
        <w:t xml:space="preserve"> musí individuálne posúdiť váš lekár.</w:t>
      </w:r>
    </w:p>
    <w:p w:rsidR="0006431B" w:rsidRPr="000149E8" w:rsidRDefault="0006431B" w:rsidP="000149E8">
      <w:pPr>
        <w:rPr>
          <w:b/>
          <w:i/>
          <w:sz w:val="22"/>
          <w:szCs w:val="22"/>
          <w:u w:val="single"/>
          <w:lang w:eastAsia="en-US"/>
        </w:rPr>
      </w:pPr>
    </w:p>
    <w:p w:rsidR="00692E17" w:rsidRPr="000149E8" w:rsidRDefault="0006431B" w:rsidP="000149E8">
      <w:pPr>
        <w:tabs>
          <w:tab w:val="num" w:pos="360"/>
        </w:tabs>
        <w:ind w:right="-2"/>
        <w:rPr>
          <w:sz w:val="22"/>
          <w:szCs w:val="22"/>
          <w:lang w:eastAsia="en-US"/>
        </w:rPr>
      </w:pPr>
      <w:r w:rsidRPr="000149E8">
        <w:rPr>
          <w:b/>
          <w:noProof/>
          <w:sz w:val="22"/>
          <w:szCs w:val="22"/>
        </w:rPr>
        <w:t>S</w:t>
      </w:r>
      <w:r w:rsidR="009B369F" w:rsidRPr="009B369F">
        <w:rPr>
          <w:b/>
          <w:noProof/>
          <w:sz w:val="22"/>
          <w:szCs w:val="22"/>
        </w:rPr>
        <w:t>yntostigmin</w:t>
      </w:r>
      <w:r w:rsidRPr="000149E8">
        <w:rPr>
          <w:b/>
          <w:noProof/>
          <w:sz w:val="22"/>
          <w:szCs w:val="22"/>
        </w:rPr>
        <w:t xml:space="preserve"> </w:t>
      </w:r>
      <w:r w:rsidRPr="000149E8">
        <w:rPr>
          <w:b/>
          <w:sz w:val="22"/>
          <w:szCs w:val="22"/>
          <w:lang w:eastAsia="en-US"/>
        </w:rPr>
        <w:t>obsahuje laktózu</w:t>
      </w:r>
      <w:r w:rsidRPr="000149E8">
        <w:rPr>
          <w:sz w:val="22"/>
          <w:szCs w:val="22"/>
          <w:lang w:eastAsia="en-US"/>
        </w:rPr>
        <w:t xml:space="preserve"> </w:t>
      </w:r>
    </w:p>
    <w:p w:rsidR="0006431B" w:rsidRPr="000149E8" w:rsidRDefault="0006431B" w:rsidP="000149E8">
      <w:pPr>
        <w:tabs>
          <w:tab w:val="num" w:pos="360"/>
        </w:tabs>
        <w:ind w:right="-2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Ak vám</w:t>
      </w:r>
      <w:r w:rsidR="00692E17" w:rsidRPr="000149E8">
        <w:rPr>
          <w:sz w:val="22"/>
          <w:szCs w:val="22"/>
          <w:lang w:eastAsia="en-US"/>
        </w:rPr>
        <w:t xml:space="preserve"> váš</w:t>
      </w:r>
      <w:r w:rsidRPr="000149E8">
        <w:rPr>
          <w:sz w:val="22"/>
          <w:szCs w:val="22"/>
          <w:lang w:eastAsia="en-US"/>
        </w:rPr>
        <w:t xml:space="preserve"> lekár povedal, že neznášate niektoré cukry, kontaktujte svojho lekára</w:t>
      </w:r>
      <w:r w:rsidR="00692E17" w:rsidRPr="000149E8">
        <w:rPr>
          <w:sz w:val="22"/>
          <w:szCs w:val="22"/>
          <w:lang w:eastAsia="en-US"/>
        </w:rPr>
        <w:t xml:space="preserve"> pred užitím tohto lieku</w:t>
      </w:r>
      <w:r w:rsidRPr="000149E8">
        <w:rPr>
          <w:sz w:val="22"/>
          <w:szCs w:val="22"/>
          <w:lang w:eastAsia="en-US"/>
        </w:rPr>
        <w:t>.</w:t>
      </w: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keepNext/>
        <w:numPr>
          <w:ilvl w:val="12"/>
          <w:numId w:val="0"/>
        </w:numPr>
        <w:ind w:left="567" w:hanging="567"/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3.</w:t>
      </w:r>
      <w:r w:rsidRPr="000149E8">
        <w:rPr>
          <w:b/>
          <w:sz w:val="22"/>
          <w:szCs w:val="22"/>
          <w:lang w:eastAsia="en-US"/>
        </w:rPr>
        <w:tab/>
        <w:t>Ako užívať</w:t>
      </w:r>
      <w:r w:rsidRPr="000149E8">
        <w:rPr>
          <w:b/>
          <w:noProof/>
          <w:sz w:val="22"/>
          <w:szCs w:val="22"/>
        </w:rPr>
        <w:t xml:space="preserve"> S</w:t>
      </w:r>
      <w:r w:rsidR="009B369F" w:rsidRPr="009B369F">
        <w:rPr>
          <w:b/>
          <w:noProof/>
          <w:sz w:val="22"/>
          <w:szCs w:val="22"/>
        </w:rPr>
        <w:t>yntostigmin</w:t>
      </w:r>
    </w:p>
    <w:p w:rsidR="0006431B" w:rsidRPr="000149E8" w:rsidRDefault="0006431B" w:rsidP="000149E8">
      <w:pPr>
        <w:keepNext/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Vždy užívajte tento liek presne tak, ako vám povedal váš lekár. Ak si nie ste niečím istý, overte si to u </w:t>
      </w:r>
      <w:r w:rsidR="00370AF5" w:rsidRPr="000149E8">
        <w:rPr>
          <w:sz w:val="22"/>
          <w:szCs w:val="22"/>
          <w:lang w:eastAsia="en-US"/>
        </w:rPr>
        <w:t>svojho</w:t>
      </w:r>
      <w:r w:rsidRPr="000149E8">
        <w:rPr>
          <w:sz w:val="22"/>
          <w:szCs w:val="22"/>
          <w:lang w:eastAsia="en-US"/>
        </w:rPr>
        <w:t xml:space="preserve"> lekára alebo lekárnika.</w:t>
      </w: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rPr>
          <w:sz w:val="22"/>
          <w:szCs w:val="22"/>
        </w:rPr>
      </w:pPr>
      <w:r w:rsidRPr="000149E8">
        <w:rPr>
          <w:b/>
          <w:sz w:val="22"/>
          <w:szCs w:val="22"/>
        </w:rPr>
        <w:t>Pri liečbe myast</w:t>
      </w:r>
      <w:r w:rsidR="00370AF5" w:rsidRPr="000149E8">
        <w:rPr>
          <w:b/>
          <w:sz w:val="22"/>
          <w:szCs w:val="22"/>
        </w:rPr>
        <w:t>h</w:t>
      </w:r>
      <w:r w:rsidRPr="000149E8">
        <w:rPr>
          <w:b/>
          <w:sz w:val="22"/>
          <w:szCs w:val="22"/>
        </w:rPr>
        <w:t>enia gravis</w:t>
      </w:r>
      <w:r w:rsidRPr="000149E8">
        <w:rPr>
          <w:sz w:val="22"/>
          <w:szCs w:val="22"/>
        </w:rPr>
        <w:t xml:space="preserve"> užívajú dospelí zvyčajne 1 tabletu (t. j. 15</w:t>
      </w:r>
      <w:r w:rsidR="00370AF5" w:rsidRPr="000149E8">
        <w:rPr>
          <w:sz w:val="22"/>
          <w:szCs w:val="22"/>
        </w:rPr>
        <w:t> </w:t>
      </w:r>
      <w:r w:rsidRPr="000149E8">
        <w:rPr>
          <w:sz w:val="22"/>
          <w:szCs w:val="22"/>
        </w:rPr>
        <w:t>mg neostigmín</w:t>
      </w:r>
      <w:r w:rsidR="00370AF5" w:rsidRPr="000149E8">
        <w:rPr>
          <w:sz w:val="22"/>
          <w:szCs w:val="22"/>
        </w:rPr>
        <w:t>ium</w:t>
      </w:r>
      <w:r w:rsidRPr="000149E8">
        <w:rPr>
          <w:sz w:val="22"/>
          <w:szCs w:val="22"/>
        </w:rPr>
        <w:t>bromidu) každé 3 - 4 hodiny, v prípade potreby môže lekár dávku zvýšiť, zvyčajne sa však neodporúča prekračovať dennú dávku 10 tabliet (t. j. 150 mg neostigmín</w:t>
      </w:r>
      <w:r w:rsidR="00370AF5" w:rsidRPr="000149E8">
        <w:rPr>
          <w:sz w:val="22"/>
          <w:szCs w:val="22"/>
        </w:rPr>
        <w:t>ium</w:t>
      </w:r>
      <w:r w:rsidRPr="000149E8">
        <w:rPr>
          <w:sz w:val="22"/>
          <w:szCs w:val="22"/>
        </w:rPr>
        <w:t xml:space="preserve">bromidu). </w:t>
      </w:r>
    </w:p>
    <w:p w:rsidR="00236383" w:rsidRDefault="00236383" w:rsidP="000149E8">
      <w:pPr>
        <w:rPr>
          <w:sz w:val="22"/>
          <w:szCs w:val="22"/>
        </w:rPr>
      </w:pPr>
    </w:p>
    <w:p w:rsidR="00236383" w:rsidRPr="004307CE" w:rsidRDefault="00236383" w:rsidP="000149E8">
      <w:pPr>
        <w:rPr>
          <w:sz w:val="22"/>
          <w:szCs w:val="22"/>
          <w:u w:val="single"/>
        </w:rPr>
      </w:pPr>
      <w:r w:rsidRPr="004307CE">
        <w:rPr>
          <w:sz w:val="22"/>
          <w:szCs w:val="22"/>
          <w:u w:val="single"/>
        </w:rPr>
        <w:t>Použitie u</w:t>
      </w:r>
      <w:r w:rsidR="000F47E4" w:rsidRPr="004307CE">
        <w:rPr>
          <w:sz w:val="22"/>
          <w:szCs w:val="22"/>
          <w:u w:val="single"/>
        </w:rPr>
        <w:t> </w:t>
      </w:r>
      <w:r w:rsidRPr="004307CE">
        <w:rPr>
          <w:sz w:val="22"/>
          <w:szCs w:val="22"/>
          <w:u w:val="single"/>
        </w:rPr>
        <w:t>detí</w:t>
      </w:r>
      <w:r w:rsidR="000F47E4" w:rsidRPr="004307CE">
        <w:rPr>
          <w:sz w:val="22"/>
          <w:szCs w:val="22"/>
          <w:u w:val="single"/>
        </w:rPr>
        <w:t xml:space="preserve"> a dospievajúcich</w:t>
      </w:r>
    </w:p>
    <w:p w:rsidR="0006431B" w:rsidRPr="000149E8" w:rsidRDefault="00236383" w:rsidP="000149E8">
      <w:pPr>
        <w:rPr>
          <w:sz w:val="22"/>
          <w:szCs w:val="22"/>
        </w:rPr>
      </w:pPr>
      <w:r w:rsidRPr="00236383">
        <w:rPr>
          <w:sz w:val="22"/>
          <w:szCs w:val="22"/>
        </w:rPr>
        <w:t xml:space="preserve">Deťom a dospievajúcim s telesnou hmotnosťou vyššou ako 40 kg sa odporúča užívať </w:t>
      </w:r>
      <w:r>
        <w:rPr>
          <w:sz w:val="22"/>
          <w:szCs w:val="22"/>
        </w:rPr>
        <w:t xml:space="preserve">1 tabletu (t.j. </w:t>
      </w:r>
      <w:r w:rsidRPr="00236383">
        <w:rPr>
          <w:sz w:val="22"/>
          <w:szCs w:val="22"/>
        </w:rPr>
        <w:t>15 mg neostigmíniumbromidu</w:t>
      </w:r>
      <w:r>
        <w:rPr>
          <w:sz w:val="22"/>
          <w:szCs w:val="22"/>
        </w:rPr>
        <w:t>)</w:t>
      </w:r>
      <w:r w:rsidRPr="00236383">
        <w:rPr>
          <w:sz w:val="22"/>
          <w:szCs w:val="22"/>
        </w:rPr>
        <w:t xml:space="preserve"> každé 4 hodiny.</w:t>
      </w:r>
    </w:p>
    <w:p w:rsidR="0006431B" w:rsidRPr="000149E8" w:rsidRDefault="0006431B" w:rsidP="000149E8">
      <w:pPr>
        <w:spacing w:before="60"/>
        <w:rPr>
          <w:sz w:val="22"/>
          <w:szCs w:val="22"/>
        </w:rPr>
      </w:pPr>
      <w:r w:rsidRPr="000149E8">
        <w:rPr>
          <w:sz w:val="22"/>
          <w:szCs w:val="22"/>
        </w:rPr>
        <w:t xml:space="preserve">Liek nesmú užívať deti </w:t>
      </w:r>
      <w:r w:rsidR="00236383">
        <w:rPr>
          <w:sz w:val="22"/>
          <w:szCs w:val="22"/>
        </w:rPr>
        <w:t>a dospievajúci s telesnou hmotnosťou 40 kg a nižšou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spacing w:before="60"/>
        <w:rPr>
          <w:sz w:val="22"/>
          <w:szCs w:val="22"/>
        </w:rPr>
      </w:pPr>
    </w:p>
    <w:p w:rsidR="0006431B" w:rsidRPr="000149E8" w:rsidRDefault="0006431B" w:rsidP="000149E8">
      <w:pPr>
        <w:spacing w:before="60"/>
        <w:rPr>
          <w:sz w:val="22"/>
          <w:szCs w:val="22"/>
        </w:rPr>
      </w:pPr>
      <w:r w:rsidRPr="000149E8">
        <w:rPr>
          <w:b/>
          <w:sz w:val="22"/>
          <w:szCs w:val="22"/>
        </w:rPr>
        <w:t xml:space="preserve">Pri liečbe zadržiavania moču pri strate napätia </w:t>
      </w:r>
      <w:r w:rsidR="00B73CE7" w:rsidRPr="000149E8">
        <w:rPr>
          <w:b/>
          <w:sz w:val="22"/>
          <w:szCs w:val="22"/>
        </w:rPr>
        <w:t>svalu</w:t>
      </w:r>
      <w:r w:rsidRPr="000149E8">
        <w:rPr>
          <w:b/>
          <w:sz w:val="22"/>
          <w:szCs w:val="22"/>
        </w:rPr>
        <w:t xml:space="preserve"> močového mechúra</w:t>
      </w:r>
      <w:r w:rsidRPr="000149E8">
        <w:rPr>
          <w:sz w:val="22"/>
          <w:szCs w:val="22"/>
        </w:rPr>
        <w:t xml:space="preserve"> užívajú dospelí zvyčajne 1 tabletu (t. j. 15</w:t>
      </w:r>
      <w:r w:rsidR="00B73CE7" w:rsidRPr="000149E8">
        <w:rPr>
          <w:sz w:val="22"/>
          <w:szCs w:val="22"/>
        </w:rPr>
        <w:t> </w:t>
      </w:r>
      <w:r w:rsidRPr="000149E8">
        <w:rPr>
          <w:sz w:val="22"/>
          <w:szCs w:val="22"/>
        </w:rPr>
        <w:t>mg neostigmín</w:t>
      </w:r>
      <w:r w:rsidR="00B73CE7" w:rsidRPr="000149E8">
        <w:rPr>
          <w:sz w:val="22"/>
          <w:szCs w:val="22"/>
        </w:rPr>
        <w:t>ium</w:t>
      </w:r>
      <w:r w:rsidRPr="000149E8">
        <w:rPr>
          <w:sz w:val="22"/>
          <w:szCs w:val="22"/>
        </w:rPr>
        <w:t>bromidu) 3 – 6-krát denne, vždy s odstupom aspoň 4</w:t>
      </w:r>
      <w:r w:rsidR="00B73CE7" w:rsidRPr="000149E8">
        <w:rPr>
          <w:sz w:val="22"/>
          <w:szCs w:val="22"/>
        </w:rPr>
        <w:t> </w:t>
      </w:r>
      <w:r w:rsidRPr="000149E8">
        <w:rPr>
          <w:sz w:val="22"/>
          <w:szCs w:val="22"/>
        </w:rPr>
        <w:t>hodín.</w:t>
      </w:r>
    </w:p>
    <w:p w:rsidR="0006431B" w:rsidRPr="000149E8" w:rsidRDefault="0006431B" w:rsidP="000149E8">
      <w:pPr>
        <w:spacing w:before="60"/>
        <w:rPr>
          <w:sz w:val="22"/>
          <w:szCs w:val="22"/>
        </w:rPr>
      </w:pPr>
      <w:r w:rsidRPr="000149E8">
        <w:rPr>
          <w:sz w:val="22"/>
          <w:szCs w:val="22"/>
        </w:rPr>
        <w:t>V tejto indikácii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nie je určený pre deti.</w:t>
      </w:r>
    </w:p>
    <w:p w:rsidR="0006431B" w:rsidRPr="000149E8" w:rsidRDefault="0006431B" w:rsidP="000149E8">
      <w:pPr>
        <w:rPr>
          <w:b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eastAsia="en-US"/>
        </w:rPr>
      </w:pPr>
      <w:r w:rsidRPr="000149E8">
        <w:rPr>
          <w:b/>
          <w:noProof/>
          <w:sz w:val="22"/>
          <w:szCs w:val="22"/>
          <w:lang w:eastAsia="en-US"/>
        </w:rPr>
        <w:t>Ak užijete viac S</w:t>
      </w:r>
      <w:r w:rsidR="009B369F" w:rsidRPr="009B369F">
        <w:rPr>
          <w:b/>
          <w:noProof/>
          <w:sz w:val="22"/>
          <w:szCs w:val="22"/>
          <w:lang w:eastAsia="en-US"/>
        </w:rPr>
        <w:t>yntostigmin</w:t>
      </w:r>
      <w:r w:rsidR="009B369F">
        <w:rPr>
          <w:b/>
          <w:noProof/>
          <w:sz w:val="22"/>
          <w:szCs w:val="22"/>
          <w:lang w:eastAsia="en-US"/>
        </w:rPr>
        <w:t>u</w:t>
      </w:r>
      <w:r w:rsidRPr="000149E8">
        <w:rPr>
          <w:b/>
          <w:noProof/>
          <w:sz w:val="22"/>
          <w:szCs w:val="22"/>
          <w:lang w:eastAsia="en-US"/>
        </w:rPr>
        <w:t>, ako máte</w:t>
      </w:r>
    </w:p>
    <w:p w:rsidR="0006431B" w:rsidRPr="000149E8" w:rsidRDefault="0006431B" w:rsidP="000149E8">
      <w:pPr>
        <w:rPr>
          <w:color w:val="000000"/>
          <w:sz w:val="22"/>
          <w:szCs w:val="22"/>
        </w:rPr>
      </w:pPr>
      <w:r w:rsidRPr="000149E8">
        <w:rPr>
          <w:sz w:val="22"/>
          <w:szCs w:val="22"/>
        </w:rPr>
        <w:t>Predávkovanie, či otrava liekom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sa prejavuje intenzívnymi príznakmi. </w:t>
      </w:r>
      <w:r w:rsidRPr="000149E8">
        <w:rPr>
          <w:color w:val="000000"/>
          <w:sz w:val="22"/>
          <w:szCs w:val="22"/>
        </w:rPr>
        <w:t xml:space="preserve">V popredí stojí úzkosť, slabosť, únava, závrat, bolesti hlavy, zúženie zreníc, nevoľnosť, vracanie, kolikové bolesti brucha, hnačky, zvýšené slinenie, potenie a spomalenie pulzovej frekvencie. Môže sa rozvinúť extrémna svalová slabosť, ktorá môže vyústiť do celkovej obrny, vrátane obrny okohybných a dýchacích svalov. Pri ťažkej otrave sa stav ďalej zhoršuje do epileptických záchvatov, kómy, </w:t>
      </w:r>
      <w:r w:rsidRPr="000149E8">
        <w:rPr>
          <w:color w:val="000000"/>
          <w:sz w:val="22"/>
          <w:szCs w:val="22"/>
        </w:rPr>
        <w:lastRenderedPageBreak/>
        <w:t>pľúcneho opuchu s výrazným vylučovaním sekrétu do priedušiek a pľúc spojeným s nedostatkom kyslíka, objavujú sa poruchy srdcového rytmu. Môže byť tiež prítomná zvýšená hladina krvného draslíka alebo sa môže objaviť cukor v moči. Extrémne vysoké dávky lieku S</w:t>
      </w:r>
      <w:r w:rsidR="009B369F" w:rsidRPr="009B369F">
        <w:rPr>
          <w:color w:val="000000"/>
          <w:sz w:val="22"/>
          <w:szCs w:val="22"/>
        </w:rPr>
        <w:t>yntostigmin</w:t>
      </w:r>
      <w:r w:rsidRPr="000149E8">
        <w:rPr>
          <w:color w:val="000000"/>
          <w:sz w:val="22"/>
          <w:szCs w:val="22"/>
        </w:rPr>
        <w:t xml:space="preserve"> vedú k dráždeniu mozgu s jeho následným útlmom, k blokáde prenosu podnetov medzi nervom a svalom sprevádzanej útlmom až obrnou dychu a smrťou.</w:t>
      </w:r>
    </w:p>
    <w:p w:rsidR="0006431B" w:rsidRPr="000149E8" w:rsidRDefault="0006431B" w:rsidP="000149E8">
      <w:pPr>
        <w:rPr>
          <w:sz w:val="22"/>
          <w:szCs w:val="22"/>
        </w:rPr>
      </w:pPr>
      <w:r w:rsidRPr="000149E8">
        <w:rPr>
          <w:color w:val="000000"/>
          <w:sz w:val="22"/>
          <w:szCs w:val="22"/>
        </w:rPr>
        <w:t>V prípade náhodného predávkovania alebo otravy liekom S</w:t>
      </w:r>
      <w:r w:rsidR="009B369F" w:rsidRPr="009B369F">
        <w:rPr>
          <w:color w:val="000000"/>
          <w:sz w:val="22"/>
          <w:szCs w:val="22"/>
        </w:rPr>
        <w:t>yntostigmin</w:t>
      </w:r>
      <w:r w:rsidRPr="000149E8">
        <w:rPr>
          <w:color w:val="000000"/>
          <w:sz w:val="22"/>
          <w:szCs w:val="22"/>
        </w:rPr>
        <w:t xml:space="preserve"> je nevyhnutné okamžite vyhľadať lekára.</w:t>
      </w:r>
    </w:p>
    <w:p w:rsidR="0006431B" w:rsidRPr="000149E8" w:rsidRDefault="0006431B" w:rsidP="000149E8">
      <w:pPr>
        <w:rPr>
          <w:b/>
          <w:sz w:val="22"/>
          <w:szCs w:val="22"/>
        </w:rPr>
      </w:pPr>
    </w:p>
    <w:p w:rsidR="0006431B" w:rsidRPr="000149E8" w:rsidRDefault="0006431B" w:rsidP="000149E8">
      <w:pPr>
        <w:keepNext/>
        <w:numPr>
          <w:ilvl w:val="12"/>
          <w:numId w:val="0"/>
        </w:numPr>
        <w:rPr>
          <w:b/>
          <w:sz w:val="22"/>
          <w:szCs w:val="22"/>
          <w:u w:val="single"/>
          <w:lang w:eastAsia="en-US"/>
        </w:rPr>
      </w:pPr>
      <w:r w:rsidRPr="000149E8">
        <w:rPr>
          <w:b/>
          <w:sz w:val="22"/>
          <w:szCs w:val="22"/>
          <w:lang w:eastAsia="en-US"/>
        </w:rPr>
        <w:t>Ak zabudnete užiť S</w:t>
      </w:r>
      <w:r w:rsidR="009B369F" w:rsidRPr="009B369F">
        <w:rPr>
          <w:b/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Neužívajte dvojnásobnú dávku, aby ste nahradili vynechanú dávku.</w:t>
      </w:r>
    </w:p>
    <w:p w:rsidR="0006431B" w:rsidRPr="000149E8" w:rsidRDefault="0006431B" w:rsidP="000149E8">
      <w:pPr>
        <w:rPr>
          <w:b/>
          <w:sz w:val="22"/>
          <w:szCs w:val="22"/>
          <w:u w:val="single"/>
          <w:lang w:eastAsia="en-US"/>
        </w:rPr>
      </w:pPr>
    </w:p>
    <w:p w:rsidR="0006431B" w:rsidRPr="000149E8" w:rsidRDefault="0006431B" w:rsidP="000149E8">
      <w:pPr>
        <w:keepNext/>
        <w:rPr>
          <w:b/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Ak prestanete užívať S</w:t>
      </w:r>
      <w:r w:rsidR="009B369F" w:rsidRPr="009B369F">
        <w:rPr>
          <w:b/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 xml:space="preserve">Ak máte akékoľvek ďalšie otázky týkajúce sa použitia tohto lieku, opýtajte sa </w:t>
      </w:r>
      <w:r w:rsidR="009A1D33" w:rsidRPr="000149E8">
        <w:rPr>
          <w:sz w:val="22"/>
          <w:szCs w:val="22"/>
          <w:lang w:eastAsia="en-US"/>
        </w:rPr>
        <w:t>svoj</w:t>
      </w:r>
      <w:r w:rsidRPr="000149E8">
        <w:rPr>
          <w:sz w:val="22"/>
          <w:szCs w:val="22"/>
          <w:lang w:eastAsia="en-US"/>
        </w:rPr>
        <w:t>ho lekára alebo lekárnika.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4.</w:t>
      </w:r>
      <w:r w:rsidRPr="000149E8">
        <w:rPr>
          <w:b/>
          <w:noProof/>
          <w:sz w:val="22"/>
          <w:szCs w:val="22"/>
        </w:rPr>
        <w:tab/>
        <w:t>Možné vedľajšie účinky</w:t>
      </w:r>
    </w:p>
    <w:p w:rsidR="0006431B" w:rsidRPr="000149E8" w:rsidRDefault="0006431B" w:rsidP="000149E8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9"/>
        <w:outlineLvl w:val="0"/>
        <w:rPr>
          <w:sz w:val="22"/>
          <w:szCs w:val="22"/>
        </w:rPr>
      </w:pPr>
      <w:r w:rsidRPr="000149E8">
        <w:rPr>
          <w:sz w:val="22"/>
          <w:szCs w:val="22"/>
        </w:rPr>
        <w:t>Tak ako všetky lieky, aj tento liek môže spôsobovať vedľajšie účinky, hoci sa neprejavia u každého.</w:t>
      </w:r>
    </w:p>
    <w:p w:rsidR="0006431B" w:rsidRPr="000149E8" w:rsidRDefault="0006431B" w:rsidP="000149E8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  <w:r w:rsidRPr="000149E8">
        <w:rPr>
          <w:sz w:val="22"/>
          <w:szCs w:val="22"/>
        </w:rPr>
        <w:t>Tablety 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sa zvyčajne veľmi dobre znášajú.</w:t>
      </w:r>
    </w:p>
    <w:p w:rsidR="0006431B" w:rsidRPr="000149E8" w:rsidRDefault="0006431B" w:rsidP="000149E8">
      <w:pPr>
        <w:tabs>
          <w:tab w:val="left" w:pos="2127"/>
        </w:tabs>
        <w:rPr>
          <w:sz w:val="22"/>
          <w:szCs w:val="22"/>
        </w:rPr>
      </w:pPr>
    </w:p>
    <w:p w:rsidR="0006431B" w:rsidRPr="000149E8" w:rsidRDefault="0006431B" w:rsidP="000149E8">
      <w:pPr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Medzi vedľajšie účinky, ktoré boli hlásené v súvislosti s liečbou S</w:t>
      </w:r>
      <w:r w:rsidR="009B369F" w:rsidRPr="009B369F">
        <w:rPr>
          <w:sz w:val="22"/>
          <w:szCs w:val="22"/>
          <w:lang w:eastAsia="en-US"/>
        </w:rPr>
        <w:t>yntostigmin</w:t>
      </w:r>
      <w:r w:rsidR="009B369F">
        <w:rPr>
          <w:sz w:val="22"/>
          <w:szCs w:val="22"/>
          <w:lang w:eastAsia="en-US"/>
        </w:rPr>
        <w:t>om</w:t>
      </w:r>
      <w:r w:rsidRPr="000149E8">
        <w:rPr>
          <w:sz w:val="22"/>
          <w:szCs w:val="22"/>
          <w:lang w:eastAsia="en-US"/>
        </w:rPr>
        <w:t>, patria:</w:t>
      </w:r>
    </w:p>
    <w:p w:rsidR="0006431B" w:rsidRPr="000149E8" w:rsidRDefault="0006431B" w:rsidP="000149E8">
      <w:pPr>
        <w:rPr>
          <w:b/>
          <w:sz w:val="22"/>
          <w:szCs w:val="22"/>
        </w:rPr>
      </w:pPr>
    </w:p>
    <w:p w:rsidR="0006431B" w:rsidRPr="000149E8" w:rsidRDefault="0006431B" w:rsidP="000149E8">
      <w:pPr>
        <w:rPr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 xml:space="preserve">Veľmi časté vedľajšie účinky </w:t>
      </w:r>
      <w:r w:rsidRPr="000149E8">
        <w:rPr>
          <w:sz w:val="22"/>
          <w:szCs w:val="22"/>
          <w:lang w:eastAsia="en-US"/>
        </w:rPr>
        <w:t>(</w:t>
      </w:r>
      <w:r w:rsidR="00F61D71" w:rsidRPr="000149E8">
        <w:rPr>
          <w:sz w:val="22"/>
          <w:szCs w:val="22"/>
          <w:lang w:eastAsia="en-US"/>
        </w:rPr>
        <w:t xml:space="preserve">môžu </w:t>
      </w:r>
      <w:r w:rsidRPr="000149E8">
        <w:rPr>
          <w:sz w:val="22"/>
          <w:szCs w:val="22"/>
          <w:lang w:eastAsia="en-US"/>
        </w:rPr>
        <w:t>postih</w:t>
      </w:r>
      <w:r w:rsidR="00565CC5">
        <w:rPr>
          <w:sz w:val="22"/>
          <w:szCs w:val="22"/>
          <w:lang w:eastAsia="en-US"/>
        </w:rPr>
        <w:t>ova</w:t>
      </w:r>
      <w:r w:rsidR="00F61D71" w:rsidRPr="000149E8">
        <w:rPr>
          <w:sz w:val="22"/>
          <w:szCs w:val="22"/>
          <w:lang w:eastAsia="en-US"/>
        </w:rPr>
        <w:t>ť</w:t>
      </w:r>
      <w:r w:rsidRPr="000149E8">
        <w:rPr>
          <w:sz w:val="22"/>
          <w:szCs w:val="22"/>
          <w:lang w:eastAsia="en-US"/>
        </w:rPr>
        <w:t xml:space="preserve"> viac ako 1 z 10 </w:t>
      </w:r>
      <w:r w:rsidR="00565CC5">
        <w:rPr>
          <w:sz w:val="22"/>
          <w:szCs w:val="22"/>
          <w:lang w:eastAsia="en-US"/>
        </w:rPr>
        <w:t>osôb</w:t>
      </w:r>
      <w:r w:rsidRPr="000149E8">
        <w:rPr>
          <w:sz w:val="22"/>
          <w:szCs w:val="22"/>
          <w:lang w:eastAsia="en-US"/>
        </w:rPr>
        <w:t>):</w:t>
      </w:r>
    </w:p>
    <w:p w:rsidR="0006431B" w:rsidRPr="000149E8" w:rsidRDefault="0006431B" w:rsidP="00D34113">
      <w:pPr>
        <w:numPr>
          <w:ilvl w:val="0"/>
          <w:numId w:val="23"/>
        </w:numPr>
        <w:ind w:left="567" w:hanging="578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hnačka,</w:t>
      </w:r>
    </w:p>
    <w:p w:rsidR="0006431B" w:rsidRPr="000149E8" w:rsidRDefault="0006431B" w:rsidP="00D34113">
      <w:pPr>
        <w:numPr>
          <w:ilvl w:val="0"/>
          <w:numId w:val="23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zvýšené potenie,</w:t>
      </w:r>
    </w:p>
    <w:p w:rsidR="0006431B" w:rsidRPr="000149E8" w:rsidRDefault="0006431B" w:rsidP="00D34113">
      <w:pPr>
        <w:numPr>
          <w:ilvl w:val="0"/>
          <w:numId w:val="23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</w:rPr>
        <w:t>zvýšená tvorba slín,</w:t>
      </w:r>
    </w:p>
    <w:p w:rsidR="0006431B" w:rsidRPr="000149E8" w:rsidRDefault="0006431B" w:rsidP="00D34113">
      <w:pPr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nevoľnosť (nutkanie na vracanie),</w:t>
      </w:r>
    </w:p>
    <w:p w:rsidR="0006431B" w:rsidRPr="000149E8" w:rsidRDefault="0006431B" w:rsidP="00D34113">
      <w:pPr>
        <w:numPr>
          <w:ilvl w:val="0"/>
          <w:numId w:val="23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  <w:lang w:eastAsia="en-US"/>
        </w:rPr>
        <w:t>vracanie,</w:t>
      </w:r>
    </w:p>
    <w:p w:rsidR="0006431B" w:rsidRPr="000149E8" w:rsidRDefault="0006431B" w:rsidP="00D34113">
      <w:pPr>
        <w:numPr>
          <w:ilvl w:val="0"/>
          <w:numId w:val="23"/>
        </w:numPr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</w:rPr>
        <w:t>kŕčov</w:t>
      </w:r>
      <w:r w:rsidR="001915E7" w:rsidRPr="000149E8">
        <w:rPr>
          <w:sz w:val="22"/>
          <w:szCs w:val="22"/>
        </w:rPr>
        <w:t>it</w:t>
      </w:r>
      <w:r w:rsidRPr="000149E8">
        <w:rPr>
          <w:sz w:val="22"/>
          <w:szCs w:val="22"/>
        </w:rPr>
        <w:t>é bolesti brucha.</w:t>
      </w:r>
    </w:p>
    <w:p w:rsidR="0006431B" w:rsidRPr="000149E8" w:rsidRDefault="0006431B" w:rsidP="000149E8">
      <w:pPr>
        <w:rPr>
          <w:sz w:val="22"/>
          <w:szCs w:val="22"/>
          <w:lang w:eastAsia="en-US"/>
        </w:rPr>
      </w:pPr>
    </w:p>
    <w:p w:rsidR="0006431B" w:rsidRPr="000149E8" w:rsidRDefault="0006431B" w:rsidP="000149E8">
      <w:pPr>
        <w:rPr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Časté vedľajšie účinky</w:t>
      </w:r>
      <w:r w:rsidRPr="000149E8">
        <w:rPr>
          <w:sz w:val="22"/>
          <w:szCs w:val="22"/>
          <w:lang w:eastAsia="en-US"/>
        </w:rPr>
        <w:t xml:space="preserve"> (môžu postih</w:t>
      </w:r>
      <w:r w:rsidR="00565CC5">
        <w:rPr>
          <w:sz w:val="22"/>
          <w:szCs w:val="22"/>
          <w:lang w:eastAsia="en-US"/>
        </w:rPr>
        <w:t>ova</w:t>
      </w:r>
      <w:r w:rsidRPr="000149E8">
        <w:rPr>
          <w:sz w:val="22"/>
          <w:szCs w:val="22"/>
          <w:lang w:eastAsia="en-US"/>
        </w:rPr>
        <w:t xml:space="preserve">ť </w:t>
      </w:r>
      <w:r w:rsidR="00F61D71" w:rsidRPr="000149E8">
        <w:rPr>
          <w:sz w:val="22"/>
          <w:szCs w:val="22"/>
          <w:lang w:eastAsia="en-US"/>
        </w:rPr>
        <w:t>menej ako</w:t>
      </w:r>
      <w:r w:rsidRPr="000149E8">
        <w:rPr>
          <w:sz w:val="22"/>
          <w:szCs w:val="22"/>
          <w:lang w:eastAsia="en-US"/>
        </w:rPr>
        <w:t xml:space="preserve"> 1 z 10 </w:t>
      </w:r>
      <w:r w:rsidR="00565CC5">
        <w:rPr>
          <w:sz w:val="22"/>
          <w:szCs w:val="22"/>
          <w:lang w:eastAsia="en-US"/>
        </w:rPr>
        <w:t>osôb)</w:t>
      </w:r>
      <w:r w:rsidRPr="000149E8">
        <w:rPr>
          <w:sz w:val="22"/>
          <w:szCs w:val="22"/>
          <w:lang w:eastAsia="en-US"/>
        </w:rPr>
        <w:t>:</w:t>
      </w:r>
    </w:p>
    <w:p w:rsidR="0006431B" w:rsidRPr="000149E8" w:rsidRDefault="0006431B" w:rsidP="00D34113">
      <w:pPr>
        <w:numPr>
          <w:ilvl w:val="0"/>
          <w:numId w:val="24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zvýšenie sekrécie tekutiny do priedušiek,</w:t>
      </w:r>
    </w:p>
    <w:p w:rsidR="0006431B" w:rsidRPr="000149E8" w:rsidRDefault="0006431B" w:rsidP="00D34113">
      <w:pPr>
        <w:numPr>
          <w:ilvl w:val="0"/>
          <w:numId w:val="24"/>
        </w:numPr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zúženie zrenice,</w:t>
      </w:r>
    </w:p>
    <w:p w:rsidR="0006431B" w:rsidRPr="000149E8" w:rsidRDefault="0006431B" w:rsidP="00D34113">
      <w:pPr>
        <w:numPr>
          <w:ilvl w:val="0"/>
          <w:numId w:val="24"/>
        </w:numPr>
        <w:ind w:left="567" w:hanging="578"/>
        <w:rPr>
          <w:sz w:val="22"/>
          <w:szCs w:val="22"/>
          <w:lang w:eastAsia="en-US"/>
        </w:rPr>
      </w:pPr>
      <w:r w:rsidRPr="000149E8">
        <w:rPr>
          <w:sz w:val="22"/>
          <w:szCs w:val="22"/>
        </w:rPr>
        <w:t>zvýšenie slzenia.</w:t>
      </w:r>
    </w:p>
    <w:p w:rsidR="0006431B" w:rsidRPr="000149E8" w:rsidRDefault="0006431B" w:rsidP="000149E8">
      <w:pPr>
        <w:rPr>
          <w:sz w:val="22"/>
          <w:szCs w:val="22"/>
          <w:lang w:eastAsia="en-US"/>
        </w:rPr>
      </w:pPr>
    </w:p>
    <w:p w:rsidR="0006431B" w:rsidRPr="000149E8" w:rsidRDefault="0006431B" w:rsidP="000149E8">
      <w:pPr>
        <w:rPr>
          <w:sz w:val="22"/>
          <w:szCs w:val="22"/>
          <w:lang w:eastAsia="en-US"/>
        </w:rPr>
      </w:pPr>
      <w:r w:rsidRPr="000149E8">
        <w:rPr>
          <w:b/>
          <w:sz w:val="22"/>
          <w:szCs w:val="22"/>
          <w:lang w:eastAsia="en-US"/>
        </w:rPr>
        <w:t>Menej časté vedľajšie účinky</w:t>
      </w:r>
      <w:r w:rsidRPr="000149E8">
        <w:rPr>
          <w:sz w:val="22"/>
          <w:szCs w:val="22"/>
          <w:lang w:eastAsia="en-US"/>
        </w:rPr>
        <w:t xml:space="preserve"> (môžu postih</w:t>
      </w:r>
      <w:r w:rsidR="00565CC5">
        <w:rPr>
          <w:sz w:val="22"/>
          <w:szCs w:val="22"/>
          <w:lang w:eastAsia="en-US"/>
        </w:rPr>
        <w:t>ova</w:t>
      </w:r>
      <w:r w:rsidRPr="000149E8">
        <w:rPr>
          <w:sz w:val="22"/>
          <w:szCs w:val="22"/>
          <w:lang w:eastAsia="en-US"/>
        </w:rPr>
        <w:t xml:space="preserve">ť </w:t>
      </w:r>
      <w:r w:rsidR="00F61D71" w:rsidRPr="000149E8">
        <w:rPr>
          <w:sz w:val="22"/>
          <w:szCs w:val="22"/>
          <w:lang w:eastAsia="en-US"/>
        </w:rPr>
        <w:t>menej ako</w:t>
      </w:r>
      <w:r w:rsidRPr="000149E8">
        <w:rPr>
          <w:sz w:val="22"/>
          <w:szCs w:val="22"/>
          <w:lang w:eastAsia="en-US"/>
        </w:rPr>
        <w:t xml:space="preserve"> 1 zo 100 </w:t>
      </w:r>
      <w:r w:rsidR="00565CC5">
        <w:rPr>
          <w:sz w:val="22"/>
          <w:szCs w:val="22"/>
          <w:lang w:eastAsia="en-US"/>
        </w:rPr>
        <w:t>osôb</w:t>
      </w:r>
      <w:r w:rsidRPr="000149E8">
        <w:rPr>
          <w:sz w:val="22"/>
          <w:szCs w:val="22"/>
          <w:lang w:eastAsia="en-US"/>
        </w:rPr>
        <w:t>):</w:t>
      </w:r>
    </w:p>
    <w:p w:rsidR="0006431B" w:rsidRPr="000149E8" w:rsidRDefault="0006431B" w:rsidP="00D34113">
      <w:pPr>
        <w:numPr>
          <w:ilvl w:val="0"/>
          <w:numId w:val="25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 xml:space="preserve">reakcie </w:t>
      </w:r>
      <w:r w:rsidR="00C31AFA" w:rsidRPr="000149E8">
        <w:rPr>
          <w:sz w:val="22"/>
          <w:szCs w:val="22"/>
        </w:rPr>
        <w:t xml:space="preserve">z </w:t>
      </w:r>
      <w:r w:rsidRPr="000149E8">
        <w:rPr>
          <w:sz w:val="22"/>
          <w:szCs w:val="22"/>
        </w:rPr>
        <w:t>precitlivenosti (kožná vyrážka),</w:t>
      </w:r>
    </w:p>
    <w:p w:rsidR="0006431B" w:rsidRPr="000149E8" w:rsidRDefault="0006431B" w:rsidP="00D34113">
      <w:pPr>
        <w:numPr>
          <w:ilvl w:val="0"/>
          <w:numId w:val="25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spomalenie srdcovej frekvencie,</w:t>
      </w:r>
    </w:p>
    <w:p w:rsidR="0006431B" w:rsidRPr="000149E8" w:rsidRDefault="0006431B" w:rsidP="00D34113">
      <w:pPr>
        <w:numPr>
          <w:ilvl w:val="0"/>
          <w:numId w:val="25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svalové zášklby až kŕče</w:t>
      </w:r>
      <w:r w:rsidR="0046736B" w:rsidRPr="000149E8">
        <w:rPr>
          <w:sz w:val="22"/>
          <w:szCs w:val="22"/>
        </w:rPr>
        <w:t>,</w:t>
      </w:r>
    </w:p>
    <w:p w:rsidR="0006431B" w:rsidRPr="000149E8" w:rsidRDefault="0046736B" w:rsidP="00D34113">
      <w:pPr>
        <w:numPr>
          <w:ilvl w:val="0"/>
          <w:numId w:val="25"/>
        </w:numPr>
        <w:tabs>
          <w:tab w:val="left" w:pos="567"/>
        </w:tabs>
        <w:ind w:left="567" w:hanging="567"/>
        <w:rPr>
          <w:sz w:val="22"/>
          <w:szCs w:val="22"/>
          <w:lang w:eastAsia="en-US"/>
        </w:rPr>
      </w:pPr>
      <w:r w:rsidRPr="000149E8">
        <w:rPr>
          <w:sz w:val="22"/>
          <w:szCs w:val="22"/>
        </w:rPr>
        <w:t>časté nutkavé pocity na močenie</w:t>
      </w:r>
      <w:r w:rsidR="00C31AFA"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Hlásenie vedľajších účinkov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9E8">
        <w:rPr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565CC5">
        <w:rPr>
          <w:noProof/>
          <w:sz w:val="22"/>
          <w:szCs w:val="22"/>
        </w:rPr>
        <w:t>na</w:t>
      </w:r>
      <w:r w:rsidR="00565CC5" w:rsidRPr="000149E8">
        <w:rPr>
          <w:noProof/>
          <w:sz w:val="22"/>
          <w:szCs w:val="22"/>
        </w:rPr>
        <w:t xml:space="preserve"> </w:t>
      </w:r>
      <w:r w:rsidRPr="005D1C6E">
        <w:rPr>
          <w:noProof/>
          <w:sz w:val="22"/>
          <w:szCs w:val="22"/>
          <w:highlight w:val="lightGray"/>
        </w:rPr>
        <w:t xml:space="preserve">národné </w:t>
      </w:r>
      <w:r w:rsidR="00565CC5" w:rsidRPr="005D1C6E">
        <w:rPr>
          <w:noProof/>
          <w:sz w:val="22"/>
          <w:szCs w:val="22"/>
          <w:highlight w:val="lightGray"/>
        </w:rPr>
        <w:t xml:space="preserve">centrum </w:t>
      </w:r>
      <w:r w:rsidRPr="005D1C6E">
        <w:rPr>
          <w:noProof/>
          <w:sz w:val="22"/>
          <w:szCs w:val="22"/>
          <w:highlight w:val="lightGray"/>
        </w:rPr>
        <w:t>hlásenia uvedené v </w:t>
      </w:r>
      <w:hyperlink r:id="rId8" w:history="1">
        <w:r w:rsidRPr="005D1C6E">
          <w:rPr>
            <w:noProof/>
            <w:color w:val="0000FF"/>
            <w:sz w:val="22"/>
            <w:szCs w:val="22"/>
            <w:highlight w:val="lightGray"/>
            <w:u w:val="single"/>
          </w:rPr>
          <w:t>P</w:t>
        </w:r>
        <w:r w:rsidR="00565CC5" w:rsidRPr="005D1C6E">
          <w:rPr>
            <w:noProof/>
            <w:color w:val="0000FF"/>
            <w:sz w:val="22"/>
            <w:szCs w:val="22"/>
            <w:highlight w:val="lightGray"/>
            <w:u w:val="single"/>
          </w:rPr>
          <w:t>rí</w:t>
        </w:r>
        <w:r w:rsidRPr="005D1C6E">
          <w:rPr>
            <w:noProof/>
            <w:color w:val="0000FF"/>
            <w:sz w:val="22"/>
            <w:szCs w:val="22"/>
            <w:highlight w:val="lightGray"/>
            <w:u w:val="single"/>
          </w:rPr>
          <w:t>lohe V</w:t>
        </w:r>
      </w:hyperlink>
      <w:r w:rsidRPr="000149E8">
        <w:rPr>
          <w:noProof/>
          <w:sz w:val="22"/>
          <w:szCs w:val="22"/>
        </w:rPr>
        <w:t>. Hlásením vedľajších účinkov môžete prispieť k získaniu ďalších informácií o</w:t>
      </w:r>
      <w:r w:rsidR="00C31AFA" w:rsidRPr="000149E8">
        <w:rPr>
          <w:noProof/>
          <w:sz w:val="22"/>
          <w:szCs w:val="22"/>
        </w:rPr>
        <w:t> </w:t>
      </w:r>
      <w:r w:rsidRPr="000149E8">
        <w:rPr>
          <w:noProof/>
          <w:sz w:val="22"/>
          <w:szCs w:val="22"/>
        </w:rPr>
        <w:t>bezpečnosti tohto lieku.</w:t>
      </w:r>
    </w:p>
    <w:p w:rsidR="0006431B" w:rsidRPr="000149E8" w:rsidRDefault="0006431B" w:rsidP="000149E8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5.</w:t>
      </w:r>
      <w:r w:rsidRPr="000149E8">
        <w:rPr>
          <w:b/>
          <w:noProof/>
          <w:sz w:val="22"/>
          <w:szCs w:val="22"/>
        </w:rPr>
        <w:tab/>
        <w:t>Ako uchovávať</w:t>
      </w:r>
      <w:r w:rsidRPr="000149E8">
        <w:rPr>
          <w:b/>
          <w:sz w:val="22"/>
          <w:szCs w:val="22"/>
          <w:lang w:eastAsia="en-US"/>
        </w:rPr>
        <w:t xml:space="preserve"> S</w:t>
      </w:r>
      <w:r w:rsidR="009B369F" w:rsidRPr="009B369F">
        <w:rPr>
          <w:b/>
          <w:sz w:val="22"/>
          <w:szCs w:val="22"/>
          <w:lang w:eastAsia="en-US"/>
        </w:rPr>
        <w:t>yntostigmin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i/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0149E8">
        <w:rPr>
          <w:bCs/>
          <w:sz w:val="22"/>
          <w:szCs w:val="22"/>
        </w:rPr>
        <w:t>Tento liek uchovávajte mimo dohľadu a dosahu detí.</w:t>
      </w: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</w:rPr>
      </w:pPr>
      <w:r w:rsidRPr="000149E8">
        <w:rPr>
          <w:sz w:val="22"/>
          <w:szCs w:val="22"/>
        </w:rPr>
        <w:t xml:space="preserve">Neužívajte tento liek po dátume exspirácie, ktorý je uvedený na </w:t>
      </w:r>
      <w:r w:rsidR="00C31AFA" w:rsidRPr="000149E8">
        <w:rPr>
          <w:sz w:val="22"/>
          <w:szCs w:val="22"/>
        </w:rPr>
        <w:t>škatuľke</w:t>
      </w:r>
      <w:r w:rsidRPr="000149E8">
        <w:rPr>
          <w:sz w:val="22"/>
          <w:szCs w:val="22"/>
        </w:rPr>
        <w:t xml:space="preserve"> po EXP. Dátum exspirácie sa vzťahuje na posledný deň v danom mesiaci.</w:t>
      </w:r>
    </w:p>
    <w:p w:rsidR="0006431B" w:rsidRPr="000149E8" w:rsidRDefault="0006431B" w:rsidP="000149E8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:rsidR="0006431B" w:rsidRPr="000149E8" w:rsidRDefault="0006431B" w:rsidP="000149E8">
      <w:pPr>
        <w:rPr>
          <w:sz w:val="22"/>
          <w:szCs w:val="22"/>
        </w:rPr>
      </w:pPr>
      <w:r w:rsidRPr="000149E8">
        <w:rPr>
          <w:sz w:val="22"/>
          <w:szCs w:val="22"/>
        </w:rPr>
        <w:lastRenderedPageBreak/>
        <w:t xml:space="preserve">Tento liek uchovávajte pri teplote </w:t>
      </w:r>
      <w:r w:rsidR="00C31AFA" w:rsidRPr="000149E8">
        <w:rPr>
          <w:sz w:val="22"/>
          <w:szCs w:val="22"/>
        </w:rPr>
        <w:t xml:space="preserve">do </w:t>
      </w:r>
      <w:r w:rsidRPr="000149E8">
        <w:rPr>
          <w:sz w:val="22"/>
          <w:szCs w:val="22"/>
        </w:rPr>
        <w:t>25 °C</w:t>
      </w:r>
      <w:r w:rsidR="00C31AFA" w:rsidRPr="000149E8">
        <w:rPr>
          <w:sz w:val="22"/>
          <w:szCs w:val="22"/>
        </w:rPr>
        <w:t xml:space="preserve"> v pôvodnom obale na ochranu</w:t>
      </w:r>
      <w:r w:rsidRPr="000149E8">
        <w:rPr>
          <w:sz w:val="22"/>
          <w:szCs w:val="22"/>
        </w:rPr>
        <w:t xml:space="preserve"> pred svetlom</w:t>
      </w:r>
      <w:r w:rsidR="00C31AFA" w:rsidRPr="000149E8">
        <w:rPr>
          <w:sz w:val="22"/>
          <w:szCs w:val="22"/>
        </w:rPr>
        <w:t xml:space="preserve"> a vlhkosťou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rPr>
          <w:sz w:val="22"/>
          <w:szCs w:val="22"/>
        </w:rPr>
      </w:pPr>
      <w:r w:rsidRPr="000149E8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>6.</w:t>
      </w:r>
      <w:r w:rsidRPr="000149E8">
        <w:rPr>
          <w:b/>
          <w:noProof/>
          <w:sz w:val="22"/>
          <w:szCs w:val="22"/>
        </w:rPr>
        <w:tab/>
        <w:t>Obsah balenia a ďalšie informácie</w:t>
      </w: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</w:rPr>
      </w:pPr>
      <w:r w:rsidRPr="000149E8">
        <w:rPr>
          <w:b/>
          <w:sz w:val="22"/>
          <w:szCs w:val="22"/>
        </w:rPr>
        <w:t xml:space="preserve">Čo </w:t>
      </w:r>
      <w:r w:rsidRPr="000149E8">
        <w:rPr>
          <w:b/>
          <w:sz w:val="22"/>
          <w:szCs w:val="22"/>
          <w:lang w:eastAsia="en-US"/>
        </w:rPr>
        <w:t>S</w:t>
      </w:r>
      <w:r w:rsidR="009B369F" w:rsidRPr="009B369F">
        <w:rPr>
          <w:b/>
          <w:sz w:val="22"/>
          <w:szCs w:val="22"/>
          <w:lang w:eastAsia="en-US"/>
        </w:rPr>
        <w:t>yntostigmin</w:t>
      </w:r>
      <w:r w:rsidRPr="000149E8">
        <w:rPr>
          <w:b/>
          <w:sz w:val="22"/>
          <w:szCs w:val="22"/>
        </w:rPr>
        <w:t xml:space="preserve"> obsahuje</w:t>
      </w:r>
    </w:p>
    <w:p w:rsidR="0006431B" w:rsidRPr="000149E8" w:rsidRDefault="0006431B" w:rsidP="000149E8">
      <w:pPr>
        <w:numPr>
          <w:ilvl w:val="0"/>
          <w:numId w:val="18"/>
        </w:numPr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D34113">
        <w:rPr>
          <w:sz w:val="22"/>
          <w:szCs w:val="22"/>
        </w:rPr>
        <w:t>Liečivo je</w:t>
      </w:r>
      <w:r w:rsidRPr="000149E8">
        <w:rPr>
          <w:sz w:val="22"/>
          <w:szCs w:val="22"/>
        </w:rPr>
        <w:t xml:space="preserve"> neostigmín</w:t>
      </w:r>
      <w:r w:rsidR="00A578A8" w:rsidRPr="000149E8">
        <w:rPr>
          <w:sz w:val="22"/>
          <w:szCs w:val="22"/>
        </w:rPr>
        <w:t>ium</w:t>
      </w:r>
      <w:r w:rsidRPr="000149E8">
        <w:rPr>
          <w:sz w:val="22"/>
          <w:szCs w:val="22"/>
        </w:rPr>
        <w:t xml:space="preserve">bromid </w:t>
      </w:r>
      <w:r w:rsidR="00F375E9">
        <w:rPr>
          <w:sz w:val="22"/>
          <w:szCs w:val="22"/>
        </w:rPr>
        <w:t>(neostigmini bromidum)</w:t>
      </w:r>
      <w:r w:rsidRPr="000149E8">
        <w:rPr>
          <w:sz w:val="22"/>
          <w:szCs w:val="22"/>
        </w:rPr>
        <w:t>15 mg v </w:t>
      </w:r>
      <w:r w:rsidR="00A578A8" w:rsidRPr="000149E8">
        <w:rPr>
          <w:sz w:val="22"/>
          <w:szCs w:val="22"/>
        </w:rPr>
        <w:t>každej</w:t>
      </w:r>
      <w:r w:rsidRPr="000149E8">
        <w:rPr>
          <w:sz w:val="22"/>
          <w:szCs w:val="22"/>
        </w:rPr>
        <w:t xml:space="preserve"> tablete.</w:t>
      </w:r>
    </w:p>
    <w:p w:rsidR="0006431B" w:rsidRPr="000149E8" w:rsidRDefault="0006431B" w:rsidP="00D34113">
      <w:pPr>
        <w:tabs>
          <w:tab w:val="left" w:pos="567"/>
        </w:tabs>
        <w:ind w:left="567" w:hanging="567"/>
        <w:rPr>
          <w:sz w:val="22"/>
          <w:szCs w:val="22"/>
        </w:rPr>
      </w:pPr>
      <w:r w:rsidRPr="000149E8">
        <w:rPr>
          <w:sz w:val="22"/>
          <w:szCs w:val="22"/>
        </w:rPr>
        <w:t>-</w:t>
      </w:r>
      <w:r w:rsidRPr="000149E8">
        <w:rPr>
          <w:sz w:val="22"/>
          <w:szCs w:val="22"/>
        </w:rPr>
        <w:tab/>
      </w:r>
      <w:r w:rsidRPr="00D34113">
        <w:rPr>
          <w:sz w:val="22"/>
          <w:szCs w:val="22"/>
        </w:rPr>
        <w:t>Ďalšie zložky sú</w:t>
      </w:r>
      <w:r w:rsidRPr="000149E8">
        <w:rPr>
          <w:sz w:val="22"/>
          <w:szCs w:val="22"/>
        </w:rPr>
        <w:t xml:space="preserve"> monohydrát laktózy, kukuričný škrob, zemiakový škrob, mastenec,</w:t>
      </w:r>
      <w:r w:rsidR="00614B88">
        <w:rPr>
          <w:sz w:val="22"/>
          <w:szCs w:val="22"/>
        </w:rPr>
        <w:t xml:space="preserve"> stearan horečnatý</w:t>
      </w:r>
      <w:r w:rsidRPr="000149E8">
        <w:rPr>
          <w:sz w:val="22"/>
          <w:szCs w:val="22"/>
        </w:rPr>
        <w:t>.</w:t>
      </w:r>
    </w:p>
    <w:p w:rsidR="0006431B" w:rsidRPr="000149E8" w:rsidRDefault="0006431B" w:rsidP="000149E8">
      <w:pPr>
        <w:ind w:left="567" w:hanging="567"/>
        <w:rPr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0149E8">
        <w:rPr>
          <w:b/>
          <w:noProof/>
          <w:sz w:val="22"/>
          <w:szCs w:val="22"/>
        </w:rPr>
        <w:t xml:space="preserve">Ako vyzerá </w:t>
      </w:r>
      <w:r w:rsidRPr="000149E8">
        <w:rPr>
          <w:b/>
          <w:sz w:val="22"/>
          <w:szCs w:val="22"/>
          <w:lang w:eastAsia="en-US"/>
        </w:rPr>
        <w:t>S</w:t>
      </w:r>
      <w:r w:rsidR="009B369F" w:rsidRPr="009B369F">
        <w:rPr>
          <w:b/>
          <w:sz w:val="22"/>
          <w:szCs w:val="22"/>
          <w:lang w:eastAsia="en-US"/>
        </w:rPr>
        <w:t>yntostigmin</w:t>
      </w:r>
      <w:r w:rsidRPr="000149E8">
        <w:rPr>
          <w:b/>
          <w:noProof/>
          <w:sz w:val="22"/>
          <w:szCs w:val="22"/>
        </w:rPr>
        <w:t xml:space="preserve"> a obsah balenia</w:t>
      </w:r>
    </w:p>
    <w:p w:rsidR="0006431B" w:rsidRPr="000149E8" w:rsidRDefault="0006431B" w:rsidP="000149E8">
      <w:pPr>
        <w:autoSpaceDE w:val="0"/>
        <w:autoSpaceDN w:val="0"/>
        <w:adjustRightInd w:val="0"/>
        <w:rPr>
          <w:sz w:val="22"/>
          <w:szCs w:val="22"/>
        </w:rPr>
      </w:pPr>
      <w:r w:rsidRPr="000149E8">
        <w:rPr>
          <w:sz w:val="22"/>
          <w:szCs w:val="22"/>
        </w:rPr>
        <w:t>S</w:t>
      </w:r>
      <w:r w:rsidR="009B369F" w:rsidRPr="009B369F">
        <w:rPr>
          <w:sz w:val="22"/>
          <w:szCs w:val="22"/>
        </w:rPr>
        <w:t>yntostigmin</w:t>
      </w:r>
      <w:r w:rsidRPr="000149E8">
        <w:rPr>
          <w:sz w:val="22"/>
          <w:szCs w:val="22"/>
        </w:rPr>
        <w:t xml:space="preserve"> sú biele</w:t>
      </w:r>
      <w:r w:rsidR="00A578A8" w:rsidRPr="000149E8">
        <w:rPr>
          <w:sz w:val="22"/>
          <w:szCs w:val="22"/>
        </w:rPr>
        <w:t>,</w:t>
      </w:r>
      <w:r w:rsidRPr="000149E8">
        <w:rPr>
          <w:sz w:val="22"/>
          <w:szCs w:val="22"/>
        </w:rPr>
        <w:t xml:space="preserve"> okrúhle tablety.</w:t>
      </w:r>
    </w:p>
    <w:p w:rsidR="0006431B" w:rsidRPr="000149E8" w:rsidRDefault="0006431B" w:rsidP="000149E8">
      <w:pPr>
        <w:autoSpaceDE w:val="0"/>
        <w:autoSpaceDN w:val="0"/>
        <w:adjustRightInd w:val="0"/>
        <w:rPr>
          <w:sz w:val="22"/>
          <w:szCs w:val="22"/>
        </w:rPr>
      </w:pPr>
      <w:r w:rsidRPr="000149E8">
        <w:rPr>
          <w:sz w:val="22"/>
          <w:szCs w:val="22"/>
        </w:rPr>
        <w:t>Sú balené v sklenených fľaštičkách s uzáverom z plastickej hmoty alebo v blistri.</w:t>
      </w:r>
    </w:p>
    <w:p w:rsidR="0006431B" w:rsidRPr="000149E8" w:rsidRDefault="0006431B" w:rsidP="000149E8">
      <w:pPr>
        <w:autoSpaceDE w:val="0"/>
        <w:autoSpaceDN w:val="0"/>
        <w:adjustRightInd w:val="0"/>
        <w:rPr>
          <w:sz w:val="22"/>
          <w:szCs w:val="22"/>
        </w:rPr>
      </w:pPr>
      <w:r w:rsidRPr="000149E8">
        <w:rPr>
          <w:sz w:val="22"/>
          <w:szCs w:val="22"/>
        </w:rPr>
        <w:t>Veľkosť balenia: 20 tabliet.</w:t>
      </w:r>
    </w:p>
    <w:p w:rsidR="0006431B" w:rsidRPr="000149E8" w:rsidRDefault="0006431B" w:rsidP="000149E8">
      <w:pPr>
        <w:rPr>
          <w:b/>
          <w:sz w:val="22"/>
          <w:szCs w:val="22"/>
        </w:rPr>
      </w:pPr>
    </w:p>
    <w:p w:rsidR="0006431B" w:rsidRPr="000149E8" w:rsidRDefault="0006431B" w:rsidP="000149E8">
      <w:pPr>
        <w:rPr>
          <w:b/>
          <w:sz w:val="22"/>
          <w:szCs w:val="22"/>
        </w:rPr>
      </w:pPr>
      <w:r w:rsidRPr="000149E8">
        <w:rPr>
          <w:b/>
          <w:sz w:val="22"/>
          <w:szCs w:val="22"/>
        </w:rPr>
        <w:t>Držiteľ rozhodnutia o registrácii</w:t>
      </w:r>
    </w:p>
    <w:p w:rsidR="0006431B" w:rsidRPr="000149E8" w:rsidRDefault="0006431B" w:rsidP="000149E8">
      <w:pPr>
        <w:rPr>
          <w:sz w:val="22"/>
          <w:szCs w:val="22"/>
        </w:rPr>
      </w:pPr>
      <w:r w:rsidRPr="000149E8">
        <w:rPr>
          <w:sz w:val="22"/>
          <w:szCs w:val="22"/>
        </w:rPr>
        <w:t>Zentiva, a. s., Einsteinova 24, 851 01 Bratislava, Slovenská republika</w:t>
      </w:r>
    </w:p>
    <w:p w:rsidR="0006431B" w:rsidRPr="000149E8" w:rsidRDefault="0006431B" w:rsidP="000149E8">
      <w:pPr>
        <w:tabs>
          <w:tab w:val="left" w:pos="708"/>
          <w:tab w:val="center" w:pos="4536"/>
          <w:tab w:val="right" w:pos="9072"/>
        </w:tabs>
        <w:rPr>
          <w:b/>
          <w:bCs/>
          <w:snapToGrid w:val="0"/>
          <w:sz w:val="22"/>
          <w:szCs w:val="22"/>
          <w:lang w:eastAsia="cs-CZ"/>
        </w:rPr>
      </w:pPr>
    </w:p>
    <w:p w:rsidR="0006431B" w:rsidRPr="000149E8" w:rsidRDefault="0006431B" w:rsidP="000149E8">
      <w:pPr>
        <w:tabs>
          <w:tab w:val="left" w:pos="708"/>
          <w:tab w:val="center" w:pos="4536"/>
          <w:tab w:val="right" w:pos="9072"/>
        </w:tabs>
        <w:rPr>
          <w:b/>
          <w:bCs/>
          <w:snapToGrid w:val="0"/>
          <w:sz w:val="22"/>
          <w:szCs w:val="22"/>
          <w:lang w:eastAsia="cs-CZ"/>
        </w:rPr>
      </w:pPr>
      <w:r w:rsidRPr="000149E8">
        <w:rPr>
          <w:b/>
          <w:bCs/>
          <w:snapToGrid w:val="0"/>
          <w:sz w:val="22"/>
          <w:szCs w:val="22"/>
          <w:lang w:eastAsia="cs-CZ"/>
        </w:rPr>
        <w:t>Výrobca</w:t>
      </w:r>
    </w:p>
    <w:p w:rsidR="0006431B" w:rsidRPr="000149E8" w:rsidRDefault="0006431B" w:rsidP="000149E8">
      <w:pPr>
        <w:rPr>
          <w:snapToGrid w:val="0"/>
          <w:sz w:val="22"/>
          <w:szCs w:val="22"/>
          <w:lang w:eastAsia="cs-CZ"/>
        </w:rPr>
      </w:pPr>
      <w:r w:rsidRPr="000149E8">
        <w:rPr>
          <w:snapToGrid w:val="0"/>
          <w:sz w:val="22"/>
          <w:szCs w:val="22"/>
          <w:lang w:eastAsia="cs-CZ"/>
        </w:rPr>
        <w:t>Saneca Pharmaceuticals</w:t>
      </w:r>
      <w:r w:rsidR="00A578A8" w:rsidRPr="000149E8">
        <w:rPr>
          <w:snapToGrid w:val="0"/>
          <w:sz w:val="22"/>
          <w:szCs w:val="22"/>
          <w:lang w:eastAsia="cs-CZ"/>
        </w:rPr>
        <w:t>,</w:t>
      </w:r>
      <w:r w:rsidRPr="000149E8">
        <w:rPr>
          <w:snapToGrid w:val="0"/>
          <w:sz w:val="22"/>
          <w:szCs w:val="22"/>
          <w:lang w:eastAsia="cs-CZ"/>
        </w:rPr>
        <w:t xml:space="preserve"> a.</w:t>
      </w:r>
      <w:r w:rsidR="00A578A8" w:rsidRPr="000149E8">
        <w:rPr>
          <w:snapToGrid w:val="0"/>
          <w:sz w:val="22"/>
          <w:szCs w:val="22"/>
          <w:lang w:eastAsia="cs-CZ"/>
        </w:rPr>
        <w:t xml:space="preserve"> </w:t>
      </w:r>
      <w:r w:rsidRPr="000149E8">
        <w:rPr>
          <w:snapToGrid w:val="0"/>
          <w:sz w:val="22"/>
          <w:szCs w:val="22"/>
          <w:lang w:eastAsia="cs-CZ"/>
        </w:rPr>
        <w:t>s., Nitrianska 100, 920 27 Hlohovec, Slovenská republika</w:t>
      </w:r>
    </w:p>
    <w:p w:rsidR="0006431B" w:rsidRPr="000149E8" w:rsidRDefault="0006431B" w:rsidP="000149E8">
      <w:pPr>
        <w:outlineLvl w:val="0"/>
        <w:rPr>
          <w:b/>
          <w:sz w:val="22"/>
          <w:szCs w:val="22"/>
        </w:rPr>
      </w:pPr>
    </w:p>
    <w:p w:rsidR="0006431B" w:rsidRPr="000149E8" w:rsidRDefault="0006431B" w:rsidP="000149E8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0149E8">
        <w:rPr>
          <w:b/>
          <w:sz w:val="22"/>
          <w:szCs w:val="22"/>
        </w:rPr>
        <w:t>Táto písomná informácia bola naposledy aktualizovaná v</w:t>
      </w:r>
      <w:r w:rsidR="000F47E4">
        <w:rPr>
          <w:b/>
          <w:sz w:val="22"/>
          <w:szCs w:val="22"/>
        </w:rPr>
        <w:t> </w:t>
      </w:r>
      <w:r w:rsidR="00B03056">
        <w:rPr>
          <w:b/>
          <w:sz w:val="22"/>
          <w:szCs w:val="22"/>
        </w:rPr>
        <w:t>júni</w:t>
      </w:r>
      <w:r w:rsidR="000F47E4">
        <w:rPr>
          <w:b/>
          <w:sz w:val="22"/>
          <w:szCs w:val="22"/>
        </w:rPr>
        <w:t xml:space="preserve"> 2019.</w:t>
      </w:r>
    </w:p>
    <w:p w:rsidR="0006431B" w:rsidRPr="000149E8" w:rsidRDefault="0006431B" w:rsidP="004307CE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sectPr w:rsidR="0006431B" w:rsidRPr="000149E8" w:rsidSect="004307CE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6E" w:rsidRDefault="005D1C6E">
      <w:r>
        <w:separator/>
      </w:r>
    </w:p>
  </w:endnote>
  <w:endnote w:type="continuationSeparator" w:id="0">
    <w:p w:rsidR="005D1C6E" w:rsidRDefault="005D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7" w:rsidRDefault="00936047" w:rsidP="008A68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36047" w:rsidRDefault="0093604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7" w:rsidRPr="004307CE" w:rsidRDefault="00936047" w:rsidP="008A6851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4307CE">
      <w:rPr>
        <w:rStyle w:val="slostrany"/>
        <w:sz w:val="18"/>
        <w:szCs w:val="18"/>
      </w:rPr>
      <w:fldChar w:fldCharType="begin"/>
    </w:r>
    <w:r w:rsidRPr="004307CE">
      <w:rPr>
        <w:rStyle w:val="slostrany"/>
        <w:sz w:val="18"/>
        <w:szCs w:val="18"/>
      </w:rPr>
      <w:instrText xml:space="preserve">PAGE  </w:instrText>
    </w:r>
    <w:r w:rsidRPr="004307CE">
      <w:rPr>
        <w:rStyle w:val="slostrany"/>
        <w:sz w:val="18"/>
        <w:szCs w:val="18"/>
      </w:rPr>
      <w:fldChar w:fldCharType="separate"/>
    </w:r>
    <w:r w:rsidR="004307CE">
      <w:rPr>
        <w:rStyle w:val="slostrany"/>
        <w:noProof/>
        <w:sz w:val="18"/>
        <w:szCs w:val="18"/>
      </w:rPr>
      <w:t>5</w:t>
    </w:r>
    <w:r w:rsidRPr="004307CE">
      <w:rPr>
        <w:rStyle w:val="slostrany"/>
        <w:sz w:val="18"/>
        <w:szCs w:val="18"/>
      </w:rPr>
      <w:fldChar w:fldCharType="end"/>
    </w:r>
  </w:p>
  <w:p w:rsidR="00936047" w:rsidRDefault="00936047">
    <w:pPr>
      <w:pStyle w:val="Pt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6E" w:rsidRDefault="005D1C6E">
      <w:r>
        <w:separator/>
      </w:r>
    </w:p>
  </w:footnote>
  <w:footnote w:type="continuationSeparator" w:id="0">
    <w:p w:rsidR="005D1C6E" w:rsidRDefault="005D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5F" w:rsidRPr="000149E8" w:rsidRDefault="00B1175F" w:rsidP="00B1175F">
    <w:pPr>
      <w:widowControl w:val="0"/>
      <w:rPr>
        <w:sz w:val="18"/>
        <w:szCs w:val="18"/>
      </w:rPr>
    </w:pPr>
    <w:r w:rsidRPr="000149E8">
      <w:rPr>
        <w:sz w:val="18"/>
        <w:szCs w:val="18"/>
      </w:rPr>
      <w:t xml:space="preserve">Schválený text k rozhodnutiu o zmene, ev. č.: </w:t>
    </w:r>
    <w:r w:rsidRPr="00236383">
      <w:rPr>
        <w:sz w:val="18"/>
        <w:szCs w:val="18"/>
      </w:rPr>
      <w:t xml:space="preserve">2016/04638-ZME </w:t>
    </w:r>
  </w:p>
  <w:p w:rsidR="00B1175F" w:rsidRPr="00B1175F" w:rsidRDefault="00B1175F" w:rsidP="00B117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B6F24"/>
    <w:multiLevelType w:val="singleLevel"/>
    <w:tmpl w:val="E8F6AE3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654C6B"/>
    <w:multiLevelType w:val="hybridMultilevel"/>
    <w:tmpl w:val="993867A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F0D9A"/>
    <w:multiLevelType w:val="singleLevel"/>
    <w:tmpl w:val="148C9A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31D3ED8"/>
    <w:multiLevelType w:val="hybridMultilevel"/>
    <w:tmpl w:val="5EDCAF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4609F"/>
    <w:multiLevelType w:val="hybridMultilevel"/>
    <w:tmpl w:val="DA2E9FDA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34F0B"/>
    <w:multiLevelType w:val="hybridMultilevel"/>
    <w:tmpl w:val="52C0E70C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157"/>
    <w:multiLevelType w:val="hybridMultilevel"/>
    <w:tmpl w:val="3C5619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D3C3F"/>
    <w:multiLevelType w:val="hybridMultilevel"/>
    <w:tmpl w:val="0DA4BB62"/>
    <w:lvl w:ilvl="0" w:tplc="5978C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81C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EE52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E57C2B"/>
    <w:multiLevelType w:val="hybridMultilevel"/>
    <w:tmpl w:val="C2524130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657A"/>
    <w:multiLevelType w:val="multilevel"/>
    <w:tmpl w:val="AAE6DF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53A6543"/>
    <w:multiLevelType w:val="hybridMultilevel"/>
    <w:tmpl w:val="EAF2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7064E"/>
    <w:multiLevelType w:val="hybridMultilevel"/>
    <w:tmpl w:val="97CAC24E"/>
    <w:lvl w:ilvl="0" w:tplc="5978C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0DC7"/>
    <w:multiLevelType w:val="hybridMultilevel"/>
    <w:tmpl w:val="BA8E6BD0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4CC5"/>
    <w:multiLevelType w:val="hybridMultilevel"/>
    <w:tmpl w:val="6100C228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205CB"/>
    <w:multiLevelType w:val="singleLevel"/>
    <w:tmpl w:val="DF66ED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65FE7DFC"/>
    <w:multiLevelType w:val="hybridMultilevel"/>
    <w:tmpl w:val="153281D4"/>
    <w:lvl w:ilvl="0" w:tplc="5978C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671279"/>
    <w:multiLevelType w:val="singleLevel"/>
    <w:tmpl w:val="FFFFFFFF"/>
    <w:lvl w:ilvl="0">
      <w:start w:val="1"/>
      <w:numFmt w:val="bullet"/>
      <w:lvlText w:val="-"/>
      <w:lvlJc w:val="left"/>
      <w:pPr>
        <w:ind w:left="1069" w:hanging="360"/>
      </w:pPr>
      <w:rPr>
        <w:rFonts w:hint="default"/>
      </w:rPr>
    </w:lvl>
  </w:abstractNum>
  <w:abstractNum w:abstractNumId="20" w15:restartNumberingAfterBreak="0">
    <w:nsid w:val="6BAB5B66"/>
    <w:multiLevelType w:val="singleLevel"/>
    <w:tmpl w:val="44EED2E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 w15:restartNumberingAfterBreak="0">
    <w:nsid w:val="700407E2"/>
    <w:multiLevelType w:val="hybridMultilevel"/>
    <w:tmpl w:val="4FCE2A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F5259"/>
    <w:multiLevelType w:val="hybridMultilevel"/>
    <w:tmpl w:val="C1F2E0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3F9C"/>
    <w:multiLevelType w:val="hybridMultilevel"/>
    <w:tmpl w:val="0A6E76A4"/>
    <w:lvl w:ilvl="0" w:tplc="5978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22"/>
  </w:num>
  <w:num w:numId="6">
    <w:abstractNumId w:val="17"/>
  </w:num>
  <w:num w:numId="7">
    <w:abstractNumId w:val="3"/>
  </w:num>
  <w:num w:numId="8">
    <w:abstractNumId w:val="20"/>
  </w:num>
  <w:num w:numId="9">
    <w:abstractNumId w:val="1"/>
  </w:num>
  <w:num w:numId="10">
    <w:abstractNumId w:val="19"/>
  </w:num>
  <w:num w:numId="11">
    <w:abstractNumId w:val="2"/>
  </w:num>
  <w:num w:numId="12">
    <w:abstractNumId w:val="14"/>
  </w:num>
  <w:num w:numId="13">
    <w:abstractNumId w:val="7"/>
  </w:num>
  <w:num w:numId="14">
    <w:abstractNumId w:val="21"/>
  </w:num>
  <w:num w:numId="15">
    <w:abstractNumId w:val="4"/>
  </w:num>
  <w:num w:numId="16">
    <w:abstractNumId w:val="8"/>
  </w:num>
  <w:num w:numId="17">
    <w:abstractNumId w:val="18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11"/>
  </w:num>
  <w:num w:numId="21">
    <w:abstractNumId w:val="6"/>
  </w:num>
  <w:num w:numId="22">
    <w:abstractNumId w:val="23"/>
  </w:num>
  <w:num w:numId="23">
    <w:abstractNumId w:val="16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1CA"/>
    <w:rsid w:val="000149E8"/>
    <w:rsid w:val="00014BD0"/>
    <w:rsid w:val="000267A2"/>
    <w:rsid w:val="000529B9"/>
    <w:rsid w:val="0006431B"/>
    <w:rsid w:val="00074663"/>
    <w:rsid w:val="00094EE0"/>
    <w:rsid w:val="000B3726"/>
    <w:rsid w:val="000B7CBB"/>
    <w:rsid w:val="000F00D4"/>
    <w:rsid w:val="000F47E4"/>
    <w:rsid w:val="00133DCF"/>
    <w:rsid w:val="001454F1"/>
    <w:rsid w:val="001621EB"/>
    <w:rsid w:val="0017261A"/>
    <w:rsid w:val="001735EE"/>
    <w:rsid w:val="001915E7"/>
    <w:rsid w:val="002001CA"/>
    <w:rsid w:val="0022455A"/>
    <w:rsid w:val="00236383"/>
    <w:rsid w:val="002C443F"/>
    <w:rsid w:val="00310928"/>
    <w:rsid w:val="00370AF5"/>
    <w:rsid w:val="00393D96"/>
    <w:rsid w:val="003A010F"/>
    <w:rsid w:val="003A5CC3"/>
    <w:rsid w:val="003E160D"/>
    <w:rsid w:val="003E6AEA"/>
    <w:rsid w:val="0040794F"/>
    <w:rsid w:val="00407BA5"/>
    <w:rsid w:val="004307CE"/>
    <w:rsid w:val="00451F9A"/>
    <w:rsid w:val="00454659"/>
    <w:rsid w:val="0046736B"/>
    <w:rsid w:val="0048043A"/>
    <w:rsid w:val="0048797B"/>
    <w:rsid w:val="004C0DE2"/>
    <w:rsid w:val="004C2F6F"/>
    <w:rsid w:val="00530F17"/>
    <w:rsid w:val="00565CC5"/>
    <w:rsid w:val="00566011"/>
    <w:rsid w:val="00566B0F"/>
    <w:rsid w:val="0057743D"/>
    <w:rsid w:val="00582D0E"/>
    <w:rsid w:val="00583BFF"/>
    <w:rsid w:val="005973AB"/>
    <w:rsid w:val="005C7058"/>
    <w:rsid w:val="005D1C6E"/>
    <w:rsid w:val="00601BAA"/>
    <w:rsid w:val="00611432"/>
    <w:rsid w:val="00614B88"/>
    <w:rsid w:val="00634A2D"/>
    <w:rsid w:val="00641048"/>
    <w:rsid w:val="00647DD4"/>
    <w:rsid w:val="00666755"/>
    <w:rsid w:val="00692E17"/>
    <w:rsid w:val="006C26F7"/>
    <w:rsid w:val="006D003F"/>
    <w:rsid w:val="006F7802"/>
    <w:rsid w:val="00726BC3"/>
    <w:rsid w:val="00745BFF"/>
    <w:rsid w:val="00770478"/>
    <w:rsid w:val="007903EC"/>
    <w:rsid w:val="0079325F"/>
    <w:rsid w:val="007A1DC5"/>
    <w:rsid w:val="007A246B"/>
    <w:rsid w:val="007B4E4D"/>
    <w:rsid w:val="007F5FA8"/>
    <w:rsid w:val="008A6851"/>
    <w:rsid w:val="008B7E4B"/>
    <w:rsid w:val="008D6274"/>
    <w:rsid w:val="008F09D3"/>
    <w:rsid w:val="008F349A"/>
    <w:rsid w:val="00914E4C"/>
    <w:rsid w:val="00916D26"/>
    <w:rsid w:val="00936047"/>
    <w:rsid w:val="0094386B"/>
    <w:rsid w:val="00953D0B"/>
    <w:rsid w:val="009A13C0"/>
    <w:rsid w:val="009A1D33"/>
    <w:rsid w:val="009A65A0"/>
    <w:rsid w:val="009B369F"/>
    <w:rsid w:val="009F24FC"/>
    <w:rsid w:val="00A15812"/>
    <w:rsid w:val="00A4617A"/>
    <w:rsid w:val="00A578A8"/>
    <w:rsid w:val="00A83A5E"/>
    <w:rsid w:val="00AA1C22"/>
    <w:rsid w:val="00AA56D4"/>
    <w:rsid w:val="00AB2116"/>
    <w:rsid w:val="00AD0988"/>
    <w:rsid w:val="00B03056"/>
    <w:rsid w:val="00B1175F"/>
    <w:rsid w:val="00B308B8"/>
    <w:rsid w:val="00B35A16"/>
    <w:rsid w:val="00B454EE"/>
    <w:rsid w:val="00B73CE7"/>
    <w:rsid w:val="00BA30DB"/>
    <w:rsid w:val="00BA6C45"/>
    <w:rsid w:val="00BE1BFD"/>
    <w:rsid w:val="00BE537C"/>
    <w:rsid w:val="00C31AFA"/>
    <w:rsid w:val="00C34DEC"/>
    <w:rsid w:val="00C60E36"/>
    <w:rsid w:val="00C91B7B"/>
    <w:rsid w:val="00CD1CD7"/>
    <w:rsid w:val="00D25860"/>
    <w:rsid w:val="00D34113"/>
    <w:rsid w:val="00D4008C"/>
    <w:rsid w:val="00D84428"/>
    <w:rsid w:val="00D858C8"/>
    <w:rsid w:val="00DA65E0"/>
    <w:rsid w:val="00DB6DC1"/>
    <w:rsid w:val="00DD038A"/>
    <w:rsid w:val="00E0392F"/>
    <w:rsid w:val="00E0516D"/>
    <w:rsid w:val="00E432C6"/>
    <w:rsid w:val="00E4448B"/>
    <w:rsid w:val="00E44DE1"/>
    <w:rsid w:val="00E566EA"/>
    <w:rsid w:val="00E60791"/>
    <w:rsid w:val="00E60CAC"/>
    <w:rsid w:val="00E93A90"/>
    <w:rsid w:val="00EA2839"/>
    <w:rsid w:val="00EB4AA9"/>
    <w:rsid w:val="00EB74C2"/>
    <w:rsid w:val="00EF42AF"/>
    <w:rsid w:val="00F14DAC"/>
    <w:rsid w:val="00F2131E"/>
    <w:rsid w:val="00F303A1"/>
    <w:rsid w:val="00F32A25"/>
    <w:rsid w:val="00F375E9"/>
    <w:rsid w:val="00F61B94"/>
    <w:rsid w:val="00F61D71"/>
    <w:rsid w:val="00F75D15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7DCD00-7B70-4FCB-AC87-BFFEAA11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A16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pPr>
      <w:spacing w:line="360" w:lineRule="auto"/>
    </w:pPr>
    <w:rPr>
      <w:sz w:val="24"/>
    </w:r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  <w:rPr>
      <w:sz w:val="24"/>
    </w:rPr>
  </w:style>
  <w:style w:type="paragraph" w:customStyle="1" w:styleId="NormlnyWWW">
    <w:name w:val="Normálny (WWW)"/>
    <w:basedOn w:val="Normlny"/>
    <w:pPr>
      <w:spacing w:before="100" w:after="100"/>
    </w:pPr>
    <w:rPr>
      <w:rFonts w:ascii="Arial Unicode MS" w:eastAsia="Arial Unicode MS" w:hAnsi="Arial Unicode MS"/>
      <w:sz w:val="24"/>
      <w:lang w:val="cs-CZ"/>
    </w:rPr>
  </w:style>
  <w:style w:type="paragraph" w:styleId="Hlavika">
    <w:name w:val="header"/>
    <w:basedOn w:val="Normlny"/>
    <w:rsid w:val="00DD038A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unhideWhenUsed/>
    <w:rsid w:val="00DA65E0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06431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6431B"/>
  </w:style>
  <w:style w:type="paragraph" w:styleId="Textbubliny">
    <w:name w:val="Balloon Text"/>
    <w:basedOn w:val="Normlny"/>
    <w:link w:val="TextbublinyChar"/>
    <w:rsid w:val="00C34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4DE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F61D7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61D71"/>
  </w:style>
  <w:style w:type="character" w:customStyle="1" w:styleId="TextkomentraChar">
    <w:name w:val="Text komentára Char"/>
    <w:basedOn w:val="Predvolenpsmoodseku"/>
    <w:link w:val="Textkomentra"/>
    <w:rsid w:val="00F61D71"/>
  </w:style>
  <w:style w:type="paragraph" w:styleId="Predmetkomentra">
    <w:name w:val="annotation subject"/>
    <w:basedOn w:val="Textkomentra"/>
    <w:next w:val="Textkomentra"/>
    <w:link w:val="PredmetkomentraChar"/>
    <w:rsid w:val="00F61D71"/>
    <w:rPr>
      <w:b/>
      <w:bCs/>
    </w:rPr>
  </w:style>
  <w:style w:type="character" w:customStyle="1" w:styleId="PredmetkomentraChar">
    <w:name w:val="Predmet komentára Char"/>
    <w:link w:val="Predmetkomentra"/>
    <w:rsid w:val="00F6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7C63-9574-4DD1-BDB6-3B2A76D8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SYNTOSTIGMIN</vt:lpstr>
    </vt:vector>
  </TitlesOfParts>
  <Company>Zentiva, a. s.</Company>
  <LinksUpToDate>false</LinksUpToDate>
  <CharactersWithSpaces>11873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SYNTOSTIGMIN</dc:title>
  <dc:subject>PIL</dc:subject>
  <dc:creator>Hranaiova, Margita /SK</dc:creator>
  <cp:lastModifiedBy>Kuziaková, Marianna</cp:lastModifiedBy>
  <cp:revision>2</cp:revision>
  <cp:lastPrinted>2003-06-04T10:26:00Z</cp:lastPrinted>
  <dcterms:created xsi:type="dcterms:W3CDTF">2019-06-10T13:43:00Z</dcterms:created>
  <dcterms:modified xsi:type="dcterms:W3CDTF">2019-06-10T13:43:00Z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1642591926</vt:i4>
  </property>
  <property fmtid="{D5CDD505-2E9C-101B-9397-08002B2CF9AE}" pid="4" name="_EmailSubject">
    <vt:lpwstr>[EXTERNAL] RE:  RE: 2016/04638-ZME, Syntostigmin, 67/0535/69-S, Národná žiadosť</vt:lpwstr>
  </property>
  <property fmtid="{D5CDD505-2E9C-101B-9397-08002B2CF9AE}" pid="5" name="_AuthorEmail">
    <vt:lpwstr>margita.hranaiova@zentiva.com</vt:lpwstr>
  </property>
  <property fmtid="{D5CDD505-2E9C-101B-9397-08002B2CF9AE}" pid="6" name="_AuthorEmailDisplayName">
    <vt:lpwstr>Hranaiova, Margita /SK</vt:lpwstr>
  </property>
  <property fmtid="{D5CDD505-2E9C-101B-9397-08002B2CF9AE}" pid="7" name="_ReviewingToolsShownOnce">
    <vt:lpwstr/>
  </property>
</Properties>
</file>