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4A" w:rsidRPr="00F3082A" w:rsidRDefault="00F1304A" w:rsidP="00D93E76">
      <w:pPr>
        <w:tabs>
          <w:tab w:val="left" w:pos="-1440"/>
          <w:tab w:val="left" w:pos="-720"/>
        </w:tabs>
        <w:jc w:val="center"/>
        <w:rPr>
          <w:caps/>
          <w:sz w:val="22"/>
          <w:szCs w:val="22"/>
        </w:rPr>
      </w:pPr>
    </w:p>
    <w:p w:rsidR="00F1304A" w:rsidRPr="00F64707" w:rsidRDefault="00F1304A" w:rsidP="00F64707">
      <w:pPr>
        <w:tabs>
          <w:tab w:val="left" w:pos="-1440"/>
          <w:tab w:val="left" w:pos="-720"/>
        </w:tabs>
        <w:jc w:val="center"/>
        <w:rPr>
          <w:sz w:val="22"/>
          <w:szCs w:val="22"/>
        </w:rPr>
      </w:pPr>
      <w:r w:rsidRPr="00F64707">
        <w:rPr>
          <w:b/>
          <w:caps/>
          <w:sz w:val="22"/>
          <w:szCs w:val="22"/>
        </w:rPr>
        <w:t>Súhrn charakteristických vlastností lieku</w:t>
      </w:r>
    </w:p>
    <w:p w:rsidR="00F1304A" w:rsidRDefault="00F1304A" w:rsidP="00F64707">
      <w:pPr>
        <w:rPr>
          <w:sz w:val="22"/>
          <w:szCs w:val="22"/>
        </w:rPr>
      </w:pPr>
    </w:p>
    <w:p w:rsidR="00DC23AA" w:rsidRPr="00F64707" w:rsidRDefault="00DC23AA" w:rsidP="00F64707">
      <w:pPr>
        <w:rPr>
          <w:sz w:val="22"/>
          <w:szCs w:val="22"/>
        </w:rPr>
      </w:pPr>
    </w:p>
    <w:p w:rsidR="00F1304A" w:rsidRPr="00F64707" w:rsidRDefault="00F1304A" w:rsidP="00F64707">
      <w:pPr>
        <w:pStyle w:val="Nadpis1"/>
        <w:ind w:left="567" w:hanging="567"/>
        <w:jc w:val="left"/>
        <w:rPr>
          <w:rFonts w:ascii="Times New Roman" w:hAnsi="Times New Roman"/>
          <w:sz w:val="22"/>
          <w:szCs w:val="22"/>
        </w:rPr>
      </w:pPr>
      <w:r w:rsidRPr="00F64707">
        <w:rPr>
          <w:rFonts w:ascii="Times New Roman" w:hAnsi="Times New Roman"/>
          <w:caps/>
          <w:sz w:val="22"/>
          <w:szCs w:val="22"/>
        </w:rPr>
        <w:t>1.</w:t>
      </w:r>
      <w:r w:rsidRPr="00F64707">
        <w:rPr>
          <w:rFonts w:ascii="Times New Roman" w:hAnsi="Times New Roman"/>
          <w:caps/>
          <w:sz w:val="22"/>
          <w:szCs w:val="22"/>
        </w:rPr>
        <w:tab/>
        <w:t>Názov lieku</w:t>
      </w:r>
    </w:p>
    <w:p w:rsidR="00F1304A" w:rsidRPr="00F64707" w:rsidRDefault="00F1304A" w:rsidP="00F64707">
      <w:pPr>
        <w:pStyle w:val="Nadpis4"/>
        <w:jc w:val="left"/>
        <w:rPr>
          <w:rFonts w:ascii="Times New Roman" w:hAnsi="Times New Roman"/>
          <w:b w:val="0"/>
          <w:sz w:val="22"/>
          <w:szCs w:val="22"/>
        </w:rPr>
      </w:pPr>
    </w:p>
    <w:p w:rsidR="00F1304A" w:rsidRPr="00F64707" w:rsidRDefault="00EA670A" w:rsidP="00F64707">
      <w:pPr>
        <w:pStyle w:val="Nadpis4"/>
        <w:jc w:val="left"/>
        <w:rPr>
          <w:rFonts w:ascii="Times New Roman" w:hAnsi="Times New Roman"/>
          <w:b w:val="0"/>
          <w:sz w:val="22"/>
          <w:szCs w:val="22"/>
        </w:rPr>
      </w:pPr>
      <w:r w:rsidRPr="00F64707">
        <w:rPr>
          <w:rFonts w:ascii="Times New Roman" w:hAnsi="Times New Roman"/>
          <w:b w:val="0"/>
          <w:sz w:val="22"/>
          <w:szCs w:val="22"/>
        </w:rPr>
        <w:t>D</w:t>
      </w:r>
      <w:r w:rsidR="009C0996" w:rsidRPr="00F64707">
        <w:rPr>
          <w:rFonts w:ascii="Times New Roman" w:hAnsi="Times New Roman"/>
          <w:b w:val="0"/>
          <w:sz w:val="22"/>
          <w:szCs w:val="22"/>
        </w:rPr>
        <w:t>utalan</w:t>
      </w:r>
      <w:r w:rsidR="00F1304A" w:rsidRPr="00F64707">
        <w:rPr>
          <w:rFonts w:ascii="Times New Roman" w:hAnsi="Times New Roman"/>
          <w:b w:val="0"/>
          <w:sz w:val="22"/>
          <w:szCs w:val="22"/>
        </w:rPr>
        <w:t xml:space="preserve"> 0,5</w:t>
      </w:r>
      <w:r w:rsidR="00CB3389" w:rsidRPr="00F64707">
        <w:rPr>
          <w:rFonts w:ascii="Times New Roman" w:hAnsi="Times New Roman"/>
          <w:b w:val="0"/>
          <w:sz w:val="22"/>
          <w:szCs w:val="22"/>
        </w:rPr>
        <w:t> </w:t>
      </w:r>
      <w:r w:rsidRPr="00F64707">
        <w:rPr>
          <w:rFonts w:ascii="Times New Roman" w:hAnsi="Times New Roman"/>
          <w:b w:val="0"/>
          <w:sz w:val="22"/>
          <w:szCs w:val="22"/>
        </w:rPr>
        <w:t>mg</w:t>
      </w:r>
      <w:r w:rsidR="009C0996" w:rsidRPr="00F64707">
        <w:rPr>
          <w:rFonts w:ascii="Times New Roman" w:hAnsi="Times New Roman"/>
          <w:b w:val="0"/>
          <w:sz w:val="22"/>
          <w:szCs w:val="22"/>
        </w:rPr>
        <w:t xml:space="preserve"> mäkké kapsuly</w:t>
      </w:r>
    </w:p>
    <w:p w:rsidR="00F1304A" w:rsidRPr="00F64707" w:rsidRDefault="00F1304A" w:rsidP="00F64707">
      <w:pPr>
        <w:rPr>
          <w:sz w:val="22"/>
          <w:szCs w:val="22"/>
        </w:rPr>
      </w:pPr>
    </w:p>
    <w:p w:rsidR="008A6BBB" w:rsidRPr="00F64707" w:rsidRDefault="008A6BBB" w:rsidP="00F64707">
      <w:pPr>
        <w:rPr>
          <w:sz w:val="22"/>
          <w:szCs w:val="22"/>
        </w:rPr>
      </w:pPr>
    </w:p>
    <w:p w:rsidR="00F1304A" w:rsidRPr="00F64707" w:rsidRDefault="00F1304A" w:rsidP="00F64707">
      <w:pPr>
        <w:keepNext/>
        <w:ind w:left="567" w:hanging="567"/>
        <w:rPr>
          <w:b/>
          <w:caps/>
          <w:sz w:val="22"/>
          <w:szCs w:val="22"/>
        </w:rPr>
      </w:pPr>
      <w:r w:rsidRPr="00F64707">
        <w:rPr>
          <w:b/>
          <w:sz w:val="22"/>
          <w:szCs w:val="22"/>
        </w:rPr>
        <w:t>2.</w:t>
      </w:r>
      <w:r w:rsidRPr="00F64707">
        <w:rPr>
          <w:b/>
          <w:sz w:val="22"/>
          <w:szCs w:val="22"/>
        </w:rPr>
        <w:tab/>
      </w:r>
      <w:r w:rsidR="00EA670A" w:rsidRPr="00F64707">
        <w:rPr>
          <w:b/>
          <w:caps/>
          <w:sz w:val="22"/>
          <w:szCs w:val="22"/>
        </w:rPr>
        <w:t>kvalitatívne a </w:t>
      </w:r>
      <w:r w:rsidRPr="00F64707">
        <w:rPr>
          <w:b/>
          <w:caps/>
          <w:sz w:val="22"/>
          <w:szCs w:val="22"/>
        </w:rPr>
        <w:t>kvantitatívne zloženie</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Každá kapsula obsahuje 0,5</w:t>
      </w:r>
      <w:r w:rsidR="00CB3389" w:rsidRPr="00F64707">
        <w:rPr>
          <w:sz w:val="22"/>
          <w:szCs w:val="22"/>
        </w:rPr>
        <w:t> </w:t>
      </w:r>
      <w:r w:rsidRPr="00F64707">
        <w:rPr>
          <w:sz w:val="22"/>
          <w:szCs w:val="22"/>
        </w:rPr>
        <w:t>mg dutasteridu.</w:t>
      </w:r>
    </w:p>
    <w:p w:rsidR="00EA670A" w:rsidRPr="00F64707" w:rsidRDefault="00EA670A" w:rsidP="00F64707">
      <w:pPr>
        <w:rPr>
          <w:sz w:val="22"/>
          <w:szCs w:val="22"/>
        </w:rPr>
      </w:pPr>
    </w:p>
    <w:p w:rsidR="00EA670A" w:rsidRPr="00F64707" w:rsidRDefault="00EA670A" w:rsidP="00F64707">
      <w:pPr>
        <w:rPr>
          <w:sz w:val="22"/>
          <w:szCs w:val="22"/>
        </w:rPr>
      </w:pPr>
      <w:r w:rsidRPr="00F64707">
        <w:rPr>
          <w:sz w:val="22"/>
          <w:szCs w:val="22"/>
        </w:rPr>
        <w:t>Pomocná látka so známym účinkom: lecitín (môže obsahovať sójový olej).</w:t>
      </w:r>
    </w:p>
    <w:p w:rsidR="00F1304A" w:rsidRPr="00F64707" w:rsidRDefault="00F1304A" w:rsidP="00F64707">
      <w:pPr>
        <w:rPr>
          <w:sz w:val="22"/>
          <w:szCs w:val="22"/>
        </w:rPr>
      </w:pPr>
      <w:r w:rsidRPr="00F64707">
        <w:rPr>
          <w:sz w:val="22"/>
          <w:szCs w:val="22"/>
        </w:rPr>
        <w:t>Úpln</w:t>
      </w:r>
      <w:r w:rsidR="00EA670A" w:rsidRPr="00F64707">
        <w:rPr>
          <w:sz w:val="22"/>
          <w:szCs w:val="22"/>
        </w:rPr>
        <w:t xml:space="preserve">ý zoznam pomocných látok, pozri </w:t>
      </w:r>
      <w:r w:rsidRPr="00F64707">
        <w:rPr>
          <w:sz w:val="22"/>
          <w:szCs w:val="22"/>
        </w:rPr>
        <w:t>časť 6.1.</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rPr>
          <w:sz w:val="22"/>
          <w:szCs w:val="22"/>
        </w:rPr>
      </w:pPr>
    </w:p>
    <w:p w:rsidR="00F1304A" w:rsidRPr="00F64707" w:rsidRDefault="00F1304A" w:rsidP="00F64707">
      <w:pPr>
        <w:keepNext/>
        <w:ind w:left="567" w:hanging="567"/>
        <w:rPr>
          <w:b/>
          <w:sz w:val="22"/>
          <w:szCs w:val="22"/>
        </w:rPr>
      </w:pPr>
      <w:r w:rsidRPr="00F64707">
        <w:rPr>
          <w:b/>
          <w:sz w:val="22"/>
          <w:szCs w:val="22"/>
        </w:rPr>
        <w:t>3.</w:t>
      </w:r>
      <w:r w:rsidRPr="00F64707">
        <w:rPr>
          <w:b/>
          <w:sz w:val="22"/>
          <w:szCs w:val="22"/>
        </w:rPr>
        <w:tab/>
      </w:r>
      <w:r w:rsidRPr="00F64707">
        <w:rPr>
          <w:b/>
          <w:caps/>
          <w:sz w:val="22"/>
          <w:szCs w:val="22"/>
        </w:rPr>
        <w:t>Lieková forma</w:t>
      </w:r>
    </w:p>
    <w:p w:rsidR="00F1304A" w:rsidRPr="00F64707" w:rsidRDefault="00F1304A" w:rsidP="00F64707">
      <w:pPr>
        <w:pStyle w:val="Pta"/>
        <w:keepNext/>
        <w:tabs>
          <w:tab w:val="clear" w:pos="4320"/>
          <w:tab w:val="clear" w:pos="8640"/>
        </w:tabs>
        <w:rPr>
          <w:rFonts w:ascii="Times New Roman" w:hAnsi="Times New Roman"/>
          <w:sz w:val="22"/>
          <w:szCs w:val="22"/>
          <w:lang w:val="sk-SK"/>
        </w:rPr>
      </w:pPr>
    </w:p>
    <w:p w:rsidR="00F1304A" w:rsidRPr="00F64707" w:rsidRDefault="00F1304A" w:rsidP="00F64707">
      <w:pPr>
        <w:pStyle w:val="Pta"/>
        <w:tabs>
          <w:tab w:val="clear" w:pos="4320"/>
          <w:tab w:val="clear" w:pos="8640"/>
        </w:tabs>
        <w:rPr>
          <w:rFonts w:ascii="Times New Roman" w:hAnsi="Times New Roman"/>
          <w:color w:val="000000"/>
          <w:sz w:val="22"/>
          <w:szCs w:val="22"/>
          <w:lang w:val="sk-SK"/>
        </w:rPr>
      </w:pPr>
      <w:r w:rsidRPr="00F64707">
        <w:rPr>
          <w:rFonts w:ascii="Times New Roman" w:hAnsi="Times New Roman"/>
          <w:sz w:val="22"/>
          <w:szCs w:val="22"/>
          <w:lang w:val="sk-SK"/>
        </w:rPr>
        <w:t>Mäkká kapsula.</w:t>
      </w:r>
      <w:r w:rsidR="009C0996" w:rsidRPr="00F64707">
        <w:rPr>
          <w:rFonts w:ascii="Times New Roman" w:hAnsi="Times New Roman"/>
          <w:sz w:val="22"/>
          <w:szCs w:val="22"/>
          <w:lang w:val="sk-SK"/>
        </w:rPr>
        <w:t xml:space="preserve"> </w:t>
      </w:r>
      <w:r w:rsidRPr="00F64707">
        <w:rPr>
          <w:rFonts w:ascii="Times New Roman" w:hAnsi="Times New Roman"/>
          <w:sz w:val="22"/>
          <w:szCs w:val="22"/>
          <w:lang w:val="sk-SK"/>
        </w:rPr>
        <w:t xml:space="preserve">Kapsuly sú nepriehľadné žlté podlhovasté mäkké želatínové kapsuly </w:t>
      </w:r>
      <w:r w:rsidR="00EA670A" w:rsidRPr="00F64707">
        <w:rPr>
          <w:rFonts w:ascii="Times New Roman" w:hAnsi="Times New Roman"/>
          <w:sz w:val="22"/>
          <w:szCs w:val="22"/>
          <w:lang w:val="sk-SK"/>
        </w:rPr>
        <w:t xml:space="preserve">bez potlače, </w:t>
      </w:r>
      <w:r w:rsidR="00EA670A" w:rsidRPr="00F64707">
        <w:rPr>
          <w:rFonts w:ascii="Times New Roman" w:hAnsi="Times New Roman"/>
          <w:color w:val="000000"/>
          <w:sz w:val="22"/>
          <w:szCs w:val="22"/>
          <w:lang w:val="sk-SK"/>
        </w:rPr>
        <w:t>naplnené olejnatou žltkastou tekutinou.</w:t>
      </w:r>
    </w:p>
    <w:p w:rsidR="00EA670A" w:rsidRPr="00F64707" w:rsidRDefault="00EA670A" w:rsidP="00F64707">
      <w:pPr>
        <w:pStyle w:val="Pta"/>
        <w:tabs>
          <w:tab w:val="clear" w:pos="4320"/>
          <w:tab w:val="clear" w:pos="8640"/>
        </w:tabs>
        <w:rPr>
          <w:rFonts w:ascii="Times New Roman" w:hAnsi="Times New Roman"/>
          <w:sz w:val="22"/>
          <w:szCs w:val="22"/>
          <w:lang w:val="sk-SK"/>
        </w:rPr>
      </w:pPr>
    </w:p>
    <w:p w:rsidR="00EA670A" w:rsidRPr="00F64707" w:rsidRDefault="00EA670A" w:rsidP="00F64707">
      <w:pPr>
        <w:rPr>
          <w:color w:val="000000"/>
          <w:sz w:val="22"/>
          <w:szCs w:val="22"/>
        </w:rPr>
      </w:pPr>
      <w:r w:rsidRPr="00F64707">
        <w:rPr>
          <w:color w:val="000000"/>
          <w:sz w:val="22"/>
          <w:szCs w:val="22"/>
        </w:rPr>
        <w:t>Rozmery mäkk</w:t>
      </w:r>
      <w:r w:rsidR="0019342B" w:rsidRPr="00F64707">
        <w:rPr>
          <w:color w:val="000000"/>
          <w:sz w:val="22"/>
          <w:szCs w:val="22"/>
        </w:rPr>
        <w:t xml:space="preserve">ých </w:t>
      </w:r>
      <w:r w:rsidRPr="00F64707">
        <w:rPr>
          <w:color w:val="000000"/>
          <w:sz w:val="22"/>
          <w:szCs w:val="22"/>
        </w:rPr>
        <w:t>kaps</w:t>
      </w:r>
      <w:r w:rsidR="0019342B" w:rsidRPr="00F64707">
        <w:rPr>
          <w:color w:val="000000"/>
          <w:sz w:val="22"/>
          <w:szCs w:val="22"/>
        </w:rPr>
        <w:t>úl</w:t>
      </w:r>
      <w:r w:rsidR="009C0996" w:rsidRPr="00F64707">
        <w:rPr>
          <w:color w:val="000000"/>
          <w:sz w:val="22"/>
          <w:szCs w:val="22"/>
        </w:rPr>
        <w:t xml:space="preserve"> sú: 19</w:t>
      </w:r>
      <w:r w:rsidR="003F33FD" w:rsidRPr="00F64707">
        <w:rPr>
          <w:color w:val="000000"/>
          <w:sz w:val="22"/>
          <w:szCs w:val="22"/>
        </w:rPr>
        <w:t> mm ± 0,8 mm x </w:t>
      </w:r>
      <w:r w:rsidRPr="00F64707">
        <w:rPr>
          <w:color w:val="000000"/>
          <w:sz w:val="22"/>
          <w:szCs w:val="22"/>
        </w:rPr>
        <w:t>6,9 mm ± 0,4 mm.</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rPr>
          <w:b/>
          <w:sz w:val="22"/>
          <w:szCs w:val="22"/>
        </w:rPr>
      </w:pPr>
    </w:p>
    <w:p w:rsidR="00F1304A" w:rsidRPr="00F64707" w:rsidRDefault="00F1304A" w:rsidP="00F64707">
      <w:pPr>
        <w:keepNext/>
        <w:ind w:left="567" w:hanging="567"/>
        <w:rPr>
          <w:b/>
          <w:sz w:val="22"/>
          <w:szCs w:val="22"/>
        </w:rPr>
      </w:pPr>
      <w:r w:rsidRPr="00F64707">
        <w:rPr>
          <w:b/>
          <w:sz w:val="22"/>
          <w:szCs w:val="22"/>
        </w:rPr>
        <w:t>4.</w:t>
      </w:r>
      <w:r w:rsidRPr="00F64707">
        <w:rPr>
          <w:b/>
          <w:sz w:val="22"/>
          <w:szCs w:val="22"/>
        </w:rPr>
        <w:tab/>
        <w:t>KLINICKÉ ÚDAJE</w:t>
      </w:r>
    </w:p>
    <w:p w:rsidR="00F1304A" w:rsidRPr="00F64707" w:rsidRDefault="00F1304A" w:rsidP="00F64707">
      <w:pPr>
        <w:keepNext/>
        <w:ind w:left="567" w:hanging="567"/>
        <w:rPr>
          <w:b/>
          <w:sz w:val="22"/>
          <w:szCs w:val="22"/>
        </w:rPr>
      </w:pPr>
    </w:p>
    <w:p w:rsidR="00F1304A" w:rsidRPr="00F64707" w:rsidRDefault="00F1304A" w:rsidP="00F64707">
      <w:pPr>
        <w:keepNext/>
        <w:ind w:left="567" w:hanging="567"/>
        <w:rPr>
          <w:b/>
          <w:sz w:val="22"/>
          <w:szCs w:val="22"/>
        </w:rPr>
      </w:pPr>
      <w:r w:rsidRPr="00F64707">
        <w:rPr>
          <w:b/>
          <w:sz w:val="22"/>
          <w:szCs w:val="22"/>
        </w:rPr>
        <w:t>4.1</w:t>
      </w:r>
      <w:r w:rsidR="000E7DA1" w:rsidRPr="00F64707">
        <w:rPr>
          <w:b/>
          <w:sz w:val="22"/>
          <w:szCs w:val="22"/>
        </w:rPr>
        <w:tab/>
      </w:r>
      <w:r w:rsidRPr="00F64707">
        <w:rPr>
          <w:b/>
          <w:sz w:val="22"/>
          <w:szCs w:val="22"/>
        </w:rPr>
        <w:t>Terapeutické indikácie</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Liečba stredne ťažkých až ťažkých symptómov benígnej hyperplázie prostaty (BPH).</w:t>
      </w:r>
    </w:p>
    <w:p w:rsidR="00F1304A" w:rsidRPr="00F64707" w:rsidRDefault="00F1304A" w:rsidP="00F64707">
      <w:pPr>
        <w:pStyle w:val="Zkladntext3"/>
        <w:rPr>
          <w:rFonts w:ascii="Times New Roman" w:hAnsi="Times New Roman"/>
          <w:sz w:val="22"/>
          <w:szCs w:val="22"/>
        </w:rPr>
      </w:pPr>
      <w:r w:rsidRPr="00F64707">
        <w:rPr>
          <w:rFonts w:ascii="Times New Roman" w:hAnsi="Times New Roman"/>
          <w:color w:val="auto"/>
          <w:sz w:val="22"/>
          <w:szCs w:val="22"/>
        </w:rPr>
        <w:t>Zníženie rizik</w:t>
      </w:r>
      <w:r w:rsidR="00EA670A" w:rsidRPr="00F64707">
        <w:rPr>
          <w:rFonts w:ascii="Times New Roman" w:hAnsi="Times New Roman"/>
          <w:color w:val="auto"/>
          <w:sz w:val="22"/>
          <w:szCs w:val="22"/>
        </w:rPr>
        <w:t>a akútnej retencie moču (AUR) a </w:t>
      </w:r>
      <w:r w:rsidRPr="00F64707">
        <w:rPr>
          <w:rFonts w:ascii="Times New Roman" w:hAnsi="Times New Roman"/>
          <w:color w:val="auto"/>
          <w:sz w:val="22"/>
          <w:szCs w:val="22"/>
        </w:rPr>
        <w:t>chirurgického zákroku u</w:t>
      </w:r>
      <w:r w:rsidR="00EA670A" w:rsidRPr="00F64707">
        <w:rPr>
          <w:rFonts w:ascii="Times New Roman" w:hAnsi="Times New Roman"/>
          <w:color w:val="auto"/>
          <w:sz w:val="22"/>
          <w:szCs w:val="22"/>
        </w:rPr>
        <w:t> </w:t>
      </w:r>
      <w:r w:rsidRPr="00F64707">
        <w:rPr>
          <w:rFonts w:ascii="Times New Roman" w:hAnsi="Times New Roman"/>
          <w:color w:val="auto"/>
          <w:sz w:val="22"/>
          <w:szCs w:val="22"/>
        </w:rPr>
        <w:t>pacientov so stredne ťažkými až ťažkými symptómami BPH.</w:t>
      </w:r>
      <w:r w:rsidR="009C0996" w:rsidRPr="00F64707">
        <w:rPr>
          <w:rFonts w:ascii="Times New Roman" w:hAnsi="Times New Roman"/>
          <w:color w:val="auto"/>
          <w:sz w:val="22"/>
          <w:szCs w:val="22"/>
        </w:rPr>
        <w:t xml:space="preserve"> </w:t>
      </w:r>
      <w:r w:rsidR="00EA670A" w:rsidRPr="00F64707">
        <w:rPr>
          <w:rFonts w:ascii="Times New Roman" w:hAnsi="Times New Roman"/>
          <w:color w:val="auto"/>
          <w:sz w:val="22"/>
          <w:szCs w:val="22"/>
        </w:rPr>
        <w:t>Informácie o účinkoch liečby a </w:t>
      </w:r>
      <w:r w:rsidRPr="00F64707">
        <w:rPr>
          <w:rFonts w:ascii="Times New Roman" w:hAnsi="Times New Roman"/>
          <w:color w:val="auto"/>
          <w:sz w:val="22"/>
          <w:szCs w:val="22"/>
        </w:rPr>
        <w:t>populáciách pacientov s</w:t>
      </w:r>
      <w:r w:rsidR="008F403C" w:rsidRPr="00F64707">
        <w:rPr>
          <w:rFonts w:ascii="Times New Roman" w:hAnsi="Times New Roman"/>
          <w:color w:val="auto"/>
          <w:sz w:val="22"/>
          <w:szCs w:val="22"/>
        </w:rPr>
        <w:t>ledovaných</w:t>
      </w:r>
      <w:r w:rsidRPr="00F64707">
        <w:rPr>
          <w:rFonts w:ascii="Times New Roman" w:hAnsi="Times New Roman"/>
          <w:color w:val="auto"/>
          <w:sz w:val="22"/>
          <w:szCs w:val="22"/>
        </w:rPr>
        <w:t xml:space="preserve"> v klinických skúš</w:t>
      </w:r>
      <w:r w:rsidR="00EA670A" w:rsidRPr="00F64707">
        <w:rPr>
          <w:rFonts w:ascii="Times New Roman" w:hAnsi="Times New Roman"/>
          <w:color w:val="auto"/>
          <w:sz w:val="22"/>
          <w:szCs w:val="22"/>
        </w:rPr>
        <w:t>aniach</w:t>
      </w:r>
      <w:r w:rsidRPr="00F64707">
        <w:rPr>
          <w:rFonts w:ascii="Times New Roman" w:hAnsi="Times New Roman"/>
          <w:color w:val="auto"/>
          <w:sz w:val="22"/>
          <w:szCs w:val="22"/>
        </w:rPr>
        <w:t>, pozri časť</w:t>
      </w:r>
      <w:r w:rsidR="00EA670A" w:rsidRPr="00F64707">
        <w:rPr>
          <w:rFonts w:ascii="Times New Roman" w:hAnsi="Times New Roman"/>
          <w:color w:val="auto"/>
          <w:sz w:val="22"/>
          <w:szCs w:val="22"/>
        </w:rPr>
        <w:t xml:space="preserve"> </w:t>
      </w:r>
      <w:r w:rsidRPr="00F64707">
        <w:rPr>
          <w:rFonts w:ascii="Times New Roman" w:hAnsi="Times New Roman"/>
          <w:color w:val="auto"/>
          <w:sz w:val="22"/>
          <w:szCs w:val="22"/>
        </w:rPr>
        <w:t>5.1.</w:t>
      </w:r>
    </w:p>
    <w:p w:rsidR="00F1304A" w:rsidRPr="00F64707" w:rsidRDefault="00F1304A" w:rsidP="00F64707">
      <w:pPr>
        <w:rPr>
          <w:sz w:val="22"/>
          <w:szCs w:val="22"/>
        </w:rPr>
      </w:pPr>
    </w:p>
    <w:p w:rsidR="00F1304A" w:rsidRPr="00F64707" w:rsidRDefault="00F1304A" w:rsidP="00F64707">
      <w:pPr>
        <w:keepNext/>
        <w:ind w:left="567" w:hanging="567"/>
        <w:rPr>
          <w:sz w:val="22"/>
          <w:szCs w:val="22"/>
        </w:rPr>
      </w:pPr>
      <w:r w:rsidRPr="00F64707">
        <w:rPr>
          <w:b/>
          <w:sz w:val="22"/>
          <w:szCs w:val="22"/>
        </w:rPr>
        <w:t>4.2</w:t>
      </w:r>
      <w:r w:rsidRPr="00F64707">
        <w:rPr>
          <w:b/>
          <w:sz w:val="22"/>
          <w:szCs w:val="22"/>
        </w:rPr>
        <w:tab/>
        <w:t>Dávkovanie a</w:t>
      </w:r>
      <w:r w:rsidR="00EA670A" w:rsidRPr="00F64707">
        <w:rPr>
          <w:b/>
          <w:sz w:val="22"/>
          <w:szCs w:val="22"/>
        </w:rPr>
        <w:t> </w:t>
      </w:r>
      <w:r w:rsidRPr="00F64707">
        <w:rPr>
          <w:b/>
          <w:sz w:val="22"/>
          <w:szCs w:val="22"/>
        </w:rPr>
        <w:t>spôsob podávania</w:t>
      </w:r>
    </w:p>
    <w:p w:rsidR="00F1304A" w:rsidRPr="00F64707" w:rsidRDefault="00F1304A" w:rsidP="00F64707">
      <w:pPr>
        <w:keepNext/>
        <w:rPr>
          <w:sz w:val="22"/>
          <w:szCs w:val="22"/>
        </w:rPr>
      </w:pPr>
    </w:p>
    <w:p w:rsidR="00EA670A" w:rsidRPr="00F64707" w:rsidRDefault="00EA670A" w:rsidP="00F64707">
      <w:pPr>
        <w:pStyle w:val="Zkladntext3"/>
        <w:keepNext/>
        <w:tabs>
          <w:tab w:val="left" w:pos="567"/>
        </w:tabs>
        <w:rPr>
          <w:rFonts w:ascii="Times New Roman" w:hAnsi="Times New Roman"/>
          <w:color w:val="000000"/>
          <w:sz w:val="22"/>
          <w:szCs w:val="22"/>
          <w:u w:val="single"/>
        </w:rPr>
      </w:pPr>
      <w:r w:rsidRPr="00F64707">
        <w:rPr>
          <w:rFonts w:ascii="Times New Roman" w:hAnsi="Times New Roman"/>
          <w:color w:val="000000"/>
          <w:sz w:val="22"/>
          <w:szCs w:val="22"/>
          <w:u w:val="single"/>
        </w:rPr>
        <w:t>Dávkovanie:</w:t>
      </w:r>
    </w:p>
    <w:p w:rsidR="00E84B77" w:rsidRPr="00F64707" w:rsidRDefault="00E84B77" w:rsidP="00F64707">
      <w:pPr>
        <w:pStyle w:val="Zkladntext3"/>
        <w:keepNext/>
        <w:tabs>
          <w:tab w:val="left" w:pos="567"/>
        </w:tabs>
        <w:rPr>
          <w:rFonts w:ascii="Times New Roman" w:hAnsi="Times New Roman"/>
          <w:color w:val="000000"/>
          <w:sz w:val="22"/>
          <w:szCs w:val="22"/>
          <w:u w:val="single"/>
        </w:rPr>
      </w:pPr>
    </w:p>
    <w:p w:rsidR="00F1304A" w:rsidRPr="00F64707" w:rsidRDefault="00EA670A" w:rsidP="00F64707">
      <w:pPr>
        <w:rPr>
          <w:iCs/>
          <w:sz w:val="22"/>
          <w:szCs w:val="22"/>
        </w:rPr>
      </w:pPr>
      <w:r w:rsidRPr="00F64707">
        <w:rPr>
          <w:iCs/>
          <w:sz w:val="22"/>
          <w:szCs w:val="22"/>
        </w:rPr>
        <w:t>Duta</w:t>
      </w:r>
      <w:r w:rsidR="00E84B77" w:rsidRPr="00F64707">
        <w:rPr>
          <w:iCs/>
          <w:sz w:val="22"/>
          <w:szCs w:val="22"/>
        </w:rPr>
        <w:t xml:space="preserve">sterid </w:t>
      </w:r>
      <w:r w:rsidR="00F1304A" w:rsidRPr="00F64707">
        <w:rPr>
          <w:iCs/>
          <w:sz w:val="22"/>
          <w:szCs w:val="22"/>
        </w:rPr>
        <w:t>možno podávať samotný alebo v kombinácii s alfablokátorom tamsulozínom (0,4</w:t>
      </w:r>
      <w:r w:rsidR="000E7DA1" w:rsidRPr="00F64707">
        <w:rPr>
          <w:iCs/>
          <w:sz w:val="22"/>
          <w:szCs w:val="22"/>
        </w:rPr>
        <w:t> </w:t>
      </w:r>
      <w:r w:rsidR="00F1304A" w:rsidRPr="00F64707">
        <w:rPr>
          <w:iCs/>
          <w:sz w:val="22"/>
          <w:szCs w:val="22"/>
        </w:rPr>
        <w:t>mg) (pozri časti</w:t>
      </w:r>
      <w:r w:rsidRPr="00F64707">
        <w:rPr>
          <w:iCs/>
          <w:sz w:val="22"/>
          <w:szCs w:val="22"/>
        </w:rPr>
        <w:t xml:space="preserve"> </w:t>
      </w:r>
      <w:r w:rsidR="00F1304A" w:rsidRPr="00F64707">
        <w:rPr>
          <w:iCs/>
          <w:sz w:val="22"/>
          <w:szCs w:val="22"/>
        </w:rPr>
        <w:t>4.4,</w:t>
      </w:r>
      <w:r w:rsidRPr="00F64707">
        <w:rPr>
          <w:iCs/>
          <w:sz w:val="22"/>
          <w:szCs w:val="22"/>
        </w:rPr>
        <w:t xml:space="preserve"> </w:t>
      </w:r>
      <w:r w:rsidR="00F1304A" w:rsidRPr="00F64707">
        <w:rPr>
          <w:iCs/>
          <w:sz w:val="22"/>
          <w:szCs w:val="22"/>
        </w:rPr>
        <w:t>4.8</w:t>
      </w:r>
      <w:r w:rsidRPr="00F64707">
        <w:rPr>
          <w:iCs/>
          <w:sz w:val="22"/>
          <w:szCs w:val="22"/>
        </w:rPr>
        <w:t xml:space="preserve"> </w:t>
      </w:r>
      <w:r w:rsidR="00F1304A" w:rsidRPr="00F64707">
        <w:rPr>
          <w:iCs/>
          <w:sz w:val="22"/>
          <w:szCs w:val="22"/>
        </w:rPr>
        <w:t>a 5.1).</w:t>
      </w:r>
    </w:p>
    <w:p w:rsidR="00F1304A" w:rsidRPr="00F64707" w:rsidRDefault="00F1304A" w:rsidP="00F64707">
      <w:pPr>
        <w:rPr>
          <w:i/>
          <w:sz w:val="22"/>
          <w:szCs w:val="22"/>
        </w:rPr>
      </w:pPr>
    </w:p>
    <w:p w:rsidR="00F1304A" w:rsidRPr="00F64707" w:rsidRDefault="00F1304A" w:rsidP="00F64707">
      <w:pPr>
        <w:keepNext/>
        <w:rPr>
          <w:i/>
          <w:sz w:val="22"/>
          <w:szCs w:val="22"/>
        </w:rPr>
      </w:pPr>
      <w:r w:rsidRPr="00F64707">
        <w:rPr>
          <w:i/>
          <w:sz w:val="22"/>
          <w:szCs w:val="22"/>
        </w:rPr>
        <w:t xml:space="preserve">Dospelí (vrátane starších </w:t>
      </w:r>
      <w:r w:rsidR="00EA670A" w:rsidRPr="00F64707">
        <w:rPr>
          <w:i/>
          <w:sz w:val="22"/>
          <w:szCs w:val="22"/>
        </w:rPr>
        <w:t>pacientov</w:t>
      </w:r>
      <w:r w:rsidRPr="00F64707">
        <w:rPr>
          <w:i/>
          <w:sz w:val="22"/>
          <w:szCs w:val="22"/>
        </w:rPr>
        <w:t>)</w:t>
      </w:r>
      <w:r w:rsidR="00E84B77" w:rsidRPr="00F64707">
        <w:rPr>
          <w:i/>
          <w:sz w:val="22"/>
          <w:szCs w:val="22"/>
        </w:rPr>
        <w:t>:</w:t>
      </w:r>
    </w:p>
    <w:p w:rsidR="00F1304A" w:rsidRPr="00F64707" w:rsidRDefault="00F1304A" w:rsidP="00F64707">
      <w:pPr>
        <w:rPr>
          <w:sz w:val="22"/>
          <w:szCs w:val="22"/>
        </w:rPr>
      </w:pPr>
      <w:r w:rsidRPr="00F64707">
        <w:rPr>
          <w:sz w:val="22"/>
          <w:szCs w:val="22"/>
        </w:rPr>
        <w:t xml:space="preserve">Odporúčaná dávka </w:t>
      </w:r>
      <w:r w:rsidR="00E84B77" w:rsidRPr="00F64707">
        <w:rPr>
          <w:sz w:val="22"/>
          <w:szCs w:val="22"/>
        </w:rPr>
        <w:t>dutasteridu</w:t>
      </w:r>
      <w:r w:rsidRPr="00F64707">
        <w:rPr>
          <w:sz w:val="22"/>
          <w:szCs w:val="22"/>
        </w:rPr>
        <w:t xml:space="preserve"> je jedna kapsula (0,5</w:t>
      </w:r>
      <w:r w:rsidR="000E7DA1" w:rsidRPr="00F64707">
        <w:rPr>
          <w:sz w:val="22"/>
          <w:szCs w:val="22"/>
        </w:rPr>
        <w:t> </w:t>
      </w:r>
      <w:r w:rsidRPr="00F64707">
        <w:rPr>
          <w:sz w:val="22"/>
          <w:szCs w:val="22"/>
        </w:rPr>
        <w:t xml:space="preserve">mg) </w:t>
      </w:r>
      <w:r w:rsidR="00EA670A" w:rsidRPr="00F64707">
        <w:rPr>
          <w:sz w:val="22"/>
          <w:szCs w:val="22"/>
        </w:rPr>
        <w:t xml:space="preserve">užitá </w:t>
      </w:r>
      <w:r w:rsidRPr="00F64707">
        <w:rPr>
          <w:sz w:val="22"/>
          <w:szCs w:val="22"/>
        </w:rPr>
        <w:t xml:space="preserve">perorálne jedenkrát denne. Hoci zlepšenie môže byť pozorované veľmi skoro, </w:t>
      </w:r>
      <w:r w:rsidR="00E84B77" w:rsidRPr="00F64707">
        <w:rPr>
          <w:sz w:val="22"/>
          <w:szCs w:val="22"/>
        </w:rPr>
        <w:t>môže trvať až 6 mesiacov, kým sa dosiahne</w:t>
      </w:r>
      <w:r w:rsidRPr="00F64707">
        <w:rPr>
          <w:sz w:val="22"/>
          <w:szCs w:val="22"/>
        </w:rPr>
        <w:t xml:space="preserve"> odp</w:t>
      </w:r>
      <w:r w:rsidR="00E84B77" w:rsidRPr="00F64707">
        <w:rPr>
          <w:sz w:val="22"/>
          <w:szCs w:val="22"/>
        </w:rPr>
        <w:t>oveď na liečbu</w:t>
      </w:r>
      <w:r w:rsidRPr="00F64707">
        <w:rPr>
          <w:sz w:val="22"/>
          <w:szCs w:val="22"/>
        </w:rPr>
        <w:t>. U starších pacientov nie je potrebná úprava dávk</w:t>
      </w:r>
      <w:r w:rsidR="00EA670A" w:rsidRPr="00F64707">
        <w:rPr>
          <w:sz w:val="22"/>
          <w:szCs w:val="22"/>
        </w:rPr>
        <w:t>y</w:t>
      </w:r>
      <w:r w:rsidRPr="00F64707">
        <w:rPr>
          <w:sz w:val="22"/>
          <w:szCs w:val="22"/>
        </w:rPr>
        <w:t>.</w:t>
      </w:r>
    </w:p>
    <w:p w:rsidR="00EA670A" w:rsidRPr="00F64707" w:rsidRDefault="00EA670A" w:rsidP="00F64707">
      <w:pPr>
        <w:rPr>
          <w:sz w:val="22"/>
          <w:szCs w:val="22"/>
        </w:rPr>
      </w:pPr>
    </w:p>
    <w:p w:rsidR="00D8773C" w:rsidRPr="00F64707" w:rsidRDefault="00EA670A" w:rsidP="00F64707">
      <w:pPr>
        <w:keepLines/>
        <w:rPr>
          <w:b/>
          <w:sz w:val="22"/>
          <w:szCs w:val="22"/>
        </w:rPr>
      </w:pPr>
      <w:r w:rsidRPr="00F64707">
        <w:rPr>
          <w:b/>
          <w:sz w:val="22"/>
          <w:szCs w:val="22"/>
        </w:rPr>
        <w:t>Osobitné populácie</w:t>
      </w:r>
    </w:p>
    <w:p w:rsidR="00E84B77" w:rsidRPr="00F64707" w:rsidRDefault="00E84B77" w:rsidP="00F64707">
      <w:pPr>
        <w:keepLines/>
        <w:rPr>
          <w:b/>
          <w:sz w:val="22"/>
          <w:szCs w:val="22"/>
        </w:rPr>
      </w:pPr>
    </w:p>
    <w:p w:rsidR="00D8773C" w:rsidRPr="00F64707" w:rsidRDefault="00F1304A" w:rsidP="00F64707">
      <w:pPr>
        <w:keepLines/>
        <w:rPr>
          <w:i/>
          <w:sz w:val="22"/>
          <w:szCs w:val="22"/>
        </w:rPr>
      </w:pPr>
      <w:r w:rsidRPr="00F64707">
        <w:rPr>
          <w:i/>
          <w:sz w:val="22"/>
          <w:szCs w:val="22"/>
        </w:rPr>
        <w:t>P</w:t>
      </w:r>
      <w:r w:rsidR="0019342B" w:rsidRPr="00F64707">
        <w:rPr>
          <w:i/>
          <w:sz w:val="22"/>
          <w:szCs w:val="22"/>
        </w:rPr>
        <w:t>acienti s poruchou</w:t>
      </w:r>
      <w:r w:rsidRPr="00F64707">
        <w:rPr>
          <w:i/>
          <w:sz w:val="22"/>
          <w:szCs w:val="22"/>
        </w:rPr>
        <w:t xml:space="preserve"> funkcie obličiek</w:t>
      </w:r>
    </w:p>
    <w:p w:rsidR="00F1304A" w:rsidRPr="00F64707" w:rsidRDefault="00F1304A" w:rsidP="00F64707">
      <w:pPr>
        <w:keepLines/>
        <w:rPr>
          <w:sz w:val="22"/>
          <w:szCs w:val="22"/>
          <w:u w:val="single"/>
        </w:rPr>
      </w:pPr>
      <w:r w:rsidRPr="00F64707">
        <w:rPr>
          <w:sz w:val="22"/>
          <w:szCs w:val="22"/>
        </w:rPr>
        <w:t>Vplyv poruchy funkcie obličiek na farmakokinetiku dutasteridu s</w:t>
      </w:r>
      <w:r w:rsidR="00D8773C" w:rsidRPr="00F64707">
        <w:rPr>
          <w:sz w:val="22"/>
          <w:szCs w:val="22"/>
        </w:rPr>
        <w:t>a neskúmal. U </w:t>
      </w:r>
      <w:r w:rsidRPr="00F64707">
        <w:rPr>
          <w:sz w:val="22"/>
          <w:szCs w:val="22"/>
        </w:rPr>
        <w:t>pacientov s poruchou funkcie obličiek sa nepredpokladá potreba úpravy dávkovania (pozri časť</w:t>
      </w:r>
      <w:r w:rsidR="00D8773C" w:rsidRPr="00F64707">
        <w:rPr>
          <w:sz w:val="22"/>
          <w:szCs w:val="22"/>
        </w:rPr>
        <w:t xml:space="preserve"> </w:t>
      </w:r>
      <w:r w:rsidRPr="00F64707">
        <w:rPr>
          <w:sz w:val="22"/>
          <w:szCs w:val="22"/>
        </w:rPr>
        <w:t>5.2).</w:t>
      </w:r>
    </w:p>
    <w:p w:rsidR="00F1304A" w:rsidRPr="00F64707" w:rsidRDefault="00F1304A" w:rsidP="00F64707">
      <w:pPr>
        <w:rPr>
          <w:sz w:val="22"/>
          <w:szCs w:val="22"/>
        </w:rPr>
      </w:pPr>
    </w:p>
    <w:p w:rsidR="00F1304A" w:rsidRPr="00F64707" w:rsidRDefault="00F1304A" w:rsidP="00F64707">
      <w:pPr>
        <w:keepNext/>
        <w:keepLines/>
        <w:rPr>
          <w:i/>
          <w:sz w:val="22"/>
          <w:szCs w:val="22"/>
        </w:rPr>
      </w:pPr>
      <w:r w:rsidRPr="00F64707">
        <w:rPr>
          <w:i/>
          <w:sz w:val="22"/>
          <w:szCs w:val="22"/>
        </w:rPr>
        <w:t>P</w:t>
      </w:r>
      <w:r w:rsidR="0019342B" w:rsidRPr="00F64707">
        <w:rPr>
          <w:i/>
          <w:sz w:val="22"/>
          <w:szCs w:val="22"/>
        </w:rPr>
        <w:t>acienti s poruchou</w:t>
      </w:r>
      <w:r w:rsidRPr="00F64707">
        <w:rPr>
          <w:i/>
          <w:sz w:val="22"/>
          <w:szCs w:val="22"/>
        </w:rPr>
        <w:t xml:space="preserve"> funkcie pečene</w:t>
      </w:r>
    </w:p>
    <w:p w:rsidR="00F1304A" w:rsidRPr="00F64707" w:rsidRDefault="00F1304A" w:rsidP="00F64707">
      <w:pPr>
        <w:pStyle w:val="Zkladntext2"/>
        <w:keepLines/>
        <w:jc w:val="left"/>
        <w:rPr>
          <w:rFonts w:ascii="Times New Roman" w:hAnsi="Times New Roman"/>
          <w:sz w:val="22"/>
          <w:szCs w:val="22"/>
        </w:rPr>
      </w:pPr>
      <w:r w:rsidRPr="00F64707">
        <w:rPr>
          <w:rFonts w:ascii="Times New Roman" w:hAnsi="Times New Roman"/>
          <w:sz w:val="22"/>
          <w:szCs w:val="22"/>
        </w:rPr>
        <w:t>Vplyv poruchy funkcie pečene na farmakokinetiku dutasteridu sa neskúm</w:t>
      </w:r>
      <w:r w:rsidR="00D8773C" w:rsidRPr="00F64707">
        <w:rPr>
          <w:rFonts w:ascii="Times New Roman" w:hAnsi="Times New Roman"/>
          <w:sz w:val="22"/>
          <w:szCs w:val="22"/>
        </w:rPr>
        <w:t xml:space="preserve">al, </w:t>
      </w:r>
      <w:r w:rsidR="00E15127" w:rsidRPr="00F64707">
        <w:rPr>
          <w:rFonts w:ascii="Times New Roman" w:hAnsi="Times New Roman"/>
          <w:sz w:val="22"/>
          <w:szCs w:val="22"/>
        </w:rPr>
        <w:t>preto</w:t>
      </w:r>
      <w:r w:rsidR="00D8773C" w:rsidRPr="00F64707">
        <w:rPr>
          <w:rFonts w:ascii="Times New Roman" w:hAnsi="Times New Roman"/>
          <w:sz w:val="22"/>
          <w:szCs w:val="22"/>
        </w:rPr>
        <w:t xml:space="preserve"> je potrebná opatrnosť u </w:t>
      </w:r>
      <w:r w:rsidRPr="00F64707">
        <w:rPr>
          <w:rFonts w:ascii="Times New Roman" w:hAnsi="Times New Roman"/>
          <w:sz w:val="22"/>
          <w:szCs w:val="22"/>
        </w:rPr>
        <w:t>pacientov s miernou až stredne ťažkou poruchou funkcie pečene (pozri časť</w:t>
      </w:r>
      <w:r w:rsidR="00D8773C" w:rsidRPr="00F64707">
        <w:rPr>
          <w:rFonts w:ascii="Times New Roman" w:hAnsi="Times New Roman"/>
          <w:sz w:val="22"/>
          <w:szCs w:val="22"/>
        </w:rPr>
        <w:t xml:space="preserve"> </w:t>
      </w:r>
      <w:r w:rsidRPr="00F64707">
        <w:rPr>
          <w:rFonts w:ascii="Times New Roman" w:hAnsi="Times New Roman"/>
          <w:sz w:val="22"/>
          <w:szCs w:val="22"/>
        </w:rPr>
        <w:t>4.4 a</w:t>
      </w:r>
      <w:r w:rsidR="00D8773C" w:rsidRPr="00F64707">
        <w:rPr>
          <w:rFonts w:ascii="Times New Roman" w:hAnsi="Times New Roman"/>
          <w:sz w:val="22"/>
          <w:szCs w:val="22"/>
        </w:rPr>
        <w:t> </w:t>
      </w:r>
      <w:r w:rsidRPr="00F64707">
        <w:rPr>
          <w:rFonts w:ascii="Times New Roman" w:hAnsi="Times New Roman"/>
          <w:sz w:val="22"/>
          <w:szCs w:val="22"/>
        </w:rPr>
        <w:t>časť</w:t>
      </w:r>
      <w:r w:rsidR="00D8773C" w:rsidRPr="00F64707">
        <w:rPr>
          <w:rFonts w:ascii="Times New Roman" w:hAnsi="Times New Roman"/>
          <w:sz w:val="22"/>
          <w:szCs w:val="22"/>
        </w:rPr>
        <w:t xml:space="preserve"> </w:t>
      </w:r>
      <w:r w:rsidRPr="00F64707">
        <w:rPr>
          <w:rFonts w:ascii="Times New Roman" w:hAnsi="Times New Roman"/>
          <w:sz w:val="22"/>
          <w:szCs w:val="22"/>
        </w:rPr>
        <w:t>5.2). U</w:t>
      </w:r>
      <w:r w:rsidR="00530212" w:rsidRPr="00F64707">
        <w:rPr>
          <w:rFonts w:ascii="Times New Roman" w:hAnsi="Times New Roman"/>
          <w:sz w:val="22"/>
          <w:szCs w:val="22"/>
        </w:rPr>
        <w:t> </w:t>
      </w:r>
      <w:r w:rsidR="00D8773C" w:rsidRPr="00F64707">
        <w:rPr>
          <w:rFonts w:ascii="Times New Roman" w:hAnsi="Times New Roman"/>
          <w:sz w:val="22"/>
          <w:szCs w:val="22"/>
        </w:rPr>
        <w:t>pacientov s </w:t>
      </w:r>
      <w:r w:rsidRPr="00F64707">
        <w:rPr>
          <w:rFonts w:ascii="Times New Roman" w:hAnsi="Times New Roman"/>
          <w:sz w:val="22"/>
          <w:szCs w:val="22"/>
        </w:rPr>
        <w:t>ťažk</w:t>
      </w:r>
      <w:r w:rsidR="00D8773C" w:rsidRPr="00F64707">
        <w:rPr>
          <w:rFonts w:ascii="Times New Roman" w:hAnsi="Times New Roman"/>
          <w:sz w:val="22"/>
          <w:szCs w:val="22"/>
        </w:rPr>
        <w:t>ou</w:t>
      </w:r>
      <w:r w:rsidRPr="00F64707">
        <w:rPr>
          <w:rFonts w:ascii="Times New Roman" w:hAnsi="Times New Roman"/>
          <w:sz w:val="22"/>
          <w:szCs w:val="22"/>
        </w:rPr>
        <w:t xml:space="preserve"> poruch</w:t>
      </w:r>
      <w:r w:rsidR="00D8773C" w:rsidRPr="00F64707">
        <w:rPr>
          <w:rFonts w:ascii="Times New Roman" w:hAnsi="Times New Roman"/>
          <w:sz w:val="22"/>
          <w:szCs w:val="22"/>
        </w:rPr>
        <w:t>ou funkcie</w:t>
      </w:r>
      <w:r w:rsidRPr="00F64707">
        <w:rPr>
          <w:rFonts w:ascii="Times New Roman" w:hAnsi="Times New Roman"/>
          <w:sz w:val="22"/>
          <w:szCs w:val="22"/>
        </w:rPr>
        <w:t xml:space="preserve"> pečene je po</w:t>
      </w:r>
      <w:r w:rsidR="00D8773C" w:rsidRPr="00F64707">
        <w:rPr>
          <w:rFonts w:ascii="Times New Roman" w:hAnsi="Times New Roman"/>
          <w:sz w:val="22"/>
          <w:szCs w:val="22"/>
        </w:rPr>
        <w:t>užitie</w:t>
      </w:r>
      <w:r w:rsidRPr="00F64707">
        <w:rPr>
          <w:rFonts w:ascii="Times New Roman" w:hAnsi="Times New Roman"/>
          <w:sz w:val="22"/>
          <w:szCs w:val="22"/>
        </w:rPr>
        <w:t xml:space="preserve"> dutasteridu kontraindikované (pozri časť</w:t>
      </w:r>
      <w:r w:rsidR="00D8773C" w:rsidRPr="00F64707">
        <w:rPr>
          <w:rFonts w:ascii="Times New Roman" w:hAnsi="Times New Roman"/>
          <w:sz w:val="22"/>
          <w:szCs w:val="22"/>
        </w:rPr>
        <w:t xml:space="preserve"> </w:t>
      </w:r>
      <w:r w:rsidRPr="00F64707">
        <w:rPr>
          <w:rFonts w:ascii="Times New Roman" w:hAnsi="Times New Roman"/>
          <w:sz w:val="22"/>
          <w:szCs w:val="22"/>
        </w:rPr>
        <w:t>4.3).</w:t>
      </w:r>
    </w:p>
    <w:p w:rsidR="00F1304A" w:rsidRPr="00F64707" w:rsidRDefault="00F1304A" w:rsidP="00F64707">
      <w:pPr>
        <w:rPr>
          <w:i/>
          <w:sz w:val="22"/>
          <w:szCs w:val="22"/>
        </w:rPr>
      </w:pPr>
    </w:p>
    <w:p w:rsidR="00D8773C" w:rsidRPr="00F64707" w:rsidRDefault="00D8773C" w:rsidP="00F64707">
      <w:pPr>
        <w:keepNext/>
        <w:rPr>
          <w:sz w:val="22"/>
          <w:szCs w:val="22"/>
          <w:u w:val="single"/>
        </w:rPr>
      </w:pPr>
      <w:r w:rsidRPr="00F64707">
        <w:rPr>
          <w:sz w:val="22"/>
          <w:szCs w:val="22"/>
          <w:u w:val="single"/>
        </w:rPr>
        <w:t>Spôsob podávania</w:t>
      </w:r>
    </w:p>
    <w:p w:rsidR="00D8773C" w:rsidRPr="00F64707" w:rsidRDefault="00D8773C" w:rsidP="00F64707">
      <w:pPr>
        <w:rPr>
          <w:sz w:val="22"/>
          <w:szCs w:val="22"/>
        </w:rPr>
      </w:pPr>
      <w:r w:rsidRPr="00F64707">
        <w:rPr>
          <w:sz w:val="22"/>
          <w:szCs w:val="22"/>
        </w:rPr>
        <w:t>Kapsuly sa majú prehltnúť celé a n</w:t>
      </w:r>
      <w:r w:rsidR="008A6279" w:rsidRPr="00F64707">
        <w:rPr>
          <w:sz w:val="22"/>
          <w:szCs w:val="22"/>
        </w:rPr>
        <w:t>e</w:t>
      </w:r>
      <w:r w:rsidRPr="00F64707">
        <w:rPr>
          <w:sz w:val="22"/>
          <w:szCs w:val="22"/>
        </w:rPr>
        <w:t>rozhryzené a</w:t>
      </w:r>
      <w:r w:rsidR="00E84B77" w:rsidRPr="00F64707">
        <w:rPr>
          <w:sz w:val="22"/>
          <w:szCs w:val="22"/>
        </w:rPr>
        <w:t>lebo</w:t>
      </w:r>
      <w:r w:rsidR="00E15127" w:rsidRPr="00F64707">
        <w:rPr>
          <w:sz w:val="22"/>
          <w:szCs w:val="22"/>
        </w:rPr>
        <w:t> </w:t>
      </w:r>
      <w:r w:rsidRPr="00F64707">
        <w:rPr>
          <w:sz w:val="22"/>
          <w:szCs w:val="22"/>
        </w:rPr>
        <w:t>otvorené, pretože kontakt s obsahom kapsuly môže vyvolať podráždenie orofaryngeálnej sliznice. Kapsuly sa môžu užívať s jedlom alebo bez jedla.</w:t>
      </w:r>
    </w:p>
    <w:p w:rsidR="00D8773C" w:rsidRPr="00F64707" w:rsidRDefault="00D8773C" w:rsidP="00F64707">
      <w:pPr>
        <w:rPr>
          <w:sz w:val="22"/>
          <w:szCs w:val="22"/>
          <w:u w:val="single"/>
        </w:rPr>
      </w:pPr>
    </w:p>
    <w:p w:rsidR="00F1304A" w:rsidRPr="00F64707" w:rsidRDefault="00F1304A" w:rsidP="00F64707">
      <w:pPr>
        <w:keepNext/>
        <w:ind w:left="567" w:hanging="567"/>
        <w:rPr>
          <w:sz w:val="22"/>
          <w:szCs w:val="22"/>
        </w:rPr>
      </w:pPr>
      <w:r w:rsidRPr="00F64707">
        <w:rPr>
          <w:b/>
          <w:sz w:val="22"/>
          <w:szCs w:val="22"/>
        </w:rPr>
        <w:t>4.3</w:t>
      </w:r>
      <w:r w:rsidRPr="00F64707">
        <w:rPr>
          <w:b/>
          <w:sz w:val="22"/>
          <w:szCs w:val="22"/>
        </w:rPr>
        <w:tab/>
        <w:t>Kontraindikácie</w:t>
      </w:r>
    </w:p>
    <w:p w:rsidR="00F1304A" w:rsidRPr="00F64707" w:rsidRDefault="00F1304A" w:rsidP="00F64707">
      <w:pPr>
        <w:keepNext/>
        <w:rPr>
          <w:sz w:val="22"/>
          <w:szCs w:val="22"/>
        </w:rPr>
      </w:pPr>
    </w:p>
    <w:p w:rsidR="00F1304A" w:rsidRPr="00F64707" w:rsidRDefault="00D8773C" w:rsidP="00F64707">
      <w:pPr>
        <w:rPr>
          <w:sz w:val="22"/>
          <w:szCs w:val="22"/>
        </w:rPr>
      </w:pPr>
      <w:r w:rsidRPr="00F64707">
        <w:rPr>
          <w:sz w:val="22"/>
          <w:szCs w:val="22"/>
        </w:rPr>
        <w:t>Duta</w:t>
      </w:r>
      <w:r w:rsidR="00E84B77" w:rsidRPr="00F64707">
        <w:rPr>
          <w:sz w:val="22"/>
          <w:szCs w:val="22"/>
        </w:rPr>
        <w:t>sterid</w:t>
      </w:r>
      <w:r w:rsidR="00F1304A" w:rsidRPr="00F64707">
        <w:rPr>
          <w:sz w:val="22"/>
          <w:szCs w:val="22"/>
        </w:rPr>
        <w:t xml:space="preserve"> je kontraindikovaný</w:t>
      </w:r>
      <w:r w:rsidR="00E84B77" w:rsidRPr="00F64707">
        <w:rPr>
          <w:sz w:val="22"/>
          <w:szCs w:val="22"/>
        </w:rPr>
        <w:t xml:space="preserve"> u</w:t>
      </w:r>
      <w:r w:rsidR="00F1304A" w:rsidRPr="00F64707">
        <w:rPr>
          <w:sz w:val="22"/>
          <w:szCs w:val="22"/>
        </w:rPr>
        <w:t>:</w:t>
      </w:r>
    </w:p>
    <w:p w:rsidR="00F1304A" w:rsidRPr="00F64707" w:rsidRDefault="008A6279" w:rsidP="00F64707">
      <w:pPr>
        <w:rPr>
          <w:sz w:val="22"/>
          <w:szCs w:val="22"/>
        </w:rPr>
      </w:pPr>
      <w:r w:rsidRPr="00F64707">
        <w:rPr>
          <w:sz w:val="22"/>
          <w:szCs w:val="22"/>
        </w:rPr>
        <w:t>-</w:t>
      </w:r>
      <w:r w:rsidRPr="00F64707">
        <w:rPr>
          <w:sz w:val="22"/>
          <w:szCs w:val="22"/>
        </w:rPr>
        <w:tab/>
      </w:r>
      <w:r w:rsidR="00E84B77" w:rsidRPr="00F64707">
        <w:rPr>
          <w:sz w:val="22"/>
          <w:szCs w:val="22"/>
        </w:rPr>
        <w:t>žien a</w:t>
      </w:r>
      <w:r w:rsidR="00D8773C" w:rsidRPr="00F64707">
        <w:rPr>
          <w:sz w:val="22"/>
          <w:szCs w:val="22"/>
        </w:rPr>
        <w:t xml:space="preserve"> detí a </w:t>
      </w:r>
      <w:r w:rsidR="00D754C5" w:rsidRPr="00F64707">
        <w:rPr>
          <w:sz w:val="22"/>
          <w:szCs w:val="22"/>
        </w:rPr>
        <w:t xml:space="preserve">dospievajúcich </w:t>
      </w:r>
      <w:r w:rsidR="00F1304A" w:rsidRPr="00F64707">
        <w:rPr>
          <w:sz w:val="22"/>
          <w:szCs w:val="22"/>
        </w:rPr>
        <w:t>(pozri časť</w:t>
      </w:r>
      <w:r w:rsidR="00D8773C" w:rsidRPr="00F64707">
        <w:rPr>
          <w:sz w:val="22"/>
          <w:szCs w:val="22"/>
        </w:rPr>
        <w:t xml:space="preserve"> </w:t>
      </w:r>
      <w:r w:rsidR="005D0CB2" w:rsidRPr="00F64707">
        <w:rPr>
          <w:sz w:val="22"/>
          <w:szCs w:val="22"/>
        </w:rPr>
        <w:t>4.6),</w:t>
      </w:r>
    </w:p>
    <w:p w:rsidR="00F1304A" w:rsidRPr="00F64707" w:rsidRDefault="00BB1F28" w:rsidP="00F64707">
      <w:pPr>
        <w:ind w:left="567" w:hanging="567"/>
        <w:rPr>
          <w:sz w:val="22"/>
          <w:szCs w:val="22"/>
        </w:rPr>
      </w:pPr>
      <w:r w:rsidRPr="00F64707">
        <w:rPr>
          <w:sz w:val="22"/>
          <w:szCs w:val="22"/>
        </w:rPr>
        <w:t>-</w:t>
      </w:r>
      <w:r w:rsidRPr="00F64707">
        <w:rPr>
          <w:sz w:val="22"/>
          <w:szCs w:val="22"/>
        </w:rPr>
        <w:tab/>
      </w:r>
      <w:r w:rsidR="00D8773C" w:rsidRPr="00F64707">
        <w:rPr>
          <w:sz w:val="22"/>
          <w:szCs w:val="22"/>
        </w:rPr>
        <w:t>pacientov s </w:t>
      </w:r>
      <w:r w:rsidR="00F1304A" w:rsidRPr="00F64707">
        <w:rPr>
          <w:sz w:val="22"/>
          <w:szCs w:val="22"/>
        </w:rPr>
        <w:t xml:space="preserve">precitlivenosťou na dutasterid, na iné inhibítory </w:t>
      </w:r>
      <w:r w:rsidR="006D712F" w:rsidRPr="00F64707">
        <w:rPr>
          <w:sz w:val="22"/>
          <w:szCs w:val="22"/>
        </w:rPr>
        <w:t>5-alfa-reduktázy</w:t>
      </w:r>
      <w:r w:rsidR="00F1304A" w:rsidRPr="00F64707">
        <w:rPr>
          <w:sz w:val="22"/>
          <w:szCs w:val="22"/>
        </w:rPr>
        <w:t xml:space="preserve">, </w:t>
      </w:r>
      <w:r w:rsidR="00471C07" w:rsidRPr="00F64707">
        <w:rPr>
          <w:sz w:val="22"/>
          <w:szCs w:val="22"/>
        </w:rPr>
        <w:t xml:space="preserve">na sóju, arašidy </w:t>
      </w:r>
      <w:r w:rsidR="00F1304A" w:rsidRPr="00F64707">
        <w:rPr>
          <w:sz w:val="22"/>
          <w:szCs w:val="22"/>
        </w:rPr>
        <w:t>alebo</w:t>
      </w:r>
      <w:r w:rsidR="00D8773C" w:rsidRPr="00F64707">
        <w:rPr>
          <w:sz w:val="22"/>
          <w:szCs w:val="22"/>
        </w:rPr>
        <w:t xml:space="preserve"> </w:t>
      </w:r>
      <w:r w:rsidR="00F1304A" w:rsidRPr="00F64707">
        <w:rPr>
          <w:sz w:val="22"/>
          <w:szCs w:val="22"/>
        </w:rPr>
        <w:t xml:space="preserve">na </w:t>
      </w:r>
      <w:r w:rsidR="002222FA" w:rsidRPr="00F64707">
        <w:rPr>
          <w:sz w:val="22"/>
          <w:szCs w:val="22"/>
        </w:rPr>
        <w:t xml:space="preserve">ktorúkoľvek </w:t>
      </w:r>
      <w:r w:rsidR="00F1304A" w:rsidRPr="00F64707">
        <w:rPr>
          <w:sz w:val="22"/>
          <w:szCs w:val="22"/>
        </w:rPr>
        <w:t>z</w:t>
      </w:r>
      <w:r w:rsidR="00D8773C" w:rsidRPr="00F64707">
        <w:rPr>
          <w:sz w:val="22"/>
          <w:szCs w:val="22"/>
        </w:rPr>
        <w:t> </w:t>
      </w:r>
      <w:r w:rsidR="00F1304A" w:rsidRPr="00F64707">
        <w:rPr>
          <w:sz w:val="22"/>
          <w:szCs w:val="22"/>
        </w:rPr>
        <w:t>pomocných látok</w:t>
      </w:r>
      <w:r w:rsidR="00D8773C" w:rsidRPr="00F64707">
        <w:rPr>
          <w:sz w:val="22"/>
          <w:szCs w:val="22"/>
        </w:rPr>
        <w:t xml:space="preserve"> uvedených v časti </w:t>
      </w:r>
      <w:r w:rsidR="00530212" w:rsidRPr="00F64707">
        <w:rPr>
          <w:sz w:val="22"/>
          <w:szCs w:val="22"/>
        </w:rPr>
        <w:t>6.1</w:t>
      </w:r>
      <w:r w:rsidR="005D0CB2" w:rsidRPr="00F64707">
        <w:rPr>
          <w:sz w:val="22"/>
          <w:szCs w:val="22"/>
        </w:rPr>
        <w:t>,</w:t>
      </w:r>
    </w:p>
    <w:p w:rsidR="00F1304A" w:rsidRPr="00F64707" w:rsidRDefault="00BB1F28" w:rsidP="00F64707">
      <w:pPr>
        <w:rPr>
          <w:sz w:val="22"/>
          <w:szCs w:val="22"/>
        </w:rPr>
      </w:pPr>
      <w:r w:rsidRPr="00F64707">
        <w:rPr>
          <w:sz w:val="22"/>
          <w:szCs w:val="22"/>
        </w:rPr>
        <w:t>-</w:t>
      </w:r>
      <w:r w:rsidRPr="00F64707">
        <w:rPr>
          <w:sz w:val="22"/>
          <w:szCs w:val="22"/>
        </w:rPr>
        <w:tab/>
      </w:r>
      <w:r w:rsidR="00F1304A" w:rsidRPr="00F64707">
        <w:rPr>
          <w:sz w:val="22"/>
          <w:szCs w:val="22"/>
        </w:rPr>
        <w:t>pacie</w:t>
      </w:r>
      <w:r w:rsidR="00D8773C" w:rsidRPr="00F64707">
        <w:rPr>
          <w:sz w:val="22"/>
          <w:szCs w:val="22"/>
        </w:rPr>
        <w:t>ntov s ťažkou poruchou funkcie</w:t>
      </w:r>
      <w:r w:rsidR="00F1304A" w:rsidRPr="00F64707">
        <w:rPr>
          <w:sz w:val="22"/>
          <w:szCs w:val="22"/>
        </w:rPr>
        <w:t xml:space="preserve"> pečene.</w:t>
      </w:r>
    </w:p>
    <w:p w:rsidR="00F1304A" w:rsidRPr="00F64707" w:rsidRDefault="00F1304A" w:rsidP="00F64707">
      <w:pPr>
        <w:rPr>
          <w:sz w:val="22"/>
          <w:szCs w:val="22"/>
        </w:rPr>
      </w:pPr>
    </w:p>
    <w:p w:rsidR="00F1304A" w:rsidRPr="00F64707" w:rsidRDefault="00F1304A" w:rsidP="00F64707">
      <w:pPr>
        <w:keepNext/>
        <w:ind w:left="567" w:hanging="567"/>
        <w:rPr>
          <w:sz w:val="22"/>
          <w:szCs w:val="22"/>
        </w:rPr>
      </w:pPr>
      <w:r w:rsidRPr="00F64707">
        <w:rPr>
          <w:b/>
          <w:sz w:val="22"/>
          <w:szCs w:val="22"/>
        </w:rPr>
        <w:t>4.4</w:t>
      </w:r>
      <w:r w:rsidRPr="00F64707">
        <w:rPr>
          <w:b/>
          <w:sz w:val="22"/>
          <w:szCs w:val="22"/>
        </w:rPr>
        <w:tab/>
        <w:t>Osobitné upo</w:t>
      </w:r>
      <w:r w:rsidR="00D8773C" w:rsidRPr="00F64707">
        <w:rPr>
          <w:b/>
          <w:sz w:val="22"/>
          <w:szCs w:val="22"/>
        </w:rPr>
        <w:t>zornenia a </w:t>
      </w:r>
      <w:r w:rsidRPr="00F64707">
        <w:rPr>
          <w:b/>
          <w:sz w:val="22"/>
          <w:szCs w:val="22"/>
        </w:rPr>
        <w:t>opatrenia pri používaní</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Kombinovaná liečba sa má predpísať po starostlivom zvážení prínosu a rizika vzhľadom na</w:t>
      </w:r>
      <w:r w:rsidR="00E15127" w:rsidRPr="00F64707">
        <w:rPr>
          <w:sz w:val="22"/>
          <w:szCs w:val="22"/>
        </w:rPr>
        <w:t xml:space="preserve"> </w:t>
      </w:r>
      <w:r w:rsidRPr="00F64707">
        <w:rPr>
          <w:sz w:val="22"/>
          <w:szCs w:val="22"/>
        </w:rPr>
        <w:t xml:space="preserve">potenciálne zvýšené riziko nežiaducich udalostí </w:t>
      </w:r>
      <w:r w:rsidR="00F77C06" w:rsidRPr="00F64707">
        <w:rPr>
          <w:bCs/>
          <w:iCs/>
          <w:sz w:val="22"/>
          <w:szCs w:val="22"/>
        </w:rPr>
        <w:t xml:space="preserve">(vrátane srdcového zlyhania) </w:t>
      </w:r>
      <w:r w:rsidRPr="00F64707">
        <w:rPr>
          <w:sz w:val="22"/>
          <w:szCs w:val="22"/>
        </w:rPr>
        <w:t>a po zvážení možností alternatívnej liečby vrátane monoterapií (pozri časť</w:t>
      </w:r>
      <w:r w:rsidR="00D8773C" w:rsidRPr="00F64707">
        <w:rPr>
          <w:sz w:val="22"/>
          <w:szCs w:val="22"/>
        </w:rPr>
        <w:t xml:space="preserve"> </w:t>
      </w:r>
      <w:r w:rsidRPr="00F64707">
        <w:rPr>
          <w:sz w:val="22"/>
          <w:szCs w:val="22"/>
        </w:rPr>
        <w:t>4.2).</w:t>
      </w:r>
    </w:p>
    <w:p w:rsidR="00F1304A" w:rsidRPr="00F64707" w:rsidRDefault="00F1304A" w:rsidP="00F64707">
      <w:pPr>
        <w:rPr>
          <w:sz w:val="22"/>
          <w:szCs w:val="22"/>
        </w:rPr>
      </w:pPr>
    </w:p>
    <w:p w:rsidR="00F77C06" w:rsidRPr="00F64707" w:rsidRDefault="00F77C06" w:rsidP="00F64707">
      <w:pPr>
        <w:keepNext/>
        <w:rPr>
          <w:bCs/>
          <w:i/>
          <w:sz w:val="22"/>
          <w:szCs w:val="22"/>
        </w:rPr>
      </w:pPr>
      <w:r w:rsidRPr="00F64707">
        <w:rPr>
          <w:bCs/>
          <w:i/>
          <w:sz w:val="22"/>
          <w:szCs w:val="22"/>
        </w:rPr>
        <w:t>Srdcové zlyhanie</w:t>
      </w:r>
      <w:r w:rsidR="00D8773C" w:rsidRPr="00F64707">
        <w:rPr>
          <w:bCs/>
          <w:i/>
          <w:sz w:val="22"/>
          <w:szCs w:val="22"/>
        </w:rPr>
        <w:t>:</w:t>
      </w:r>
    </w:p>
    <w:p w:rsidR="001817F0" w:rsidRPr="00F64707" w:rsidRDefault="001817F0" w:rsidP="00F64707">
      <w:pPr>
        <w:rPr>
          <w:bCs/>
          <w:iCs/>
          <w:sz w:val="22"/>
          <w:szCs w:val="22"/>
        </w:rPr>
      </w:pPr>
      <w:r w:rsidRPr="00F64707">
        <w:rPr>
          <w:bCs/>
          <w:iCs/>
          <w:sz w:val="22"/>
          <w:szCs w:val="22"/>
        </w:rPr>
        <w:t>V</w:t>
      </w:r>
      <w:r w:rsidR="00F77C06" w:rsidRPr="00F64707">
        <w:rPr>
          <w:bCs/>
          <w:iCs/>
          <w:sz w:val="22"/>
          <w:szCs w:val="22"/>
        </w:rPr>
        <w:t xml:space="preserve"> dvoch </w:t>
      </w:r>
      <w:r w:rsidRPr="00F64707">
        <w:rPr>
          <w:bCs/>
          <w:iCs/>
          <w:sz w:val="22"/>
          <w:szCs w:val="22"/>
        </w:rPr>
        <w:t>štvorročn</w:t>
      </w:r>
      <w:r w:rsidR="00F77C06" w:rsidRPr="00F64707">
        <w:rPr>
          <w:bCs/>
          <w:iCs/>
          <w:sz w:val="22"/>
          <w:szCs w:val="22"/>
        </w:rPr>
        <w:t>ých</w:t>
      </w:r>
      <w:r w:rsidRPr="00F64707">
        <w:rPr>
          <w:bCs/>
          <w:iCs/>
          <w:sz w:val="22"/>
          <w:szCs w:val="22"/>
        </w:rPr>
        <w:t xml:space="preserve"> klinick</w:t>
      </w:r>
      <w:r w:rsidR="00F77C06" w:rsidRPr="00F64707">
        <w:rPr>
          <w:bCs/>
          <w:iCs/>
          <w:sz w:val="22"/>
          <w:szCs w:val="22"/>
        </w:rPr>
        <w:t>ých</w:t>
      </w:r>
      <w:r w:rsidRPr="00F64707">
        <w:rPr>
          <w:bCs/>
          <w:iCs/>
          <w:sz w:val="22"/>
          <w:szCs w:val="22"/>
        </w:rPr>
        <w:t xml:space="preserve"> </w:t>
      </w:r>
      <w:r w:rsidR="00D8773C" w:rsidRPr="00F64707">
        <w:rPr>
          <w:bCs/>
          <w:iCs/>
          <w:sz w:val="22"/>
          <w:szCs w:val="22"/>
        </w:rPr>
        <w:t>skúšaniach</w:t>
      </w:r>
      <w:r w:rsidRPr="00F64707">
        <w:rPr>
          <w:bCs/>
          <w:iCs/>
          <w:sz w:val="22"/>
          <w:szCs w:val="22"/>
        </w:rPr>
        <w:t xml:space="preserve"> bol</w:t>
      </w:r>
      <w:r w:rsidR="00E91D44" w:rsidRPr="00F64707">
        <w:rPr>
          <w:bCs/>
          <w:iCs/>
          <w:sz w:val="22"/>
          <w:szCs w:val="22"/>
        </w:rPr>
        <w:t>a incidencia</w:t>
      </w:r>
      <w:r w:rsidRPr="00F64707">
        <w:rPr>
          <w:bCs/>
          <w:iCs/>
          <w:sz w:val="22"/>
          <w:szCs w:val="22"/>
        </w:rPr>
        <w:t xml:space="preserve"> srdcového zlyhania (</w:t>
      </w:r>
      <w:r w:rsidR="006E0F1A" w:rsidRPr="00F64707">
        <w:rPr>
          <w:bCs/>
          <w:iCs/>
          <w:sz w:val="22"/>
          <w:szCs w:val="22"/>
        </w:rPr>
        <w:t xml:space="preserve">kompozitný termín </w:t>
      </w:r>
      <w:r w:rsidRPr="00F64707">
        <w:rPr>
          <w:bCs/>
          <w:iCs/>
          <w:sz w:val="22"/>
          <w:szCs w:val="22"/>
        </w:rPr>
        <w:t xml:space="preserve">hlásených </w:t>
      </w:r>
      <w:r w:rsidR="00D8773C" w:rsidRPr="00F64707">
        <w:rPr>
          <w:bCs/>
          <w:iCs/>
          <w:sz w:val="22"/>
          <w:szCs w:val="22"/>
        </w:rPr>
        <w:t>udalostí</w:t>
      </w:r>
      <w:r w:rsidR="00053B25" w:rsidRPr="00F64707">
        <w:rPr>
          <w:bCs/>
          <w:iCs/>
          <w:sz w:val="22"/>
          <w:szCs w:val="22"/>
        </w:rPr>
        <w:t>,</w:t>
      </w:r>
      <w:r w:rsidRPr="00F64707">
        <w:rPr>
          <w:bCs/>
          <w:iCs/>
          <w:sz w:val="22"/>
          <w:szCs w:val="22"/>
        </w:rPr>
        <w:t xml:space="preserve"> primárne</w:t>
      </w:r>
      <w:r w:rsidR="006E0F1A" w:rsidRPr="00F64707">
        <w:rPr>
          <w:bCs/>
          <w:iCs/>
          <w:sz w:val="22"/>
          <w:szCs w:val="22"/>
        </w:rPr>
        <w:t>ho</w:t>
      </w:r>
      <w:r w:rsidRPr="00F64707">
        <w:rPr>
          <w:bCs/>
          <w:iCs/>
          <w:sz w:val="22"/>
          <w:szCs w:val="22"/>
        </w:rPr>
        <w:t xml:space="preserve"> srdcové</w:t>
      </w:r>
      <w:r w:rsidR="006E0F1A" w:rsidRPr="00F64707">
        <w:rPr>
          <w:bCs/>
          <w:iCs/>
          <w:sz w:val="22"/>
          <w:szCs w:val="22"/>
        </w:rPr>
        <w:t>ho zlyhania</w:t>
      </w:r>
      <w:r w:rsidRPr="00F64707">
        <w:rPr>
          <w:bCs/>
          <w:iCs/>
          <w:sz w:val="22"/>
          <w:szCs w:val="22"/>
        </w:rPr>
        <w:t xml:space="preserve"> a kongestívne</w:t>
      </w:r>
      <w:r w:rsidR="006E0F1A" w:rsidRPr="00F64707">
        <w:rPr>
          <w:bCs/>
          <w:iCs/>
          <w:sz w:val="22"/>
          <w:szCs w:val="22"/>
        </w:rPr>
        <w:t>ho</w:t>
      </w:r>
      <w:r w:rsidRPr="00F64707">
        <w:rPr>
          <w:bCs/>
          <w:iCs/>
          <w:sz w:val="22"/>
          <w:szCs w:val="22"/>
        </w:rPr>
        <w:t xml:space="preserve"> </w:t>
      </w:r>
      <w:r w:rsidR="00E15127" w:rsidRPr="00F64707">
        <w:rPr>
          <w:bCs/>
          <w:iCs/>
          <w:sz w:val="22"/>
          <w:szCs w:val="22"/>
        </w:rPr>
        <w:t>srdcové</w:t>
      </w:r>
      <w:r w:rsidR="006E0F1A" w:rsidRPr="00F64707">
        <w:rPr>
          <w:bCs/>
          <w:iCs/>
          <w:sz w:val="22"/>
          <w:szCs w:val="22"/>
        </w:rPr>
        <w:t>ho</w:t>
      </w:r>
      <w:r w:rsidR="00E15127" w:rsidRPr="00F64707">
        <w:rPr>
          <w:bCs/>
          <w:iCs/>
          <w:sz w:val="22"/>
          <w:szCs w:val="22"/>
        </w:rPr>
        <w:t xml:space="preserve"> </w:t>
      </w:r>
      <w:r w:rsidR="006E0F1A" w:rsidRPr="00F64707">
        <w:rPr>
          <w:bCs/>
          <w:iCs/>
          <w:sz w:val="22"/>
          <w:szCs w:val="22"/>
        </w:rPr>
        <w:t>zlyhania</w:t>
      </w:r>
      <w:r w:rsidRPr="00F64707">
        <w:rPr>
          <w:bCs/>
          <w:iCs/>
          <w:sz w:val="22"/>
          <w:szCs w:val="22"/>
        </w:rPr>
        <w:t>) vyšš</w:t>
      </w:r>
      <w:r w:rsidR="00E91D44" w:rsidRPr="00F64707">
        <w:rPr>
          <w:bCs/>
          <w:iCs/>
          <w:sz w:val="22"/>
          <w:szCs w:val="22"/>
        </w:rPr>
        <w:t>ia</w:t>
      </w:r>
      <w:r w:rsidRPr="00F64707">
        <w:rPr>
          <w:bCs/>
          <w:iCs/>
          <w:sz w:val="22"/>
          <w:szCs w:val="22"/>
        </w:rPr>
        <w:t xml:space="preserve"> </w:t>
      </w:r>
      <w:r w:rsidR="00D8773C" w:rsidRPr="00F64707">
        <w:rPr>
          <w:bCs/>
          <w:iCs/>
          <w:sz w:val="22"/>
          <w:szCs w:val="22"/>
        </w:rPr>
        <w:t>u</w:t>
      </w:r>
      <w:r w:rsidR="006E0F1A" w:rsidRPr="00F64707">
        <w:rPr>
          <w:bCs/>
          <w:iCs/>
          <w:sz w:val="22"/>
          <w:szCs w:val="22"/>
        </w:rPr>
        <w:t> </w:t>
      </w:r>
      <w:r w:rsidRPr="00F64707">
        <w:rPr>
          <w:bCs/>
          <w:iCs/>
          <w:sz w:val="22"/>
          <w:szCs w:val="22"/>
        </w:rPr>
        <w:t>jedinc</w:t>
      </w:r>
      <w:r w:rsidR="00D8773C" w:rsidRPr="00F64707">
        <w:rPr>
          <w:bCs/>
          <w:iCs/>
          <w:sz w:val="22"/>
          <w:szCs w:val="22"/>
        </w:rPr>
        <w:t>ov</w:t>
      </w:r>
      <w:r w:rsidR="006E0F1A" w:rsidRPr="00F64707">
        <w:rPr>
          <w:bCs/>
          <w:iCs/>
          <w:sz w:val="22"/>
          <w:szCs w:val="22"/>
        </w:rPr>
        <w:t xml:space="preserve"> </w:t>
      </w:r>
      <w:r w:rsidRPr="00F64707">
        <w:rPr>
          <w:bCs/>
          <w:iCs/>
          <w:sz w:val="22"/>
          <w:szCs w:val="22"/>
        </w:rPr>
        <w:t>užíva</w:t>
      </w:r>
      <w:r w:rsidR="006E0F1A" w:rsidRPr="00F64707">
        <w:rPr>
          <w:bCs/>
          <w:iCs/>
          <w:sz w:val="22"/>
          <w:szCs w:val="22"/>
        </w:rPr>
        <w:t>júcich</w:t>
      </w:r>
      <w:r w:rsidRPr="00F64707">
        <w:rPr>
          <w:bCs/>
          <w:iCs/>
          <w:sz w:val="22"/>
          <w:szCs w:val="22"/>
        </w:rPr>
        <w:t xml:space="preserve"> kombináciu </w:t>
      </w:r>
      <w:r w:rsidR="00D8773C" w:rsidRPr="00F64707">
        <w:rPr>
          <w:bCs/>
          <w:iCs/>
          <w:sz w:val="22"/>
          <w:szCs w:val="22"/>
        </w:rPr>
        <w:t>dutasterid</w:t>
      </w:r>
      <w:r w:rsidRPr="00F64707">
        <w:rPr>
          <w:bCs/>
          <w:iCs/>
          <w:sz w:val="22"/>
          <w:szCs w:val="22"/>
        </w:rPr>
        <w:t xml:space="preserve"> a alfablokátor</w:t>
      </w:r>
      <w:r w:rsidR="00F77C06" w:rsidRPr="00F64707">
        <w:rPr>
          <w:bCs/>
          <w:iCs/>
          <w:sz w:val="22"/>
          <w:szCs w:val="22"/>
        </w:rPr>
        <w:t>, predovšetkým</w:t>
      </w:r>
      <w:r w:rsidRPr="00F64707">
        <w:rPr>
          <w:bCs/>
          <w:iCs/>
          <w:sz w:val="22"/>
          <w:szCs w:val="22"/>
        </w:rPr>
        <w:t xml:space="preserve"> tamsulozín</w:t>
      </w:r>
      <w:r w:rsidR="00F77C06" w:rsidRPr="00F64707">
        <w:rPr>
          <w:bCs/>
          <w:iCs/>
          <w:sz w:val="22"/>
          <w:szCs w:val="22"/>
        </w:rPr>
        <w:t>,</w:t>
      </w:r>
      <w:r w:rsidRPr="00F64707">
        <w:rPr>
          <w:bCs/>
          <w:iCs/>
          <w:sz w:val="22"/>
          <w:szCs w:val="22"/>
        </w:rPr>
        <w:t xml:space="preserve"> </w:t>
      </w:r>
      <w:r w:rsidR="00D8773C" w:rsidRPr="00F64707">
        <w:rPr>
          <w:bCs/>
          <w:iCs/>
          <w:sz w:val="22"/>
          <w:szCs w:val="22"/>
        </w:rPr>
        <w:t>ako u </w:t>
      </w:r>
      <w:r w:rsidRPr="00F64707">
        <w:rPr>
          <w:bCs/>
          <w:iCs/>
          <w:sz w:val="22"/>
          <w:szCs w:val="22"/>
        </w:rPr>
        <w:t>jedinc</w:t>
      </w:r>
      <w:r w:rsidR="00D8773C" w:rsidRPr="00F64707">
        <w:rPr>
          <w:bCs/>
          <w:iCs/>
          <w:sz w:val="22"/>
          <w:szCs w:val="22"/>
        </w:rPr>
        <w:t>ov</w:t>
      </w:r>
      <w:r w:rsidRPr="00F64707">
        <w:rPr>
          <w:bCs/>
          <w:iCs/>
          <w:sz w:val="22"/>
          <w:szCs w:val="22"/>
        </w:rPr>
        <w:t xml:space="preserve">, ktorí </w:t>
      </w:r>
      <w:r w:rsidR="006E0F1A" w:rsidRPr="00F64707">
        <w:rPr>
          <w:bCs/>
          <w:iCs/>
          <w:sz w:val="22"/>
          <w:szCs w:val="22"/>
        </w:rPr>
        <w:t xml:space="preserve">túto </w:t>
      </w:r>
      <w:r w:rsidRPr="00F64707">
        <w:rPr>
          <w:bCs/>
          <w:iCs/>
          <w:sz w:val="22"/>
          <w:szCs w:val="22"/>
        </w:rPr>
        <w:t xml:space="preserve">kombináciu neužívali. </w:t>
      </w:r>
      <w:r w:rsidR="00F77C06" w:rsidRPr="00F64707">
        <w:rPr>
          <w:bCs/>
          <w:iCs/>
          <w:sz w:val="22"/>
          <w:szCs w:val="22"/>
        </w:rPr>
        <w:t xml:space="preserve">V týchto dvoch </w:t>
      </w:r>
      <w:r w:rsidR="00227438" w:rsidRPr="00F64707">
        <w:rPr>
          <w:bCs/>
          <w:iCs/>
          <w:sz w:val="22"/>
          <w:szCs w:val="22"/>
        </w:rPr>
        <w:t>skúšaniach</w:t>
      </w:r>
      <w:r w:rsidR="00F77C06" w:rsidRPr="00F64707">
        <w:rPr>
          <w:bCs/>
          <w:iCs/>
          <w:sz w:val="22"/>
          <w:szCs w:val="22"/>
        </w:rPr>
        <w:t xml:space="preserve"> bol</w:t>
      </w:r>
      <w:r w:rsidR="00E91D44" w:rsidRPr="00F64707">
        <w:rPr>
          <w:bCs/>
          <w:iCs/>
          <w:sz w:val="22"/>
          <w:szCs w:val="22"/>
        </w:rPr>
        <w:t>a incidencia</w:t>
      </w:r>
      <w:r w:rsidR="00F77C06" w:rsidRPr="00F64707">
        <w:rPr>
          <w:bCs/>
          <w:iCs/>
          <w:sz w:val="22"/>
          <w:szCs w:val="22"/>
        </w:rPr>
        <w:t xml:space="preserve"> srdcového zlyhania nízk</w:t>
      </w:r>
      <w:r w:rsidR="00243015" w:rsidRPr="00F64707">
        <w:rPr>
          <w:bCs/>
          <w:iCs/>
          <w:sz w:val="22"/>
          <w:szCs w:val="22"/>
        </w:rPr>
        <w:t>a</w:t>
      </w:r>
      <w:r w:rsidR="00F77C06" w:rsidRPr="00F64707">
        <w:rPr>
          <w:bCs/>
          <w:iCs/>
          <w:sz w:val="22"/>
          <w:szCs w:val="22"/>
        </w:rPr>
        <w:t xml:space="preserve"> (</w:t>
      </w:r>
      <w:r w:rsidR="00F77C06" w:rsidRPr="00F64707">
        <w:rPr>
          <w:sz w:val="22"/>
          <w:szCs w:val="22"/>
        </w:rPr>
        <w:t>≤</w:t>
      </w:r>
      <w:r w:rsidR="00F77C06" w:rsidRPr="00F64707">
        <w:rPr>
          <w:bCs/>
          <w:iCs/>
          <w:sz w:val="22"/>
          <w:szCs w:val="22"/>
        </w:rPr>
        <w:t> 1 %) a </w:t>
      </w:r>
      <w:r w:rsidR="00A13F63" w:rsidRPr="00F64707">
        <w:rPr>
          <w:bCs/>
          <w:iCs/>
          <w:sz w:val="22"/>
          <w:szCs w:val="22"/>
        </w:rPr>
        <w:t>v</w:t>
      </w:r>
      <w:r w:rsidR="00243015" w:rsidRPr="00F64707">
        <w:rPr>
          <w:bCs/>
          <w:iCs/>
          <w:sz w:val="22"/>
          <w:szCs w:val="22"/>
        </w:rPr>
        <w:t>ariabilná</w:t>
      </w:r>
      <w:r w:rsidR="00F77C06" w:rsidRPr="00F64707">
        <w:rPr>
          <w:bCs/>
          <w:iCs/>
          <w:sz w:val="22"/>
          <w:szCs w:val="22"/>
        </w:rPr>
        <w:t xml:space="preserve"> medzi </w:t>
      </w:r>
      <w:r w:rsidR="00A13F63" w:rsidRPr="00F64707">
        <w:rPr>
          <w:bCs/>
          <w:iCs/>
          <w:sz w:val="22"/>
          <w:szCs w:val="22"/>
        </w:rPr>
        <w:t xml:space="preserve">oboma </w:t>
      </w:r>
      <w:r w:rsidR="00227438" w:rsidRPr="00F64707">
        <w:rPr>
          <w:bCs/>
          <w:iCs/>
          <w:sz w:val="22"/>
          <w:szCs w:val="22"/>
        </w:rPr>
        <w:t>skúšaniami</w:t>
      </w:r>
      <w:r w:rsidR="00F77C06" w:rsidRPr="00F64707">
        <w:rPr>
          <w:bCs/>
          <w:iCs/>
          <w:sz w:val="22"/>
          <w:szCs w:val="22"/>
        </w:rPr>
        <w:t xml:space="preserve"> </w:t>
      </w:r>
      <w:r w:rsidRPr="00F64707">
        <w:rPr>
          <w:bCs/>
          <w:iCs/>
          <w:sz w:val="22"/>
          <w:szCs w:val="22"/>
        </w:rPr>
        <w:t>(pozri časť</w:t>
      </w:r>
      <w:r w:rsidR="00227438" w:rsidRPr="00F64707">
        <w:rPr>
          <w:bCs/>
          <w:iCs/>
          <w:sz w:val="22"/>
          <w:szCs w:val="22"/>
        </w:rPr>
        <w:t xml:space="preserve"> </w:t>
      </w:r>
      <w:r w:rsidRPr="00F64707">
        <w:rPr>
          <w:bCs/>
          <w:iCs/>
          <w:sz w:val="22"/>
          <w:szCs w:val="22"/>
        </w:rPr>
        <w:t>5.1).</w:t>
      </w:r>
    </w:p>
    <w:p w:rsidR="001817F0" w:rsidRPr="00F64707" w:rsidRDefault="001817F0" w:rsidP="00F64707">
      <w:pPr>
        <w:rPr>
          <w:sz w:val="22"/>
          <w:szCs w:val="22"/>
        </w:rPr>
      </w:pPr>
    </w:p>
    <w:p w:rsidR="00F77C06" w:rsidRPr="00F64707" w:rsidRDefault="00F77C06" w:rsidP="00F64707">
      <w:pPr>
        <w:keepNext/>
        <w:rPr>
          <w:sz w:val="22"/>
          <w:szCs w:val="22"/>
        </w:rPr>
      </w:pPr>
      <w:r w:rsidRPr="00F64707">
        <w:rPr>
          <w:i/>
          <w:iCs/>
          <w:sz w:val="22"/>
          <w:szCs w:val="22"/>
        </w:rPr>
        <w:t xml:space="preserve">Účinky na </w:t>
      </w:r>
      <w:r w:rsidR="001E2824" w:rsidRPr="00F64707">
        <w:rPr>
          <w:i/>
          <w:iCs/>
          <w:sz w:val="22"/>
          <w:szCs w:val="22"/>
        </w:rPr>
        <w:t xml:space="preserve">prostatický </w:t>
      </w:r>
      <w:r w:rsidRPr="00F64707">
        <w:rPr>
          <w:i/>
          <w:iCs/>
          <w:sz w:val="22"/>
          <w:szCs w:val="22"/>
        </w:rPr>
        <w:t>špecifický antigén (PSA) a</w:t>
      </w:r>
      <w:r w:rsidR="00A13F63" w:rsidRPr="00F64707">
        <w:rPr>
          <w:i/>
          <w:iCs/>
          <w:sz w:val="22"/>
          <w:szCs w:val="22"/>
        </w:rPr>
        <w:t xml:space="preserve"> na </w:t>
      </w:r>
      <w:r w:rsidRPr="00F64707">
        <w:rPr>
          <w:i/>
          <w:iCs/>
          <w:sz w:val="22"/>
          <w:szCs w:val="22"/>
        </w:rPr>
        <w:t>detekci</w:t>
      </w:r>
      <w:r w:rsidR="00A13F63" w:rsidRPr="00F64707">
        <w:rPr>
          <w:i/>
          <w:iCs/>
          <w:sz w:val="22"/>
          <w:szCs w:val="22"/>
        </w:rPr>
        <w:t>u karcinómu</w:t>
      </w:r>
      <w:r w:rsidRPr="00F64707">
        <w:rPr>
          <w:i/>
          <w:iCs/>
          <w:sz w:val="22"/>
          <w:szCs w:val="22"/>
        </w:rPr>
        <w:t xml:space="preserve"> prostaty</w:t>
      </w:r>
      <w:r w:rsidR="00227438" w:rsidRPr="00F64707">
        <w:rPr>
          <w:i/>
          <w:iCs/>
          <w:sz w:val="22"/>
          <w:szCs w:val="22"/>
        </w:rPr>
        <w:t>:</w:t>
      </w:r>
    </w:p>
    <w:p w:rsidR="00F1304A" w:rsidRPr="00F64707" w:rsidRDefault="00227438" w:rsidP="00F64707">
      <w:pPr>
        <w:rPr>
          <w:sz w:val="22"/>
          <w:szCs w:val="22"/>
        </w:rPr>
      </w:pPr>
      <w:r w:rsidRPr="00F64707">
        <w:rPr>
          <w:sz w:val="22"/>
          <w:szCs w:val="22"/>
        </w:rPr>
        <w:t>U </w:t>
      </w:r>
      <w:r w:rsidR="00F1304A" w:rsidRPr="00F64707">
        <w:rPr>
          <w:sz w:val="22"/>
          <w:szCs w:val="22"/>
        </w:rPr>
        <w:t xml:space="preserve">pacientov </w:t>
      </w:r>
      <w:r w:rsidR="002E1461" w:rsidRPr="00F64707">
        <w:rPr>
          <w:sz w:val="22"/>
          <w:szCs w:val="22"/>
        </w:rPr>
        <w:t xml:space="preserve">s BPH </w:t>
      </w:r>
      <w:r w:rsidR="00F1304A" w:rsidRPr="00F64707">
        <w:rPr>
          <w:sz w:val="22"/>
          <w:szCs w:val="22"/>
        </w:rPr>
        <w:t xml:space="preserve">sa pred začatím </w:t>
      </w:r>
      <w:r w:rsidRPr="00F64707">
        <w:rPr>
          <w:sz w:val="22"/>
          <w:szCs w:val="22"/>
        </w:rPr>
        <w:t xml:space="preserve">liečby </w:t>
      </w:r>
      <w:r w:rsidR="00053B25" w:rsidRPr="00F64707">
        <w:rPr>
          <w:sz w:val="22"/>
          <w:szCs w:val="22"/>
        </w:rPr>
        <w:t>dutasteridom</w:t>
      </w:r>
      <w:r w:rsidRPr="00F64707">
        <w:rPr>
          <w:sz w:val="22"/>
          <w:szCs w:val="22"/>
        </w:rPr>
        <w:t>, a potom v pravidelných intervaloch</w:t>
      </w:r>
      <w:r w:rsidR="00F1304A" w:rsidRPr="00F64707">
        <w:rPr>
          <w:sz w:val="22"/>
          <w:szCs w:val="22"/>
        </w:rPr>
        <w:t xml:space="preserve">, musí vykonať </w:t>
      </w:r>
      <w:r w:rsidRPr="00F64707">
        <w:rPr>
          <w:sz w:val="22"/>
          <w:szCs w:val="22"/>
        </w:rPr>
        <w:t>digitálne rektálne vyšetrenie</w:t>
      </w:r>
      <w:r w:rsidR="00F1304A" w:rsidRPr="00F64707">
        <w:rPr>
          <w:sz w:val="22"/>
          <w:szCs w:val="22"/>
        </w:rPr>
        <w:t xml:space="preserve">, ako aj ďalšie </w:t>
      </w:r>
      <w:r w:rsidRPr="00F64707">
        <w:rPr>
          <w:sz w:val="22"/>
          <w:szCs w:val="22"/>
        </w:rPr>
        <w:t xml:space="preserve">spôsoby </w:t>
      </w:r>
      <w:r w:rsidR="00F1304A" w:rsidRPr="00F64707">
        <w:rPr>
          <w:sz w:val="22"/>
          <w:szCs w:val="22"/>
        </w:rPr>
        <w:t xml:space="preserve">vyhodnotenia </w:t>
      </w:r>
      <w:r w:rsidR="00A13F63" w:rsidRPr="00F64707">
        <w:rPr>
          <w:sz w:val="22"/>
          <w:szCs w:val="22"/>
        </w:rPr>
        <w:t>karcinómu</w:t>
      </w:r>
      <w:r w:rsidR="00F1304A" w:rsidRPr="00F64707">
        <w:rPr>
          <w:sz w:val="22"/>
          <w:szCs w:val="22"/>
        </w:rPr>
        <w:t xml:space="preserve"> prostaty.</w:t>
      </w:r>
    </w:p>
    <w:p w:rsidR="00D754C5" w:rsidRPr="00F64707" w:rsidRDefault="005D528D" w:rsidP="00F64707">
      <w:pPr>
        <w:rPr>
          <w:sz w:val="22"/>
          <w:szCs w:val="22"/>
        </w:rPr>
      </w:pPr>
      <w:r w:rsidRPr="00F64707">
        <w:rPr>
          <w:sz w:val="22"/>
          <w:szCs w:val="22"/>
        </w:rPr>
        <w:t>K</w:t>
      </w:r>
      <w:r w:rsidR="00F1304A" w:rsidRPr="00F64707">
        <w:rPr>
          <w:sz w:val="22"/>
          <w:szCs w:val="22"/>
        </w:rPr>
        <w:t xml:space="preserve">oncentrácia </w:t>
      </w:r>
      <w:r w:rsidR="001E2824" w:rsidRPr="00F64707">
        <w:rPr>
          <w:sz w:val="22"/>
          <w:szCs w:val="22"/>
        </w:rPr>
        <w:t xml:space="preserve">prostatického </w:t>
      </w:r>
      <w:r w:rsidR="00F1304A" w:rsidRPr="00F64707">
        <w:rPr>
          <w:sz w:val="22"/>
          <w:szCs w:val="22"/>
        </w:rPr>
        <w:t xml:space="preserve">špecifického antigénu (PSA) </w:t>
      </w:r>
      <w:r w:rsidRPr="00F64707">
        <w:rPr>
          <w:sz w:val="22"/>
          <w:szCs w:val="22"/>
        </w:rPr>
        <w:t xml:space="preserve">v sére </w:t>
      </w:r>
      <w:r w:rsidR="001E2824" w:rsidRPr="00F64707">
        <w:rPr>
          <w:sz w:val="22"/>
          <w:szCs w:val="22"/>
        </w:rPr>
        <w:t>je dôležitou súčasťou detekcie</w:t>
      </w:r>
      <w:r w:rsidR="00F1304A" w:rsidRPr="00F64707">
        <w:rPr>
          <w:sz w:val="22"/>
          <w:szCs w:val="22"/>
        </w:rPr>
        <w:t xml:space="preserve"> </w:t>
      </w:r>
      <w:r w:rsidR="001E2824" w:rsidRPr="00F64707">
        <w:rPr>
          <w:sz w:val="22"/>
          <w:szCs w:val="22"/>
        </w:rPr>
        <w:t>karcinómu</w:t>
      </w:r>
      <w:r w:rsidR="00F1304A" w:rsidRPr="00F64707">
        <w:rPr>
          <w:sz w:val="22"/>
          <w:szCs w:val="22"/>
        </w:rPr>
        <w:t xml:space="preserve"> prostaty. </w:t>
      </w:r>
      <w:r w:rsidR="00227438" w:rsidRPr="00F64707">
        <w:rPr>
          <w:sz w:val="22"/>
          <w:szCs w:val="22"/>
        </w:rPr>
        <w:t>Dutasterid</w:t>
      </w:r>
      <w:r w:rsidR="00F1304A" w:rsidRPr="00F64707">
        <w:rPr>
          <w:sz w:val="22"/>
          <w:szCs w:val="22"/>
        </w:rPr>
        <w:t xml:space="preserve"> spôsobuje zníženie</w:t>
      </w:r>
      <w:r w:rsidR="00D754C5" w:rsidRPr="00F64707">
        <w:rPr>
          <w:sz w:val="22"/>
          <w:szCs w:val="22"/>
        </w:rPr>
        <w:t xml:space="preserve"> priemerných</w:t>
      </w:r>
      <w:r w:rsidR="00F1304A" w:rsidRPr="00F64707">
        <w:rPr>
          <w:sz w:val="22"/>
          <w:szCs w:val="22"/>
        </w:rPr>
        <w:t xml:space="preserve"> hladín PSA </w:t>
      </w:r>
      <w:r w:rsidRPr="00F64707">
        <w:rPr>
          <w:sz w:val="22"/>
          <w:szCs w:val="22"/>
        </w:rPr>
        <w:t xml:space="preserve">v sére </w:t>
      </w:r>
      <w:r w:rsidR="00F1304A" w:rsidRPr="00F64707">
        <w:rPr>
          <w:sz w:val="22"/>
          <w:szCs w:val="22"/>
        </w:rPr>
        <w:t>o</w:t>
      </w:r>
      <w:r w:rsidR="00227438" w:rsidRPr="00F64707">
        <w:rPr>
          <w:sz w:val="22"/>
          <w:szCs w:val="22"/>
        </w:rPr>
        <w:t> </w:t>
      </w:r>
      <w:r w:rsidR="00F1304A" w:rsidRPr="00F64707">
        <w:rPr>
          <w:sz w:val="22"/>
          <w:szCs w:val="22"/>
        </w:rPr>
        <w:t>približne 50</w:t>
      </w:r>
      <w:r w:rsidR="00530212" w:rsidRPr="00F64707">
        <w:rPr>
          <w:sz w:val="22"/>
          <w:szCs w:val="22"/>
        </w:rPr>
        <w:t> </w:t>
      </w:r>
      <w:r w:rsidR="00F1304A" w:rsidRPr="00F64707">
        <w:rPr>
          <w:sz w:val="22"/>
          <w:szCs w:val="22"/>
        </w:rPr>
        <w:t>% po</w:t>
      </w:r>
      <w:r w:rsidRPr="00F64707">
        <w:rPr>
          <w:sz w:val="22"/>
          <w:szCs w:val="22"/>
        </w:rPr>
        <w:t xml:space="preserve"> </w:t>
      </w:r>
      <w:r w:rsidR="00F1304A" w:rsidRPr="00F64707">
        <w:rPr>
          <w:sz w:val="22"/>
          <w:szCs w:val="22"/>
        </w:rPr>
        <w:t>6</w:t>
      </w:r>
      <w:r w:rsidR="00D754C5" w:rsidRPr="00F64707">
        <w:rPr>
          <w:sz w:val="22"/>
          <w:szCs w:val="22"/>
        </w:rPr>
        <w:t> </w:t>
      </w:r>
      <w:r w:rsidR="00F1304A" w:rsidRPr="00F64707">
        <w:rPr>
          <w:sz w:val="22"/>
          <w:szCs w:val="22"/>
        </w:rPr>
        <w:t xml:space="preserve">mesiacoch </w:t>
      </w:r>
      <w:r w:rsidR="00D754C5" w:rsidRPr="00F64707">
        <w:rPr>
          <w:sz w:val="22"/>
          <w:szCs w:val="22"/>
        </w:rPr>
        <w:t>liečby</w:t>
      </w:r>
      <w:r w:rsidR="00F1304A" w:rsidRPr="00F64707">
        <w:rPr>
          <w:sz w:val="22"/>
          <w:szCs w:val="22"/>
        </w:rPr>
        <w:t>.</w:t>
      </w:r>
    </w:p>
    <w:p w:rsidR="00D754C5" w:rsidRPr="00F64707" w:rsidRDefault="00D754C5" w:rsidP="00F64707">
      <w:pPr>
        <w:rPr>
          <w:sz w:val="22"/>
          <w:szCs w:val="22"/>
        </w:rPr>
      </w:pPr>
      <w:r w:rsidRPr="00F64707">
        <w:rPr>
          <w:sz w:val="22"/>
          <w:szCs w:val="22"/>
        </w:rPr>
        <w:t>U</w:t>
      </w:r>
      <w:r w:rsidR="005D528D" w:rsidRPr="00F64707">
        <w:rPr>
          <w:sz w:val="22"/>
          <w:szCs w:val="22"/>
        </w:rPr>
        <w:t> </w:t>
      </w:r>
      <w:r w:rsidRPr="00F64707">
        <w:rPr>
          <w:sz w:val="22"/>
          <w:szCs w:val="22"/>
        </w:rPr>
        <w:t xml:space="preserve">pacientov užívajúcich </w:t>
      </w:r>
      <w:r w:rsidR="005D528D" w:rsidRPr="00F64707">
        <w:rPr>
          <w:sz w:val="22"/>
          <w:szCs w:val="22"/>
        </w:rPr>
        <w:t xml:space="preserve">dutasterid </w:t>
      </w:r>
      <w:r w:rsidRPr="00F64707">
        <w:rPr>
          <w:sz w:val="22"/>
          <w:szCs w:val="22"/>
        </w:rPr>
        <w:t xml:space="preserve">sa má </w:t>
      </w:r>
      <w:r w:rsidR="003B3D12" w:rsidRPr="00F64707">
        <w:rPr>
          <w:sz w:val="22"/>
          <w:szCs w:val="22"/>
        </w:rPr>
        <w:t xml:space="preserve">po 6 mesiacoch liečby </w:t>
      </w:r>
      <w:r w:rsidR="00053B25" w:rsidRPr="00F64707">
        <w:rPr>
          <w:sz w:val="22"/>
          <w:szCs w:val="22"/>
        </w:rPr>
        <w:t>dutasteridom</w:t>
      </w:r>
      <w:r w:rsidR="003B3D12" w:rsidRPr="00F64707">
        <w:rPr>
          <w:sz w:val="22"/>
          <w:szCs w:val="22"/>
        </w:rPr>
        <w:t xml:space="preserve"> </w:t>
      </w:r>
      <w:r w:rsidRPr="00F64707">
        <w:rPr>
          <w:sz w:val="22"/>
          <w:szCs w:val="22"/>
        </w:rPr>
        <w:t xml:space="preserve">stanoviť nová </w:t>
      </w:r>
      <w:r w:rsidR="003B3D12" w:rsidRPr="00F64707">
        <w:rPr>
          <w:sz w:val="22"/>
          <w:szCs w:val="22"/>
        </w:rPr>
        <w:t xml:space="preserve">východisková </w:t>
      </w:r>
      <w:r w:rsidRPr="00F64707">
        <w:rPr>
          <w:sz w:val="22"/>
          <w:szCs w:val="22"/>
        </w:rPr>
        <w:t>hodnota PSA. Potom sa odporúča monitorovať hodnoty PSA v</w:t>
      </w:r>
      <w:r w:rsidR="008D4F7D" w:rsidRPr="00F64707">
        <w:rPr>
          <w:sz w:val="22"/>
          <w:szCs w:val="22"/>
        </w:rPr>
        <w:t> </w:t>
      </w:r>
      <w:r w:rsidRPr="00F64707">
        <w:rPr>
          <w:sz w:val="22"/>
          <w:szCs w:val="22"/>
        </w:rPr>
        <w:t>pravidelných interval</w:t>
      </w:r>
      <w:r w:rsidR="008D4F7D" w:rsidRPr="00F64707">
        <w:rPr>
          <w:sz w:val="22"/>
          <w:szCs w:val="22"/>
        </w:rPr>
        <w:t>och. Každé potvrdené zvýšenie z </w:t>
      </w:r>
      <w:r w:rsidRPr="00F64707">
        <w:rPr>
          <w:sz w:val="22"/>
          <w:szCs w:val="22"/>
        </w:rPr>
        <w:t>najnižšej hladiny PSA, ku ktor</w:t>
      </w:r>
      <w:r w:rsidR="008D4F7D" w:rsidRPr="00F64707">
        <w:rPr>
          <w:sz w:val="22"/>
          <w:szCs w:val="22"/>
        </w:rPr>
        <w:t xml:space="preserve">ému dôjde počas liečby </w:t>
      </w:r>
      <w:r w:rsidR="00053B25" w:rsidRPr="00F64707">
        <w:rPr>
          <w:sz w:val="22"/>
          <w:szCs w:val="22"/>
        </w:rPr>
        <w:t>dutasteridom</w:t>
      </w:r>
      <w:r w:rsidRPr="00F64707">
        <w:rPr>
          <w:sz w:val="22"/>
          <w:szCs w:val="22"/>
        </w:rPr>
        <w:t xml:space="preserve">, môže signalizovať prítomnosť </w:t>
      </w:r>
      <w:r w:rsidR="001E2824" w:rsidRPr="00F64707">
        <w:rPr>
          <w:sz w:val="22"/>
          <w:szCs w:val="22"/>
        </w:rPr>
        <w:t>karcinómu</w:t>
      </w:r>
      <w:r w:rsidRPr="00F64707">
        <w:rPr>
          <w:sz w:val="22"/>
          <w:szCs w:val="22"/>
        </w:rPr>
        <w:t xml:space="preserve"> prostaty (najmä karcinóm</w:t>
      </w:r>
      <w:r w:rsidR="008D4F7D" w:rsidRPr="00F64707">
        <w:rPr>
          <w:sz w:val="22"/>
          <w:szCs w:val="22"/>
        </w:rPr>
        <w:t>u</w:t>
      </w:r>
      <w:r w:rsidRPr="00F64707">
        <w:rPr>
          <w:sz w:val="22"/>
          <w:szCs w:val="22"/>
        </w:rPr>
        <w:t xml:space="preserve"> vysokého stupňa) alebo nedodržiavanie </w:t>
      </w:r>
      <w:r w:rsidR="008D4F7D" w:rsidRPr="00F64707">
        <w:rPr>
          <w:sz w:val="22"/>
          <w:szCs w:val="22"/>
        </w:rPr>
        <w:t xml:space="preserve">predpísanej </w:t>
      </w:r>
      <w:r w:rsidRPr="00F64707">
        <w:rPr>
          <w:sz w:val="22"/>
          <w:szCs w:val="22"/>
        </w:rPr>
        <w:t xml:space="preserve">liečby </w:t>
      </w:r>
      <w:r w:rsidR="00053B25" w:rsidRPr="00F64707">
        <w:rPr>
          <w:sz w:val="22"/>
          <w:szCs w:val="22"/>
        </w:rPr>
        <w:t>dutasteridom</w:t>
      </w:r>
      <w:r w:rsidRPr="00F64707">
        <w:rPr>
          <w:sz w:val="22"/>
          <w:szCs w:val="22"/>
        </w:rPr>
        <w:t xml:space="preserve"> a </w:t>
      </w:r>
      <w:r w:rsidR="008D4F7D" w:rsidRPr="00F64707">
        <w:rPr>
          <w:sz w:val="22"/>
          <w:szCs w:val="22"/>
        </w:rPr>
        <w:t xml:space="preserve">má sa </w:t>
      </w:r>
      <w:r w:rsidRPr="00F64707">
        <w:rPr>
          <w:sz w:val="22"/>
          <w:szCs w:val="22"/>
        </w:rPr>
        <w:t xml:space="preserve">starostlivo vyhodnotiť aj vtedy, ak sú namerané hodnoty </w:t>
      </w:r>
      <w:r w:rsidR="008D4F7D" w:rsidRPr="00F64707">
        <w:rPr>
          <w:sz w:val="22"/>
          <w:szCs w:val="22"/>
        </w:rPr>
        <w:t>ešte</w:t>
      </w:r>
      <w:r w:rsidRPr="00F64707">
        <w:rPr>
          <w:sz w:val="22"/>
          <w:szCs w:val="22"/>
        </w:rPr>
        <w:t xml:space="preserve"> v rozpätí referenčných hodnôt </w:t>
      </w:r>
      <w:r w:rsidR="001E2824" w:rsidRPr="00F64707">
        <w:rPr>
          <w:sz w:val="22"/>
          <w:szCs w:val="22"/>
        </w:rPr>
        <w:t>u </w:t>
      </w:r>
      <w:r w:rsidRPr="00F64707">
        <w:rPr>
          <w:sz w:val="22"/>
          <w:szCs w:val="22"/>
        </w:rPr>
        <w:t xml:space="preserve">mužov, ktorí neužívajú inhibítor </w:t>
      </w:r>
      <w:r w:rsidR="006D712F" w:rsidRPr="00F64707">
        <w:rPr>
          <w:sz w:val="22"/>
          <w:szCs w:val="22"/>
        </w:rPr>
        <w:t xml:space="preserve">5-alfa-reduktázy </w:t>
      </w:r>
      <w:r w:rsidRPr="00F64707">
        <w:rPr>
          <w:snapToGrid w:val="0"/>
          <w:sz w:val="22"/>
          <w:szCs w:val="22"/>
        </w:rPr>
        <w:t>(pozri časť</w:t>
      </w:r>
      <w:r w:rsidR="008D4F7D" w:rsidRPr="00F64707">
        <w:rPr>
          <w:snapToGrid w:val="0"/>
          <w:sz w:val="22"/>
          <w:szCs w:val="22"/>
        </w:rPr>
        <w:t xml:space="preserve"> </w:t>
      </w:r>
      <w:r w:rsidRPr="00F64707">
        <w:rPr>
          <w:snapToGrid w:val="0"/>
          <w:sz w:val="22"/>
          <w:szCs w:val="22"/>
        </w:rPr>
        <w:t>5.1)</w:t>
      </w:r>
      <w:r w:rsidRPr="00F64707">
        <w:rPr>
          <w:sz w:val="22"/>
          <w:szCs w:val="22"/>
        </w:rPr>
        <w:t xml:space="preserve">. U pacienta užívajúceho </w:t>
      </w:r>
      <w:r w:rsidR="00053B25" w:rsidRPr="00F64707">
        <w:rPr>
          <w:sz w:val="22"/>
          <w:szCs w:val="22"/>
        </w:rPr>
        <w:t>dutasterid</w:t>
      </w:r>
      <w:r w:rsidR="008D4F7D" w:rsidRPr="00F64707">
        <w:rPr>
          <w:sz w:val="22"/>
          <w:szCs w:val="22"/>
        </w:rPr>
        <w:t xml:space="preserve"> sa má hodnota</w:t>
      </w:r>
      <w:r w:rsidR="001E2824" w:rsidRPr="00F64707">
        <w:rPr>
          <w:sz w:val="22"/>
          <w:szCs w:val="22"/>
        </w:rPr>
        <w:t xml:space="preserve"> PSA interpretovať na </w:t>
      </w:r>
      <w:r w:rsidRPr="00F64707">
        <w:rPr>
          <w:sz w:val="22"/>
          <w:szCs w:val="22"/>
        </w:rPr>
        <w:t>základe porovnania s jeho predchádzajúcimi hodnotami PSA.</w:t>
      </w:r>
    </w:p>
    <w:p w:rsidR="00F1304A" w:rsidRPr="00F64707" w:rsidRDefault="000B185D" w:rsidP="00F64707">
      <w:pPr>
        <w:rPr>
          <w:sz w:val="22"/>
          <w:szCs w:val="22"/>
        </w:rPr>
      </w:pPr>
      <w:r w:rsidRPr="00F64707">
        <w:rPr>
          <w:sz w:val="22"/>
          <w:szCs w:val="22"/>
        </w:rPr>
        <w:t xml:space="preserve">Po </w:t>
      </w:r>
      <w:r w:rsidR="00D754C5" w:rsidRPr="00F64707">
        <w:rPr>
          <w:sz w:val="22"/>
          <w:szCs w:val="22"/>
        </w:rPr>
        <w:t xml:space="preserve">stanovení novej </w:t>
      </w:r>
      <w:r w:rsidRPr="00F64707">
        <w:rPr>
          <w:sz w:val="22"/>
          <w:szCs w:val="22"/>
        </w:rPr>
        <w:t xml:space="preserve">východiskovej </w:t>
      </w:r>
      <w:r w:rsidR="00D754C5" w:rsidRPr="00F64707">
        <w:rPr>
          <w:sz w:val="22"/>
          <w:szCs w:val="22"/>
        </w:rPr>
        <w:t xml:space="preserve">hodnoty </w:t>
      </w:r>
      <w:r w:rsidRPr="00F64707">
        <w:rPr>
          <w:sz w:val="22"/>
          <w:szCs w:val="22"/>
        </w:rPr>
        <w:t xml:space="preserve">liečba </w:t>
      </w:r>
      <w:r w:rsidR="00053B25" w:rsidRPr="00F64707">
        <w:rPr>
          <w:sz w:val="22"/>
          <w:szCs w:val="22"/>
        </w:rPr>
        <w:t>dutasteridom</w:t>
      </w:r>
      <w:r w:rsidRPr="00F64707">
        <w:rPr>
          <w:sz w:val="22"/>
          <w:szCs w:val="22"/>
        </w:rPr>
        <w:t xml:space="preserve"> neinterferuje s použitím PSA ako pomôcky pri dia</w:t>
      </w:r>
      <w:r w:rsidR="001E2824" w:rsidRPr="00F64707">
        <w:rPr>
          <w:sz w:val="22"/>
          <w:szCs w:val="22"/>
        </w:rPr>
        <w:t>gnostikovaní karcinómu</w:t>
      </w:r>
      <w:r w:rsidRPr="00F64707">
        <w:rPr>
          <w:sz w:val="22"/>
          <w:szCs w:val="22"/>
        </w:rPr>
        <w:t xml:space="preserve"> prostaty (pozri časť</w:t>
      </w:r>
      <w:r w:rsidRPr="00F64707">
        <w:rPr>
          <w:bCs/>
          <w:iCs/>
          <w:sz w:val="22"/>
          <w:szCs w:val="22"/>
        </w:rPr>
        <w:t xml:space="preserve"> </w:t>
      </w:r>
      <w:r w:rsidRPr="00F64707">
        <w:rPr>
          <w:sz w:val="22"/>
          <w:szCs w:val="22"/>
        </w:rPr>
        <w:t>5.1)</w:t>
      </w:r>
      <w:r w:rsidR="00D754C5" w:rsidRPr="00F64707">
        <w:rPr>
          <w:sz w:val="22"/>
          <w:szCs w:val="22"/>
        </w:rPr>
        <w:t>.</w:t>
      </w:r>
    </w:p>
    <w:p w:rsidR="00D754C5" w:rsidRPr="00F64707" w:rsidRDefault="00F1304A" w:rsidP="00F64707">
      <w:pPr>
        <w:rPr>
          <w:sz w:val="22"/>
          <w:szCs w:val="22"/>
        </w:rPr>
      </w:pPr>
      <w:r w:rsidRPr="00F64707">
        <w:rPr>
          <w:sz w:val="22"/>
          <w:szCs w:val="22"/>
        </w:rPr>
        <w:t xml:space="preserve">Celkové hladiny PSA </w:t>
      </w:r>
      <w:r w:rsidR="000B185D" w:rsidRPr="00F64707">
        <w:rPr>
          <w:sz w:val="22"/>
          <w:szCs w:val="22"/>
        </w:rPr>
        <w:t xml:space="preserve">v sére </w:t>
      </w:r>
      <w:r w:rsidRPr="00F64707">
        <w:rPr>
          <w:sz w:val="22"/>
          <w:szCs w:val="22"/>
        </w:rPr>
        <w:t xml:space="preserve">sa vrátia </w:t>
      </w:r>
      <w:r w:rsidR="000B185D" w:rsidRPr="00F64707">
        <w:rPr>
          <w:sz w:val="22"/>
          <w:szCs w:val="22"/>
        </w:rPr>
        <w:t>k východ</w:t>
      </w:r>
      <w:r w:rsidR="0044207D" w:rsidRPr="00F64707">
        <w:rPr>
          <w:sz w:val="22"/>
          <w:szCs w:val="22"/>
        </w:rPr>
        <w:t>i</w:t>
      </w:r>
      <w:r w:rsidR="000B185D" w:rsidRPr="00F64707">
        <w:rPr>
          <w:sz w:val="22"/>
          <w:szCs w:val="22"/>
        </w:rPr>
        <w:t xml:space="preserve">skovým </w:t>
      </w:r>
      <w:r w:rsidR="0044207D" w:rsidRPr="00F64707">
        <w:rPr>
          <w:sz w:val="22"/>
          <w:szCs w:val="22"/>
        </w:rPr>
        <w:t>hodno</w:t>
      </w:r>
      <w:r w:rsidRPr="00F64707">
        <w:rPr>
          <w:sz w:val="22"/>
          <w:szCs w:val="22"/>
        </w:rPr>
        <w:t>t</w:t>
      </w:r>
      <w:r w:rsidR="000B185D" w:rsidRPr="00F64707">
        <w:rPr>
          <w:sz w:val="22"/>
          <w:szCs w:val="22"/>
        </w:rPr>
        <w:t>ám</w:t>
      </w:r>
      <w:r w:rsidRPr="00F64707">
        <w:rPr>
          <w:sz w:val="22"/>
          <w:szCs w:val="22"/>
        </w:rPr>
        <w:t xml:space="preserve"> do</w:t>
      </w:r>
      <w:r w:rsidR="000B185D" w:rsidRPr="00F64707">
        <w:rPr>
          <w:sz w:val="22"/>
          <w:szCs w:val="22"/>
        </w:rPr>
        <w:t xml:space="preserve"> </w:t>
      </w:r>
      <w:r w:rsidRPr="00F64707">
        <w:rPr>
          <w:sz w:val="22"/>
          <w:szCs w:val="22"/>
        </w:rPr>
        <w:t>6</w:t>
      </w:r>
      <w:r w:rsidR="006F7836" w:rsidRPr="00F64707">
        <w:rPr>
          <w:bCs/>
          <w:iCs/>
          <w:sz w:val="22"/>
          <w:szCs w:val="22"/>
        </w:rPr>
        <w:t> </w:t>
      </w:r>
      <w:r w:rsidRPr="00F64707">
        <w:rPr>
          <w:sz w:val="22"/>
          <w:szCs w:val="22"/>
        </w:rPr>
        <w:t>mesiacov po prerušení liečby. Pomer voľného k</w:t>
      </w:r>
      <w:r w:rsidR="000B185D" w:rsidRPr="00F64707">
        <w:rPr>
          <w:sz w:val="22"/>
          <w:szCs w:val="22"/>
        </w:rPr>
        <w:t> </w:t>
      </w:r>
      <w:r w:rsidRPr="00F64707">
        <w:rPr>
          <w:sz w:val="22"/>
          <w:szCs w:val="22"/>
        </w:rPr>
        <w:t>celkovému PSA zostáva ne</w:t>
      </w:r>
      <w:r w:rsidR="000B185D" w:rsidRPr="00F64707">
        <w:rPr>
          <w:sz w:val="22"/>
          <w:szCs w:val="22"/>
        </w:rPr>
        <w:t>z</w:t>
      </w:r>
      <w:r w:rsidRPr="00F64707">
        <w:rPr>
          <w:sz w:val="22"/>
          <w:szCs w:val="22"/>
        </w:rPr>
        <w:t>men</w:t>
      </w:r>
      <w:r w:rsidR="000B185D" w:rsidRPr="00F64707">
        <w:rPr>
          <w:sz w:val="22"/>
          <w:szCs w:val="22"/>
        </w:rPr>
        <w:t>e</w:t>
      </w:r>
      <w:r w:rsidRPr="00F64707">
        <w:rPr>
          <w:sz w:val="22"/>
          <w:szCs w:val="22"/>
        </w:rPr>
        <w:t xml:space="preserve">ný aj napriek vplyvu </w:t>
      </w:r>
      <w:r w:rsidR="005370AC" w:rsidRPr="00F64707">
        <w:rPr>
          <w:sz w:val="22"/>
          <w:szCs w:val="22"/>
        </w:rPr>
        <w:t>dutasteridu</w:t>
      </w:r>
      <w:r w:rsidRPr="00F64707">
        <w:rPr>
          <w:sz w:val="22"/>
          <w:szCs w:val="22"/>
        </w:rPr>
        <w:t>.</w:t>
      </w:r>
      <w:r w:rsidR="00D754C5" w:rsidRPr="00F64707">
        <w:rPr>
          <w:sz w:val="22"/>
          <w:szCs w:val="22"/>
        </w:rPr>
        <w:t xml:space="preserve"> </w:t>
      </w:r>
      <w:r w:rsidR="000B185D" w:rsidRPr="00F64707">
        <w:rPr>
          <w:sz w:val="22"/>
          <w:szCs w:val="22"/>
        </w:rPr>
        <w:t xml:space="preserve">Ak sa </w:t>
      </w:r>
      <w:r w:rsidR="0044207D" w:rsidRPr="00F64707">
        <w:rPr>
          <w:sz w:val="22"/>
          <w:szCs w:val="22"/>
        </w:rPr>
        <w:t xml:space="preserve">lekári rozhodnú použiť percento </w:t>
      </w:r>
      <w:r w:rsidR="000B185D" w:rsidRPr="00F64707">
        <w:rPr>
          <w:sz w:val="22"/>
          <w:szCs w:val="22"/>
        </w:rPr>
        <w:t>voľn</w:t>
      </w:r>
      <w:r w:rsidR="0044207D" w:rsidRPr="00F64707">
        <w:rPr>
          <w:sz w:val="22"/>
          <w:szCs w:val="22"/>
        </w:rPr>
        <w:t>ého</w:t>
      </w:r>
      <w:r w:rsidR="000B185D" w:rsidRPr="00F64707">
        <w:rPr>
          <w:sz w:val="22"/>
          <w:szCs w:val="22"/>
        </w:rPr>
        <w:t xml:space="preserve"> PSA ako pomôcku </w:t>
      </w:r>
      <w:r w:rsidR="0044207D" w:rsidRPr="00F64707">
        <w:rPr>
          <w:sz w:val="22"/>
          <w:szCs w:val="22"/>
        </w:rPr>
        <w:t xml:space="preserve">pri </w:t>
      </w:r>
      <w:r w:rsidR="000B185D" w:rsidRPr="00F64707">
        <w:rPr>
          <w:sz w:val="22"/>
          <w:szCs w:val="22"/>
        </w:rPr>
        <w:t>detekci</w:t>
      </w:r>
      <w:r w:rsidR="0044207D" w:rsidRPr="00F64707">
        <w:rPr>
          <w:sz w:val="22"/>
          <w:szCs w:val="22"/>
        </w:rPr>
        <w:t>i</w:t>
      </w:r>
      <w:r w:rsidR="000B185D" w:rsidRPr="00F64707">
        <w:rPr>
          <w:sz w:val="22"/>
          <w:szCs w:val="22"/>
        </w:rPr>
        <w:t xml:space="preserve"> </w:t>
      </w:r>
      <w:r w:rsidR="001E2824" w:rsidRPr="00F64707">
        <w:rPr>
          <w:sz w:val="22"/>
          <w:szCs w:val="22"/>
        </w:rPr>
        <w:t>karcinómu</w:t>
      </w:r>
      <w:r w:rsidR="000B185D" w:rsidRPr="00F64707">
        <w:rPr>
          <w:sz w:val="22"/>
          <w:szCs w:val="22"/>
        </w:rPr>
        <w:t xml:space="preserve"> prostaty u mužov</w:t>
      </w:r>
      <w:r w:rsidR="0044207D" w:rsidRPr="00F64707">
        <w:rPr>
          <w:sz w:val="22"/>
          <w:szCs w:val="22"/>
        </w:rPr>
        <w:t xml:space="preserve"> </w:t>
      </w:r>
      <w:r w:rsidR="001E2824" w:rsidRPr="00F64707">
        <w:rPr>
          <w:sz w:val="22"/>
          <w:szCs w:val="22"/>
        </w:rPr>
        <w:t>podstupujúcich</w:t>
      </w:r>
      <w:r w:rsidR="0044207D" w:rsidRPr="00F64707">
        <w:rPr>
          <w:sz w:val="22"/>
          <w:szCs w:val="22"/>
        </w:rPr>
        <w:t xml:space="preserve"> liečbu </w:t>
      </w:r>
      <w:r w:rsidR="005370AC" w:rsidRPr="00F64707">
        <w:rPr>
          <w:sz w:val="22"/>
          <w:szCs w:val="22"/>
        </w:rPr>
        <w:t>dutasteridom</w:t>
      </w:r>
      <w:r w:rsidR="0044207D" w:rsidRPr="00F64707">
        <w:rPr>
          <w:sz w:val="22"/>
          <w:szCs w:val="22"/>
        </w:rPr>
        <w:t>, úprava jeho hodnoty sa nejaví ako potrebná</w:t>
      </w:r>
      <w:r w:rsidR="001E2824" w:rsidRPr="00F64707">
        <w:rPr>
          <w:sz w:val="22"/>
          <w:szCs w:val="22"/>
        </w:rPr>
        <w:t>.</w:t>
      </w:r>
    </w:p>
    <w:p w:rsidR="00053B25" w:rsidRPr="00F64707" w:rsidRDefault="00053B25" w:rsidP="00F64707">
      <w:pPr>
        <w:keepNext/>
        <w:keepLines/>
        <w:rPr>
          <w:i/>
          <w:iCs/>
          <w:sz w:val="22"/>
          <w:szCs w:val="22"/>
        </w:rPr>
      </w:pPr>
    </w:p>
    <w:p w:rsidR="00D754C5" w:rsidRPr="00F64707" w:rsidRDefault="001E2824" w:rsidP="00F64707">
      <w:pPr>
        <w:keepNext/>
        <w:keepLines/>
        <w:rPr>
          <w:i/>
          <w:iCs/>
          <w:sz w:val="22"/>
          <w:szCs w:val="22"/>
        </w:rPr>
      </w:pPr>
      <w:r w:rsidRPr="00F64707">
        <w:rPr>
          <w:i/>
          <w:iCs/>
          <w:sz w:val="22"/>
          <w:szCs w:val="22"/>
        </w:rPr>
        <w:t>Karcinóm</w:t>
      </w:r>
      <w:r w:rsidR="00D754C5" w:rsidRPr="00F64707">
        <w:rPr>
          <w:i/>
          <w:iCs/>
          <w:sz w:val="22"/>
          <w:szCs w:val="22"/>
        </w:rPr>
        <w:t xml:space="preserve"> prostaty a nádory vysokého stupňa</w:t>
      </w:r>
      <w:r w:rsidR="0044207D" w:rsidRPr="00F64707">
        <w:rPr>
          <w:i/>
          <w:iCs/>
          <w:sz w:val="22"/>
          <w:szCs w:val="22"/>
        </w:rPr>
        <w:t>:</w:t>
      </w:r>
    </w:p>
    <w:p w:rsidR="00D754C5" w:rsidRPr="00F64707" w:rsidRDefault="00D754C5" w:rsidP="00F64707">
      <w:pPr>
        <w:keepLines/>
        <w:rPr>
          <w:sz w:val="22"/>
          <w:szCs w:val="22"/>
        </w:rPr>
      </w:pPr>
      <w:r w:rsidRPr="00F64707">
        <w:rPr>
          <w:sz w:val="22"/>
          <w:szCs w:val="22"/>
        </w:rPr>
        <w:t>Výsledky jednej kl</w:t>
      </w:r>
      <w:r w:rsidR="0044207D" w:rsidRPr="00F64707">
        <w:rPr>
          <w:sz w:val="22"/>
          <w:szCs w:val="22"/>
        </w:rPr>
        <w:t>inickej štúdie (štúdia REDUCE) u</w:t>
      </w:r>
      <w:r w:rsidR="001E2824" w:rsidRPr="00F64707">
        <w:rPr>
          <w:sz w:val="22"/>
          <w:szCs w:val="22"/>
        </w:rPr>
        <w:t> </w:t>
      </w:r>
      <w:r w:rsidRPr="00F64707">
        <w:rPr>
          <w:sz w:val="22"/>
          <w:szCs w:val="22"/>
        </w:rPr>
        <w:t>muž</w:t>
      </w:r>
      <w:r w:rsidR="0044207D" w:rsidRPr="00F64707">
        <w:rPr>
          <w:sz w:val="22"/>
          <w:szCs w:val="22"/>
        </w:rPr>
        <w:t>ov</w:t>
      </w:r>
      <w:r w:rsidR="001E2824" w:rsidRPr="00F64707">
        <w:rPr>
          <w:sz w:val="22"/>
          <w:szCs w:val="22"/>
        </w:rPr>
        <w:t xml:space="preserve"> so</w:t>
      </w:r>
      <w:r w:rsidRPr="00F64707">
        <w:rPr>
          <w:sz w:val="22"/>
          <w:szCs w:val="22"/>
        </w:rPr>
        <w:t xml:space="preserve"> zvýšen</w:t>
      </w:r>
      <w:r w:rsidR="001E2824" w:rsidRPr="00F64707">
        <w:rPr>
          <w:sz w:val="22"/>
          <w:szCs w:val="22"/>
        </w:rPr>
        <w:t>ým</w:t>
      </w:r>
      <w:r w:rsidRPr="00F64707">
        <w:rPr>
          <w:sz w:val="22"/>
          <w:szCs w:val="22"/>
        </w:rPr>
        <w:t xml:space="preserve"> riziko</w:t>
      </w:r>
      <w:r w:rsidR="001E2824" w:rsidRPr="00F64707">
        <w:rPr>
          <w:sz w:val="22"/>
          <w:szCs w:val="22"/>
        </w:rPr>
        <w:t>m</w:t>
      </w:r>
      <w:r w:rsidRPr="00F64707">
        <w:rPr>
          <w:sz w:val="22"/>
          <w:szCs w:val="22"/>
        </w:rPr>
        <w:t xml:space="preserve"> </w:t>
      </w:r>
      <w:r w:rsidR="001E2824" w:rsidRPr="00F64707">
        <w:rPr>
          <w:sz w:val="22"/>
          <w:szCs w:val="22"/>
        </w:rPr>
        <w:t>karcinómu</w:t>
      </w:r>
      <w:r w:rsidRPr="00F64707">
        <w:rPr>
          <w:sz w:val="22"/>
          <w:szCs w:val="22"/>
        </w:rPr>
        <w:t xml:space="preserve"> prostaty, odhalili vyššiu incidenciu karcinómov prostaty s</w:t>
      </w:r>
      <w:r w:rsidR="007C1149" w:rsidRPr="00F64707">
        <w:rPr>
          <w:sz w:val="22"/>
          <w:szCs w:val="22"/>
        </w:rPr>
        <w:t> </w:t>
      </w:r>
      <w:r w:rsidRPr="00F64707">
        <w:rPr>
          <w:sz w:val="22"/>
          <w:szCs w:val="22"/>
        </w:rPr>
        <w:t>Gleasonovým skóre 8 </w:t>
      </w:r>
      <w:r w:rsidRPr="00F64707">
        <w:rPr>
          <w:sz w:val="22"/>
          <w:szCs w:val="22"/>
        </w:rPr>
        <w:noBreakHyphen/>
        <w:t> 10 u</w:t>
      </w:r>
      <w:r w:rsidR="007C1149" w:rsidRPr="00F64707">
        <w:rPr>
          <w:sz w:val="22"/>
          <w:szCs w:val="22"/>
        </w:rPr>
        <w:t> </w:t>
      </w:r>
      <w:r w:rsidRPr="00F64707">
        <w:rPr>
          <w:sz w:val="22"/>
          <w:szCs w:val="22"/>
        </w:rPr>
        <w:t>mužov liečených dutasteridom v porovnaní s</w:t>
      </w:r>
      <w:r w:rsidR="007C1149" w:rsidRPr="00F64707">
        <w:rPr>
          <w:sz w:val="22"/>
          <w:szCs w:val="22"/>
        </w:rPr>
        <w:t> </w:t>
      </w:r>
      <w:r w:rsidRPr="00F64707">
        <w:rPr>
          <w:sz w:val="22"/>
          <w:szCs w:val="22"/>
        </w:rPr>
        <w:t>placebo</w:t>
      </w:r>
      <w:r w:rsidR="005370AC" w:rsidRPr="00F64707">
        <w:rPr>
          <w:sz w:val="22"/>
          <w:szCs w:val="22"/>
        </w:rPr>
        <w:t>m</w:t>
      </w:r>
      <w:r w:rsidRPr="00F64707">
        <w:rPr>
          <w:sz w:val="22"/>
          <w:szCs w:val="22"/>
        </w:rPr>
        <w:t>. Súvislosť medzi dutasteridom a </w:t>
      </w:r>
      <w:r w:rsidR="001E2824" w:rsidRPr="00F64707">
        <w:rPr>
          <w:sz w:val="22"/>
          <w:szCs w:val="22"/>
        </w:rPr>
        <w:t>karcinómom</w:t>
      </w:r>
      <w:r w:rsidRPr="00F64707">
        <w:rPr>
          <w:sz w:val="22"/>
          <w:szCs w:val="22"/>
        </w:rPr>
        <w:t xml:space="preserve"> prost</w:t>
      </w:r>
      <w:r w:rsidR="007C1149" w:rsidRPr="00F64707">
        <w:rPr>
          <w:sz w:val="22"/>
          <w:szCs w:val="22"/>
        </w:rPr>
        <w:t>aty vysokého stupňa nie je jasná</w:t>
      </w:r>
      <w:r w:rsidRPr="00F64707">
        <w:rPr>
          <w:sz w:val="22"/>
          <w:szCs w:val="22"/>
        </w:rPr>
        <w:t xml:space="preserve">. U mužov užívajúcich </w:t>
      </w:r>
      <w:r w:rsidR="005370AC" w:rsidRPr="00F64707">
        <w:rPr>
          <w:sz w:val="22"/>
          <w:szCs w:val="22"/>
        </w:rPr>
        <w:t xml:space="preserve">dutasterid </w:t>
      </w:r>
      <w:r w:rsidR="007C1149" w:rsidRPr="00F64707">
        <w:rPr>
          <w:sz w:val="22"/>
          <w:szCs w:val="22"/>
        </w:rPr>
        <w:t xml:space="preserve">sa má </w:t>
      </w:r>
      <w:r w:rsidRPr="00F64707">
        <w:rPr>
          <w:sz w:val="22"/>
          <w:szCs w:val="22"/>
        </w:rPr>
        <w:t xml:space="preserve">pravidelne vyhodnocovať riziko </w:t>
      </w:r>
      <w:r w:rsidR="00E91D44" w:rsidRPr="00F64707">
        <w:rPr>
          <w:sz w:val="22"/>
          <w:szCs w:val="22"/>
        </w:rPr>
        <w:t>karcinómu</w:t>
      </w:r>
      <w:r w:rsidRPr="00F64707">
        <w:rPr>
          <w:sz w:val="22"/>
          <w:szCs w:val="22"/>
        </w:rPr>
        <w:t xml:space="preserve"> prostaty vrátane vyšetrovania PSA (pozri časť</w:t>
      </w:r>
      <w:r w:rsidR="007C1149" w:rsidRPr="00F64707">
        <w:rPr>
          <w:bCs/>
          <w:iCs/>
          <w:sz w:val="22"/>
          <w:szCs w:val="22"/>
        </w:rPr>
        <w:t xml:space="preserve"> </w:t>
      </w:r>
      <w:r w:rsidRPr="00F64707">
        <w:rPr>
          <w:sz w:val="22"/>
          <w:szCs w:val="22"/>
        </w:rPr>
        <w:t>5.1).</w:t>
      </w:r>
    </w:p>
    <w:p w:rsidR="00F1304A" w:rsidRPr="00F64707" w:rsidRDefault="00F1304A" w:rsidP="00F64707">
      <w:pPr>
        <w:rPr>
          <w:sz w:val="22"/>
          <w:szCs w:val="22"/>
        </w:rPr>
      </w:pPr>
    </w:p>
    <w:p w:rsidR="00F1304A" w:rsidRPr="00F64707" w:rsidRDefault="00040751" w:rsidP="00F64707">
      <w:pPr>
        <w:keepNext/>
        <w:rPr>
          <w:i/>
          <w:iCs/>
          <w:sz w:val="22"/>
          <w:szCs w:val="22"/>
        </w:rPr>
      </w:pPr>
      <w:r w:rsidRPr="00F64707">
        <w:rPr>
          <w:i/>
          <w:iCs/>
          <w:sz w:val="22"/>
          <w:szCs w:val="22"/>
        </w:rPr>
        <w:lastRenderedPageBreak/>
        <w:t>K</w:t>
      </w:r>
      <w:r w:rsidR="00D754C5" w:rsidRPr="00F64707">
        <w:rPr>
          <w:i/>
          <w:iCs/>
          <w:sz w:val="22"/>
          <w:szCs w:val="22"/>
        </w:rPr>
        <w:t>apsuly</w:t>
      </w:r>
      <w:r w:rsidRPr="00F64707">
        <w:rPr>
          <w:i/>
          <w:iCs/>
          <w:sz w:val="22"/>
          <w:szCs w:val="22"/>
        </w:rPr>
        <w:t xml:space="preserve"> </w:t>
      </w:r>
      <w:r w:rsidRPr="00F64707">
        <w:rPr>
          <w:i/>
          <w:sz w:val="22"/>
          <w:szCs w:val="22"/>
        </w:rPr>
        <w:t>s vytekajúcim obsahom</w:t>
      </w:r>
      <w:r w:rsidR="007C1149" w:rsidRPr="00F64707">
        <w:rPr>
          <w:i/>
          <w:iCs/>
          <w:sz w:val="22"/>
          <w:szCs w:val="22"/>
        </w:rPr>
        <w:t>:</w:t>
      </w:r>
    </w:p>
    <w:p w:rsidR="00D754C5" w:rsidRPr="00F64707" w:rsidRDefault="00D754C5" w:rsidP="00F64707">
      <w:pPr>
        <w:rPr>
          <w:sz w:val="22"/>
          <w:szCs w:val="22"/>
        </w:rPr>
      </w:pPr>
      <w:r w:rsidRPr="00F64707">
        <w:rPr>
          <w:sz w:val="22"/>
          <w:szCs w:val="22"/>
        </w:rPr>
        <w:t xml:space="preserve">Dutasterid sa </w:t>
      </w:r>
      <w:r w:rsidR="00243015" w:rsidRPr="00F64707">
        <w:rPr>
          <w:sz w:val="22"/>
          <w:szCs w:val="22"/>
        </w:rPr>
        <w:t>ab</w:t>
      </w:r>
      <w:r w:rsidR="00AF2024" w:rsidRPr="00F64707">
        <w:rPr>
          <w:sz w:val="22"/>
          <w:szCs w:val="22"/>
        </w:rPr>
        <w:t xml:space="preserve">sorbuje </w:t>
      </w:r>
      <w:r w:rsidRPr="00F64707">
        <w:rPr>
          <w:sz w:val="22"/>
          <w:szCs w:val="22"/>
        </w:rPr>
        <w:t xml:space="preserve">cez kožu, preto </w:t>
      </w:r>
      <w:r w:rsidR="00AF2024" w:rsidRPr="00F64707">
        <w:rPr>
          <w:sz w:val="22"/>
          <w:szCs w:val="22"/>
        </w:rPr>
        <w:t xml:space="preserve">sa </w:t>
      </w:r>
      <w:r w:rsidRPr="00F64707">
        <w:rPr>
          <w:sz w:val="22"/>
          <w:szCs w:val="22"/>
        </w:rPr>
        <w:t>ženy, deti a</w:t>
      </w:r>
      <w:r w:rsidR="00AF2024" w:rsidRPr="00F64707">
        <w:rPr>
          <w:sz w:val="22"/>
          <w:szCs w:val="22"/>
        </w:rPr>
        <w:t> </w:t>
      </w:r>
      <w:r w:rsidRPr="00F64707">
        <w:rPr>
          <w:sz w:val="22"/>
          <w:szCs w:val="22"/>
        </w:rPr>
        <w:t>dospievajúci musia vyhnúť kontaktu s</w:t>
      </w:r>
      <w:r w:rsidR="002129A8" w:rsidRPr="00F64707">
        <w:rPr>
          <w:sz w:val="22"/>
          <w:szCs w:val="22"/>
        </w:rPr>
        <w:t> </w:t>
      </w:r>
      <w:r w:rsidRPr="00F64707">
        <w:rPr>
          <w:sz w:val="22"/>
          <w:szCs w:val="22"/>
        </w:rPr>
        <w:t xml:space="preserve"> kapsulami </w:t>
      </w:r>
      <w:r w:rsidR="00040751" w:rsidRPr="00F64707">
        <w:rPr>
          <w:sz w:val="22"/>
          <w:szCs w:val="22"/>
        </w:rPr>
        <w:t xml:space="preserve">s vytekajúcim obsahom </w:t>
      </w:r>
      <w:r w:rsidRPr="00F64707">
        <w:rPr>
          <w:sz w:val="22"/>
          <w:szCs w:val="22"/>
        </w:rPr>
        <w:t>(pozri časť</w:t>
      </w:r>
      <w:r w:rsidR="00AF2024" w:rsidRPr="00F64707">
        <w:rPr>
          <w:bCs/>
          <w:iCs/>
          <w:sz w:val="22"/>
          <w:szCs w:val="22"/>
        </w:rPr>
        <w:t xml:space="preserve"> </w:t>
      </w:r>
      <w:r w:rsidRPr="00F64707">
        <w:rPr>
          <w:sz w:val="22"/>
          <w:szCs w:val="22"/>
        </w:rPr>
        <w:t xml:space="preserve">4.6). Ak </w:t>
      </w:r>
      <w:r w:rsidR="00AF2024" w:rsidRPr="00F64707">
        <w:rPr>
          <w:sz w:val="22"/>
          <w:szCs w:val="22"/>
        </w:rPr>
        <w:t>dôjde</w:t>
      </w:r>
      <w:r w:rsidRPr="00F64707">
        <w:rPr>
          <w:sz w:val="22"/>
          <w:szCs w:val="22"/>
        </w:rPr>
        <w:t xml:space="preserve"> ku kontaktu s kapsulami</w:t>
      </w:r>
      <w:r w:rsidR="001A22C2" w:rsidRPr="00F64707">
        <w:rPr>
          <w:sz w:val="22"/>
          <w:szCs w:val="22"/>
        </w:rPr>
        <w:t xml:space="preserve"> s vytekajúcim obsahom</w:t>
      </w:r>
      <w:r w:rsidRPr="00F64707">
        <w:rPr>
          <w:sz w:val="22"/>
          <w:szCs w:val="22"/>
        </w:rPr>
        <w:t xml:space="preserve">, </w:t>
      </w:r>
      <w:r w:rsidR="00AF2024" w:rsidRPr="00F64707">
        <w:rPr>
          <w:sz w:val="22"/>
          <w:szCs w:val="22"/>
        </w:rPr>
        <w:t>postihnutá oblasť</w:t>
      </w:r>
      <w:r w:rsidRPr="00F64707">
        <w:rPr>
          <w:sz w:val="22"/>
          <w:szCs w:val="22"/>
        </w:rPr>
        <w:t xml:space="preserve"> </w:t>
      </w:r>
      <w:r w:rsidR="00AF2024" w:rsidRPr="00F64707">
        <w:rPr>
          <w:sz w:val="22"/>
          <w:szCs w:val="22"/>
        </w:rPr>
        <w:t>sa musí okamžite umyť mydlom a </w:t>
      </w:r>
      <w:r w:rsidRPr="00F64707">
        <w:rPr>
          <w:sz w:val="22"/>
          <w:szCs w:val="22"/>
        </w:rPr>
        <w:t>vodou.</w:t>
      </w:r>
    </w:p>
    <w:p w:rsidR="00D754C5" w:rsidRPr="00F64707" w:rsidRDefault="00D754C5" w:rsidP="00F64707">
      <w:pPr>
        <w:rPr>
          <w:sz w:val="22"/>
          <w:szCs w:val="22"/>
        </w:rPr>
      </w:pPr>
    </w:p>
    <w:p w:rsidR="00D754C5" w:rsidRPr="00F64707" w:rsidRDefault="00D754C5" w:rsidP="00F64707">
      <w:pPr>
        <w:keepNext/>
        <w:rPr>
          <w:i/>
          <w:iCs/>
          <w:sz w:val="22"/>
          <w:szCs w:val="22"/>
        </w:rPr>
      </w:pPr>
      <w:r w:rsidRPr="00F64707">
        <w:rPr>
          <w:i/>
          <w:iCs/>
          <w:sz w:val="22"/>
          <w:szCs w:val="22"/>
        </w:rPr>
        <w:t>Porucha funkcie pečene</w:t>
      </w:r>
      <w:r w:rsidR="00AF2024" w:rsidRPr="00F64707">
        <w:rPr>
          <w:i/>
          <w:iCs/>
          <w:sz w:val="22"/>
          <w:szCs w:val="22"/>
        </w:rPr>
        <w:t>:</w:t>
      </w:r>
    </w:p>
    <w:p w:rsidR="00D754C5" w:rsidRPr="00F64707" w:rsidRDefault="00D754C5" w:rsidP="00F64707">
      <w:pPr>
        <w:rPr>
          <w:sz w:val="22"/>
          <w:szCs w:val="22"/>
        </w:rPr>
      </w:pPr>
      <w:r w:rsidRPr="00F64707">
        <w:rPr>
          <w:sz w:val="22"/>
          <w:szCs w:val="22"/>
        </w:rPr>
        <w:t>Dutasterid sa neskúmal u pacientov s ochorením peč</w:t>
      </w:r>
      <w:r w:rsidR="00AF2024" w:rsidRPr="00F64707">
        <w:rPr>
          <w:sz w:val="22"/>
          <w:szCs w:val="22"/>
        </w:rPr>
        <w:t>ene. Dutasterid sa má podávať s </w:t>
      </w:r>
      <w:r w:rsidRPr="00F64707">
        <w:rPr>
          <w:sz w:val="22"/>
          <w:szCs w:val="22"/>
        </w:rPr>
        <w:t>opatrnosťou pacientom s miern</w:t>
      </w:r>
      <w:r w:rsidR="00A33200" w:rsidRPr="00F64707">
        <w:rPr>
          <w:sz w:val="22"/>
          <w:szCs w:val="22"/>
        </w:rPr>
        <w:t>ou</w:t>
      </w:r>
      <w:r w:rsidRPr="00F64707">
        <w:rPr>
          <w:sz w:val="22"/>
          <w:szCs w:val="22"/>
        </w:rPr>
        <w:t xml:space="preserve"> až stredne ťažk</w:t>
      </w:r>
      <w:r w:rsidR="00A33200" w:rsidRPr="00F64707">
        <w:rPr>
          <w:sz w:val="22"/>
          <w:szCs w:val="22"/>
        </w:rPr>
        <w:t>ou poruchou funkcie</w:t>
      </w:r>
      <w:r w:rsidRPr="00F64707">
        <w:rPr>
          <w:sz w:val="22"/>
          <w:szCs w:val="22"/>
        </w:rPr>
        <w:t xml:space="preserve"> pečene (pozri časť</w:t>
      </w:r>
      <w:r w:rsidR="00AF2024" w:rsidRPr="00F64707">
        <w:rPr>
          <w:bCs/>
          <w:iCs/>
          <w:sz w:val="22"/>
          <w:szCs w:val="22"/>
        </w:rPr>
        <w:t xml:space="preserve"> </w:t>
      </w:r>
      <w:r w:rsidRPr="00F64707">
        <w:rPr>
          <w:sz w:val="22"/>
          <w:szCs w:val="22"/>
        </w:rPr>
        <w:t>4.2, časť</w:t>
      </w:r>
      <w:r w:rsidR="00AF2024" w:rsidRPr="00F64707">
        <w:rPr>
          <w:bCs/>
          <w:iCs/>
          <w:sz w:val="22"/>
          <w:szCs w:val="22"/>
        </w:rPr>
        <w:t xml:space="preserve"> </w:t>
      </w:r>
      <w:r w:rsidRPr="00F64707">
        <w:rPr>
          <w:sz w:val="22"/>
          <w:szCs w:val="22"/>
        </w:rPr>
        <w:t>4.3 a</w:t>
      </w:r>
      <w:r w:rsidR="00AF2024" w:rsidRPr="00F64707">
        <w:rPr>
          <w:sz w:val="22"/>
          <w:szCs w:val="22"/>
        </w:rPr>
        <w:t> </w:t>
      </w:r>
      <w:r w:rsidRPr="00F64707">
        <w:rPr>
          <w:sz w:val="22"/>
          <w:szCs w:val="22"/>
        </w:rPr>
        <w:t>časť</w:t>
      </w:r>
      <w:r w:rsidR="00AF2024" w:rsidRPr="00F64707">
        <w:rPr>
          <w:bCs/>
          <w:iCs/>
          <w:sz w:val="22"/>
          <w:szCs w:val="22"/>
        </w:rPr>
        <w:t xml:space="preserve"> </w:t>
      </w:r>
      <w:r w:rsidRPr="00F64707">
        <w:rPr>
          <w:sz w:val="22"/>
          <w:szCs w:val="22"/>
        </w:rPr>
        <w:t>5.2).</w:t>
      </w:r>
    </w:p>
    <w:p w:rsidR="00D754C5" w:rsidRPr="00F64707" w:rsidRDefault="00D754C5" w:rsidP="00F64707">
      <w:pPr>
        <w:rPr>
          <w:sz w:val="22"/>
          <w:szCs w:val="22"/>
        </w:rPr>
      </w:pPr>
    </w:p>
    <w:p w:rsidR="00D754C5" w:rsidRPr="00F64707" w:rsidRDefault="002129A8" w:rsidP="00F64707">
      <w:pPr>
        <w:keepNext/>
        <w:rPr>
          <w:sz w:val="22"/>
          <w:szCs w:val="22"/>
        </w:rPr>
      </w:pPr>
      <w:r w:rsidRPr="00F64707">
        <w:rPr>
          <w:i/>
          <w:iCs/>
          <w:sz w:val="22"/>
          <w:szCs w:val="22"/>
        </w:rPr>
        <w:t>Neoplázia prsníkov</w:t>
      </w:r>
      <w:r w:rsidR="00AF2024" w:rsidRPr="00F64707">
        <w:rPr>
          <w:i/>
          <w:iCs/>
          <w:sz w:val="22"/>
          <w:szCs w:val="22"/>
        </w:rPr>
        <w:t>:</w:t>
      </w:r>
    </w:p>
    <w:p w:rsidR="008B37E8" w:rsidRPr="00F64707" w:rsidRDefault="008B37E8" w:rsidP="00F64707">
      <w:pPr>
        <w:rPr>
          <w:sz w:val="22"/>
          <w:szCs w:val="22"/>
        </w:rPr>
      </w:pPr>
      <w:r w:rsidRPr="00F64707">
        <w:rPr>
          <w:sz w:val="22"/>
          <w:szCs w:val="22"/>
        </w:rPr>
        <w:t xml:space="preserve">U mužov, ktorí užívali dutasterid v klinických </w:t>
      </w:r>
      <w:r w:rsidR="00AF2024" w:rsidRPr="00F64707">
        <w:rPr>
          <w:sz w:val="22"/>
          <w:szCs w:val="22"/>
        </w:rPr>
        <w:t xml:space="preserve">skúšaniach </w:t>
      </w:r>
      <w:r w:rsidR="0014134F" w:rsidRPr="00F64707">
        <w:rPr>
          <w:sz w:val="22"/>
          <w:szCs w:val="22"/>
        </w:rPr>
        <w:t>(pozri časť</w:t>
      </w:r>
      <w:r w:rsidR="00AF2024" w:rsidRPr="00F64707">
        <w:rPr>
          <w:sz w:val="22"/>
          <w:szCs w:val="22"/>
        </w:rPr>
        <w:t xml:space="preserve"> </w:t>
      </w:r>
      <w:r w:rsidR="0014134F" w:rsidRPr="00F64707">
        <w:rPr>
          <w:sz w:val="22"/>
          <w:szCs w:val="22"/>
        </w:rPr>
        <w:t xml:space="preserve">5.1) </w:t>
      </w:r>
      <w:r w:rsidRPr="00F64707">
        <w:rPr>
          <w:sz w:val="22"/>
          <w:szCs w:val="22"/>
        </w:rPr>
        <w:t>a v období po uvedení lieku na</w:t>
      </w:r>
      <w:r w:rsidR="0014134F" w:rsidRPr="00F64707">
        <w:rPr>
          <w:sz w:val="22"/>
          <w:szCs w:val="22"/>
        </w:rPr>
        <w:t> </w:t>
      </w:r>
      <w:r w:rsidRPr="00F64707">
        <w:rPr>
          <w:sz w:val="22"/>
          <w:szCs w:val="22"/>
        </w:rPr>
        <w:t>trh</w:t>
      </w:r>
      <w:r w:rsidR="00AF2024" w:rsidRPr="00F64707">
        <w:rPr>
          <w:sz w:val="22"/>
          <w:szCs w:val="22"/>
        </w:rPr>
        <w:t xml:space="preserve"> sa </w:t>
      </w:r>
      <w:r w:rsidRPr="00F64707">
        <w:rPr>
          <w:sz w:val="22"/>
          <w:szCs w:val="22"/>
        </w:rPr>
        <w:t>hlás</w:t>
      </w:r>
      <w:r w:rsidR="00AF2024" w:rsidRPr="00F64707">
        <w:rPr>
          <w:sz w:val="22"/>
          <w:szCs w:val="22"/>
        </w:rPr>
        <w:t>il</w:t>
      </w:r>
      <w:r w:rsidR="00243015" w:rsidRPr="00F64707">
        <w:rPr>
          <w:sz w:val="22"/>
          <w:szCs w:val="22"/>
        </w:rPr>
        <w:t xml:space="preserve"> karcinóm</w:t>
      </w:r>
      <w:r w:rsidRPr="00F64707">
        <w:rPr>
          <w:sz w:val="22"/>
          <w:szCs w:val="22"/>
        </w:rPr>
        <w:t xml:space="preserve"> prsníka. Lekári majú poučiť svojich pacientov, aby okamžite hlásili akékoľvek zmeny v tkanive prsníka, ak</w:t>
      </w:r>
      <w:r w:rsidR="00AF2024" w:rsidRPr="00F64707">
        <w:rPr>
          <w:sz w:val="22"/>
          <w:szCs w:val="22"/>
        </w:rPr>
        <w:t>o</w:t>
      </w:r>
      <w:r w:rsidRPr="00F64707">
        <w:rPr>
          <w:sz w:val="22"/>
          <w:szCs w:val="22"/>
        </w:rPr>
        <w:t xml:space="preserve"> sú hrčky alebo výtok z bradaviek. </w:t>
      </w:r>
      <w:r w:rsidR="002129A8" w:rsidRPr="00F64707">
        <w:rPr>
          <w:sz w:val="22"/>
          <w:szCs w:val="22"/>
        </w:rPr>
        <w:t>V súčasnosti nie je jasné, či je medzi výsk</w:t>
      </w:r>
      <w:r w:rsidR="00243015" w:rsidRPr="00F64707">
        <w:rPr>
          <w:sz w:val="22"/>
          <w:szCs w:val="22"/>
        </w:rPr>
        <w:t>ytom karcinómu</w:t>
      </w:r>
      <w:r w:rsidR="00AF2024" w:rsidRPr="00F64707">
        <w:rPr>
          <w:sz w:val="22"/>
          <w:szCs w:val="22"/>
        </w:rPr>
        <w:t xml:space="preserve"> prsníka u mužov a </w:t>
      </w:r>
      <w:r w:rsidR="002129A8" w:rsidRPr="00F64707">
        <w:rPr>
          <w:sz w:val="22"/>
          <w:szCs w:val="22"/>
        </w:rPr>
        <w:t>dlhodobým používaním dutasteridu príčinný vzťah</w:t>
      </w:r>
      <w:r w:rsidRPr="00F64707">
        <w:rPr>
          <w:sz w:val="22"/>
          <w:szCs w:val="22"/>
        </w:rPr>
        <w:t>.</w:t>
      </w:r>
    </w:p>
    <w:p w:rsidR="00103BBA" w:rsidRPr="00F64707" w:rsidRDefault="00103BBA" w:rsidP="00F64707">
      <w:pPr>
        <w:rPr>
          <w:sz w:val="22"/>
          <w:szCs w:val="22"/>
        </w:rPr>
      </w:pPr>
    </w:p>
    <w:p w:rsidR="00103BBA" w:rsidRPr="00F64707" w:rsidRDefault="00103BBA" w:rsidP="00F64707">
      <w:pPr>
        <w:rPr>
          <w:sz w:val="22"/>
          <w:szCs w:val="22"/>
        </w:rPr>
      </w:pPr>
      <w:r w:rsidRPr="00F64707">
        <w:rPr>
          <w:sz w:val="22"/>
          <w:szCs w:val="22"/>
        </w:rPr>
        <w:t>Tento liek obsahuje lecitín pochádzajúci zo sójového oleja. Ak ste alergický na arašidy alebo sóju, neužívajte tento liek (pozri časť 4.3).</w:t>
      </w:r>
    </w:p>
    <w:p w:rsidR="008B37E8" w:rsidRPr="00F64707" w:rsidRDefault="008B37E8" w:rsidP="00F64707">
      <w:pPr>
        <w:rPr>
          <w:sz w:val="22"/>
          <w:szCs w:val="22"/>
        </w:rPr>
      </w:pPr>
    </w:p>
    <w:p w:rsidR="00F1304A" w:rsidRPr="00F64707" w:rsidRDefault="00F1304A" w:rsidP="00F64707">
      <w:pPr>
        <w:keepNext/>
        <w:keepLines/>
        <w:ind w:left="567" w:hanging="567"/>
        <w:rPr>
          <w:b/>
          <w:sz w:val="22"/>
          <w:szCs w:val="22"/>
        </w:rPr>
      </w:pPr>
      <w:r w:rsidRPr="00F64707">
        <w:rPr>
          <w:b/>
          <w:sz w:val="22"/>
          <w:szCs w:val="22"/>
        </w:rPr>
        <w:t>4.5</w:t>
      </w:r>
      <w:r w:rsidRPr="00F64707">
        <w:rPr>
          <w:b/>
          <w:sz w:val="22"/>
          <w:szCs w:val="22"/>
        </w:rPr>
        <w:tab/>
        <w:t>Liekové a</w:t>
      </w:r>
      <w:r w:rsidR="00AF2024" w:rsidRPr="00F64707">
        <w:rPr>
          <w:b/>
          <w:sz w:val="22"/>
          <w:szCs w:val="22"/>
        </w:rPr>
        <w:t> </w:t>
      </w:r>
      <w:r w:rsidRPr="00F64707">
        <w:rPr>
          <w:b/>
          <w:sz w:val="22"/>
          <w:szCs w:val="22"/>
        </w:rPr>
        <w:t>iné interakcie</w:t>
      </w:r>
    </w:p>
    <w:p w:rsidR="00F1304A" w:rsidRPr="00F64707" w:rsidRDefault="00F1304A" w:rsidP="00F64707">
      <w:pPr>
        <w:keepNext/>
        <w:keepLines/>
        <w:rPr>
          <w:sz w:val="22"/>
          <w:szCs w:val="22"/>
        </w:rPr>
      </w:pPr>
    </w:p>
    <w:p w:rsidR="00F1304A" w:rsidRPr="00F64707" w:rsidRDefault="00F1304A" w:rsidP="00F64707">
      <w:pPr>
        <w:keepLines/>
        <w:rPr>
          <w:sz w:val="22"/>
          <w:szCs w:val="22"/>
        </w:rPr>
      </w:pPr>
      <w:r w:rsidRPr="00F64707">
        <w:rPr>
          <w:sz w:val="22"/>
          <w:szCs w:val="22"/>
        </w:rPr>
        <w:t xml:space="preserve">Informáciu o znížení hladín PSA </w:t>
      </w:r>
      <w:r w:rsidR="00AF2024" w:rsidRPr="00F64707">
        <w:rPr>
          <w:sz w:val="22"/>
          <w:szCs w:val="22"/>
        </w:rPr>
        <w:t xml:space="preserve">v sére </w:t>
      </w:r>
      <w:r w:rsidRPr="00F64707">
        <w:rPr>
          <w:sz w:val="22"/>
          <w:szCs w:val="22"/>
        </w:rPr>
        <w:t xml:space="preserve">počas liečby dutasteridom a odporúčania týkajúce sa detekcie </w:t>
      </w:r>
      <w:r w:rsidR="00243015" w:rsidRPr="00F64707">
        <w:rPr>
          <w:sz w:val="22"/>
          <w:szCs w:val="22"/>
        </w:rPr>
        <w:t>karcinómu</w:t>
      </w:r>
      <w:r w:rsidRPr="00F64707">
        <w:rPr>
          <w:sz w:val="22"/>
          <w:szCs w:val="22"/>
        </w:rPr>
        <w:t xml:space="preserve"> prostaty, pozri časť</w:t>
      </w:r>
      <w:r w:rsidR="00AF2024" w:rsidRPr="00F64707">
        <w:rPr>
          <w:sz w:val="22"/>
          <w:szCs w:val="22"/>
        </w:rPr>
        <w:t xml:space="preserve"> </w:t>
      </w:r>
      <w:r w:rsidRPr="00F64707">
        <w:rPr>
          <w:sz w:val="22"/>
          <w:szCs w:val="22"/>
        </w:rPr>
        <w:t>4.4.</w:t>
      </w:r>
    </w:p>
    <w:p w:rsidR="00F1304A" w:rsidRPr="00F64707" w:rsidRDefault="00F1304A" w:rsidP="00F64707">
      <w:pPr>
        <w:rPr>
          <w:sz w:val="22"/>
          <w:szCs w:val="22"/>
        </w:rPr>
      </w:pPr>
    </w:p>
    <w:p w:rsidR="00F1304A" w:rsidRPr="00F64707" w:rsidRDefault="00F1304A" w:rsidP="00F64707">
      <w:pPr>
        <w:pStyle w:val="Nadpis2"/>
        <w:rPr>
          <w:rFonts w:ascii="Times New Roman" w:hAnsi="Times New Roman"/>
          <w:sz w:val="22"/>
          <w:szCs w:val="22"/>
        </w:rPr>
      </w:pPr>
      <w:r w:rsidRPr="00F64707">
        <w:rPr>
          <w:rFonts w:ascii="Times New Roman" w:hAnsi="Times New Roman"/>
          <w:sz w:val="22"/>
          <w:szCs w:val="22"/>
        </w:rPr>
        <w:t>Účinky iných liekov na farmakokinetiku dutasteridu</w:t>
      </w:r>
    </w:p>
    <w:p w:rsidR="00F1304A" w:rsidRPr="00F64707" w:rsidRDefault="00F1304A" w:rsidP="00F64707">
      <w:pPr>
        <w:keepNext/>
        <w:rPr>
          <w:i/>
          <w:sz w:val="22"/>
          <w:szCs w:val="22"/>
        </w:rPr>
      </w:pPr>
    </w:p>
    <w:p w:rsidR="00F1304A" w:rsidRPr="00F64707" w:rsidRDefault="00EE69DA" w:rsidP="00F64707">
      <w:pPr>
        <w:keepNext/>
        <w:rPr>
          <w:i/>
          <w:sz w:val="22"/>
          <w:szCs w:val="22"/>
        </w:rPr>
      </w:pPr>
      <w:r w:rsidRPr="00F64707">
        <w:rPr>
          <w:i/>
          <w:sz w:val="22"/>
          <w:szCs w:val="22"/>
        </w:rPr>
        <w:t>Použitie spolu s </w:t>
      </w:r>
      <w:r w:rsidR="00F1304A" w:rsidRPr="00F64707">
        <w:rPr>
          <w:i/>
          <w:sz w:val="22"/>
          <w:szCs w:val="22"/>
        </w:rPr>
        <w:t>inhibítormi CYP3A4 a/alebo inhibítormi P</w:t>
      </w:r>
      <w:r w:rsidR="006F7836" w:rsidRPr="00F64707">
        <w:rPr>
          <w:i/>
          <w:sz w:val="22"/>
          <w:szCs w:val="22"/>
        </w:rPr>
        <w:noBreakHyphen/>
      </w:r>
      <w:r w:rsidR="00F1304A" w:rsidRPr="00F64707">
        <w:rPr>
          <w:i/>
          <w:sz w:val="22"/>
          <w:szCs w:val="22"/>
        </w:rPr>
        <w:t>glykoproteínu:</w:t>
      </w:r>
    </w:p>
    <w:p w:rsidR="00F1304A" w:rsidRPr="00F64707" w:rsidRDefault="00F1304A"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 xml:space="preserve">Dutasterid je </w:t>
      </w:r>
      <w:r w:rsidR="009832ED" w:rsidRPr="00F64707">
        <w:rPr>
          <w:rFonts w:ascii="Times New Roman" w:hAnsi="Times New Roman"/>
          <w:sz w:val="22"/>
          <w:szCs w:val="22"/>
          <w:lang w:val="sk-SK"/>
        </w:rPr>
        <w:t xml:space="preserve">eliminovaný </w:t>
      </w:r>
      <w:r w:rsidR="00312384" w:rsidRPr="00F64707">
        <w:rPr>
          <w:rFonts w:ascii="Times New Roman" w:hAnsi="Times New Roman"/>
          <w:sz w:val="22"/>
          <w:szCs w:val="22"/>
          <w:lang w:val="sk-SK"/>
        </w:rPr>
        <w:t>predovšetkým</w:t>
      </w:r>
      <w:r w:rsidRPr="00F64707">
        <w:rPr>
          <w:rFonts w:ascii="Times New Roman" w:hAnsi="Times New Roman"/>
          <w:sz w:val="22"/>
          <w:szCs w:val="22"/>
          <w:lang w:val="sk-SK"/>
        </w:rPr>
        <w:t xml:space="preserve"> metabolizmom. </w:t>
      </w:r>
      <w:r w:rsidR="00D23CB7" w:rsidRPr="00F64707">
        <w:rPr>
          <w:rFonts w:ascii="Times New Roman" w:hAnsi="Times New Roman"/>
          <w:i/>
          <w:sz w:val="22"/>
          <w:szCs w:val="22"/>
          <w:lang w:val="sk-SK"/>
        </w:rPr>
        <w:t xml:space="preserve">In vitro </w:t>
      </w:r>
      <w:r w:rsidR="00D23CB7" w:rsidRPr="00F64707">
        <w:rPr>
          <w:rFonts w:ascii="Times New Roman" w:hAnsi="Times New Roman"/>
          <w:sz w:val="22"/>
          <w:szCs w:val="22"/>
          <w:lang w:val="sk-SK"/>
        </w:rPr>
        <w:t>š</w:t>
      </w:r>
      <w:r w:rsidR="00EE69DA" w:rsidRPr="00F64707">
        <w:rPr>
          <w:rFonts w:ascii="Times New Roman" w:hAnsi="Times New Roman"/>
          <w:sz w:val="22"/>
          <w:szCs w:val="22"/>
          <w:lang w:val="sk-SK"/>
        </w:rPr>
        <w:t xml:space="preserve">túdie </w:t>
      </w:r>
      <w:r w:rsidRPr="00F64707">
        <w:rPr>
          <w:rFonts w:ascii="Times New Roman" w:hAnsi="Times New Roman"/>
          <w:sz w:val="22"/>
          <w:szCs w:val="22"/>
          <w:lang w:val="sk-SK"/>
        </w:rPr>
        <w:t>ukazujú, že tento metabolizmus je katalyzovaný prostredníctvom CYP3A4 a</w:t>
      </w:r>
      <w:r w:rsidR="00EE69DA" w:rsidRPr="00F64707">
        <w:rPr>
          <w:rFonts w:ascii="Times New Roman" w:hAnsi="Times New Roman"/>
          <w:sz w:val="22"/>
          <w:szCs w:val="22"/>
          <w:lang w:val="sk-SK"/>
        </w:rPr>
        <w:t> </w:t>
      </w:r>
      <w:r w:rsidRPr="00F64707">
        <w:rPr>
          <w:rFonts w:ascii="Times New Roman" w:hAnsi="Times New Roman"/>
          <w:sz w:val="22"/>
          <w:szCs w:val="22"/>
          <w:lang w:val="sk-SK"/>
        </w:rPr>
        <w:t>CYP3A5. Neuskutočnili sa žiad</w:t>
      </w:r>
      <w:r w:rsidR="00EE69DA" w:rsidRPr="00F64707">
        <w:rPr>
          <w:rFonts w:ascii="Times New Roman" w:hAnsi="Times New Roman"/>
          <w:sz w:val="22"/>
          <w:szCs w:val="22"/>
          <w:lang w:val="sk-SK"/>
        </w:rPr>
        <w:t xml:space="preserve">ne formálne interakčné štúdie so silnými </w:t>
      </w:r>
      <w:r w:rsidRPr="00F64707">
        <w:rPr>
          <w:rFonts w:ascii="Times New Roman" w:hAnsi="Times New Roman"/>
          <w:sz w:val="22"/>
          <w:szCs w:val="22"/>
          <w:lang w:val="sk-SK"/>
        </w:rPr>
        <w:t>inhibítormi CYP3A4. V populačnej farmakokinetickej štúdii však boli sérové koncentrácie dutasteridu v priemere 1,6</w:t>
      </w:r>
      <w:r w:rsidR="00EE69DA" w:rsidRPr="00F64707">
        <w:rPr>
          <w:rFonts w:ascii="Times New Roman" w:hAnsi="Times New Roman"/>
          <w:sz w:val="22"/>
          <w:szCs w:val="22"/>
          <w:lang w:val="sk-SK"/>
        </w:rPr>
        <w:t xml:space="preserve"> </w:t>
      </w:r>
      <w:r w:rsidRPr="00F64707">
        <w:rPr>
          <w:rFonts w:ascii="Times New Roman" w:hAnsi="Times New Roman"/>
          <w:sz w:val="22"/>
          <w:szCs w:val="22"/>
          <w:lang w:val="sk-SK"/>
        </w:rPr>
        <w:t>až</w:t>
      </w:r>
      <w:r w:rsidR="006F7836" w:rsidRPr="00F64707">
        <w:rPr>
          <w:rFonts w:ascii="Times New Roman" w:hAnsi="Times New Roman"/>
          <w:sz w:val="22"/>
          <w:szCs w:val="22"/>
          <w:lang w:val="sk-SK"/>
        </w:rPr>
        <w:t> </w:t>
      </w:r>
      <w:r w:rsidRPr="00F64707">
        <w:rPr>
          <w:rFonts w:ascii="Times New Roman" w:hAnsi="Times New Roman"/>
          <w:sz w:val="22"/>
          <w:szCs w:val="22"/>
          <w:lang w:val="sk-SK"/>
        </w:rPr>
        <w:t>1,8</w:t>
      </w:r>
      <w:r w:rsidR="00EE69DA" w:rsidRPr="00F64707">
        <w:rPr>
          <w:rFonts w:ascii="Times New Roman" w:hAnsi="Times New Roman"/>
          <w:sz w:val="22"/>
          <w:szCs w:val="22"/>
          <w:lang w:val="sk-SK"/>
        </w:rPr>
        <w:t>-násobne vyššie u </w:t>
      </w:r>
      <w:r w:rsidRPr="00F64707">
        <w:rPr>
          <w:rFonts w:ascii="Times New Roman" w:hAnsi="Times New Roman"/>
          <w:sz w:val="22"/>
          <w:szCs w:val="22"/>
          <w:lang w:val="sk-SK"/>
        </w:rPr>
        <w:t>malého počtu pacientov liečených súčasne verapamilom alebo diltiazemom (</w:t>
      </w:r>
      <w:r w:rsidR="00EE69DA" w:rsidRPr="00F64707">
        <w:rPr>
          <w:rFonts w:ascii="Times New Roman" w:hAnsi="Times New Roman"/>
          <w:sz w:val="22"/>
          <w:szCs w:val="22"/>
          <w:lang w:val="sk-SK"/>
        </w:rPr>
        <w:t>stredne silné inhibítory CYP3A4 a </w:t>
      </w:r>
      <w:r w:rsidRPr="00F64707">
        <w:rPr>
          <w:rFonts w:ascii="Times New Roman" w:hAnsi="Times New Roman"/>
          <w:sz w:val="22"/>
          <w:szCs w:val="22"/>
          <w:lang w:val="sk-SK"/>
        </w:rPr>
        <w:t>inhibítory P</w:t>
      </w:r>
      <w:r w:rsidR="00D23CB7" w:rsidRPr="00F64707">
        <w:rPr>
          <w:rFonts w:ascii="Times New Roman" w:hAnsi="Times New Roman"/>
          <w:sz w:val="22"/>
          <w:szCs w:val="22"/>
          <w:lang w:val="sk-SK"/>
        </w:rPr>
        <w:t>-glykoproteínu) ako u </w:t>
      </w:r>
      <w:r w:rsidRPr="00F64707">
        <w:rPr>
          <w:rFonts w:ascii="Times New Roman" w:hAnsi="Times New Roman"/>
          <w:sz w:val="22"/>
          <w:szCs w:val="22"/>
          <w:lang w:val="sk-SK"/>
        </w:rPr>
        <w:t>iných pacientov.</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 xml:space="preserve">Dlhodobá kombinácia dutasteridu </w:t>
      </w:r>
      <w:r w:rsidR="00EE69DA" w:rsidRPr="00F64707">
        <w:rPr>
          <w:rFonts w:ascii="Times New Roman" w:hAnsi="Times New Roman"/>
          <w:sz w:val="22"/>
          <w:szCs w:val="22"/>
          <w:lang w:val="sk-SK"/>
        </w:rPr>
        <w:t xml:space="preserve">s liekmi, </w:t>
      </w:r>
      <w:r w:rsidRPr="00F64707">
        <w:rPr>
          <w:rFonts w:ascii="Times New Roman" w:hAnsi="Times New Roman"/>
          <w:sz w:val="22"/>
          <w:szCs w:val="22"/>
          <w:lang w:val="sk-SK"/>
        </w:rPr>
        <w:t xml:space="preserve">ktoré sú </w:t>
      </w:r>
      <w:r w:rsidR="00EE69DA" w:rsidRPr="00F64707">
        <w:rPr>
          <w:rFonts w:ascii="Times New Roman" w:hAnsi="Times New Roman"/>
          <w:sz w:val="22"/>
          <w:szCs w:val="22"/>
          <w:lang w:val="sk-SK"/>
        </w:rPr>
        <w:t>silnými</w:t>
      </w:r>
      <w:r w:rsidRPr="00F64707">
        <w:rPr>
          <w:rFonts w:ascii="Times New Roman" w:hAnsi="Times New Roman"/>
          <w:sz w:val="22"/>
          <w:szCs w:val="22"/>
          <w:lang w:val="sk-SK"/>
        </w:rPr>
        <w:t xml:space="preserve"> </w:t>
      </w:r>
      <w:r w:rsidR="00312384" w:rsidRPr="00F64707">
        <w:rPr>
          <w:rFonts w:ascii="Times New Roman" w:hAnsi="Times New Roman"/>
          <w:sz w:val="22"/>
          <w:szCs w:val="22"/>
          <w:lang w:val="sk-SK"/>
        </w:rPr>
        <w:t>inhibítormi</w:t>
      </w:r>
      <w:r w:rsidRPr="00F64707">
        <w:rPr>
          <w:rFonts w:ascii="Times New Roman" w:hAnsi="Times New Roman"/>
          <w:sz w:val="22"/>
          <w:szCs w:val="22"/>
          <w:lang w:val="sk-SK"/>
        </w:rPr>
        <w:t xml:space="preserve"> enzýmu CYP3A4 (napr</w:t>
      </w:r>
      <w:r w:rsidR="006D712F" w:rsidRPr="00F64707">
        <w:rPr>
          <w:rFonts w:ascii="Times New Roman" w:hAnsi="Times New Roman"/>
          <w:sz w:val="22"/>
          <w:szCs w:val="22"/>
          <w:lang w:val="sk-SK"/>
        </w:rPr>
        <w:t>. perorálne podávaný ritonavir, indinavir, nefazodó</w:t>
      </w:r>
      <w:r w:rsidRPr="00F64707">
        <w:rPr>
          <w:rFonts w:ascii="Times New Roman" w:hAnsi="Times New Roman"/>
          <w:sz w:val="22"/>
          <w:szCs w:val="22"/>
          <w:lang w:val="sk-SK"/>
        </w:rPr>
        <w:t>n, itrakonazol, ketokonazol) môže zvýšiť sérové koncentrácie dutasteridu. Ďalšia inhibícia 5</w:t>
      </w:r>
      <w:r w:rsidR="006D712F" w:rsidRPr="00F64707">
        <w:rPr>
          <w:rFonts w:ascii="Times New Roman" w:hAnsi="Times New Roman"/>
          <w:sz w:val="22"/>
          <w:szCs w:val="22"/>
          <w:lang w:val="sk-SK"/>
        </w:rPr>
        <w:t>-</w:t>
      </w:r>
      <w:r w:rsidRPr="00F64707">
        <w:rPr>
          <w:rFonts w:ascii="Times New Roman" w:hAnsi="Times New Roman"/>
          <w:sz w:val="22"/>
          <w:szCs w:val="22"/>
          <w:lang w:val="sk-SK"/>
        </w:rPr>
        <w:t>alfa</w:t>
      </w:r>
      <w:r w:rsidR="006D712F" w:rsidRPr="00F64707">
        <w:rPr>
          <w:rFonts w:ascii="Times New Roman" w:hAnsi="Times New Roman"/>
          <w:sz w:val="22"/>
          <w:szCs w:val="22"/>
          <w:lang w:val="sk-SK"/>
        </w:rPr>
        <w:t>-</w:t>
      </w:r>
      <w:r w:rsidRPr="00F64707">
        <w:rPr>
          <w:rFonts w:ascii="Times New Roman" w:hAnsi="Times New Roman"/>
          <w:sz w:val="22"/>
          <w:szCs w:val="22"/>
          <w:lang w:val="sk-SK"/>
        </w:rPr>
        <w:t xml:space="preserve">reduktázy pri zvýšenej expozícii dutasteridu nie je pravdepodobná. </w:t>
      </w:r>
      <w:r w:rsidR="006D712F" w:rsidRPr="00F64707">
        <w:rPr>
          <w:rFonts w:ascii="Times New Roman" w:hAnsi="Times New Roman"/>
          <w:sz w:val="22"/>
          <w:szCs w:val="22"/>
          <w:lang w:val="sk-SK"/>
        </w:rPr>
        <w:t>A</w:t>
      </w:r>
      <w:r w:rsidRPr="00F64707">
        <w:rPr>
          <w:rFonts w:ascii="Times New Roman" w:hAnsi="Times New Roman"/>
          <w:sz w:val="22"/>
          <w:szCs w:val="22"/>
          <w:lang w:val="sk-SK"/>
        </w:rPr>
        <w:t xml:space="preserve">k sa </w:t>
      </w:r>
      <w:r w:rsidR="006D712F" w:rsidRPr="00F64707">
        <w:rPr>
          <w:rFonts w:ascii="Times New Roman" w:hAnsi="Times New Roman"/>
          <w:sz w:val="22"/>
          <w:szCs w:val="22"/>
          <w:lang w:val="sk-SK"/>
        </w:rPr>
        <w:t xml:space="preserve">však </w:t>
      </w:r>
      <w:r w:rsidRPr="00F64707">
        <w:rPr>
          <w:rFonts w:ascii="Times New Roman" w:hAnsi="Times New Roman"/>
          <w:sz w:val="22"/>
          <w:szCs w:val="22"/>
          <w:lang w:val="sk-SK"/>
        </w:rPr>
        <w:t>spozorujú vedľajšie účinky</w:t>
      </w:r>
      <w:r w:rsidR="006D712F" w:rsidRPr="00F64707">
        <w:rPr>
          <w:rFonts w:ascii="Times New Roman" w:hAnsi="Times New Roman"/>
          <w:sz w:val="22"/>
          <w:szCs w:val="22"/>
          <w:lang w:val="sk-SK"/>
        </w:rPr>
        <w:t>, môže sa zvážiť zníženie frekvencie dávkovania</w:t>
      </w:r>
      <w:r w:rsidRPr="00F64707">
        <w:rPr>
          <w:rFonts w:ascii="Times New Roman" w:hAnsi="Times New Roman"/>
          <w:sz w:val="22"/>
          <w:szCs w:val="22"/>
          <w:lang w:val="sk-SK"/>
        </w:rPr>
        <w:t>. Je potrebné vziať na vedomie, že v prípade inhibície enzýmu sa mô</w:t>
      </w:r>
      <w:r w:rsidR="006D712F" w:rsidRPr="00F64707">
        <w:rPr>
          <w:rFonts w:ascii="Times New Roman" w:hAnsi="Times New Roman"/>
          <w:sz w:val="22"/>
          <w:szCs w:val="22"/>
          <w:lang w:val="sk-SK"/>
        </w:rPr>
        <w:t>že dlhý polčas ešte viac predĺžiť a </w:t>
      </w:r>
      <w:r w:rsidRPr="00F64707">
        <w:rPr>
          <w:rFonts w:ascii="Times New Roman" w:hAnsi="Times New Roman"/>
          <w:sz w:val="22"/>
          <w:szCs w:val="22"/>
          <w:lang w:val="sk-SK"/>
        </w:rPr>
        <w:t>môže trvať viac ako 6</w:t>
      </w:r>
      <w:r w:rsidR="009E5378" w:rsidRPr="00F64707">
        <w:rPr>
          <w:rFonts w:ascii="Times New Roman" w:hAnsi="Times New Roman"/>
          <w:sz w:val="22"/>
          <w:szCs w:val="22"/>
          <w:lang w:val="sk-SK"/>
        </w:rPr>
        <w:t> </w:t>
      </w:r>
      <w:r w:rsidRPr="00F64707">
        <w:rPr>
          <w:rFonts w:ascii="Times New Roman" w:hAnsi="Times New Roman"/>
          <w:sz w:val="22"/>
          <w:szCs w:val="22"/>
          <w:lang w:val="sk-SK"/>
        </w:rPr>
        <w:t xml:space="preserve">mesiacov súbežnej liečby, kým sa dosiahne nový </w:t>
      </w:r>
      <w:r w:rsidR="006D712F" w:rsidRPr="00F64707">
        <w:rPr>
          <w:rFonts w:ascii="Times New Roman" w:hAnsi="Times New Roman"/>
          <w:sz w:val="22"/>
          <w:szCs w:val="22"/>
          <w:lang w:val="sk-SK"/>
        </w:rPr>
        <w:t>rovnovážny</w:t>
      </w:r>
      <w:r w:rsidRPr="00F64707">
        <w:rPr>
          <w:rFonts w:ascii="Times New Roman" w:hAnsi="Times New Roman"/>
          <w:sz w:val="22"/>
          <w:szCs w:val="22"/>
          <w:lang w:val="sk-SK"/>
        </w:rPr>
        <w:t xml:space="preserve"> stav.</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Podávanie 12</w:t>
      </w:r>
      <w:r w:rsidR="009E5378" w:rsidRPr="00F64707">
        <w:rPr>
          <w:rFonts w:ascii="Times New Roman" w:hAnsi="Times New Roman"/>
          <w:sz w:val="22"/>
          <w:szCs w:val="22"/>
          <w:lang w:val="sk-SK"/>
        </w:rPr>
        <w:t> </w:t>
      </w:r>
      <w:r w:rsidRPr="00F64707">
        <w:rPr>
          <w:rFonts w:ascii="Times New Roman" w:hAnsi="Times New Roman"/>
          <w:sz w:val="22"/>
          <w:szCs w:val="22"/>
          <w:lang w:val="sk-SK"/>
        </w:rPr>
        <w:t>g cholestyramínu hodinu p</w:t>
      </w:r>
      <w:r w:rsidR="00471C07" w:rsidRPr="00F64707">
        <w:rPr>
          <w:rFonts w:ascii="Times New Roman" w:hAnsi="Times New Roman"/>
          <w:sz w:val="22"/>
          <w:szCs w:val="22"/>
          <w:lang w:val="sk-SK"/>
        </w:rPr>
        <w:t>o</w:t>
      </w:r>
      <w:r w:rsidRPr="00F64707">
        <w:rPr>
          <w:rFonts w:ascii="Times New Roman" w:hAnsi="Times New Roman"/>
          <w:sz w:val="22"/>
          <w:szCs w:val="22"/>
          <w:lang w:val="sk-SK"/>
        </w:rPr>
        <w:t xml:space="preserve"> podaní 5</w:t>
      </w:r>
      <w:r w:rsidR="009E5378" w:rsidRPr="00F64707">
        <w:rPr>
          <w:rFonts w:ascii="Times New Roman" w:hAnsi="Times New Roman"/>
          <w:sz w:val="22"/>
          <w:szCs w:val="22"/>
          <w:lang w:val="sk-SK"/>
        </w:rPr>
        <w:t> </w:t>
      </w:r>
      <w:r w:rsidRPr="00F64707">
        <w:rPr>
          <w:rFonts w:ascii="Times New Roman" w:hAnsi="Times New Roman"/>
          <w:sz w:val="22"/>
          <w:szCs w:val="22"/>
          <w:lang w:val="sk-SK"/>
        </w:rPr>
        <w:t>mg jednorazovej dávky dutasteridu nem</w:t>
      </w:r>
      <w:r w:rsidR="00D23CB7" w:rsidRPr="00F64707">
        <w:rPr>
          <w:rFonts w:ascii="Times New Roman" w:hAnsi="Times New Roman"/>
          <w:sz w:val="22"/>
          <w:szCs w:val="22"/>
          <w:lang w:val="sk-SK"/>
        </w:rPr>
        <w:t>alo</w:t>
      </w:r>
      <w:r w:rsidRPr="00F64707">
        <w:rPr>
          <w:rFonts w:ascii="Times New Roman" w:hAnsi="Times New Roman"/>
          <w:sz w:val="22"/>
          <w:szCs w:val="22"/>
          <w:lang w:val="sk-SK"/>
        </w:rPr>
        <w:t xml:space="preserve"> vplyv na</w:t>
      </w:r>
      <w:r w:rsidR="006D712F" w:rsidRPr="00F64707">
        <w:rPr>
          <w:rFonts w:ascii="Times New Roman" w:hAnsi="Times New Roman"/>
          <w:sz w:val="22"/>
          <w:szCs w:val="22"/>
          <w:lang w:val="sk-SK"/>
        </w:rPr>
        <w:t xml:space="preserve"> </w:t>
      </w:r>
      <w:r w:rsidRPr="00F64707">
        <w:rPr>
          <w:rFonts w:ascii="Times New Roman" w:hAnsi="Times New Roman"/>
          <w:sz w:val="22"/>
          <w:szCs w:val="22"/>
          <w:lang w:val="sk-SK"/>
        </w:rPr>
        <w:t>farmakokinetiku dutasteridu.</w:t>
      </w:r>
    </w:p>
    <w:p w:rsidR="00F1304A" w:rsidRPr="00F64707" w:rsidRDefault="00F1304A" w:rsidP="00F64707">
      <w:pPr>
        <w:pStyle w:val="Pta"/>
        <w:tabs>
          <w:tab w:val="clear" w:pos="4320"/>
          <w:tab w:val="clear" w:pos="8640"/>
        </w:tabs>
        <w:rPr>
          <w:rFonts w:ascii="Times New Roman" w:hAnsi="Times New Roman"/>
          <w:i/>
          <w:sz w:val="22"/>
          <w:szCs w:val="22"/>
          <w:lang w:val="sk-SK"/>
        </w:rPr>
      </w:pPr>
    </w:p>
    <w:p w:rsidR="00F1304A" w:rsidRPr="00F64707" w:rsidRDefault="00F1304A" w:rsidP="00F64707">
      <w:pPr>
        <w:pStyle w:val="Pta"/>
        <w:keepNext/>
        <w:tabs>
          <w:tab w:val="clear" w:pos="4320"/>
          <w:tab w:val="clear" w:pos="8640"/>
        </w:tabs>
        <w:rPr>
          <w:rFonts w:ascii="Times New Roman" w:hAnsi="Times New Roman"/>
          <w:i/>
          <w:sz w:val="22"/>
          <w:szCs w:val="22"/>
          <w:lang w:val="sk-SK"/>
        </w:rPr>
      </w:pPr>
      <w:r w:rsidRPr="00F64707">
        <w:rPr>
          <w:rFonts w:ascii="Times New Roman" w:hAnsi="Times New Roman"/>
          <w:i/>
          <w:sz w:val="22"/>
          <w:szCs w:val="22"/>
          <w:lang w:val="sk-SK"/>
        </w:rPr>
        <w:t>Účinky dutasteridu na farmakokinetiku iných liekov</w:t>
      </w:r>
    </w:p>
    <w:p w:rsidR="00F1304A" w:rsidRPr="00F64707" w:rsidRDefault="00F1304A"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 xml:space="preserve">Dutasterid nemá žiadny účinok na farmakokinetiku warfarínu alebo digoxínu. To </w:t>
      </w:r>
      <w:r w:rsidR="00D23CB7" w:rsidRPr="00F64707">
        <w:rPr>
          <w:rFonts w:ascii="Times New Roman" w:hAnsi="Times New Roman"/>
          <w:sz w:val="22"/>
          <w:szCs w:val="22"/>
          <w:lang w:val="sk-SK"/>
        </w:rPr>
        <w:t>ukazuje</w:t>
      </w:r>
      <w:r w:rsidRPr="00F64707">
        <w:rPr>
          <w:rFonts w:ascii="Times New Roman" w:hAnsi="Times New Roman"/>
          <w:sz w:val="22"/>
          <w:szCs w:val="22"/>
          <w:lang w:val="sk-SK"/>
        </w:rPr>
        <w:t>, že dutasterid neinhibuje/neindukuje CYP2C9 alebo transportér P</w:t>
      </w:r>
      <w:r w:rsidR="009E5378" w:rsidRPr="00F64707">
        <w:rPr>
          <w:rFonts w:ascii="Times New Roman" w:hAnsi="Times New Roman"/>
          <w:sz w:val="22"/>
          <w:szCs w:val="22"/>
          <w:lang w:val="sk-SK"/>
        </w:rPr>
        <w:noBreakHyphen/>
      </w:r>
      <w:r w:rsidRPr="00F64707">
        <w:rPr>
          <w:rFonts w:ascii="Times New Roman" w:hAnsi="Times New Roman"/>
          <w:sz w:val="22"/>
          <w:szCs w:val="22"/>
          <w:lang w:val="sk-SK"/>
        </w:rPr>
        <w:t xml:space="preserve">glykoproteínu. </w:t>
      </w:r>
      <w:r w:rsidR="00D23CB7" w:rsidRPr="00F64707">
        <w:rPr>
          <w:rFonts w:ascii="Times New Roman" w:hAnsi="Times New Roman"/>
          <w:i/>
          <w:sz w:val="22"/>
          <w:szCs w:val="22"/>
          <w:lang w:val="sk-SK"/>
        </w:rPr>
        <w:t>In vitro</w:t>
      </w:r>
      <w:r w:rsidR="00D23CB7" w:rsidRPr="00F64707">
        <w:rPr>
          <w:rFonts w:ascii="Times New Roman" w:hAnsi="Times New Roman"/>
          <w:sz w:val="22"/>
          <w:szCs w:val="22"/>
          <w:lang w:val="sk-SK"/>
        </w:rPr>
        <w:t xml:space="preserve"> i</w:t>
      </w:r>
      <w:r w:rsidR="00E00C3D" w:rsidRPr="00F64707">
        <w:rPr>
          <w:rFonts w:ascii="Times New Roman" w:hAnsi="Times New Roman"/>
          <w:sz w:val="22"/>
          <w:szCs w:val="22"/>
          <w:lang w:val="sk-SK"/>
        </w:rPr>
        <w:t xml:space="preserve">nterakčné štúdie </w:t>
      </w:r>
      <w:r w:rsidRPr="00F64707">
        <w:rPr>
          <w:rFonts w:ascii="Times New Roman" w:hAnsi="Times New Roman"/>
          <w:sz w:val="22"/>
          <w:szCs w:val="22"/>
          <w:lang w:val="sk-SK"/>
        </w:rPr>
        <w:t>ukazujú, že dutasterid neinhibuje enzýmy CYP1A2, CYP2D6, CYP2C9, CYP2C19 alebo CYP3A4.</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V malej dvojtýždňovej štúdii (N</w:t>
      </w:r>
      <w:r w:rsidR="00785F11" w:rsidRPr="00F64707">
        <w:rPr>
          <w:rFonts w:ascii="Times New Roman" w:hAnsi="Times New Roman"/>
          <w:sz w:val="22"/>
          <w:szCs w:val="22"/>
          <w:lang w:val="sk-SK"/>
        </w:rPr>
        <w:t> </w:t>
      </w:r>
      <w:r w:rsidRPr="00F64707">
        <w:rPr>
          <w:rFonts w:ascii="Times New Roman" w:hAnsi="Times New Roman"/>
          <w:sz w:val="22"/>
          <w:szCs w:val="22"/>
          <w:lang w:val="sk-SK"/>
        </w:rPr>
        <w:t>=</w:t>
      </w:r>
      <w:r w:rsidR="00785F11" w:rsidRPr="00F64707">
        <w:rPr>
          <w:rFonts w:ascii="Times New Roman" w:hAnsi="Times New Roman"/>
          <w:sz w:val="22"/>
          <w:szCs w:val="22"/>
          <w:lang w:val="sk-SK"/>
        </w:rPr>
        <w:t> </w:t>
      </w:r>
      <w:r w:rsidRPr="00F64707">
        <w:rPr>
          <w:rFonts w:ascii="Times New Roman" w:hAnsi="Times New Roman"/>
          <w:sz w:val="22"/>
          <w:szCs w:val="22"/>
          <w:lang w:val="sk-SK"/>
        </w:rPr>
        <w:t>24)</w:t>
      </w:r>
      <w:r w:rsidR="00E00C3D" w:rsidRPr="00F64707">
        <w:rPr>
          <w:rFonts w:ascii="Times New Roman" w:hAnsi="Times New Roman"/>
          <w:sz w:val="22"/>
          <w:szCs w:val="22"/>
          <w:lang w:val="sk-SK"/>
        </w:rPr>
        <w:t xml:space="preserve"> u </w:t>
      </w:r>
      <w:r w:rsidRPr="00F64707">
        <w:rPr>
          <w:rFonts w:ascii="Times New Roman" w:hAnsi="Times New Roman"/>
          <w:sz w:val="22"/>
          <w:szCs w:val="22"/>
          <w:lang w:val="sk-SK"/>
        </w:rPr>
        <w:t>zdravých mužov</w:t>
      </w:r>
      <w:r w:rsidR="00BB2C52" w:rsidRPr="00F64707">
        <w:rPr>
          <w:rFonts w:ascii="Times New Roman" w:hAnsi="Times New Roman"/>
          <w:sz w:val="22"/>
          <w:szCs w:val="22"/>
          <w:lang w:val="sk-SK"/>
        </w:rPr>
        <w:t>,</w:t>
      </w:r>
      <w:r w:rsidRPr="00F64707">
        <w:rPr>
          <w:rFonts w:ascii="Times New Roman" w:hAnsi="Times New Roman"/>
          <w:sz w:val="22"/>
          <w:szCs w:val="22"/>
          <w:lang w:val="sk-SK"/>
        </w:rPr>
        <w:t xml:space="preserve"> dutasterid (0,5</w:t>
      </w:r>
      <w:r w:rsidR="009E5378" w:rsidRPr="00F64707">
        <w:rPr>
          <w:rFonts w:ascii="Times New Roman" w:hAnsi="Times New Roman"/>
          <w:bCs/>
          <w:iCs/>
          <w:sz w:val="22"/>
          <w:szCs w:val="22"/>
          <w:lang w:val="sk-SK"/>
        </w:rPr>
        <w:t> </w:t>
      </w:r>
      <w:r w:rsidRPr="00F64707">
        <w:rPr>
          <w:rFonts w:ascii="Times New Roman" w:hAnsi="Times New Roman"/>
          <w:sz w:val="22"/>
          <w:szCs w:val="22"/>
          <w:lang w:val="sk-SK"/>
        </w:rPr>
        <w:t xml:space="preserve">mg denne) nemal žiaden účinok na farmakokinetiku tamsulozínu alebo terazosínu. V tejto štúdii </w:t>
      </w:r>
      <w:r w:rsidR="00E00C3D" w:rsidRPr="00F64707">
        <w:rPr>
          <w:rFonts w:ascii="Times New Roman" w:hAnsi="Times New Roman"/>
          <w:sz w:val="22"/>
          <w:szCs w:val="22"/>
          <w:lang w:val="sk-SK"/>
        </w:rPr>
        <w:t xml:space="preserve">nič </w:t>
      </w:r>
      <w:r w:rsidR="00E00C3D" w:rsidRPr="00F64707">
        <w:rPr>
          <w:rFonts w:ascii="Times New Roman" w:hAnsi="Times New Roman"/>
          <w:color w:val="000000"/>
          <w:sz w:val="22"/>
          <w:szCs w:val="22"/>
          <w:lang w:val="sk-SK"/>
        </w:rPr>
        <w:t xml:space="preserve">nenaznačovalo </w:t>
      </w:r>
      <w:r w:rsidRPr="00F64707">
        <w:rPr>
          <w:rFonts w:ascii="Times New Roman" w:hAnsi="Times New Roman"/>
          <w:sz w:val="22"/>
          <w:szCs w:val="22"/>
          <w:lang w:val="sk-SK"/>
        </w:rPr>
        <w:t>farmakodynamick</w:t>
      </w:r>
      <w:r w:rsidR="00E00C3D" w:rsidRPr="00F64707">
        <w:rPr>
          <w:rFonts w:ascii="Times New Roman" w:hAnsi="Times New Roman"/>
          <w:sz w:val="22"/>
          <w:szCs w:val="22"/>
          <w:lang w:val="sk-SK"/>
        </w:rPr>
        <w:t>ú</w:t>
      </w:r>
      <w:r w:rsidRPr="00F64707">
        <w:rPr>
          <w:rFonts w:ascii="Times New Roman" w:hAnsi="Times New Roman"/>
          <w:sz w:val="22"/>
          <w:szCs w:val="22"/>
          <w:lang w:val="sk-SK"/>
        </w:rPr>
        <w:t xml:space="preserve"> interakci</w:t>
      </w:r>
      <w:r w:rsidR="00E00C3D" w:rsidRPr="00F64707">
        <w:rPr>
          <w:rFonts w:ascii="Times New Roman" w:hAnsi="Times New Roman"/>
          <w:sz w:val="22"/>
          <w:szCs w:val="22"/>
          <w:lang w:val="sk-SK"/>
        </w:rPr>
        <w:t>u</w:t>
      </w:r>
      <w:r w:rsidRPr="00F64707">
        <w:rPr>
          <w:rFonts w:ascii="Times New Roman" w:hAnsi="Times New Roman"/>
          <w:sz w:val="22"/>
          <w:szCs w:val="22"/>
          <w:lang w:val="sk-SK"/>
        </w:rPr>
        <w:t>.</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keepNext/>
        <w:ind w:left="567" w:hanging="567"/>
        <w:rPr>
          <w:sz w:val="22"/>
          <w:szCs w:val="22"/>
        </w:rPr>
      </w:pPr>
      <w:r w:rsidRPr="00F64707">
        <w:rPr>
          <w:b/>
          <w:sz w:val="22"/>
          <w:szCs w:val="22"/>
        </w:rPr>
        <w:lastRenderedPageBreak/>
        <w:t>4.6</w:t>
      </w:r>
      <w:r w:rsidRPr="00F64707">
        <w:rPr>
          <w:b/>
          <w:sz w:val="22"/>
          <w:szCs w:val="22"/>
        </w:rPr>
        <w:tab/>
      </w:r>
      <w:r w:rsidR="00471C07" w:rsidRPr="00F64707">
        <w:rPr>
          <w:b/>
          <w:sz w:val="22"/>
          <w:szCs w:val="22"/>
        </w:rPr>
        <w:t>Fertilita, g</w:t>
      </w:r>
      <w:r w:rsidR="00D23CB7" w:rsidRPr="00F64707">
        <w:rPr>
          <w:b/>
          <w:sz w:val="22"/>
          <w:szCs w:val="22"/>
        </w:rPr>
        <w:t>ravidita a </w:t>
      </w:r>
      <w:r w:rsidRPr="00F64707">
        <w:rPr>
          <w:b/>
          <w:sz w:val="22"/>
          <w:szCs w:val="22"/>
        </w:rPr>
        <w:t>laktácia</w:t>
      </w:r>
    </w:p>
    <w:p w:rsidR="00F1304A" w:rsidRPr="00F64707" w:rsidRDefault="00F1304A" w:rsidP="00F64707">
      <w:pPr>
        <w:pStyle w:val="Zkladntext2"/>
        <w:keepNext/>
        <w:jc w:val="left"/>
        <w:rPr>
          <w:rFonts w:ascii="Times New Roman" w:hAnsi="Times New Roman"/>
          <w:sz w:val="22"/>
          <w:szCs w:val="22"/>
        </w:rPr>
      </w:pP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 xml:space="preserve">Používanie </w:t>
      </w:r>
      <w:r w:rsidR="00BB2C52" w:rsidRPr="00F64707">
        <w:rPr>
          <w:rFonts w:ascii="Times New Roman" w:hAnsi="Times New Roman"/>
          <w:sz w:val="22"/>
          <w:szCs w:val="22"/>
        </w:rPr>
        <w:t>dutasteridu</w:t>
      </w:r>
      <w:r w:rsidR="00E00C3D" w:rsidRPr="00F64707">
        <w:rPr>
          <w:rFonts w:ascii="Times New Roman" w:hAnsi="Times New Roman"/>
          <w:sz w:val="22"/>
          <w:szCs w:val="22"/>
        </w:rPr>
        <w:t xml:space="preserve"> je u </w:t>
      </w:r>
      <w:r w:rsidRPr="00F64707">
        <w:rPr>
          <w:rFonts w:ascii="Times New Roman" w:hAnsi="Times New Roman"/>
          <w:sz w:val="22"/>
          <w:szCs w:val="22"/>
        </w:rPr>
        <w:t>žien kontraindikované.</w:t>
      </w:r>
    </w:p>
    <w:p w:rsidR="00F1304A" w:rsidRPr="00F64707" w:rsidRDefault="00F1304A" w:rsidP="00F64707">
      <w:pPr>
        <w:pStyle w:val="Zkladntext2"/>
        <w:jc w:val="left"/>
        <w:rPr>
          <w:rFonts w:ascii="Times New Roman" w:hAnsi="Times New Roman"/>
          <w:sz w:val="22"/>
          <w:szCs w:val="22"/>
        </w:rPr>
      </w:pPr>
    </w:p>
    <w:p w:rsidR="00E00C3D" w:rsidRPr="00F64707" w:rsidRDefault="00E00C3D" w:rsidP="00F64707">
      <w:pPr>
        <w:pStyle w:val="Zkladntext2"/>
        <w:keepNext/>
        <w:jc w:val="left"/>
        <w:rPr>
          <w:rFonts w:ascii="Times New Roman" w:hAnsi="Times New Roman"/>
          <w:i/>
          <w:sz w:val="22"/>
          <w:szCs w:val="22"/>
        </w:rPr>
      </w:pPr>
      <w:r w:rsidRPr="00F64707">
        <w:rPr>
          <w:rFonts w:ascii="Times New Roman" w:hAnsi="Times New Roman"/>
          <w:i/>
          <w:sz w:val="22"/>
          <w:szCs w:val="22"/>
        </w:rPr>
        <w:t>Fertilita</w:t>
      </w:r>
    </w:p>
    <w:p w:rsidR="00E00C3D" w:rsidRPr="00F64707" w:rsidRDefault="00E00C3D" w:rsidP="00F64707">
      <w:pPr>
        <w:rPr>
          <w:sz w:val="22"/>
          <w:szCs w:val="22"/>
        </w:rPr>
      </w:pPr>
      <w:r w:rsidRPr="00F64707">
        <w:rPr>
          <w:sz w:val="22"/>
          <w:szCs w:val="22"/>
        </w:rPr>
        <w:t>U zdravých mužov bol zaznamenaný vplyv na charakteristické vlastnosti spermy (zníženie počtu spermií, objem spermy a motilita spermií) (pozri časť 5.1). Možnosť zníženej mužskej fertility nie je možné vylúčiť.</w:t>
      </w:r>
    </w:p>
    <w:p w:rsidR="00E00C3D" w:rsidRPr="00F64707" w:rsidRDefault="00E00C3D" w:rsidP="00F64707">
      <w:pPr>
        <w:pStyle w:val="Zkladntext2"/>
        <w:jc w:val="left"/>
        <w:rPr>
          <w:rFonts w:ascii="Times New Roman" w:hAnsi="Times New Roman"/>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Gravidita</w:t>
      </w:r>
    </w:p>
    <w:p w:rsidR="002129A8"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Dutasterid tak</w:t>
      </w:r>
      <w:r w:rsidR="00D23CB7" w:rsidRPr="00F64707">
        <w:rPr>
          <w:rFonts w:ascii="Times New Roman" w:hAnsi="Times New Roman"/>
          <w:sz w:val="22"/>
          <w:szCs w:val="22"/>
        </w:rPr>
        <w:t>,</w:t>
      </w:r>
      <w:r w:rsidRPr="00F64707">
        <w:rPr>
          <w:rFonts w:ascii="Times New Roman" w:hAnsi="Times New Roman"/>
          <w:sz w:val="22"/>
          <w:szCs w:val="22"/>
        </w:rPr>
        <w:t xml:space="preserve"> ako iné inhibítory </w:t>
      </w:r>
      <w:r w:rsidR="006D712F" w:rsidRPr="00F64707">
        <w:rPr>
          <w:rFonts w:ascii="Times New Roman" w:hAnsi="Times New Roman"/>
          <w:sz w:val="22"/>
          <w:szCs w:val="22"/>
        </w:rPr>
        <w:t xml:space="preserve">5-alfa-reduktázy </w:t>
      </w:r>
      <w:r w:rsidRPr="00F64707">
        <w:rPr>
          <w:rFonts w:ascii="Times New Roman" w:hAnsi="Times New Roman"/>
          <w:sz w:val="22"/>
          <w:szCs w:val="22"/>
        </w:rPr>
        <w:t>inhibuje konverziu testosterónu na</w:t>
      </w:r>
      <w:r w:rsidR="00E00C3D" w:rsidRPr="00F64707">
        <w:rPr>
          <w:rFonts w:ascii="Times New Roman" w:hAnsi="Times New Roman"/>
          <w:sz w:val="22"/>
          <w:szCs w:val="22"/>
        </w:rPr>
        <w:t xml:space="preserve"> </w:t>
      </w:r>
      <w:r w:rsidRPr="00F64707">
        <w:rPr>
          <w:rFonts w:ascii="Times New Roman" w:hAnsi="Times New Roman"/>
          <w:sz w:val="22"/>
          <w:szCs w:val="22"/>
        </w:rPr>
        <w:t xml:space="preserve">dihydrotestosterón, a </w:t>
      </w:r>
      <w:r w:rsidR="00E00C3D" w:rsidRPr="00F64707">
        <w:rPr>
          <w:rFonts w:ascii="Times New Roman" w:hAnsi="Times New Roman"/>
          <w:sz w:val="22"/>
          <w:szCs w:val="22"/>
        </w:rPr>
        <w:t>ak je podávaný gravidnej žene, ktorej plod je mužského pohlavia</w:t>
      </w:r>
      <w:r w:rsidRPr="00F64707">
        <w:rPr>
          <w:rFonts w:ascii="Times New Roman" w:hAnsi="Times New Roman"/>
          <w:sz w:val="22"/>
          <w:szCs w:val="22"/>
        </w:rPr>
        <w:t>, môže zabrániť vývoju vonkajších pohlavných orgánov plodu (pozri časť</w:t>
      </w:r>
      <w:r w:rsidR="00E00C3D" w:rsidRPr="00F64707">
        <w:rPr>
          <w:rFonts w:ascii="Times New Roman" w:hAnsi="Times New Roman"/>
          <w:sz w:val="22"/>
          <w:szCs w:val="22"/>
        </w:rPr>
        <w:t xml:space="preserve"> </w:t>
      </w:r>
      <w:r w:rsidRPr="00F64707">
        <w:rPr>
          <w:rFonts w:ascii="Times New Roman" w:hAnsi="Times New Roman"/>
          <w:sz w:val="22"/>
          <w:szCs w:val="22"/>
        </w:rPr>
        <w:t xml:space="preserve">4.4). </w:t>
      </w:r>
      <w:r w:rsidR="00A62B5A" w:rsidRPr="00F64707">
        <w:rPr>
          <w:rFonts w:ascii="Times New Roman" w:hAnsi="Times New Roman"/>
          <w:sz w:val="22"/>
          <w:szCs w:val="22"/>
        </w:rPr>
        <w:t>V spermiách</w:t>
      </w:r>
      <w:r w:rsidR="009832ED" w:rsidRPr="00F64707">
        <w:rPr>
          <w:rFonts w:ascii="Times New Roman" w:hAnsi="Times New Roman"/>
          <w:sz w:val="22"/>
          <w:szCs w:val="22"/>
        </w:rPr>
        <w:t xml:space="preserve"> jedincov užívajúcich 0,5 </w:t>
      </w:r>
      <w:r w:rsidR="00E00C3D" w:rsidRPr="00F64707">
        <w:rPr>
          <w:rFonts w:ascii="Times New Roman" w:hAnsi="Times New Roman"/>
          <w:sz w:val="22"/>
          <w:szCs w:val="22"/>
        </w:rPr>
        <w:t>mg dutasteridu denne sa z</w:t>
      </w:r>
      <w:r w:rsidR="00A62B5A" w:rsidRPr="00F64707">
        <w:rPr>
          <w:rFonts w:ascii="Times New Roman" w:hAnsi="Times New Roman"/>
          <w:sz w:val="22"/>
          <w:szCs w:val="22"/>
        </w:rPr>
        <w:t xml:space="preserve">istili </w:t>
      </w:r>
      <w:r w:rsidR="00E00C3D" w:rsidRPr="00F64707">
        <w:rPr>
          <w:rFonts w:ascii="Times New Roman" w:hAnsi="Times New Roman"/>
          <w:sz w:val="22"/>
          <w:szCs w:val="22"/>
        </w:rPr>
        <w:t xml:space="preserve">malé množstvá dutasteridu. </w:t>
      </w:r>
      <w:r w:rsidR="002129A8" w:rsidRPr="00F64707">
        <w:rPr>
          <w:rFonts w:ascii="Times New Roman" w:hAnsi="Times New Roman"/>
          <w:sz w:val="22"/>
          <w:szCs w:val="22"/>
        </w:rPr>
        <w:t xml:space="preserve">Nie je známe, či bude </w:t>
      </w:r>
      <w:r w:rsidRPr="00F64707">
        <w:rPr>
          <w:rFonts w:ascii="Times New Roman" w:hAnsi="Times New Roman"/>
          <w:sz w:val="22"/>
          <w:szCs w:val="22"/>
        </w:rPr>
        <w:t xml:space="preserve">mužský plod nepriaznivo </w:t>
      </w:r>
      <w:r w:rsidR="00A62B5A" w:rsidRPr="00F64707">
        <w:rPr>
          <w:rFonts w:ascii="Times New Roman" w:hAnsi="Times New Roman"/>
          <w:sz w:val="22"/>
          <w:szCs w:val="22"/>
        </w:rPr>
        <w:t>ovplyvnený</w:t>
      </w:r>
      <w:r w:rsidRPr="00F64707">
        <w:rPr>
          <w:rFonts w:ascii="Times New Roman" w:hAnsi="Times New Roman"/>
          <w:sz w:val="22"/>
          <w:szCs w:val="22"/>
        </w:rPr>
        <w:t xml:space="preserve">, ak je jeho matka vystavená spermiám pacienta liečeného </w:t>
      </w:r>
      <w:r w:rsidR="002129A8" w:rsidRPr="00F64707">
        <w:rPr>
          <w:rFonts w:ascii="Times New Roman" w:hAnsi="Times New Roman"/>
          <w:sz w:val="22"/>
          <w:szCs w:val="22"/>
        </w:rPr>
        <w:t>dutasteridom</w:t>
      </w:r>
      <w:r w:rsidRPr="00F64707">
        <w:rPr>
          <w:rFonts w:ascii="Times New Roman" w:hAnsi="Times New Roman"/>
          <w:sz w:val="22"/>
          <w:szCs w:val="22"/>
        </w:rPr>
        <w:t xml:space="preserve"> (takéto riziko je vyššie počas prvých 16</w:t>
      </w:r>
      <w:r w:rsidR="00BA53F1" w:rsidRPr="00F64707">
        <w:rPr>
          <w:rFonts w:ascii="Times New Roman" w:hAnsi="Times New Roman"/>
          <w:sz w:val="22"/>
          <w:szCs w:val="22"/>
        </w:rPr>
        <w:t> </w:t>
      </w:r>
      <w:r w:rsidRPr="00F64707">
        <w:rPr>
          <w:rFonts w:ascii="Times New Roman" w:hAnsi="Times New Roman"/>
          <w:sz w:val="22"/>
          <w:szCs w:val="22"/>
        </w:rPr>
        <w:t>týždňov gravidity).</w:t>
      </w:r>
    </w:p>
    <w:p w:rsidR="002129A8" w:rsidRPr="00F64707" w:rsidRDefault="002129A8" w:rsidP="00F64707">
      <w:pPr>
        <w:pStyle w:val="Zkladntext2"/>
        <w:jc w:val="left"/>
        <w:rPr>
          <w:rFonts w:ascii="Times New Roman" w:hAnsi="Times New Roman"/>
          <w:sz w:val="22"/>
          <w:szCs w:val="22"/>
        </w:rPr>
      </w:pPr>
    </w:p>
    <w:p w:rsidR="00F1304A" w:rsidRPr="00F64707" w:rsidRDefault="00A62B5A" w:rsidP="00F64707">
      <w:pPr>
        <w:pStyle w:val="Zkladntext2"/>
        <w:jc w:val="left"/>
        <w:rPr>
          <w:rFonts w:ascii="Times New Roman" w:hAnsi="Times New Roman"/>
          <w:sz w:val="22"/>
          <w:szCs w:val="22"/>
        </w:rPr>
      </w:pPr>
      <w:r w:rsidRPr="00F64707">
        <w:rPr>
          <w:rFonts w:ascii="Times New Roman" w:hAnsi="Times New Roman"/>
          <w:sz w:val="22"/>
          <w:szCs w:val="22"/>
        </w:rPr>
        <w:t xml:space="preserve">Tak </w:t>
      </w:r>
      <w:r w:rsidR="009832ED" w:rsidRPr="00F64707">
        <w:rPr>
          <w:rFonts w:ascii="Times New Roman" w:hAnsi="Times New Roman"/>
          <w:sz w:val="22"/>
          <w:szCs w:val="22"/>
        </w:rPr>
        <w:t xml:space="preserve">ako </w:t>
      </w:r>
      <w:r w:rsidRPr="00F64707">
        <w:rPr>
          <w:rFonts w:ascii="Times New Roman" w:hAnsi="Times New Roman"/>
          <w:sz w:val="22"/>
          <w:szCs w:val="22"/>
        </w:rPr>
        <w:t xml:space="preserve">pri </w:t>
      </w:r>
      <w:r w:rsidR="009832ED" w:rsidRPr="00F64707">
        <w:rPr>
          <w:rFonts w:ascii="Times New Roman" w:hAnsi="Times New Roman"/>
          <w:sz w:val="22"/>
          <w:szCs w:val="22"/>
        </w:rPr>
        <w:t>všetkých</w:t>
      </w:r>
      <w:r w:rsidR="00F1304A" w:rsidRPr="00F64707">
        <w:rPr>
          <w:rFonts w:ascii="Times New Roman" w:hAnsi="Times New Roman"/>
          <w:sz w:val="22"/>
          <w:szCs w:val="22"/>
        </w:rPr>
        <w:t xml:space="preserve"> inhibítoro</w:t>
      </w:r>
      <w:r w:rsidRPr="00F64707">
        <w:rPr>
          <w:rFonts w:ascii="Times New Roman" w:hAnsi="Times New Roman"/>
          <w:sz w:val="22"/>
          <w:szCs w:val="22"/>
        </w:rPr>
        <w:t>ch</w:t>
      </w:r>
      <w:r w:rsidR="00F1304A" w:rsidRPr="00F64707">
        <w:rPr>
          <w:rFonts w:ascii="Times New Roman" w:hAnsi="Times New Roman"/>
          <w:sz w:val="22"/>
          <w:szCs w:val="22"/>
        </w:rPr>
        <w:t xml:space="preserve"> </w:t>
      </w:r>
      <w:r w:rsidR="006D712F" w:rsidRPr="00F64707">
        <w:rPr>
          <w:rFonts w:ascii="Times New Roman" w:hAnsi="Times New Roman"/>
          <w:sz w:val="22"/>
          <w:szCs w:val="22"/>
        </w:rPr>
        <w:t xml:space="preserve">5-alfa-reduktázy </w:t>
      </w:r>
      <w:r w:rsidRPr="00F64707">
        <w:rPr>
          <w:rFonts w:ascii="Times New Roman" w:hAnsi="Times New Roman"/>
          <w:sz w:val="22"/>
          <w:szCs w:val="22"/>
        </w:rPr>
        <w:t>sa odporúča, aby v prípadoch</w:t>
      </w:r>
      <w:r w:rsidR="00F1304A" w:rsidRPr="00F64707">
        <w:rPr>
          <w:rFonts w:ascii="Times New Roman" w:hAnsi="Times New Roman"/>
          <w:sz w:val="22"/>
          <w:szCs w:val="22"/>
        </w:rPr>
        <w:t xml:space="preserve"> kedy pacientova partnerka je alebo môže byť gravidná, pacient zabránil expozícii partnerky spermiám použitím prezervatívu.</w:t>
      </w:r>
    </w:p>
    <w:p w:rsidR="002129A8" w:rsidRPr="00F64707" w:rsidRDefault="002129A8" w:rsidP="00F64707">
      <w:pPr>
        <w:pStyle w:val="Zkladntext2"/>
        <w:jc w:val="left"/>
        <w:rPr>
          <w:rFonts w:ascii="Times New Roman" w:hAnsi="Times New Roman"/>
          <w:sz w:val="22"/>
          <w:szCs w:val="22"/>
        </w:rPr>
      </w:pPr>
    </w:p>
    <w:p w:rsidR="002129A8" w:rsidRPr="00F64707" w:rsidRDefault="002129A8" w:rsidP="00F64707">
      <w:pPr>
        <w:pStyle w:val="Zkladntext2"/>
        <w:jc w:val="left"/>
        <w:rPr>
          <w:rFonts w:ascii="Times New Roman" w:hAnsi="Times New Roman"/>
          <w:sz w:val="22"/>
          <w:szCs w:val="22"/>
        </w:rPr>
      </w:pPr>
      <w:r w:rsidRPr="00F64707">
        <w:rPr>
          <w:rFonts w:ascii="Times New Roman" w:hAnsi="Times New Roman"/>
          <w:sz w:val="22"/>
          <w:szCs w:val="22"/>
        </w:rPr>
        <w:t>Informácie o predklinických údajoch</w:t>
      </w:r>
      <w:r w:rsidR="00A62B5A" w:rsidRPr="00F64707">
        <w:rPr>
          <w:rFonts w:ascii="Times New Roman" w:hAnsi="Times New Roman"/>
          <w:sz w:val="22"/>
          <w:szCs w:val="22"/>
        </w:rPr>
        <w:t>,</w:t>
      </w:r>
      <w:r w:rsidRPr="00F64707">
        <w:rPr>
          <w:rFonts w:ascii="Times New Roman" w:hAnsi="Times New Roman"/>
          <w:sz w:val="22"/>
          <w:szCs w:val="22"/>
        </w:rPr>
        <w:t xml:space="preserve"> pozri</w:t>
      </w:r>
      <w:r w:rsidR="00A62B5A" w:rsidRPr="00F64707">
        <w:rPr>
          <w:rFonts w:ascii="Times New Roman" w:hAnsi="Times New Roman"/>
          <w:sz w:val="22"/>
          <w:szCs w:val="22"/>
        </w:rPr>
        <w:t xml:space="preserve"> časť </w:t>
      </w:r>
      <w:r w:rsidRPr="00F64707">
        <w:rPr>
          <w:rFonts w:ascii="Times New Roman" w:hAnsi="Times New Roman"/>
          <w:sz w:val="22"/>
          <w:szCs w:val="22"/>
        </w:rPr>
        <w:t>5.3.</w:t>
      </w:r>
    </w:p>
    <w:p w:rsidR="002129A8" w:rsidRPr="00F64707" w:rsidRDefault="002129A8" w:rsidP="00F64707">
      <w:pPr>
        <w:pStyle w:val="Zkladntext2"/>
        <w:jc w:val="left"/>
        <w:rPr>
          <w:rFonts w:ascii="Times New Roman" w:hAnsi="Times New Roman"/>
          <w:sz w:val="22"/>
          <w:szCs w:val="22"/>
        </w:rPr>
      </w:pPr>
    </w:p>
    <w:p w:rsidR="00F1304A" w:rsidRPr="00F64707" w:rsidRDefault="003E0B34" w:rsidP="00F64707">
      <w:pPr>
        <w:pStyle w:val="Zkladntext2"/>
        <w:keepNext/>
        <w:jc w:val="left"/>
        <w:rPr>
          <w:rFonts w:ascii="Times New Roman" w:hAnsi="Times New Roman"/>
          <w:i/>
          <w:sz w:val="22"/>
          <w:szCs w:val="22"/>
        </w:rPr>
      </w:pPr>
      <w:r>
        <w:rPr>
          <w:rFonts w:ascii="Times New Roman" w:hAnsi="Times New Roman"/>
          <w:i/>
          <w:sz w:val="22"/>
          <w:szCs w:val="22"/>
        </w:rPr>
        <w:t>Dojčenie</w:t>
      </w: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 xml:space="preserve">Nie je známe, či </w:t>
      </w:r>
      <w:r w:rsidR="00A62B5A" w:rsidRPr="00F64707">
        <w:rPr>
          <w:rFonts w:ascii="Times New Roman" w:hAnsi="Times New Roman"/>
          <w:sz w:val="22"/>
          <w:szCs w:val="22"/>
        </w:rPr>
        <w:t>sa</w:t>
      </w:r>
      <w:r w:rsidRPr="00F64707">
        <w:rPr>
          <w:rFonts w:ascii="Times New Roman" w:hAnsi="Times New Roman"/>
          <w:sz w:val="22"/>
          <w:szCs w:val="22"/>
        </w:rPr>
        <w:t xml:space="preserve"> dutasterid vylučuje do </w:t>
      </w:r>
      <w:r w:rsidR="00A62B5A" w:rsidRPr="00F64707">
        <w:rPr>
          <w:rFonts w:ascii="Times New Roman" w:hAnsi="Times New Roman"/>
          <w:sz w:val="22"/>
          <w:szCs w:val="22"/>
        </w:rPr>
        <w:t>ľudského</w:t>
      </w:r>
      <w:r w:rsidRPr="00F64707">
        <w:rPr>
          <w:rFonts w:ascii="Times New Roman" w:hAnsi="Times New Roman"/>
          <w:sz w:val="22"/>
          <w:szCs w:val="22"/>
        </w:rPr>
        <w:t xml:space="preserve"> mlieka.</w:t>
      </w:r>
    </w:p>
    <w:p w:rsidR="009E5378" w:rsidRPr="00F64707" w:rsidRDefault="009E5378" w:rsidP="00F64707">
      <w:pPr>
        <w:rPr>
          <w:sz w:val="22"/>
          <w:szCs w:val="22"/>
        </w:rPr>
      </w:pPr>
    </w:p>
    <w:p w:rsidR="00F1304A" w:rsidRPr="00F64707" w:rsidRDefault="00F1304A" w:rsidP="00F64707">
      <w:pPr>
        <w:keepNext/>
        <w:ind w:left="567" w:hanging="567"/>
        <w:rPr>
          <w:b/>
          <w:sz w:val="22"/>
          <w:szCs w:val="22"/>
        </w:rPr>
      </w:pPr>
      <w:r w:rsidRPr="00F64707">
        <w:rPr>
          <w:b/>
          <w:sz w:val="22"/>
          <w:szCs w:val="22"/>
        </w:rPr>
        <w:t>4.7</w:t>
      </w:r>
      <w:r w:rsidRPr="00F64707">
        <w:rPr>
          <w:b/>
          <w:sz w:val="22"/>
          <w:szCs w:val="22"/>
        </w:rPr>
        <w:tab/>
        <w:t>Ovplyvn</w:t>
      </w:r>
      <w:r w:rsidR="00A62B5A" w:rsidRPr="00F64707">
        <w:rPr>
          <w:b/>
          <w:sz w:val="22"/>
          <w:szCs w:val="22"/>
        </w:rPr>
        <w:t>enie schopnosti viesť vozidlá a </w:t>
      </w:r>
      <w:r w:rsidRPr="00F64707">
        <w:rPr>
          <w:b/>
          <w:sz w:val="22"/>
          <w:szCs w:val="22"/>
        </w:rPr>
        <w:t>obsluhovať stroje</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Na základe farmakodynamických vlastností dutasteridu sa neočakáva, že liečba dutasteridom nar</w:t>
      </w:r>
      <w:r w:rsidR="00A62B5A" w:rsidRPr="00F64707">
        <w:rPr>
          <w:sz w:val="22"/>
          <w:szCs w:val="22"/>
        </w:rPr>
        <w:t>uší schopnosť viesť vozidlá a </w:t>
      </w:r>
      <w:r w:rsidRPr="00F64707">
        <w:rPr>
          <w:sz w:val="22"/>
          <w:szCs w:val="22"/>
        </w:rPr>
        <w:t>obsluhovať stroje.</w:t>
      </w:r>
    </w:p>
    <w:p w:rsidR="00F1304A" w:rsidRPr="00F64707" w:rsidRDefault="00F1304A" w:rsidP="00F64707">
      <w:pPr>
        <w:rPr>
          <w:sz w:val="22"/>
          <w:szCs w:val="22"/>
        </w:rPr>
      </w:pPr>
    </w:p>
    <w:p w:rsidR="00F1304A" w:rsidRPr="00F64707" w:rsidRDefault="00F1304A" w:rsidP="00F64707">
      <w:pPr>
        <w:keepNext/>
        <w:ind w:left="567" w:hanging="567"/>
        <w:rPr>
          <w:b/>
          <w:sz w:val="22"/>
          <w:szCs w:val="22"/>
        </w:rPr>
      </w:pPr>
      <w:r w:rsidRPr="00F64707">
        <w:rPr>
          <w:b/>
          <w:sz w:val="22"/>
          <w:szCs w:val="22"/>
        </w:rPr>
        <w:t>4.8</w:t>
      </w:r>
      <w:r w:rsidRPr="00F64707">
        <w:rPr>
          <w:b/>
          <w:sz w:val="22"/>
          <w:szCs w:val="22"/>
        </w:rPr>
        <w:tab/>
        <w:t>Nežiaduce účinky</w:t>
      </w:r>
    </w:p>
    <w:p w:rsidR="00F1304A" w:rsidRPr="00F64707" w:rsidRDefault="00F1304A" w:rsidP="00F64707">
      <w:pPr>
        <w:keepNext/>
        <w:ind w:left="567" w:hanging="567"/>
        <w:rPr>
          <w:b/>
          <w:sz w:val="22"/>
          <w:szCs w:val="22"/>
        </w:rPr>
      </w:pPr>
    </w:p>
    <w:p w:rsidR="00F1304A" w:rsidRPr="00F64707" w:rsidRDefault="00A62B5A" w:rsidP="00F64707">
      <w:pPr>
        <w:keepNext/>
        <w:rPr>
          <w:sz w:val="22"/>
          <w:szCs w:val="22"/>
        </w:rPr>
      </w:pPr>
      <w:r w:rsidRPr="00F64707">
        <w:rPr>
          <w:sz w:val="22"/>
          <w:szCs w:val="22"/>
        </w:rPr>
        <w:t>DUT</w:t>
      </w:r>
      <w:r w:rsidR="00847FD5" w:rsidRPr="00F64707">
        <w:rPr>
          <w:sz w:val="22"/>
          <w:szCs w:val="22"/>
        </w:rPr>
        <w:t>ASTERID</w:t>
      </w:r>
      <w:r w:rsidR="00F1304A" w:rsidRPr="00F64707">
        <w:rPr>
          <w:sz w:val="22"/>
          <w:szCs w:val="22"/>
        </w:rPr>
        <w:t xml:space="preserve"> AKO MONOTERAPIA</w:t>
      </w:r>
    </w:p>
    <w:p w:rsidR="00F1304A" w:rsidRPr="00F64707" w:rsidRDefault="00F1304A" w:rsidP="00F64707">
      <w:pPr>
        <w:rPr>
          <w:sz w:val="22"/>
          <w:szCs w:val="22"/>
        </w:rPr>
      </w:pPr>
      <w:r w:rsidRPr="00F64707">
        <w:rPr>
          <w:sz w:val="22"/>
          <w:szCs w:val="22"/>
        </w:rPr>
        <w:t xml:space="preserve">Nežiaduce </w:t>
      </w:r>
      <w:r w:rsidR="00E821EE" w:rsidRPr="00F64707">
        <w:rPr>
          <w:sz w:val="22"/>
          <w:szCs w:val="22"/>
        </w:rPr>
        <w:t>reakcie</w:t>
      </w:r>
      <w:r w:rsidRPr="00F64707">
        <w:rPr>
          <w:sz w:val="22"/>
          <w:szCs w:val="22"/>
        </w:rPr>
        <w:t xml:space="preserve"> sa rozvinuli u</w:t>
      </w:r>
      <w:r w:rsidR="00A62B5A" w:rsidRPr="00F64707">
        <w:rPr>
          <w:sz w:val="22"/>
          <w:szCs w:val="22"/>
        </w:rPr>
        <w:t> </w:t>
      </w:r>
      <w:r w:rsidRPr="00F64707">
        <w:rPr>
          <w:sz w:val="22"/>
          <w:szCs w:val="22"/>
        </w:rPr>
        <w:t>približne 19</w:t>
      </w:r>
      <w:r w:rsidR="00BA53F1" w:rsidRPr="00F64707">
        <w:rPr>
          <w:sz w:val="22"/>
          <w:szCs w:val="22"/>
        </w:rPr>
        <w:t> </w:t>
      </w:r>
      <w:r w:rsidR="009832ED" w:rsidRPr="00F64707">
        <w:rPr>
          <w:sz w:val="22"/>
          <w:szCs w:val="22"/>
        </w:rPr>
        <w:t>% z </w:t>
      </w:r>
      <w:r w:rsidRPr="00F64707">
        <w:rPr>
          <w:sz w:val="22"/>
          <w:szCs w:val="22"/>
        </w:rPr>
        <w:t>2</w:t>
      </w:r>
      <w:r w:rsidR="00BA53F1" w:rsidRPr="00F64707">
        <w:rPr>
          <w:sz w:val="22"/>
          <w:szCs w:val="22"/>
        </w:rPr>
        <w:t> </w:t>
      </w:r>
      <w:r w:rsidRPr="00F64707">
        <w:rPr>
          <w:sz w:val="22"/>
          <w:szCs w:val="22"/>
        </w:rPr>
        <w:t>167</w:t>
      </w:r>
      <w:r w:rsidR="00BA53F1" w:rsidRPr="00F64707">
        <w:rPr>
          <w:sz w:val="22"/>
          <w:szCs w:val="22"/>
        </w:rPr>
        <w:t> </w:t>
      </w:r>
      <w:r w:rsidRPr="00F64707">
        <w:rPr>
          <w:sz w:val="22"/>
          <w:szCs w:val="22"/>
        </w:rPr>
        <w:t>pacientov, ktorí užívali dutasterid v</w:t>
      </w:r>
      <w:r w:rsidR="00BA53F1" w:rsidRPr="00F64707">
        <w:rPr>
          <w:sz w:val="22"/>
          <w:szCs w:val="22"/>
        </w:rPr>
        <w:t> </w:t>
      </w:r>
      <w:r w:rsidRPr="00F64707">
        <w:rPr>
          <w:sz w:val="22"/>
          <w:szCs w:val="22"/>
        </w:rPr>
        <w:t>dvojročn</w:t>
      </w:r>
      <w:r w:rsidR="00BA53F1" w:rsidRPr="00F64707">
        <w:rPr>
          <w:sz w:val="22"/>
          <w:szCs w:val="22"/>
        </w:rPr>
        <w:t>ých</w:t>
      </w:r>
      <w:r w:rsidRPr="00F64707">
        <w:rPr>
          <w:sz w:val="22"/>
          <w:szCs w:val="22"/>
        </w:rPr>
        <w:t xml:space="preserve"> placebom kontrolovan</w:t>
      </w:r>
      <w:r w:rsidR="00BA53F1" w:rsidRPr="00F64707">
        <w:rPr>
          <w:sz w:val="22"/>
          <w:szCs w:val="22"/>
        </w:rPr>
        <w:t>ých</w:t>
      </w:r>
      <w:r w:rsidRPr="00F64707">
        <w:rPr>
          <w:sz w:val="22"/>
          <w:szCs w:val="22"/>
        </w:rPr>
        <w:t xml:space="preserve"> </w:t>
      </w:r>
      <w:r w:rsidR="00A62B5A" w:rsidRPr="00F64707">
        <w:rPr>
          <w:sz w:val="22"/>
          <w:szCs w:val="22"/>
        </w:rPr>
        <w:t>skúšaniach</w:t>
      </w:r>
      <w:r w:rsidR="002241FB" w:rsidRPr="00F64707">
        <w:rPr>
          <w:sz w:val="22"/>
          <w:szCs w:val="22"/>
        </w:rPr>
        <w:t xml:space="preserve"> fázy III</w:t>
      </w:r>
      <w:r w:rsidR="00E821EE" w:rsidRPr="00F64707">
        <w:rPr>
          <w:sz w:val="22"/>
          <w:szCs w:val="22"/>
        </w:rPr>
        <w:t>,</w:t>
      </w:r>
      <w:r w:rsidRPr="00F64707">
        <w:rPr>
          <w:sz w:val="22"/>
          <w:szCs w:val="22"/>
        </w:rPr>
        <w:t xml:space="preserve"> počas prvého roku liečby. Väčšina nežiaducich udalostí bola mierneho alebo stredne ťažkého stupňa a</w:t>
      </w:r>
      <w:r w:rsidR="00367486" w:rsidRPr="00F64707">
        <w:rPr>
          <w:sz w:val="22"/>
          <w:szCs w:val="22"/>
        </w:rPr>
        <w:t xml:space="preserve"> postihovala </w:t>
      </w:r>
      <w:r w:rsidRPr="00F64707">
        <w:rPr>
          <w:sz w:val="22"/>
          <w:szCs w:val="22"/>
        </w:rPr>
        <w:t>reprodukčn</w:t>
      </w:r>
      <w:r w:rsidR="00367486" w:rsidRPr="00F64707">
        <w:rPr>
          <w:sz w:val="22"/>
          <w:szCs w:val="22"/>
        </w:rPr>
        <w:t>ý systém</w:t>
      </w:r>
      <w:r w:rsidRPr="00F64707">
        <w:rPr>
          <w:sz w:val="22"/>
          <w:szCs w:val="22"/>
        </w:rPr>
        <w:t>. Počas ďalších 2</w:t>
      </w:r>
      <w:r w:rsidR="00E821EE" w:rsidRPr="00F64707">
        <w:rPr>
          <w:sz w:val="22"/>
          <w:szCs w:val="22"/>
        </w:rPr>
        <w:t> </w:t>
      </w:r>
      <w:r w:rsidRPr="00F64707">
        <w:rPr>
          <w:sz w:val="22"/>
          <w:szCs w:val="22"/>
        </w:rPr>
        <w:t>rokov sa v rozšírených otvorených štúdiách nepozorovala žiadna zmena profilu nežiaducich udalostí.</w:t>
      </w:r>
    </w:p>
    <w:p w:rsidR="00F1304A" w:rsidRPr="00F64707" w:rsidRDefault="00F1304A" w:rsidP="00F64707">
      <w:pPr>
        <w:rPr>
          <w:sz w:val="22"/>
          <w:szCs w:val="22"/>
        </w:rPr>
      </w:pPr>
    </w:p>
    <w:p w:rsidR="00F1304A" w:rsidRPr="00F64707" w:rsidRDefault="00F1304A" w:rsidP="00F64707">
      <w:pPr>
        <w:rPr>
          <w:sz w:val="22"/>
          <w:szCs w:val="22"/>
        </w:rPr>
      </w:pPr>
      <w:r w:rsidRPr="00F64707">
        <w:rPr>
          <w:sz w:val="22"/>
          <w:szCs w:val="22"/>
        </w:rPr>
        <w:t>Nasled</w:t>
      </w:r>
      <w:r w:rsidR="00367486" w:rsidRPr="00F64707">
        <w:rPr>
          <w:sz w:val="22"/>
          <w:szCs w:val="22"/>
        </w:rPr>
        <w:t>ujúca</w:t>
      </w:r>
      <w:r w:rsidR="00104E68" w:rsidRPr="00F64707">
        <w:rPr>
          <w:sz w:val="22"/>
          <w:szCs w:val="22"/>
        </w:rPr>
        <w:t xml:space="preserve"> </w:t>
      </w:r>
      <w:r w:rsidRPr="00F64707">
        <w:rPr>
          <w:sz w:val="22"/>
          <w:szCs w:val="22"/>
        </w:rPr>
        <w:t xml:space="preserve">tabuľka uvádza nežiaduce </w:t>
      </w:r>
      <w:r w:rsidR="00E821EE" w:rsidRPr="00F64707">
        <w:rPr>
          <w:sz w:val="22"/>
          <w:szCs w:val="22"/>
        </w:rPr>
        <w:t>reakcie</w:t>
      </w:r>
      <w:r w:rsidRPr="00F64707">
        <w:rPr>
          <w:sz w:val="22"/>
          <w:szCs w:val="22"/>
        </w:rPr>
        <w:t xml:space="preserve"> </w:t>
      </w:r>
      <w:r w:rsidR="001E20EC" w:rsidRPr="00F64707">
        <w:rPr>
          <w:sz w:val="22"/>
          <w:szCs w:val="22"/>
        </w:rPr>
        <w:t xml:space="preserve">hlásené </w:t>
      </w:r>
      <w:r w:rsidRPr="00F64707">
        <w:rPr>
          <w:sz w:val="22"/>
          <w:szCs w:val="22"/>
        </w:rPr>
        <w:t xml:space="preserve">z kontrolovaných klinických </w:t>
      </w:r>
      <w:r w:rsidR="00367486" w:rsidRPr="00F64707">
        <w:rPr>
          <w:sz w:val="22"/>
          <w:szCs w:val="22"/>
        </w:rPr>
        <w:t xml:space="preserve">skúšaní </w:t>
      </w:r>
      <w:r w:rsidRPr="00F64707">
        <w:rPr>
          <w:sz w:val="22"/>
          <w:szCs w:val="22"/>
        </w:rPr>
        <w:t>a</w:t>
      </w:r>
      <w:r w:rsidR="00367486" w:rsidRPr="00F64707">
        <w:rPr>
          <w:sz w:val="22"/>
          <w:szCs w:val="22"/>
        </w:rPr>
        <w:t> po uvedení lieku na trh</w:t>
      </w:r>
      <w:r w:rsidRPr="00F64707">
        <w:rPr>
          <w:sz w:val="22"/>
          <w:szCs w:val="22"/>
        </w:rPr>
        <w:t xml:space="preserve">. Uvedené nežiaduce </w:t>
      </w:r>
      <w:r w:rsidR="00367486" w:rsidRPr="00F64707">
        <w:rPr>
          <w:sz w:val="22"/>
          <w:szCs w:val="22"/>
        </w:rPr>
        <w:t xml:space="preserve">udalosti </w:t>
      </w:r>
      <w:r w:rsidRPr="00F64707">
        <w:rPr>
          <w:sz w:val="22"/>
          <w:szCs w:val="22"/>
        </w:rPr>
        <w:t xml:space="preserve">z klinických </w:t>
      </w:r>
      <w:r w:rsidR="00367486" w:rsidRPr="00F64707">
        <w:rPr>
          <w:sz w:val="22"/>
          <w:szCs w:val="22"/>
        </w:rPr>
        <w:t xml:space="preserve">skúšaní </w:t>
      </w:r>
      <w:r w:rsidRPr="00F64707">
        <w:rPr>
          <w:sz w:val="22"/>
          <w:szCs w:val="22"/>
        </w:rPr>
        <w:t xml:space="preserve">sú </w:t>
      </w:r>
      <w:r w:rsidR="00367486" w:rsidRPr="00F64707">
        <w:rPr>
          <w:snapToGrid w:val="0"/>
          <w:color w:val="000000"/>
          <w:sz w:val="22"/>
          <w:szCs w:val="22"/>
        </w:rPr>
        <w:t>posúdené skúšajúcimi ako udalosti súvisiace s liekom</w:t>
      </w:r>
      <w:r w:rsidR="009832ED" w:rsidRPr="00F64707">
        <w:rPr>
          <w:sz w:val="22"/>
          <w:szCs w:val="22"/>
        </w:rPr>
        <w:t xml:space="preserve"> (s </w:t>
      </w:r>
      <w:r w:rsidRPr="00F64707">
        <w:rPr>
          <w:sz w:val="22"/>
          <w:szCs w:val="22"/>
        </w:rPr>
        <w:t>incide</w:t>
      </w:r>
      <w:r w:rsidR="00367486" w:rsidRPr="00F64707">
        <w:rPr>
          <w:sz w:val="22"/>
          <w:szCs w:val="22"/>
        </w:rPr>
        <w:t>nciou väčšou alebo rovn</w:t>
      </w:r>
      <w:r w:rsidR="00400023" w:rsidRPr="00F64707">
        <w:rPr>
          <w:sz w:val="22"/>
          <w:szCs w:val="22"/>
        </w:rPr>
        <w:t>ou</w:t>
      </w:r>
      <w:r w:rsidR="00367486" w:rsidRPr="00F64707">
        <w:rPr>
          <w:sz w:val="22"/>
          <w:szCs w:val="22"/>
        </w:rPr>
        <w:t xml:space="preserve"> </w:t>
      </w:r>
      <w:r w:rsidRPr="00F64707">
        <w:rPr>
          <w:sz w:val="22"/>
          <w:szCs w:val="22"/>
        </w:rPr>
        <w:t>1</w:t>
      </w:r>
      <w:r w:rsidR="002241FB" w:rsidRPr="00F64707">
        <w:rPr>
          <w:sz w:val="22"/>
          <w:szCs w:val="22"/>
        </w:rPr>
        <w:t> </w:t>
      </w:r>
      <w:r w:rsidRPr="00F64707">
        <w:rPr>
          <w:sz w:val="22"/>
          <w:szCs w:val="22"/>
        </w:rPr>
        <w:t>%)</w:t>
      </w:r>
      <w:r w:rsidR="00367486" w:rsidRPr="00F64707">
        <w:rPr>
          <w:sz w:val="22"/>
          <w:szCs w:val="22"/>
        </w:rPr>
        <w:t>, hlásené</w:t>
      </w:r>
      <w:r w:rsidRPr="00F64707">
        <w:rPr>
          <w:sz w:val="22"/>
          <w:szCs w:val="22"/>
        </w:rPr>
        <w:t xml:space="preserve"> s vyššou incidenciou u pacientov liečených dutasteridom </w:t>
      </w:r>
      <w:r w:rsidR="00367486" w:rsidRPr="00F64707">
        <w:rPr>
          <w:sz w:val="22"/>
          <w:szCs w:val="22"/>
        </w:rPr>
        <w:t>v porovnaní s </w:t>
      </w:r>
      <w:r w:rsidRPr="00F64707">
        <w:rPr>
          <w:sz w:val="22"/>
          <w:szCs w:val="22"/>
        </w:rPr>
        <w:t>placeb</w:t>
      </w:r>
      <w:r w:rsidR="00367486" w:rsidRPr="00F64707">
        <w:rPr>
          <w:sz w:val="22"/>
          <w:szCs w:val="22"/>
        </w:rPr>
        <w:t>om</w:t>
      </w:r>
      <w:r w:rsidRPr="00F64707">
        <w:rPr>
          <w:sz w:val="22"/>
          <w:szCs w:val="22"/>
        </w:rPr>
        <w:t xml:space="preserve"> počas prvého roku liečby. </w:t>
      </w:r>
      <w:r w:rsidR="000E035F" w:rsidRPr="00F64707">
        <w:rPr>
          <w:sz w:val="22"/>
          <w:szCs w:val="22"/>
        </w:rPr>
        <w:t xml:space="preserve">Nežiaduce udalosti po uvedení lieku na trh boli identifikované zo spontánnych postmarketingových hlásení, preto </w:t>
      </w:r>
      <w:r w:rsidR="001E20EC" w:rsidRPr="00F64707">
        <w:rPr>
          <w:sz w:val="22"/>
          <w:szCs w:val="22"/>
        </w:rPr>
        <w:t>skutočná</w:t>
      </w:r>
      <w:r w:rsidR="006E5F09" w:rsidRPr="00F64707">
        <w:rPr>
          <w:sz w:val="22"/>
          <w:szCs w:val="22"/>
        </w:rPr>
        <w:t xml:space="preserve"> </w:t>
      </w:r>
      <w:r w:rsidR="000E035F" w:rsidRPr="00F64707">
        <w:rPr>
          <w:sz w:val="22"/>
          <w:szCs w:val="22"/>
        </w:rPr>
        <w:t xml:space="preserve">incidencia </w:t>
      </w:r>
      <w:r w:rsidR="006E5F09" w:rsidRPr="00F64707">
        <w:rPr>
          <w:sz w:val="22"/>
          <w:szCs w:val="22"/>
        </w:rPr>
        <w:t xml:space="preserve">nie je </w:t>
      </w:r>
      <w:r w:rsidR="000E035F" w:rsidRPr="00F64707">
        <w:rPr>
          <w:sz w:val="22"/>
          <w:szCs w:val="22"/>
        </w:rPr>
        <w:t>známa.</w:t>
      </w:r>
    </w:p>
    <w:p w:rsidR="00FE2DD4" w:rsidRPr="00F64707" w:rsidRDefault="00FE2DD4" w:rsidP="00F64707">
      <w:pPr>
        <w:rPr>
          <w:color w:val="000000"/>
          <w:sz w:val="22"/>
          <w:szCs w:val="22"/>
        </w:rPr>
      </w:pPr>
    </w:p>
    <w:p w:rsidR="00FE2DD4" w:rsidRPr="00F64707" w:rsidRDefault="00FE2DD4" w:rsidP="00F64707">
      <w:pPr>
        <w:keepNext/>
        <w:keepLines/>
        <w:rPr>
          <w:sz w:val="22"/>
          <w:szCs w:val="22"/>
        </w:rPr>
      </w:pPr>
      <w:r w:rsidRPr="00F64707">
        <w:rPr>
          <w:sz w:val="22"/>
          <w:szCs w:val="22"/>
        </w:rPr>
        <w:t>Veľmi časté (≥ 1/10); časté (≥ 1/100</w:t>
      </w:r>
      <w:r w:rsidR="00367486" w:rsidRPr="00F64707">
        <w:rPr>
          <w:sz w:val="22"/>
          <w:szCs w:val="22"/>
        </w:rPr>
        <w:t xml:space="preserve"> až </w:t>
      </w:r>
      <w:r w:rsidRPr="00F64707">
        <w:rPr>
          <w:sz w:val="22"/>
          <w:szCs w:val="22"/>
        </w:rPr>
        <w:t>&lt; 1/10); menej časté (≥ 1/1 000</w:t>
      </w:r>
      <w:r w:rsidR="00367486" w:rsidRPr="00F64707">
        <w:rPr>
          <w:sz w:val="22"/>
          <w:szCs w:val="22"/>
        </w:rPr>
        <w:t xml:space="preserve"> až</w:t>
      </w:r>
      <w:r w:rsidRPr="00F64707">
        <w:rPr>
          <w:sz w:val="22"/>
          <w:szCs w:val="22"/>
        </w:rPr>
        <w:t xml:space="preserve"> &lt; 1/100); zriedkavé (≥ 1/10 000</w:t>
      </w:r>
      <w:r w:rsidR="00367486" w:rsidRPr="00F64707">
        <w:rPr>
          <w:sz w:val="22"/>
          <w:szCs w:val="22"/>
        </w:rPr>
        <w:t xml:space="preserve"> až</w:t>
      </w:r>
      <w:r w:rsidRPr="00F64707">
        <w:rPr>
          <w:sz w:val="22"/>
          <w:szCs w:val="22"/>
        </w:rPr>
        <w:t xml:space="preserve"> &lt; 1/1 000); veľmi zriedkavé (&lt; 1/10 000); neznáme (</w:t>
      </w:r>
      <w:r w:rsidR="00847FD5" w:rsidRPr="00F64707">
        <w:rPr>
          <w:sz w:val="22"/>
          <w:szCs w:val="22"/>
        </w:rPr>
        <w:t xml:space="preserve">nie je možné stanoviť </w:t>
      </w:r>
      <w:r w:rsidRPr="00F64707">
        <w:rPr>
          <w:sz w:val="22"/>
          <w:szCs w:val="22"/>
        </w:rPr>
        <w:t>z</w:t>
      </w:r>
      <w:r w:rsidR="00CD7A6D" w:rsidRPr="00F64707">
        <w:rPr>
          <w:sz w:val="22"/>
          <w:szCs w:val="22"/>
        </w:rPr>
        <w:t> </w:t>
      </w:r>
      <w:r w:rsidRPr="00F64707">
        <w:rPr>
          <w:sz w:val="22"/>
          <w:szCs w:val="22"/>
        </w:rPr>
        <w:t>dostupných údajov).</w:t>
      </w:r>
    </w:p>
    <w:p w:rsidR="00400023" w:rsidRPr="00F64707" w:rsidRDefault="00400023" w:rsidP="00F64707">
      <w:pPr>
        <w:keepLine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583"/>
        <w:gridCol w:w="2103"/>
        <w:gridCol w:w="2104"/>
      </w:tblGrid>
      <w:tr w:rsidR="000E2DF9" w:rsidRPr="00F64707" w:rsidTr="00505804">
        <w:tc>
          <w:tcPr>
            <w:tcW w:w="2302" w:type="dxa"/>
            <w:vMerge w:val="restart"/>
          </w:tcPr>
          <w:p w:rsidR="000E2DF9" w:rsidRPr="00F64707" w:rsidRDefault="000E2DF9" w:rsidP="00F64707">
            <w:pPr>
              <w:keepNext/>
              <w:keepLines/>
              <w:jc w:val="center"/>
              <w:rPr>
                <w:b/>
                <w:color w:val="000000"/>
                <w:sz w:val="22"/>
                <w:szCs w:val="22"/>
              </w:rPr>
            </w:pPr>
            <w:r w:rsidRPr="00F64707">
              <w:rPr>
                <w:b/>
                <w:sz w:val="22"/>
                <w:szCs w:val="22"/>
              </w:rPr>
              <w:t>Orgánový systém</w:t>
            </w:r>
          </w:p>
        </w:tc>
        <w:tc>
          <w:tcPr>
            <w:tcW w:w="2626" w:type="dxa"/>
            <w:vMerge w:val="restart"/>
          </w:tcPr>
          <w:p w:rsidR="000E2DF9" w:rsidRPr="00F64707" w:rsidRDefault="007D20D8" w:rsidP="00F64707">
            <w:pPr>
              <w:keepNext/>
              <w:keepLines/>
              <w:jc w:val="center"/>
              <w:rPr>
                <w:b/>
                <w:color w:val="000000"/>
                <w:sz w:val="22"/>
                <w:szCs w:val="22"/>
              </w:rPr>
            </w:pPr>
            <w:r w:rsidRPr="00F64707">
              <w:rPr>
                <w:b/>
                <w:color w:val="000000"/>
                <w:sz w:val="22"/>
                <w:szCs w:val="22"/>
              </w:rPr>
              <w:t>Nežiaduca reakcia</w:t>
            </w:r>
          </w:p>
        </w:tc>
        <w:tc>
          <w:tcPr>
            <w:tcW w:w="4283" w:type="dxa"/>
            <w:gridSpan w:val="2"/>
          </w:tcPr>
          <w:p w:rsidR="000E2DF9" w:rsidRPr="00F64707" w:rsidRDefault="000E2DF9" w:rsidP="00F64707">
            <w:pPr>
              <w:keepNext/>
              <w:keepLines/>
              <w:jc w:val="center"/>
              <w:rPr>
                <w:b/>
                <w:color w:val="000000"/>
                <w:sz w:val="22"/>
                <w:szCs w:val="22"/>
              </w:rPr>
            </w:pPr>
            <w:r w:rsidRPr="00F64707">
              <w:rPr>
                <w:b/>
                <w:sz w:val="22"/>
                <w:szCs w:val="22"/>
              </w:rPr>
              <w:t xml:space="preserve">Incidencia z údajov </w:t>
            </w:r>
            <w:r w:rsidR="00CD7A6D" w:rsidRPr="00F64707">
              <w:rPr>
                <w:b/>
                <w:sz w:val="22"/>
                <w:szCs w:val="22"/>
              </w:rPr>
              <w:t>z </w:t>
            </w:r>
            <w:r w:rsidRPr="00F64707">
              <w:rPr>
                <w:b/>
                <w:sz w:val="22"/>
                <w:szCs w:val="22"/>
              </w:rPr>
              <w:t>klinickej štúdie</w:t>
            </w:r>
          </w:p>
        </w:tc>
      </w:tr>
      <w:tr w:rsidR="000E2DF9" w:rsidRPr="00F64707" w:rsidTr="00505804">
        <w:tc>
          <w:tcPr>
            <w:tcW w:w="2302" w:type="dxa"/>
            <w:vMerge/>
          </w:tcPr>
          <w:p w:rsidR="000E2DF9" w:rsidRPr="00F64707" w:rsidRDefault="000E2DF9" w:rsidP="00F64707">
            <w:pPr>
              <w:keepNext/>
              <w:rPr>
                <w:color w:val="000000"/>
                <w:sz w:val="22"/>
                <w:szCs w:val="22"/>
              </w:rPr>
            </w:pPr>
          </w:p>
        </w:tc>
        <w:tc>
          <w:tcPr>
            <w:tcW w:w="2626" w:type="dxa"/>
            <w:vMerge/>
          </w:tcPr>
          <w:p w:rsidR="000E2DF9" w:rsidRPr="00F64707" w:rsidRDefault="000E2DF9" w:rsidP="00F64707">
            <w:pPr>
              <w:keepNext/>
              <w:rPr>
                <w:color w:val="000000"/>
                <w:sz w:val="22"/>
                <w:szCs w:val="22"/>
              </w:rPr>
            </w:pPr>
          </w:p>
        </w:tc>
        <w:tc>
          <w:tcPr>
            <w:tcW w:w="2141" w:type="dxa"/>
          </w:tcPr>
          <w:p w:rsidR="000E2DF9" w:rsidRPr="00F64707" w:rsidRDefault="000E2DF9" w:rsidP="00F64707">
            <w:pPr>
              <w:keepNext/>
              <w:rPr>
                <w:b/>
                <w:color w:val="000000"/>
                <w:sz w:val="22"/>
                <w:szCs w:val="22"/>
              </w:rPr>
            </w:pPr>
            <w:r w:rsidRPr="00F64707">
              <w:rPr>
                <w:b/>
                <w:sz w:val="22"/>
                <w:szCs w:val="22"/>
              </w:rPr>
              <w:t>Incidencia počas 1. roku liečby (n</w:t>
            </w:r>
            <w:r w:rsidR="00201671" w:rsidRPr="00F64707">
              <w:rPr>
                <w:b/>
                <w:sz w:val="22"/>
                <w:szCs w:val="22"/>
              </w:rPr>
              <w:t> </w:t>
            </w:r>
            <w:r w:rsidRPr="00F64707">
              <w:rPr>
                <w:b/>
                <w:sz w:val="22"/>
                <w:szCs w:val="22"/>
              </w:rPr>
              <w:t>=</w:t>
            </w:r>
            <w:r w:rsidR="00201671" w:rsidRPr="00F64707">
              <w:rPr>
                <w:b/>
                <w:sz w:val="22"/>
                <w:szCs w:val="22"/>
              </w:rPr>
              <w:t> </w:t>
            </w:r>
            <w:r w:rsidRPr="00F64707">
              <w:rPr>
                <w:b/>
                <w:sz w:val="22"/>
                <w:szCs w:val="22"/>
              </w:rPr>
              <w:t>2 167)</w:t>
            </w:r>
          </w:p>
        </w:tc>
        <w:tc>
          <w:tcPr>
            <w:tcW w:w="2142" w:type="dxa"/>
          </w:tcPr>
          <w:p w:rsidR="000E2DF9" w:rsidRPr="00F64707" w:rsidRDefault="000E2DF9" w:rsidP="00F64707">
            <w:pPr>
              <w:keepNext/>
              <w:rPr>
                <w:b/>
                <w:color w:val="000000"/>
                <w:sz w:val="22"/>
                <w:szCs w:val="22"/>
              </w:rPr>
            </w:pPr>
            <w:r w:rsidRPr="00F64707">
              <w:rPr>
                <w:b/>
                <w:sz w:val="22"/>
                <w:szCs w:val="22"/>
              </w:rPr>
              <w:t>Incidencia počas 2. roku liečby (n</w:t>
            </w:r>
            <w:r w:rsidR="00201671" w:rsidRPr="00F64707">
              <w:rPr>
                <w:b/>
                <w:sz w:val="22"/>
                <w:szCs w:val="22"/>
              </w:rPr>
              <w:t> </w:t>
            </w:r>
            <w:r w:rsidRPr="00F64707">
              <w:rPr>
                <w:b/>
                <w:sz w:val="22"/>
                <w:szCs w:val="22"/>
              </w:rPr>
              <w:t>=</w:t>
            </w:r>
            <w:r w:rsidR="00201671" w:rsidRPr="00F64707">
              <w:rPr>
                <w:b/>
                <w:sz w:val="22"/>
                <w:szCs w:val="22"/>
              </w:rPr>
              <w:t> </w:t>
            </w:r>
            <w:r w:rsidRPr="00F64707">
              <w:rPr>
                <w:b/>
                <w:sz w:val="22"/>
                <w:szCs w:val="22"/>
              </w:rPr>
              <w:t>1 744)</w:t>
            </w:r>
          </w:p>
        </w:tc>
      </w:tr>
      <w:tr w:rsidR="001E20EC" w:rsidRPr="00F64707" w:rsidTr="001E20EC">
        <w:tc>
          <w:tcPr>
            <w:tcW w:w="2302" w:type="dxa"/>
            <w:vMerge w:val="restart"/>
          </w:tcPr>
          <w:p w:rsidR="001E20EC" w:rsidRPr="00F64707" w:rsidRDefault="001E20EC" w:rsidP="00F64707">
            <w:pPr>
              <w:rPr>
                <w:sz w:val="22"/>
                <w:szCs w:val="22"/>
              </w:rPr>
            </w:pPr>
            <w:r w:rsidRPr="00F64707">
              <w:rPr>
                <w:snapToGrid w:val="0"/>
                <w:color w:val="000000"/>
                <w:sz w:val="22"/>
                <w:szCs w:val="22"/>
              </w:rPr>
              <w:t>Poruchy reprodukčného systému a prsníkov</w:t>
            </w:r>
          </w:p>
        </w:tc>
        <w:tc>
          <w:tcPr>
            <w:tcW w:w="2626"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Impotencia</w:t>
            </w:r>
            <w:r w:rsidRPr="00F64707">
              <w:rPr>
                <w:snapToGrid w:val="0"/>
                <w:color w:val="000000"/>
                <w:sz w:val="22"/>
                <w:szCs w:val="22"/>
                <w:vertAlign w:val="superscript"/>
              </w:rPr>
              <w:t>*</w:t>
            </w:r>
          </w:p>
        </w:tc>
        <w:tc>
          <w:tcPr>
            <w:tcW w:w="2141"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6,0 %</w:t>
            </w:r>
          </w:p>
        </w:tc>
        <w:tc>
          <w:tcPr>
            <w:tcW w:w="2142"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1,7 %</w:t>
            </w:r>
          </w:p>
        </w:tc>
      </w:tr>
      <w:tr w:rsidR="001E20EC" w:rsidRPr="00F64707" w:rsidTr="001E20EC">
        <w:tc>
          <w:tcPr>
            <w:tcW w:w="2302" w:type="dxa"/>
            <w:vMerge/>
          </w:tcPr>
          <w:p w:rsidR="001E20EC" w:rsidRPr="00F64707" w:rsidRDefault="001E20EC" w:rsidP="00F64707">
            <w:pPr>
              <w:rPr>
                <w:sz w:val="22"/>
                <w:szCs w:val="22"/>
              </w:rPr>
            </w:pPr>
          </w:p>
        </w:tc>
        <w:tc>
          <w:tcPr>
            <w:tcW w:w="2626"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Pozmenené (znížené) libido</w:t>
            </w:r>
            <w:r w:rsidRPr="00F64707">
              <w:rPr>
                <w:snapToGrid w:val="0"/>
                <w:color w:val="000000"/>
                <w:sz w:val="22"/>
                <w:szCs w:val="22"/>
                <w:vertAlign w:val="superscript"/>
              </w:rPr>
              <w:t>*</w:t>
            </w:r>
          </w:p>
        </w:tc>
        <w:tc>
          <w:tcPr>
            <w:tcW w:w="2141"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3,7 %</w:t>
            </w:r>
          </w:p>
        </w:tc>
        <w:tc>
          <w:tcPr>
            <w:tcW w:w="2142"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0,6 %</w:t>
            </w:r>
          </w:p>
        </w:tc>
      </w:tr>
      <w:tr w:rsidR="001E20EC" w:rsidRPr="00F64707" w:rsidTr="001E20EC">
        <w:tc>
          <w:tcPr>
            <w:tcW w:w="2302" w:type="dxa"/>
            <w:vMerge/>
          </w:tcPr>
          <w:p w:rsidR="001E20EC" w:rsidRPr="00F64707" w:rsidRDefault="001E20EC" w:rsidP="00F64707">
            <w:pPr>
              <w:rPr>
                <w:sz w:val="22"/>
                <w:szCs w:val="22"/>
              </w:rPr>
            </w:pPr>
          </w:p>
        </w:tc>
        <w:tc>
          <w:tcPr>
            <w:tcW w:w="2626"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Poruchy ejakulácie</w:t>
            </w:r>
            <w:r w:rsidRPr="00F64707">
              <w:rPr>
                <w:snapToGrid w:val="0"/>
                <w:color w:val="000000"/>
                <w:sz w:val="22"/>
                <w:szCs w:val="22"/>
                <w:vertAlign w:val="superscript"/>
              </w:rPr>
              <w:t>*</w:t>
            </w:r>
          </w:p>
        </w:tc>
        <w:tc>
          <w:tcPr>
            <w:tcW w:w="2141"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1,8 %</w:t>
            </w:r>
          </w:p>
        </w:tc>
        <w:tc>
          <w:tcPr>
            <w:tcW w:w="2142"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0,5 %</w:t>
            </w:r>
          </w:p>
        </w:tc>
      </w:tr>
      <w:tr w:rsidR="001E20EC" w:rsidRPr="00F64707" w:rsidTr="001E20EC">
        <w:tc>
          <w:tcPr>
            <w:tcW w:w="2302" w:type="dxa"/>
            <w:vMerge/>
          </w:tcPr>
          <w:p w:rsidR="001E20EC" w:rsidRPr="00F64707" w:rsidRDefault="001E20EC" w:rsidP="00F64707">
            <w:pPr>
              <w:rPr>
                <w:sz w:val="22"/>
                <w:szCs w:val="22"/>
              </w:rPr>
            </w:pPr>
          </w:p>
        </w:tc>
        <w:tc>
          <w:tcPr>
            <w:tcW w:w="2626"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Ochorenia prsníkov</w:t>
            </w:r>
            <w:r w:rsidRPr="00F64707">
              <w:rPr>
                <w:snapToGrid w:val="0"/>
                <w:color w:val="000000"/>
                <w:sz w:val="22"/>
                <w:szCs w:val="22"/>
                <w:vertAlign w:val="superscript"/>
              </w:rPr>
              <w:t>+</w:t>
            </w:r>
          </w:p>
        </w:tc>
        <w:tc>
          <w:tcPr>
            <w:tcW w:w="2141"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1,3 %</w:t>
            </w:r>
          </w:p>
        </w:tc>
        <w:tc>
          <w:tcPr>
            <w:tcW w:w="2142" w:type="dxa"/>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1,3 %</w:t>
            </w:r>
          </w:p>
        </w:tc>
      </w:tr>
      <w:tr w:rsidR="004E1317" w:rsidRPr="00F64707" w:rsidTr="00505804">
        <w:tc>
          <w:tcPr>
            <w:tcW w:w="2302" w:type="dxa"/>
            <w:vMerge w:val="restart"/>
          </w:tcPr>
          <w:p w:rsidR="004E1317" w:rsidRPr="00F64707" w:rsidRDefault="004E1317" w:rsidP="00F64707">
            <w:pPr>
              <w:rPr>
                <w:color w:val="000000"/>
                <w:sz w:val="22"/>
                <w:szCs w:val="22"/>
              </w:rPr>
            </w:pPr>
            <w:r w:rsidRPr="00F64707">
              <w:rPr>
                <w:sz w:val="22"/>
                <w:szCs w:val="22"/>
              </w:rPr>
              <w:t>Poruchy imunitného systému</w:t>
            </w:r>
          </w:p>
        </w:tc>
        <w:tc>
          <w:tcPr>
            <w:tcW w:w="2626" w:type="dxa"/>
            <w:vMerge w:val="restart"/>
          </w:tcPr>
          <w:p w:rsidR="004E1317" w:rsidRPr="00F64707" w:rsidRDefault="004E1317" w:rsidP="00F64707">
            <w:pPr>
              <w:rPr>
                <w:color w:val="000000"/>
                <w:sz w:val="22"/>
                <w:szCs w:val="22"/>
              </w:rPr>
            </w:pPr>
            <w:r w:rsidRPr="00F64707">
              <w:rPr>
                <w:sz w:val="22"/>
                <w:szCs w:val="22"/>
              </w:rPr>
              <w:t xml:space="preserve">Alergické reakcie </w:t>
            </w:r>
            <w:r w:rsidR="00C56AFE" w:rsidRPr="00F64707">
              <w:rPr>
                <w:sz w:val="22"/>
                <w:szCs w:val="22"/>
              </w:rPr>
              <w:t>vrátane vyrážky</w:t>
            </w:r>
            <w:r w:rsidRPr="00F64707">
              <w:rPr>
                <w:sz w:val="22"/>
                <w:szCs w:val="22"/>
              </w:rPr>
              <w:t>, pruritu</w:t>
            </w:r>
            <w:r w:rsidR="00C56AFE" w:rsidRPr="00F64707">
              <w:rPr>
                <w:sz w:val="22"/>
                <w:szCs w:val="22"/>
              </w:rPr>
              <w:t>, urtikárie</w:t>
            </w:r>
            <w:r w:rsidRPr="00F64707">
              <w:rPr>
                <w:sz w:val="22"/>
                <w:szCs w:val="22"/>
              </w:rPr>
              <w:t>, lokalizovan</w:t>
            </w:r>
            <w:r w:rsidR="00C56AFE" w:rsidRPr="00F64707">
              <w:rPr>
                <w:sz w:val="22"/>
                <w:szCs w:val="22"/>
              </w:rPr>
              <w:t>ého</w:t>
            </w:r>
            <w:r w:rsidRPr="00F64707">
              <w:rPr>
                <w:sz w:val="22"/>
                <w:szCs w:val="22"/>
              </w:rPr>
              <w:t xml:space="preserve"> edém</w:t>
            </w:r>
            <w:r w:rsidR="00C56AFE" w:rsidRPr="00F64707">
              <w:rPr>
                <w:sz w:val="22"/>
                <w:szCs w:val="22"/>
              </w:rPr>
              <w:t>u</w:t>
            </w:r>
            <w:r w:rsidRPr="00F64707">
              <w:rPr>
                <w:sz w:val="22"/>
                <w:szCs w:val="22"/>
              </w:rPr>
              <w:t xml:space="preserve"> a</w:t>
            </w:r>
            <w:r w:rsidR="00A3538B" w:rsidRPr="00F64707">
              <w:rPr>
                <w:sz w:val="22"/>
                <w:szCs w:val="22"/>
              </w:rPr>
              <w:t> </w:t>
            </w:r>
            <w:r w:rsidRPr="00F64707">
              <w:rPr>
                <w:sz w:val="22"/>
                <w:szCs w:val="22"/>
              </w:rPr>
              <w:t>angioedém</w:t>
            </w:r>
            <w:r w:rsidR="00C56AFE" w:rsidRPr="00F64707">
              <w:rPr>
                <w:sz w:val="22"/>
                <w:szCs w:val="22"/>
              </w:rPr>
              <w:t>u</w:t>
            </w:r>
          </w:p>
        </w:tc>
        <w:tc>
          <w:tcPr>
            <w:tcW w:w="4283" w:type="dxa"/>
            <w:gridSpan w:val="2"/>
          </w:tcPr>
          <w:p w:rsidR="004E1317" w:rsidRPr="00F64707" w:rsidRDefault="004E1317" w:rsidP="00F64707">
            <w:pPr>
              <w:jc w:val="center"/>
              <w:rPr>
                <w:b/>
                <w:color w:val="000000"/>
                <w:sz w:val="22"/>
                <w:szCs w:val="22"/>
              </w:rPr>
            </w:pPr>
            <w:r w:rsidRPr="00F64707">
              <w:rPr>
                <w:b/>
                <w:sz w:val="22"/>
                <w:szCs w:val="22"/>
              </w:rPr>
              <w:t>In</w:t>
            </w:r>
            <w:r w:rsidR="00C56AFE" w:rsidRPr="00F64707">
              <w:rPr>
                <w:b/>
                <w:sz w:val="22"/>
                <w:szCs w:val="22"/>
              </w:rPr>
              <w:t>cidencia odhadovaná z údajov po </w:t>
            </w:r>
            <w:r w:rsidRPr="00F64707">
              <w:rPr>
                <w:b/>
                <w:sz w:val="22"/>
                <w:szCs w:val="22"/>
              </w:rPr>
              <w:t>uvedení lieku na trh</w:t>
            </w:r>
          </w:p>
        </w:tc>
      </w:tr>
      <w:tr w:rsidR="004E1317" w:rsidRPr="00F64707" w:rsidTr="00505804">
        <w:tc>
          <w:tcPr>
            <w:tcW w:w="2302" w:type="dxa"/>
            <w:vMerge/>
          </w:tcPr>
          <w:p w:rsidR="004E1317" w:rsidRPr="00F64707" w:rsidRDefault="004E1317" w:rsidP="00F64707">
            <w:pPr>
              <w:rPr>
                <w:color w:val="000000"/>
                <w:sz w:val="22"/>
                <w:szCs w:val="22"/>
              </w:rPr>
            </w:pPr>
          </w:p>
        </w:tc>
        <w:tc>
          <w:tcPr>
            <w:tcW w:w="2626" w:type="dxa"/>
            <w:vMerge/>
          </w:tcPr>
          <w:p w:rsidR="004E1317" w:rsidRPr="00F64707" w:rsidRDefault="004E1317" w:rsidP="00F64707">
            <w:pPr>
              <w:rPr>
                <w:color w:val="000000"/>
                <w:sz w:val="22"/>
                <w:szCs w:val="22"/>
              </w:rPr>
            </w:pPr>
          </w:p>
        </w:tc>
        <w:tc>
          <w:tcPr>
            <w:tcW w:w="4283" w:type="dxa"/>
            <w:gridSpan w:val="2"/>
          </w:tcPr>
          <w:p w:rsidR="004E1317" w:rsidRPr="00F64707" w:rsidRDefault="004E1317" w:rsidP="00F64707">
            <w:pPr>
              <w:jc w:val="center"/>
              <w:rPr>
                <w:color w:val="000000"/>
                <w:sz w:val="22"/>
                <w:szCs w:val="22"/>
              </w:rPr>
            </w:pPr>
            <w:r w:rsidRPr="00F64707">
              <w:rPr>
                <w:color w:val="000000"/>
                <w:sz w:val="22"/>
                <w:szCs w:val="22"/>
              </w:rPr>
              <w:t>Neznáme</w:t>
            </w:r>
          </w:p>
        </w:tc>
      </w:tr>
      <w:tr w:rsidR="001E20EC" w:rsidRPr="00F64707" w:rsidTr="00197AC6">
        <w:tc>
          <w:tcPr>
            <w:tcW w:w="2302"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 xml:space="preserve">Psychické poruchy </w:t>
            </w:r>
          </w:p>
        </w:tc>
        <w:tc>
          <w:tcPr>
            <w:tcW w:w="2626" w:type="dxa"/>
          </w:tcPr>
          <w:p w:rsidR="001E20EC" w:rsidRPr="00F64707" w:rsidRDefault="001E20EC" w:rsidP="00F64707">
            <w:pPr>
              <w:tabs>
                <w:tab w:val="left" w:pos="567"/>
              </w:tabs>
              <w:rPr>
                <w:snapToGrid w:val="0"/>
                <w:color w:val="000000"/>
                <w:sz w:val="22"/>
                <w:szCs w:val="22"/>
                <w:lang w:bidi="sk-SK"/>
              </w:rPr>
            </w:pPr>
            <w:r w:rsidRPr="00F64707">
              <w:rPr>
                <w:snapToGrid w:val="0"/>
                <w:color w:val="000000"/>
                <w:sz w:val="22"/>
                <w:szCs w:val="22"/>
              </w:rPr>
              <w:t xml:space="preserve">Depresívna nálada </w:t>
            </w:r>
          </w:p>
        </w:tc>
        <w:tc>
          <w:tcPr>
            <w:tcW w:w="4283" w:type="dxa"/>
            <w:gridSpan w:val="2"/>
          </w:tcPr>
          <w:p w:rsidR="001E20EC" w:rsidRPr="00F64707" w:rsidRDefault="001E20EC" w:rsidP="00F64707">
            <w:pPr>
              <w:tabs>
                <w:tab w:val="left" w:pos="567"/>
              </w:tabs>
              <w:jc w:val="center"/>
              <w:rPr>
                <w:snapToGrid w:val="0"/>
                <w:color w:val="000000"/>
                <w:sz w:val="22"/>
                <w:szCs w:val="22"/>
                <w:lang w:bidi="sk-SK"/>
              </w:rPr>
            </w:pPr>
            <w:r w:rsidRPr="00F64707">
              <w:rPr>
                <w:snapToGrid w:val="0"/>
                <w:color w:val="000000"/>
                <w:sz w:val="22"/>
                <w:szCs w:val="22"/>
              </w:rPr>
              <w:t>Neznáme</w:t>
            </w:r>
          </w:p>
        </w:tc>
      </w:tr>
      <w:tr w:rsidR="00C56AFE" w:rsidRPr="00F64707" w:rsidTr="00197AC6">
        <w:tc>
          <w:tcPr>
            <w:tcW w:w="2302" w:type="dxa"/>
          </w:tcPr>
          <w:p w:rsidR="00C56AFE" w:rsidRPr="00F64707" w:rsidRDefault="00C56AFE" w:rsidP="00F64707">
            <w:pPr>
              <w:rPr>
                <w:color w:val="000000"/>
                <w:sz w:val="22"/>
                <w:szCs w:val="22"/>
              </w:rPr>
            </w:pPr>
            <w:r w:rsidRPr="00F64707">
              <w:rPr>
                <w:sz w:val="22"/>
                <w:szCs w:val="22"/>
              </w:rPr>
              <w:t>Poruchy kože a podkožného tkaniva</w:t>
            </w:r>
          </w:p>
        </w:tc>
        <w:tc>
          <w:tcPr>
            <w:tcW w:w="2626" w:type="dxa"/>
          </w:tcPr>
          <w:p w:rsidR="00C56AFE" w:rsidRPr="00F64707" w:rsidRDefault="00C56AFE" w:rsidP="00F64707">
            <w:pPr>
              <w:rPr>
                <w:color w:val="000000"/>
                <w:sz w:val="22"/>
                <w:szCs w:val="22"/>
              </w:rPr>
            </w:pPr>
            <w:r w:rsidRPr="00F64707">
              <w:rPr>
                <w:sz w:val="22"/>
                <w:szCs w:val="22"/>
              </w:rPr>
              <w:t>Alopécia (predovšetkým strata telesného ochlpenia), hypertrichóza</w:t>
            </w:r>
          </w:p>
        </w:tc>
        <w:tc>
          <w:tcPr>
            <w:tcW w:w="4283" w:type="dxa"/>
            <w:gridSpan w:val="2"/>
          </w:tcPr>
          <w:p w:rsidR="00C56AFE" w:rsidRPr="00F64707" w:rsidRDefault="00C56AFE" w:rsidP="00F64707">
            <w:pPr>
              <w:jc w:val="center"/>
              <w:rPr>
                <w:color w:val="000000"/>
                <w:sz w:val="22"/>
                <w:szCs w:val="22"/>
              </w:rPr>
            </w:pPr>
            <w:r w:rsidRPr="00F64707">
              <w:rPr>
                <w:color w:val="000000"/>
                <w:sz w:val="22"/>
                <w:szCs w:val="22"/>
              </w:rPr>
              <w:t>Menej časté</w:t>
            </w:r>
          </w:p>
        </w:tc>
      </w:tr>
      <w:tr w:rsidR="00400023" w:rsidRPr="00F64707" w:rsidTr="00297B72">
        <w:tc>
          <w:tcPr>
            <w:tcW w:w="2302" w:type="dxa"/>
          </w:tcPr>
          <w:p w:rsidR="00400023" w:rsidRPr="00F64707" w:rsidRDefault="00400023" w:rsidP="00F64707">
            <w:pPr>
              <w:tabs>
                <w:tab w:val="left" w:pos="567"/>
              </w:tabs>
              <w:rPr>
                <w:snapToGrid w:val="0"/>
                <w:color w:val="000000"/>
                <w:sz w:val="22"/>
                <w:szCs w:val="22"/>
                <w:lang w:bidi="sk-SK"/>
              </w:rPr>
            </w:pPr>
            <w:r w:rsidRPr="00F64707">
              <w:rPr>
                <w:snapToGrid w:val="0"/>
                <w:color w:val="000000"/>
                <w:sz w:val="22"/>
                <w:szCs w:val="22"/>
              </w:rPr>
              <w:t xml:space="preserve">Poruchy reprodukčného systému a prsníkov </w:t>
            </w:r>
          </w:p>
        </w:tc>
        <w:tc>
          <w:tcPr>
            <w:tcW w:w="2626" w:type="dxa"/>
          </w:tcPr>
          <w:p w:rsidR="00400023" w:rsidRPr="00F64707" w:rsidRDefault="00400023" w:rsidP="00F64707">
            <w:pPr>
              <w:tabs>
                <w:tab w:val="left" w:pos="567"/>
              </w:tabs>
              <w:rPr>
                <w:snapToGrid w:val="0"/>
                <w:color w:val="000000"/>
                <w:sz w:val="22"/>
                <w:szCs w:val="22"/>
                <w:lang w:bidi="sk-SK"/>
              </w:rPr>
            </w:pPr>
            <w:r w:rsidRPr="00F64707">
              <w:rPr>
                <w:snapToGrid w:val="0"/>
                <w:color w:val="000000"/>
                <w:sz w:val="22"/>
                <w:szCs w:val="22"/>
              </w:rPr>
              <w:t>Bolesť a opuch semenníkov</w:t>
            </w:r>
          </w:p>
        </w:tc>
        <w:tc>
          <w:tcPr>
            <w:tcW w:w="4283" w:type="dxa"/>
            <w:gridSpan w:val="2"/>
          </w:tcPr>
          <w:p w:rsidR="00400023" w:rsidRPr="00F64707" w:rsidRDefault="00400023" w:rsidP="00F64707">
            <w:pPr>
              <w:tabs>
                <w:tab w:val="left" w:pos="567"/>
              </w:tabs>
              <w:jc w:val="center"/>
              <w:rPr>
                <w:snapToGrid w:val="0"/>
                <w:color w:val="000000"/>
                <w:sz w:val="22"/>
                <w:szCs w:val="22"/>
                <w:lang w:bidi="sk-SK"/>
              </w:rPr>
            </w:pPr>
            <w:r w:rsidRPr="00F64707">
              <w:rPr>
                <w:snapToGrid w:val="0"/>
                <w:color w:val="000000"/>
                <w:sz w:val="22"/>
                <w:szCs w:val="22"/>
              </w:rPr>
              <w:t>Neznáme</w:t>
            </w:r>
          </w:p>
        </w:tc>
      </w:tr>
    </w:tbl>
    <w:p w:rsidR="00400023" w:rsidRPr="00F64707" w:rsidRDefault="00400023" w:rsidP="00F64707">
      <w:pPr>
        <w:keepNext/>
        <w:rPr>
          <w:snapToGrid w:val="0"/>
          <w:color w:val="000000"/>
          <w:sz w:val="22"/>
          <w:szCs w:val="22"/>
        </w:rPr>
      </w:pPr>
      <w:r w:rsidRPr="00F64707">
        <w:rPr>
          <w:snapToGrid w:val="0"/>
          <w:color w:val="000000"/>
          <w:sz w:val="22"/>
          <w:szCs w:val="22"/>
        </w:rPr>
        <w:t>*Tieto sexuálne nežiaduce udalosti s</w:t>
      </w:r>
      <w:r w:rsidR="006933DA" w:rsidRPr="00F64707">
        <w:rPr>
          <w:snapToGrid w:val="0"/>
          <w:color w:val="000000"/>
          <w:sz w:val="22"/>
          <w:szCs w:val="22"/>
        </w:rPr>
        <w:t>úvisia</w:t>
      </w:r>
      <w:r w:rsidRPr="00F64707">
        <w:rPr>
          <w:snapToGrid w:val="0"/>
          <w:color w:val="000000"/>
          <w:sz w:val="22"/>
          <w:szCs w:val="22"/>
        </w:rPr>
        <w:t xml:space="preserve"> s liečbou dutasteridom (vrátane monoterapie a kombinácie s tamsulozínom). Tieto nežiaduce udalosti môžu pretrvávať aj po prerušení liečby. Úloha dutasteridu </w:t>
      </w:r>
      <w:r w:rsidR="006933DA" w:rsidRPr="00F64707">
        <w:rPr>
          <w:snapToGrid w:val="0"/>
          <w:color w:val="000000"/>
          <w:sz w:val="22"/>
          <w:szCs w:val="22"/>
        </w:rPr>
        <w:t>pri ich</w:t>
      </w:r>
      <w:r w:rsidRPr="00F64707">
        <w:rPr>
          <w:snapToGrid w:val="0"/>
          <w:color w:val="000000"/>
          <w:sz w:val="22"/>
          <w:szCs w:val="22"/>
        </w:rPr>
        <w:t xml:space="preserve"> pretrvávaní nie je známa.</w:t>
      </w:r>
    </w:p>
    <w:p w:rsidR="00400023" w:rsidRPr="00F64707" w:rsidRDefault="00400023" w:rsidP="00F64707">
      <w:pPr>
        <w:rPr>
          <w:snapToGrid w:val="0"/>
          <w:color w:val="000000"/>
          <w:sz w:val="22"/>
          <w:szCs w:val="22"/>
        </w:rPr>
      </w:pPr>
      <w:r w:rsidRPr="00F64707">
        <w:rPr>
          <w:snapToGrid w:val="0"/>
          <w:color w:val="000000"/>
          <w:sz w:val="22"/>
          <w:szCs w:val="22"/>
          <w:vertAlign w:val="superscript"/>
        </w:rPr>
        <w:t>+</w:t>
      </w:r>
      <w:r w:rsidRPr="00F64707">
        <w:rPr>
          <w:snapToGrid w:val="0"/>
          <w:color w:val="000000"/>
          <w:sz w:val="22"/>
          <w:szCs w:val="22"/>
        </w:rPr>
        <w:t>Zahŕňa</w:t>
      </w:r>
      <w:r w:rsidR="006933DA" w:rsidRPr="00F64707">
        <w:rPr>
          <w:snapToGrid w:val="0"/>
          <w:color w:val="000000"/>
          <w:sz w:val="22"/>
          <w:szCs w:val="22"/>
        </w:rPr>
        <w:t>jú</w:t>
      </w:r>
      <w:r w:rsidRPr="00F64707">
        <w:rPr>
          <w:snapToGrid w:val="0"/>
          <w:color w:val="000000"/>
          <w:sz w:val="22"/>
          <w:szCs w:val="22"/>
        </w:rPr>
        <w:t xml:space="preserve"> citlivosť prsníkov a</w:t>
      </w:r>
      <w:r w:rsidR="006933DA" w:rsidRPr="00F64707">
        <w:rPr>
          <w:snapToGrid w:val="0"/>
          <w:color w:val="000000"/>
          <w:sz w:val="22"/>
          <w:szCs w:val="22"/>
        </w:rPr>
        <w:t> </w:t>
      </w:r>
      <w:r w:rsidRPr="00F64707">
        <w:rPr>
          <w:snapToGrid w:val="0"/>
          <w:color w:val="000000"/>
          <w:sz w:val="22"/>
          <w:szCs w:val="22"/>
        </w:rPr>
        <w:t>zväčšenie</w:t>
      </w:r>
      <w:r w:rsidR="006933DA" w:rsidRPr="00F64707">
        <w:rPr>
          <w:snapToGrid w:val="0"/>
          <w:color w:val="000000"/>
          <w:sz w:val="22"/>
          <w:szCs w:val="22"/>
        </w:rPr>
        <w:t xml:space="preserve"> prsníkov</w:t>
      </w:r>
      <w:r w:rsidRPr="00F64707">
        <w:rPr>
          <w:snapToGrid w:val="0"/>
          <w:color w:val="000000"/>
          <w:sz w:val="22"/>
          <w:szCs w:val="22"/>
        </w:rPr>
        <w:t>.</w:t>
      </w:r>
    </w:p>
    <w:p w:rsidR="00400023" w:rsidRPr="00F64707" w:rsidRDefault="00400023" w:rsidP="00F64707">
      <w:pPr>
        <w:rPr>
          <w:snapToGrid w:val="0"/>
          <w:color w:val="000000"/>
          <w:sz w:val="22"/>
          <w:szCs w:val="22"/>
        </w:rPr>
      </w:pPr>
    </w:p>
    <w:p w:rsidR="00F1304A" w:rsidRPr="00F64707" w:rsidRDefault="00C56AFE" w:rsidP="00F64707">
      <w:pPr>
        <w:keepNext/>
        <w:rPr>
          <w:sz w:val="22"/>
          <w:szCs w:val="22"/>
        </w:rPr>
      </w:pPr>
      <w:r w:rsidRPr="00F64707">
        <w:rPr>
          <w:sz w:val="22"/>
          <w:szCs w:val="22"/>
        </w:rPr>
        <w:t>DUTA</w:t>
      </w:r>
      <w:r w:rsidR="003776F8" w:rsidRPr="00F64707">
        <w:rPr>
          <w:sz w:val="22"/>
          <w:szCs w:val="22"/>
        </w:rPr>
        <w:t>STERID</w:t>
      </w:r>
      <w:r w:rsidR="00F1304A" w:rsidRPr="00F64707">
        <w:rPr>
          <w:sz w:val="22"/>
          <w:szCs w:val="22"/>
        </w:rPr>
        <w:t xml:space="preserve"> V KOMBINÁCII S ALFABLOKÁTOROM TAMSULOZÍNOM</w:t>
      </w:r>
    </w:p>
    <w:p w:rsidR="00F3082A" w:rsidRPr="00F64707" w:rsidRDefault="00F3082A" w:rsidP="00F64707">
      <w:pPr>
        <w:keepNext/>
        <w:rPr>
          <w:sz w:val="22"/>
          <w:szCs w:val="22"/>
        </w:rPr>
      </w:pPr>
    </w:p>
    <w:p w:rsidR="00F1304A" w:rsidRPr="00F64707" w:rsidRDefault="00F1304A" w:rsidP="00F64707">
      <w:pPr>
        <w:rPr>
          <w:sz w:val="22"/>
          <w:szCs w:val="22"/>
        </w:rPr>
      </w:pPr>
      <w:r w:rsidRPr="00F64707">
        <w:rPr>
          <w:sz w:val="22"/>
          <w:szCs w:val="22"/>
        </w:rPr>
        <w:t>Údaje z</w:t>
      </w:r>
      <w:r w:rsidR="005B5B3A" w:rsidRPr="00F64707">
        <w:rPr>
          <w:sz w:val="22"/>
          <w:szCs w:val="22"/>
        </w:rPr>
        <w:t>o štvorročnej</w:t>
      </w:r>
      <w:r w:rsidRPr="00F64707">
        <w:rPr>
          <w:sz w:val="22"/>
          <w:szCs w:val="22"/>
        </w:rPr>
        <w:t xml:space="preserve"> </w:t>
      </w:r>
      <w:r w:rsidR="008E712D" w:rsidRPr="00F64707">
        <w:rPr>
          <w:sz w:val="22"/>
          <w:szCs w:val="22"/>
        </w:rPr>
        <w:t xml:space="preserve">štúdie </w:t>
      </w:r>
      <w:r w:rsidRPr="00F64707">
        <w:rPr>
          <w:sz w:val="22"/>
          <w:szCs w:val="22"/>
        </w:rPr>
        <w:t>CombAT porovnávajúcej dutasterid 0,5</w:t>
      </w:r>
      <w:r w:rsidR="00A3538B" w:rsidRPr="00F64707">
        <w:rPr>
          <w:sz w:val="22"/>
          <w:szCs w:val="22"/>
        </w:rPr>
        <w:t> </w:t>
      </w:r>
      <w:r w:rsidRPr="00F64707">
        <w:rPr>
          <w:sz w:val="22"/>
          <w:szCs w:val="22"/>
        </w:rPr>
        <w:t>mg (n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A3538B" w:rsidRPr="00F64707">
        <w:rPr>
          <w:sz w:val="22"/>
          <w:szCs w:val="22"/>
        </w:rPr>
        <w:t> </w:t>
      </w:r>
      <w:r w:rsidRPr="00F64707">
        <w:rPr>
          <w:sz w:val="22"/>
          <w:szCs w:val="22"/>
        </w:rPr>
        <w:t>623) a tamsulozín 0,4</w:t>
      </w:r>
      <w:r w:rsidR="00A3538B" w:rsidRPr="00F64707">
        <w:rPr>
          <w:sz w:val="22"/>
          <w:szCs w:val="22"/>
        </w:rPr>
        <w:t> </w:t>
      </w:r>
      <w:r w:rsidRPr="00F64707">
        <w:rPr>
          <w:sz w:val="22"/>
          <w:szCs w:val="22"/>
        </w:rPr>
        <w:t>mg (n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A3538B" w:rsidRPr="00F64707">
        <w:rPr>
          <w:sz w:val="22"/>
          <w:szCs w:val="22"/>
        </w:rPr>
        <w:t> </w:t>
      </w:r>
      <w:r w:rsidRPr="00F64707">
        <w:rPr>
          <w:sz w:val="22"/>
          <w:szCs w:val="22"/>
        </w:rPr>
        <w:t xml:space="preserve">611) jedenkrát denne </w:t>
      </w:r>
      <w:r w:rsidR="005B5B3A" w:rsidRPr="00F64707">
        <w:rPr>
          <w:sz w:val="22"/>
          <w:szCs w:val="22"/>
        </w:rPr>
        <w:t xml:space="preserve">podávaných samostatne </w:t>
      </w:r>
      <w:r w:rsidRPr="00F64707">
        <w:rPr>
          <w:sz w:val="22"/>
          <w:szCs w:val="22"/>
        </w:rPr>
        <w:t>a v kombinácii (n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A3538B" w:rsidRPr="00F64707">
        <w:rPr>
          <w:sz w:val="22"/>
          <w:szCs w:val="22"/>
        </w:rPr>
        <w:t> </w:t>
      </w:r>
      <w:r w:rsidRPr="00F64707">
        <w:rPr>
          <w:sz w:val="22"/>
          <w:szCs w:val="22"/>
        </w:rPr>
        <w:t xml:space="preserve">610) ukázali, že incidencia všetkých </w:t>
      </w:r>
      <w:r w:rsidR="00BE51D6" w:rsidRPr="00F64707">
        <w:rPr>
          <w:sz w:val="22"/>
          <w:szCs w:val="22"/>
        </w:rPr>
        <w:t xml:space="preserve">nežiaducich udalostí </w:t>
      </w:r>
      <w:r w:rsidR="00BE51D6" w:rsidRPr="00F64707">
        <w:rPr>
          <w:snapToGrid w:val="0"/>
          <w:color w:val="000000"/>
          <w:sz w:val="22"/>
          <w:szCs w:val="22"/>
        </w:rPr>
        <w:t>posúdených skúšajúcim ako súvisiace s liekom</w:t>
      </w:r>
      <w:r w:rsidR="00BE51D6" w:rsidRPr="00F64707">
        <w:rPr>
          <w:sz w:val="22"/>
          <w:szCs w:val="22"/>
        </w:rPr>
        <w:t xml:space="preserve"> </w:t>
      </w:r>
      <w:r w:rsidRPr="00F64707">
        <w:rPr>
          <w:sz w:val="22"/>
          <w:szCs w:val="22"/>
        </w:rPr>
        <w:t>počas prvého</w:t>
      </w:r>
      <w:r w:rsidR="005B5B3A" w:rsidRPr="00F64707">
        <w:rPr>
          <w:sz w:val="22"/>
          <w:szCs w:val="22"/>
        </w:rPr>
        <w:t>,</w:t>
      </w:r>
      <w:r w:rsidRPr="00F64707">
        <w:rPr>
          <w:sz w:val="22"/>
          <w:szCs w:val="22"/>
        </w:rPr>
        <w:t xml:space="preserve"> druhého</w:t>
      </w:r>
      <w:r w:rsidR="00BE51D6" w:rsidRPr="00F64707">
        <w:rPr>
          <w:sz w:val="22"/>
          <w:szCs w:val="22"/>
        </w:rPr>
        <w:t>, tretieho a </w:t>
      </w:r>
      <w:r w:rsidR="005B5B3A" w:rsidRPr="00F64707">
        <w:rPr>
          <w:sz w:val="22"/>
          <w:szCs w:val="22"/>
        </w:rPr>
        <w:t>štvrtého</w:t>
      </w:r>
      <w:r w:rsidRPr="00F64707">
        <w:rPr>
          <w:sz w:val="22"/>
          <w:szCs w:val="22"/>
        </w:rPr>
        <w:t xml:space="preserve"> roku liečby bola pri liečbe kombináciou dutasterid/tamsulozín 22</w:t>
      </w:r>
      <w:r w:rsidR="00DD1C43" w:rsidRPr="00F64707">
        <w:rPr>
          <w:sz w:val="22"/>
          <w:szCs w:val="22"/>
        </w:rPr>
        <w:t> </w:t>
      </w:r>
      <w:r w:rsidRPr="00F64707">
        <w:rPr>
          <w:sz w:val="22"/>
          <w:szCs w:val="22"/>
        </w:rPr>
        <w:t>%</w:t>
      </w:r>
      <w:r w:rsidR="005B5B3A" w:rsidRPr="00F64707">
        <w:rPr>
          <w:sz w:val="22"/>
          <w:szCs w:val="22"/>
        </w:rPr>
        <w:t>, 6</w:t>
      </w:r>
      <w:r w:rsidR="00DD1C43" w:rsidRPr="00F64707">
        <w:rPr>
          <w:sz w:val="22"/>
          <w:szCs w:val="22"/>
        </w:rPr>
        <w:t> </w:t>
      </w:r>
      <w:r w:rsidR="005B5B3A" w:rsidRPr="00F64707">
        <w:rPr>
          <w:sz w:val="22"/>
          <w:szCs w:val="22"/>
        </w:rPr>
        <w:t>%, 4</w:t>
      </w:r>
      <w:r w:rsidR="00DD1C43" w:rsidRPr="00F64707">
        <w:rPr>
          <w:sz w:val="22"/>
          <w:szCs w:val="22"/>
        </w:rPr>
        <w:t> </w:t>
      </w:r>
      <w:r w:rsidR="005B5B3A" w:rsidRPr="00F64707">
        <w:rPr>
          <w:sz w:val="22"/>
          <w:szCs w:val="22"/>
        </w:rPr>
        <w:t>%</w:t>
      </w:r>
      <w:r w:rsidRPr="00F64707">
        <w:rPr>
          <w:sz w:val="22"/>
          <w:szCs w:val="22"/>
        </w:rPr>
        <w:t xml:space="preserve"> a</w:t>
      </w:r>
      <w:r w:rsidR="00DD1C43" w:rsidRPr="00F64707">
        <w:rPr>
          <w:sz w:val="22"/>
          <w:szCs w:val="22"/>
        </w:rPr>
        <w:t> </w:t>
      </w:r>
      <w:r w:rsidR="005B5B3A" w:rsidRPr="00F64707">
        <w:rPr>
          <w:sz w:val="22"/>
          <w:szCs w:val="22"/>
        </w:rPr>
        <w:t>2</w:t>
      </w:r>
      <w:r w:rsidR="00DD1C43" w:rsidRPr="00F64707">
        <w:rPr>
          <w:sz w:val="22"/>
          <w:szCs w:val="22"/>
        </w:rPr>
        <w:t> </w:t>
      </w:r>
      <w:r w:rsidRPr="00F64707">
        <w:rPr>
          <w:sz w:val="22"/>
          <w:szCs w:val="22"/>
        </w:rPr>
        <w:t xml:space="preserve">%, </w:t>
      </w:r>
      <w:r w:rsidR="005B5B3A" w:rsidRPr="00F64707">
        <w:rPr>
          <w:sz w:val="22"/>
          <w:szCs w:val="22"/>
        </w:rPr>
        <w:t xml:space="preserve">v uvedenom poradí, </w:t>
      </w:r>
      <w:r w:rsidRPr="00F64707">
        <w:rPr>
          <w:sz w:val="22"/>
          <w:szCs w:val="22"/>
        </w:rPr>
        <w:t>pri monoterapii dutasteridom 1</w:t>
      </w:r>
      <w:r w:rsidR="005B5B3A" w:rsidRPr="00F64707">
        <w:rPr>
          <w:sz w:val="22"/>
          <w:szCs w:val="22"/>
        </w:rPr>
        <w:t>5</w:t>
      </w:r>
      <w:r w:rsidR="00DD1C43" w:rsidRPr="00F64707">
        <w:rPr>
          <w:sz w:val="22"/>
          <w:szCs w:val="22"/>
        </w:rPr>
        <w:t> </w:t>
      </w:r>
      <w:r w:rsidRPr="00F64707">
        <w:rPr>
          <w:sz w:val="22"/>
          <w:szCs w:val="22"/>
        </w:rPr>
        <w:t>%</w:t>
      </w:r>
      <w:r w:rsidR="005B5B3A" w:rsidRPr="00F64707">
        <w:rPr>
          <w:sz w:val="22"/>
          <w:szCs w:val="22"/>
        </w:rPr>
        <w:t>,</w:t>
      </w:r>
      <w:r w:rsidRPr="00F64707">
        <w:rPr>
          <w:sz w:val="22"/>
          <w:szCs w:val="22"/>
        </w:rPr>
        <w:t xml:space="preserve"> </w:t>
      </w:r>
      <w:r w:rsidR="005B5B3A" w:rsidRPr="00F64707">
        <w:rPr>
          <w:sz w:val="22"/>
          <w:szCs w:val="22"/>
        </w:rPr>
        <w:t>6</w:t>
      </w:r>
      <w:r w:rsidR="00DD1C43" w:rsidRPr="00F64707">
        <w:rPr>
          <w:sz w:val="22"/>
          <w:szCs w:val="22"/>
        </w:rPr>
        <w:t> </w:t>
      </w:r>
      <w:r w:rsidR="005B5B3A" w:rsidRPr="00F64707">
        <w:rPr>
          <w:sz w:val="22"/>
          <w:szCs w:val="22"/>
        </w:rPr>
        <w:t>%, 3</w:t>
      </w:r>
      <w:r w:rsidR="00DD1C43" w:rsidRPr="00F64707">
        <w:rPr>
          <w:sz w:val="22"/>
          <w:szCs w:val="22"/>
        </w:rPr>
        <w:t> </w:t>
      </w:r>
      <w:r w:rsidR="005B5B3A" w:rsidRPr="00F64707">
        <w:rPr>
          <w:sz w:val="22"/>
          <w:szCs w:val="22"/>
        </w:rPr>
        <w:t>% a</w:t>
      </w:r>
      <w:r w:rsidR="00DD1C43" w:rsidRPr="00F64707">
        <w:rPr>
          <w:sz w:val="22"/>
          <w:szCs w:val="22"/>
        </w:rPr>
        <w:t> </w:t>
      </w:r>
      <w:r w:rsidR="005B5B3A" w:rsidRPr="00F64707">
        <w:rPr>
          <w:sz w:val="22"/>
          <w:szCs w:val="22"/>
        </w:rPr>
        <w:t>2</w:t>
      </w:r>
      <w:r w:rsidR="00DD1C43" w:rsidRPr="00F64707">
        <w:rPr>
          <w:sz w:val="22"/>
          <w:szCs w:val="22"/>
        </w:rPr>
        <w:t> </w:t>
      </w:r>
      <w:r w:rsidRPr="00F64707">
        <w:rPr>
          <w:sz w:val="22"/>
          <w:szCs w:val="22"/>
        </w:rPr>
        <w:t>%</w:t>
      </w:r>
      <w:r w:rsidR="005B5B3A" w:rsidRPr="00F64707">
        <w:rPr>
          <w:sz w:val="22"/>
          <w:szCs w:val="22"/>
        </w:rPr>
        <w:t>, v uvedenom poradí,</w:t>
      </w:r>
      <w:r w:rsidRPr="00F64707">
        <w:rPr>
          <w:sz w:val="22"/>
          <w:szCs w:val="22"/>
        </w:rPr>
        <w:t xml:space="preserve"> a pri monoterapii tamsulozínom 13</w:t>
      </w:r>
      <w:r w:rsidR="00DD1C43" w:rsidRPr="00F64707">
        <w:rPr>
          <w:sz w:val="22"/>
          <w:szCs w:val="22"/>
        </w:rPr>
        <w:t> </w:t>
      </w:r>
      <w:r w:rsidRPr="00F64707">
        <w:rPr>
          <w:sz w:val="22"/>
          <w:szCs w:val="22"/>
        </w:rPr>
        <w:t>%</w:t>
      </w:r>
      <w:r w:rsidR="005B5B3A" w:rsidRPr="00F64707">
        <w:rPr>
          <w:sz w:val="22"/>
          <w:szCs w:val="22"/>
        </w:rPr>
        <w:t>, 5</w:t>
      </w:r>
      <w:r w:rsidR="00DD1C43" w:rsidRPr="00F64707">
        <w:rPr>
          <w:sz w:val="22"/>
          <w:szCs w:val="22"/>
        </w:rPr>
        <w:t> </w:t>
      </w:r>
      <w:r w:rsidR="005B5B3A" w:rsidRPr="00F64707">
        <w:rPr>
          <w:sz w:val="22"/>
          <w:szCs w:val="22"/>
        </w:rPr>
        <w:t>%, 2</w:t>
      </w:r>
      <w:r w:rsidR="00DD1C43" w:rsidRPr="00F64707">
        <w:rPr>
          <w:sz w:val="22"/>
          <w:szCs w:val="22"/>
        </w:rPr>
        <w:t> </w:t>
      </w:r>
      <w:r w:rsidR="005B5B3A" w:rsidRPr="00F64707">
        <w:rPr>
          <w:sz w:val="22"/>
          <w:szCs w:val="22"/>
        </w:rPr>
        <w:t>%</w:t>
      </w:r>
      <w:r w:rsidRPr="00F64707">
        <w:rPr>
          <w:sz w:val="22"/>
          <w:szCs w:val="22"/>
        </w:rPr>
        <w:t xml:space="preserve"> a</w:t>
      </w:r>
      <w:r w:rsidR="00DD1C43" w:rsidRPr="00F64707">
        <w:rPr>
          <w:sz w:val="22"/>
          <w:szCs w:val="22"/>
        </w:rPr>
        <w:t> </w:t>
      </w:r>
      <w:r w:rsidR="005B5B3A" w:rsidRPr="00F64707">
        <w:rPr>
          <w:sz w:val="22"/>
          <w:szCs w:val="22"/>
        </w:rPr>
        <w:t>2</w:t>
      </w:r>
      <w:r w:rsidR="00DD1C43" w:rsidRPr="00F64707">
        <w:rPr>
          <w:sz w:val="22"/>
          <w:szCs w:val="22"/>
        </w:rPr>
        <w:t> </w:t>
      </w:r>
      <w:r w:rsidRPr="00F64707">
        <w:rPr>
          <w:sz w:val="22"/>
          <w:szCs w:val="22"/>
        </w:rPr>
        <w:t>%</w:t>
      </w:r>
      <w:r w:rsidR="005B5B3A" w:rsidRPr="00F64707">
        <w:rPr>
          <w:sz w:val="22"/>
          <w:szCs w:val="22"/>
        </w:rPr>
        <w:t>, v uvedenom poradí</w:t>
      </w:r>
      <w:r w:rsidRPr="00F64707">
        <w:rPr>
          <w:sz w:val="22"/>
          <w:szCs w:val="22"/>
        </w:rPr>
        <w:t>. Vyššia incidencia nežiaducich udalostí v skupine s kombinovanou liečbou počas prvého roku liečby bola dôsledk</w:t>
      </w:r>
      <w:r w:rsidR="00BE51D6" w:rsidRPr="00F64707">
        <w:rPr>
          <w:sz w:val="22"/>
          <w:szCs w:val="22"/>
        </w:rPr>
        <w:t>om</w:t>
      </w:r>
      <w:r w:rsidRPr="00F64707">
        <w:rPr>
          <w:sz w:val="22"/>
          <w:szCs w:val="22"/>
        </w:rPr>
        <w:t xml:space="preserve"> vyššej incidencie </w:t>
      </w:r>
      <w:r w:rsidR="00BE51D6" w:rsidRPr="00F64707">
        <w:rPr>
          <w:sz w:val="22"/>
          <w:szCs w:val="22"/>
        </w:rPr>
        <w:t>porúch</w:t>
      </w:r>
      <w:r w:rsidRPr="00F64707">
        <w:rPr>
          <w:sz w:val="22"/>
          <w:szCs w:val="22"/>
        </w:rPr>
        <w:t xml:space="preserve"> reprodukčného systému, </w:t>
      </w:r>
      <w:r w:rsidR="00BE51D6" w:rsidRPr="00F64707">
        <w:rPr>
          <w:sz w:val="22"/>
          <w:szCs w:val="22"/>
        </w:rPr>
        <w:t xml:space="preserve">najmä </w:t>
      </w:r>
      <w:r w:rsidRPr="00F64707">
        <w:rPr>
          <w:sz w:val="22"/>
          <w:szCs w:val="22"/>
        </w:rPr>
        <w:t>porúch ejakulácie</w:t>
      </w:r>
      <w:r w:rsidR="00BE51D6" w:rsidRPr="00F64707">
        <w:rPr>
          <w:sz w:val="22"/>
          <w:szCs w:val="22"/>
        </w:rPr>
        <w:t>,</w:t>
      </w:r>
      <w:r w:rsidRPr="00F64707">
        <w:rPr>
          <w:sz w:val="22"/>
          <w:szCs w:val="22"/>
        </w:rPr>
        <w:t xml:space="preserve"> pozorovaných v tejto skupine.</w:t>
      </w:r>
    </w:p>
    <w:p w:rsidR="00F1304A" w:rsidRPr="00F64707" w:rsidRDefault="00F1304A" w:rsidP="00F64707">
      <w:pPr>
        <w:rPr>
          <w:sz w:val="22"/>
          <w:szCs w:val="22"/>
        </w:rPr>
      </w:pPr>
    </w:p>
    <w:p w:rsidR="00F1304A" w:rsidRPr="00F64707" w:rsidRDefault="00F1304A" w:rsidP="00F64707">
      <w:pPr>
        <w:rPr>
          <w:sz w:val="22"/>
          <w:szCs w:val="22"/>
        </w:rPr>
      </w:pPr>
      <w:r w:rsidRPr="00F64707">
        <w:rPr>
          <w:sz w:val="22"/>
          <w:szCs w:val="22"/>
        </w:rPr>
        <w:t>Nasled</w:t>
      </w:r>
      <w:r w:rsidR="00BE51D6" w:rsidRPr="00F64707">
        <w:rPr>
          <w:sz w:val="22"/>
          <w:szCs w:val="22"/>
        </w:rPr>
        <w:t xml:space="preserve">ujúce nežiaduce udalosti </w:t>
      </w:r>
      <w:r w:rsidR="00BE51D6" w:rsidRPr="00F64707">
        <w:rPr>
          <w:snapToGrid w:val="0"/>
          <w:color w:val="000000"/>
          <w:sz w:val="22"/>
          <w:szCs w:val="22"/>
        </w:rPr>
        <w:t>posúdené skúšajúcim ako súvisiace s liekom</w:t>
      </w:r>
      <w:r w:rsidR="00BE51D6" w:rsidRPr="00F64707">
        <w:rPr>
          <w:sz w:val="22"/>
          <w:szCs w:val="22"/>
        </w:rPr>
        <w:t xml:space="preserve"> </w:t>
      </w:r>
      <w:r w:rsidRPr="00F64707">
        <w:rPr>
          <w:sz w:val="22"/>
          <w:szCs w:val="22"/>
        </w:rPr>
        <w:t>sa hlásili s incidenciou vyššou alebo rovnou 1</w:t>
      </w:r>
      <w:r w:rsidR="00A3538B" w:rsidRPr="00F64707">
        <w:rPr>
          <w:sz w:val="22"/>
          <w:szCs w:val="22"/>
        </w:rPr>
        <w:t> </w:t>
      </w:r>
      <w:r w:rsidRPr="00F64707">
        <w:rPr>
          <w:sz w:val="22"/>
          <w:szCs w:val="22"/>
        </w:rPr>
        <w:t>% počas prvého roku liečby v </w:t>
      </w:r>
      <w:r w:rsidR="008E712D" w:rsidRPr="00F64707">
        <w:rPr>
          <w:sz w:val="22"/>
          <w:szCs w:val="22"/>
        </w:rPr>
        <w:t>štúdi</w:t>
      </w:r>
      <w:r w:rsidR="005B5B3A" w:rsidRPr="00F64707">
        <w:rPr>
          <w:sz w:val="22"/>
          <w:szCs w:val="22"/>
        </w:rPr>
        <w:t>i</w:t>
      </w:r>
      <w:r w:rsidR="008E712D" w:rsidRPr="00F64707">
        <w:rPr>
          <w:sz w:val="22"/>
          <w:szCs w:val="22"/>
        </w:rPr>
        <w:t xml:space="preserve"> </w:t>
      </w:r>
      <w:r w:rsidRPr="00F64707">
        <w:rPr>
          <w:sz w:val="22"/>
          <w:szCs w:val="22"/>
        </w:rPr>
        <w:t xml:space="preserve">CombAT; incidencia týchto udalostí počas </w:t>
      </w:r>
      <w:r w:rsidR="005B5B3A" w:rsidRPr="00F64707">
        <w:rPr>
          <w:sz w:val="22"/>
          <w:szCs w:val="22"/>
        </w:rPr>
        <w:t>štyroch rokov</w:t>
      </w:r>
      <w:r w:rsidRPr="00F64707">
        <w:rPr>
          <w:sz w:val="22"/>
          <w:szCs w:val="22"/>
        </w:rPr>
        <w:t xml:space="preserve"> liečby je </w:t>
      </w:r>
      <w:r w:rsidR="00BE51D6" w:rsidRPr="00F64707">
        <w:rPr>
          <w:sz w:val="22"/>
          <w:szCs w:val="22"/>
        </w:rPr>
        <w:t xml:space="preserve">uvedená </w:t>
      </w:r>
      <w:r w:rsidRPr="00F64707">
        <w:rPr>
          <w:sz w:val="22"/>
          <w:szCs w:val="22"/>
        </w:rPr>
        <w:t>v</w:t>
      </w:r>
      <w:r w:rsidR="00BE51D6" w:rsidRPr="00F64707">
        <w:rPr>
          <w:sz w:val="22"/>
          <w:szCs w:val="22"/>
        </w:rPr>
        <w:t xml:space="preserve"> nasledujúcej </w:t>
      </w:r>
      <w:r w:rsidRPr="00F64707">
        <w:rPr>
          <w:sz w:val="22"/>
          <w:szCs w:val="22"/>
        </w:rPr>
        <w:t>tabuľke:</w:t>
      </w:r>
    </w:p>
    <w:p w:rsidR="005B5B3A" w:rsidRPr="00F64707" w:rsidRDefault="005B5B3A" w:rsidP="00F6470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2161"/>
        <w:gridCol w:w="1299"/>
        <w:gridCol w:w="1298"/>
        <w:gridCol w:w="1273"/>
        <w:gridCol w:w="1202"/>
      </w:tblGrid>
      <w:tr w:rsidR="005B5B3A" w:rsidRPr="00F64707" w:rsidTr="00400023">
        <w:trPr>
          <w:trHeight w:val="351"/>
        </w:trPr>
        <w:tc>
          <w:tcPr>
            <w:tcW w:w="1865" w:type="dxa"/>
            <w:vMerge w:val="restart"/>
          </w:tcPr>
          <w:p w:rsidR="005B5B3A" w:rsidRPr="00F64707" w:rsidRDefault="005B5B3A" w:rsidP="00F64707">
            <w:pPr>
              <w:keepNext/>
              <w:rPr>
                <w:b/>
                <w:sz w:val="22"/>
                <w:szCs w:val="22"/>
              </w:rPr>
            </w:pPr>
          </w:p>
          <w:p w:rsidR="005B5B3A" w:rsidRPr="00F64707" w:rsidRDefault="005B5B3A" w:rsidP="00F64707">
            <w:pPr>
              <w:keepNext/>
              <w:rPr>
                <w:sz w:val="22"/>
                <w:szCs w:val="22"/>
              </w:rPr>
            </w:pPr>
            <w:r w:rsidRPr="00F64707">
              <w:rPr>
                <w:b/>
                <w:sz w:val="22"/>
                <w:szCs w:val="22"/>
              </w:rPr>
              <w:t>Trieda orgánových systémov</w:t>
            </w:r>
          </w:p>
        </w:tc>
        <w:tc>
          <w:tcPr>
            <w:tcW w:w="2241" w:type="dxa"/>
            <w:vMerge w:val="restart"/>
          </w:tcPr>
          <w:p w:rsidR="005B5B3A" w:rsidRPr="00F64707" w:rsidRDefault="005B5B3A" w:rsidP="00F64707">
            <w:pPr>
              <w:keepNext/>
              <w:rPr>
                <w:sz w:val="22"/>
                <w:szCs w:val="22"/>
              </w:rPr>
            </w:pPr>
            <w:r w:rsidRPr="00F64707">
              <w:rPr>
                <w:sz w:val="22"/>
                <w:szCs w:val="22"/>
              </w:rPr>
              <w:t>Nežiaduca reakcia</w:t>
            </w:r>
          </w:p>
        </w:tc>
        <w:tc>
          <w:tcPr>
            <w:tcW w:w="5105" w:type="dxa"/>
            <w:gridSpan w:val="4"/>
          </w:tcPr>
          <w:p w:rsidR="005B5B3A" w:rsidRPr="00F64707" w:rsidRDefault="005B5B3A" w:rsidP="00F64707">
            <w:pPr>
              <w:keepNext/>
              <w:jc w:val="center"/>
              <w:rPr>
                <w:sz w:val="22"/>
                <w:szCs w:val="22"/>
              </w:rPr>
            </w:pPr>
            <w:r w:rsidRPr="00F64707">
              <w:rPr>
                <w:sz w:val="22"/>
                <w:szCs w:val="22"/>
              </w:rPr>
              <w:t>Incidencia počas obdobia liečby</w:t>
            </w:r>
          </w:p>
        </w:tc>
      </w:tr>
      <w:tr w:rsidR="005B5B3A" w:rsidRPr="00F64707" w:rsidTr="00400023">
        <w:trPr>
          <w:trHeight w:val="388"/>
        </w:trPr>
        <w:tc>
          <w:tcPr>
            <w:tcW w:w="1865" w:type="dxa"/>
            <w:vMerge/>
          </w:tcPr>
          <w:p w:rsidR="005B5B3A" w:rsidRPr="00F64707" w:rsidRDefault="005B5B3A" w:rsidP="00F64707">
            <w:pPr>
              <w:keepNext/>
              <w:keepLines/>
              <w:rPr>
                <w:sz w:val="22"/>
                <w:szCs w:val="22"/>
              </w:rPr>
            </w:pPr>
          </w:p>
        </w:tc>
        <w:tc>
          <w:tcPr>
            <w:tcW w:w="2241" w:type="dxa"/>
            <w:vMerge/>
          </w:tcPr>
          <w:p w:rsidR="005B5B3A" w:rsidRPr="00F64707" w:rsidRDefault="005B5B3A" w:rsidP="00F64707">
            <w:pPr>
              <w:keepNext/>
              <w:keepLines/>
              <w:rPr>
                <w:sz w:val="22"/>
                <w:szCs w:val="22"/>
              </w:rPr>
            </w:pPr>
          </w:p>
        </w:tc>
        <w:tc>
          <w:tcPr>
            <w:tcW w:w="1311" w:type="dxa"/>
          </w:tcPr>
          <w:p w:rsidR="005B5B3A" w:rsidRPr="00F64707" w:rsidRDefault="005B5B3A" w:rsidP="00F64707">
            <w:pPr>
              <w:keepNext/>
              <w:keepLines/>
              <w:jc w:val="center"/>
              <w:rPr>
                <w:sz w:val="22"/>
                <w:szCs w:val="22"/>
              </w:rPr>
            </w:pPr>
            <w:r w:rsidRPr="00F64707">
              <w:rPr>
                <w:sz w:val="22"/>
                <w:szCs w:val="22"/>
              </w:rPr>
              <w:t>1. rok</w:t>
            </w:r>
          </w:p>
        </w:tc>
        <w:tc>
          <w:tcPr>
            <w:tcW w:w="1310" w:type="dxa"/>
          </w:tcPr>
          <w:p w:rsidR="005B5B3A" w:rsidRPr="00F64707" w:rsidRDefault="005B5B3A" w:rsidP="00F64707">
            <w:pPr>
              <w:keepNext/>
              <w:keepLines/>
              <w:jc w:val="center"/>
              <w:rPr>
                <w:sz w:val="22"/>
                <w:szCs w:val="22"/>
              </w:rPr>
            </w:pPr>
            <w:r w:rsidRPr="00F64707">
              <w:rPr>
                <w:sz w:val="22"/>
                <w:szCs w:val="22"/>
              </w:rPr>
              <w:t>2. rok</w:t>
            </w:r>
          </w:p>
        </w:tc>
        <w:tc>
          <w:tcPr>
            <w:tcW w:w="1282" w:type="dxa"/>
          </w:tcPr>
          <w:p w:rsidR="005B5B3A" w:rsidRPr="00F64707" w:rsidRDefault="005B5B3A" w:rsidP="00F64707">
            <w:pPr>
              <w:keepNext/>
              <w:keepLines/>
              <w:jc w:val="center"/>
              <w:rPr>
                <w:sz w:val="22"/>
                <w:szCs w:val="22"/>
              </w:rPr>
            </w:pPr>
            <w:r w:rsidRPr="00F64707">
              <w:rPr>
                <w:sz w:val="22"/>
                <w:szCs w:val="22"/>
              </w:rPr>
              <w:t>3. rok</w:t>
            </w:r>
          </w:p>
        </w:tc>
        <w:tc>
          <w:tcPr>
            <w:tcW w:w="1202" w:type="dxa"/>
          </w:tcPr>
          <w:p w:rsidR="005B5B3A" w:rsidRPr="00F64707" w:rsidRDefault="005B5B3A" w:rsidP="00F64707">
            <w:pPr>
              <w:keepNext/>
              <w:keepLines/>
              <w:jc w:val="center"/>
              <w:rPr>
                <w:sz w:val="22"/>
                <w:szCs w:val="22"/>
              </w:rPr>
            </w:pPr>
            <w:r w:rsidRPr="00F64707">
              <w:rPr>
                <w:sz w:val="22"/>
                <w:szCs w:val="22"/>
              </w:rPr>
              <w:t>4. rok</w:t>
            </w:r>
          </w:p>
        </w:tc>
      </w:tr>
      <w:tr w:rsidR="005B5B3A" w:rsidRPr="00F64707" w:rsidTr="00400023">
        <w:trPr>
          <w:trHeight w:val="296"/>
        </w:trPr>
        <w:tc>
          <w:tcPr>
            <w:tcW w:w="1865" w:type="dxa"/>
            <w:vMerge/>
          </w:tcPr>
          <w:p w:rsidR="005B5B3A" w:rsidRPr="00F64707" w:rsidRDefault="005B5B3A" w:rsidP="00F64707">
            <w:pPr>
              <w:keepNext/>
              <w:keepLines/>
              <w:tabs>
                <w:tab w:val="left" w:pos="162"/>
              </w:tabs>
              <w:rPr>
                <w:sz w:val="22"/>
                <w:szCs w:val="22"/>
              </w:rPr>
            </w:pPr>
          </w:p>
        </w:tc>
        <w:tc>
          <w:tcPr>
            <w:tcW w:w="2241" w:type="dxa"/>
          </w:tcPr>
          <w:p w:rsidR="005B5B3A" w:rsidRPr="00F64707" w:rsidRDefault="005B5B3A" w:rsidP="00F64707">
            <w:pPr>
              <w:keepNext/>
              <w:keepLines/>
              <w:tabs>
                <w:tab w:val="left" w:pos="162"/>
              </w:tabs>
              <w:rPr>
                <w:sz w:val="22"/>
                <w:szCs w:val="22"/>
              </w:rPr>
            </w:pPr>
            <w:r w:rsidRPr="00F64707">
              <w:rPr>
                <w:sz w:val="22"/>
                <w:szCs w:val="22"/>
              </w:rPr>
              <w:tab/>
              <w:t>Kombinácia</w:t>
            </w:r>
            <w:r w:rsidRPr="00F64707">
              <w:rPr>
                <w:sz w:val="22"/>
                <w:szCs w:val="22"/>
                <w:vertAlign w:val="superscript"/>
              </w:rPr>
              <w:t xml:space="preserve">a </w:t>
            </w:r>
            <w:r w:rsidRPr="00F64707">
              <w:rPr>
                <w:sz w:val="22"/>
                <w:szCs w:val="22"/>
              </w:rPr>
              <w:t>(n)</w:t>
            </w:r>
          </w:p>
        </w:tc>
        <w:tc>
          <w:tcPr>
            <w:tcW w:w="1311"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610)</w:t>
            </w:r>
          </w:p>
        </w:tc>
        <w:tc>
          <w:tcPr>
            <w:tcW w:w="1310"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428)</w:t>
            </w:r>
          </w:p>
        </w:tc>
        <w:tc>
          <w:tcPr>
            <w:tcW w:w="128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283)</w:t>
            </w:r>
          </w:p>
        </w:tc>
        <w:tc>
          <w:tcPr>
            <w:tcW w:w="120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200)</w:t>
            </w:r>
          </w:p>
        </w:tc>
      </w:tr>
      <w:tr w:rsidR="005B5B3A" w:rsidRPr="00F64707" w:rsidTr="00400023">
        <w:trPr>
          <w:trHeight w:val="398"/>
        </w:trPr>
        <w:tc>
          <w:tcPr>
            <w:tcW w:w="1865" w:type="dxa"/>
            <w:vMerge/>
          </w:tcPr>
          <w:p w:rsidR="005B5B3A" w:rsidRPr="00F64707" w:rsidRDefault="005B5B3A" w:rsidP="00F64707">
            <w:pPr>
              <w:keepNext/>
              <w:keepLines/>
              <w:tabs>
                <w:tab w:val="left" w:pos="162"/>
              </w:tabs>
              <w:rPr>
                <w:sz w:val="22"/>
                <w:szCs w:val="22"/>
              </w:rPr>
            </w:pPr>
          </w:p>
        </w:tc>
        <w:tc>
          <w:tcPr>
            <w:tcW w:w="2241" w:type="dxa"/>
          </w:tcPr>
          <w:p w:rsidR="005B5B3A" w:rsidRPr="00F64707" w:rsidRDefault="005B5B3A" w:rsidP="00F64707">
            <w:pPr>
              <w:keepNext/>
              <w:keepLines/>
              <w:tabs>
                <w:tab w:val="left" w:pos="162"/>
              </w:tabs>
              <w:rPr>
                <w:sz w:val="22"/>
                <w:szCs w:val="22"/>
              </w:rPr>
            </w:pPr>
            <w:r w:rsidRPr="00F64707">
              <w:rPr>
                <w:sz w:val="22"/>
                <w:szCs w:val="22"/>
              </w:rPr>
              <w:tab/>
              <w:t xml:space="preserve">Dutasterid </w:t>
            </w:r>
          </w:p>
        </w:tc>
        <w:tc>
          <w:tcPr>
            <w:tcW w:w="1311"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623)</w:t>
            </w:r>
          </w:p>
        </w:tc>
        <w:tc>
          <w:tcPr>
            <w:tcW w:w="1310"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464)</w:t>
            </w:r>
          </w:p>
        </w:tc>
        <w:tc>
          <w:tcPr>
            <w:tcW w:w="128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325)</w:t>
            </w:r>
          </w:p>
        </w:tc>
        <w:tc>
          <w:tcPr>
            <w:tcW w:w="120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200)</w:t>
            </w:r>
          </w:p>
        </w:tc>
      </w:tr>
      <w:tr w:rsidR="005B5B3A" w:rsidRPr="00F64707" w:rsidTr="00400023">
        <w:trPr>
          <w:trHeight w:val="398"/>
        </w:trPr>
        <w:tc>
          <w:tcPr>
            <w:tcW w:w="1865" w:type="dxa"/>
            <w:vMerge/>
          </w:tcPr>
          <w:p w:rsidR="005B5B3A" w:rsidRPr="00F64707" w:rsidRDefault="005B5B3A" w:rsidP="00F64707">
            <w:pPr>
              <w:keepNext/>
              <w:keepLines/>
              <w:tabs>
                <w:tab w:val="left" w:pos="162"/>
              </w:tabs>
              <w:rPr>
                <w:sz w:val="22"/>
                <w:szCs w:val="22"/>
              </w:rPr>
            </w:pPr>
          </w:p>
        </w:tc>
        <w:tc>
          <w:tcPr>
            <w:tcW w:w="2241" w:type="dxa"/>
          </w:tcPr>
          <w:p w:rsidR="005B5B3A" w:rsidRPr="00F64707" w:rsidRDefault="005B5B3A" w:rsidP="00F64707">
            <w:pPr>
              <w:keepNext/>
              <w:keepLines/>
              <w:tabs>
                <w:tab w:val="left" w:pos="162"/>
              </w:tabs>
              <w:rPr>
                <w:sz w:val="22"/>
                <w:szCs w:val="22"/>
              </w:rPr>
            </w:pPr>
            <w:r w:rsidRPr="00F64707">
              <w:rPr>
                <w:sz w:val="22"/>
                <w:szCs w:val="22"/>
              </w:rPr>
              <w:tab/>
              <w:t>Tamsulozín</w:t>
            </w:r>
          </w:p>
        </w:tc>
        <w:tc>
          <w:tcPr>
            <w:tcW w:w="1311"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611)</w:t>
            </w:r>
          </w:p>
        </w:tc>
        <w:tc>
          <w:tcPr>
            <w:tcW w:w="1310"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468)</w:t>
            </w:r>
          </w:p>
        </w:tc>
        <w:tc>
          <w:tcPr>
            <w:tcW w:w="128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281)</w:t>
            </w:r>
          </w:p>
        </w:tc>
        <w:tc>
          <w:tcPr>
            <w:tcW w:w="1202" w:type="dxa"/>
          </w:tcPr>
          <w:p w:rsidR="005B5B3A" w:rsidRPr="00F64707" w:rsidRDefault="005B5B3A" w:rsidP="00F64707">
            <w:pPr>
              <w:keepNext/>
              <w:keepLines/>
              <w:jc w:val="center"/>
              <w:rPr>
                <w:sz w:val="22"/>
                <w:szCs w:val="22"/>
              </w:rPr>
            </w:pPr>
            <w:r w:rsidRPr="00F64707">
              <w:rPr>
                <w:sz w:val="22"/>
                <w:szCs w:val="22"/>
              </w:rPr>
              <w:t>(n</w:t>
            </w:r>
            <w:r w:rsidR="00201671" w:rsidRPr="00F64707">
              <w:rPr>
                <w:sz w:val="22"/>
                <w:szCs w:val="22"/>
              </w:rPr>
              <w:t> </w:t>
            </w:r>
            <w:r w:rsidRPr="00F64707">
              <w:rPr>
                <w:sz w:val="22"/>
                <w:szCs w:val="22"/>
              </w:rPr>
              <w:t>=</w:t>
            </w:r>
            <w:r w:rsidR="00201671" w:rsidRPr="00F64707">
              <w:rPr>
                <w:sz w:val="22"/>
                <w:szCs w:val="22"/>
              </w:rPr>
              <w:t> </w:t>
            </w:r>
            <w:r w:rsidRPr="00F64707">
              <w:rPr>
                <w:sz w:val="22"/>
                <w:szCs w:val="22"/>
              </w:rPr>
              <w:t>1</w:t>
            </w:r>
            <w:r w:rsidR="00D96B28" w:rsidRPr="00F64707">
              <w:rPr>
                <w:sz w:val="22"/>
                <w:szCs w:val="22"/>
              </w:rPr>
              <w:t> </w:t>
            </w:r>
            <w:r w:rsidRPr="00F64707">
              <w:rPr>
                <w:sz w:val="22"/>
                <w:szCs w:val="22"/>
              </w:rPr>
              <w:t>112)</w:t>
            </w:r>
          </w:p>
        </w:tc>
      </w:tr>
      <w:tr w:rsidR="00400023" w:rsidRPr="00F64707" w:rsidTr="00297B72">
        <w:trPr>
          <w:trHeight w:val="288"/>
        </w:trPr>
        <w:tc>
          <w:tcPr>
            <w:tcW w:w="1865" w:type="dxa"/>
            <w:vMerge w:val="restart"/>
          </w:tcPr>
          <w:p w:rsidR="00400023" w:rsidRPr="00F64707" w:rsidRDefault="00400023" w:rsidP="00F64707">
            <w:pPr>
              <w:keepNext/>
              <w:keepLines/>
              <w:tabs>
                <w:tab w:val="left" w:pos="162"/>
              </w:tabs>
              <w:rPr>
                <w:sz w:val="22"/>
                <w:szCs w:val="22"/>
              </w:rPr>
            </w:pPr>
            <w:r w:rsidRPr="00F64707">
              <w:rPr>
                <w:sz w:val="22"/>
                <w:szCs w:val="22"/>
              </w:rPr>
              <w:t>Poruchy nervového systému</w:t>
            </w:r>
          </w:p>
        </w:tc>
        <w:tc>
          <w:tcPr>
            <w:tcW w:w="7346" w:type="dxa"/>
            <w:gridSpan w:val="5"/>
          </w:tcPr>
          <w:p w:rsidR="00400023" w:rsidRPr="00F64707" w:rsidRDefault="00400023" w:rsidP="00F64707">
            <w:pPr>
              <w:keepNext/>
              <w:keepLines/>
              <w:rPr>
                <w:sz w:val="22"/>
                <w:szCs w:val="22"/>
              </w:rPr>
            </w:pPr>
            <w:r w:rsidRPr="00F64707">
              <w:rPr>
                <w:sz w:val="22"/>
                <w:szCs w:val="22"/>
              </w:rPr>
              <w:t>Závraty</w:t>
            </w:r>
          </w:p>
        </w:tc>
      </w:tr>
      <w:tr w:rsidR="00A6512C" w:rsidRPr="00F64707" w:rsidTr="00400023">
        <w:trPr>
          <w:trHeight w:val="288"/>
        </w:trPr>
        <w:tc>
          <w:tcPr>
            <w:tcW w:w="1865" w:type="dxa"/>
            <w:vMerge/>
          </w:tcPr>
          <w:p w:rsidR="00A6512C" w:rsidRPr="00F64707" w:rsidRDefault="00A6512C" w:rsidP="00F64707">
            <w:pPr>
              <w:keepNext/>
              <w:keepLines/>
              <w:tabs>
                <w:tab w:val="left" w:pos="162"/>
              </w:tabs>
              <w:rPr>
                <w:sz w:val="22"/>
                <w:szCs w:val="22"/>
              </w:rPr>
            </w:pPr>
          </w:p>
        </w:tc>
        <w:tc>
          <w:tcPr>
            <w:tcW w:w="2241" w:type="dxa"/>
          </w:tcPr>
          <w:p w:rsidR="00A6512C" w:rsidRPr="00F64707" w:rsidRDefault="00A6512C" w:rsidP="00F64707">
            <w:pPr>
              <w:keepNext/>
              <w:keepLines/>
              <w:tabs>
                <w:tab w:val="left" w:pos="162"/>
              </w:tabs>
              <w:rPr>
                <w:sz w:val="22"/>
                <w:szCs w:val="22"/>
              </w:rPr>
            </w:pPr>
            <w:r w:rsidRPr="00F64707">
              <w:rPr>
                <w:sz w:val="22"/>
                <w:szCs w:val="22"/>
              </w:rPr>
              <w:tab/>
              <w:t>Kombinácia</w:t>
            </w:r>
            <w:r w:rsidRPr="00F64707">
              <w:rPr>
                <w:sz w:val="22"/>
                <w:szCs w:val="22"/>
                <w:vertAlign w:val="superscript"/>
              </w:rPr>
              <w:t>a</w:t>
            </w:r>
          </w:p>
        </w:tc>
        <w:tc>
          <w:tcPr>
            <w:tcW w:w="1311" w:type="dxa"/>
          </w:tcPr>
          <w:p w:rsidR="00A6512C" w:rsidRPr="00F64707" w:rsidRDefault="00A6512C" w:rsidP="00F64707">
            <w:pPr>
              <w:keepNext/>
              <w:keepLines/>
              <w:jc w:val="center"/>
              <w:rPr>
                <w:sz w:val="22"/>
                <w:szCs w:val="22"/>
              </w:rPr>
            </w:pPr>
            <w:r w:rsidRPr="00F64707">
              <w:rPr>
                <w:sz w:val="22"/>
                <w:szCs w:val="22"/>
              </w:rPr>
              <w:t>1,4 %</w:t>
            </w:r>
          </w:p>
        </w:tc>
        <w:tc>
          <w:tcPr>
            <w:tcW w:w="1310" w:type="dxa"/>
          </w:tcPr>
          <w:p w:rsidR="00A6512C" w:rsidRPr="00F64707" w:rsidRDefault="00A6512C" w:rsidP="00F64707">
            <w:pPr>
              <w:keepNext/>
              <w:keepLines/>
              <w:jc w:val="center"/>
              <w:rPr>
                <w:sz w:val="22"/>
                <w:szCs w:val="22"/>
              </w:rPr>
            </w:pPr>
            <w:r w:rsidRPr="00F64707">
              <w:rPr>
                <w:sz w:val="22"/>
                <w:szCs w:val="22"/>
              </w:rPr>
              <w:t>0,1 %</w:t>
            </w:r>
          </w:p>
        </w:tc>
        <w:tc>
          <w:tcPr>
            <w:tcW w:w="1282" w:type="dxa"/>
          </w:tcPr>
          <w:p w:rsidR="00A6512C" w:rsidRPr="00F64707" w:rsidRDefault="00A6512C" w:rsidP="00F64707">
            <w:pPr>
              <w:keepNext/>
              <w:keepLines/>
              <w:jc w:val="center"/>
              <w:rPr>
                <w:sz w:val="22"/>
                <w:szCs w:val="22"/>
              </w:rPr>
            </w:pPr>
            <w:r w:rsidRPr="00F64707">
              <w:rPr>
                <w:sz w:val="22"/>
                <w:szCs w:val="22"/>
              </w:rPr>
              <w:t>&lt; 0,1 %</w:t>
            </w:r>
          </w:p>
        </w:tc>
        <w:tc>
          <w:tcPr>
            <w:tcW w:w="1202" w:type="dxa"/>
          </w:tcPr>
          <w:p w:rsidR="00A6512C" w:rsidRPr="00F64707" w:rsidRDefault="00A6512C" w:rsidP="00F64707">
            <w:pPr>
              <w:keepNext/>
              <w:keepLines/>
              <w:jc w:val="center"/>
              <w:rPr>
                <w:sz w:val="22"/>
                <w:szCs w:val="22"/>
              </w:rPr>
            </w:pPr>
            <w:r w:rsidRPr="00F64707">
              <w:rPr>
                <w:sz w:val="22"/>
                <w:szCs w:val="22"/>
              </w:rPr>
              <w:t>0,2 %</w:t>
            </w:r>
          </w:p>
        </w:tc>
      </w:tr>
      <w:tr w:rsidR="00A6512C" w:rsidRPr="00F64707" w:rsidTr="00400023">
        <w:trPr>
          <w:trHeight w:val="288"/>
        </w:trPr>
        <w:tc>
          <w:tcPr>
            <w:tcW w:w="1865" w:type="dxa"/>
            <w:vMerge/>
          </w:tcPr>
          <w:p w:rsidR="00A6512C" w:rsidRPr="00F64707" w:rsidRDefault="00A6512C" w:rsidP="00F64707">
            <w:pPr>
              <w:keepNext/>
              <w:keepLines/>
              <w:tabs>
                <w:tab w:val="left" w:pos="162"/>
              </w:tabs>
              <w:rPr>
                <w:sz w:val="22"/>
                <w:szCs w:val="22"/>
              </w:rPr>
            </w:pPr>
          </w:p>
        </w:tc>
        <w:tc>
          <w:tcPr>
            <w:tcW w:w="2241" w:type="dxa"/>
          </w:tcPr>
          <w:p w:rsidR="00A6512C" w:rsidRPr="00F64707" w:rsidRDefault="00A6512C" w:rsidP="00F64707">
            <w:pPr>
              <w:keepNext/>
              <w:keepLines/>
              <w:tabs>
                <w:tab w:val="left" w:pos="162"/>
              </w:tabs>
              <w:rPr>
                <w:sz w:val="22"/>
                <w:szCs w:val="22"/>
              </w:rPr>
            </w:pPr>
            <w:r w:rsidRPr="00F64707">
              <w:rPr>
                <w:sz w:val="22"/>
                <w:szCs w:val="22"/>
              </w:rPr>
              <w:tab/>
              <w:t>Dutasterid</w:t>
            </w:r>
          </w:p>
        </w:tc>
        <w:tc>
          <w:tcPr>
            <w:tcW w:w="1311" w:type="dxa"/>
          </w:tcPr>
          <w:p w:rsidR="00A6512C" w:rsidRPr="00F64707" w:rsidRDefault="00A6512C" w:rsidP="00F64707">
            <w:pPr>
              <w:keepNext/>
              <w:keepLines/>
              <w:jc w:val="center"/>
              <w:rPr>
                <w:sz w:val="22"/>
                <w:szCs w:val="22"/>
              </w:rPr>
            </w:pPr>
            <w:r w:rsidRPr="00F64707">
              <w:rPr>
                <w:sz w:val="22"/>
                <w:szCs w:val="22"/>
              </w:rPr>
              <w:t>0,7 %</w:t>
            </w:r>
          </w:p>
        </w:tc>
        <w:tc>
          <w:tcPr>
            <w:tcW w:w="1310" w:type="dxa"/>
          </w:tcPr>
          <w:p w:rsidR="00A6512C" w:rsidRPr="00F64707" w:rsidRDefault="00A6512C" w:rsidP="00F64707">
            <w:pPr>
              <w:keepNext/>
              <w:keepLines/>
              <w:jc w:val="center"/>
              <w:rPr>
                <w:sz w:val="22"/>
                <w:szCs w:val="22"/>
              </w:rPr>
            </w:pPr>
            <w:r w:rsidRPr="00F64707">
              <w:rPr>
                <w:sz w:val="22"/>
                <w:szCs w:val="22"/>
              </w:rPr>
              <w:t>0,1 %</w:t>
            </w:r>
          </w:p>
        </w:tc>
        <w:tc>
          <w:tcPr>
            <w:tcW w:w="1282" w:type="dxa"/>
          </w:tcPr>
          <w:p w:rsidR="00A6512C" w:rsidRPr="00F64707" w:rsidRDefault="00A6512C" w:rsidP="00F64707">
            <w:pPr>
              <w:keepNext/>
              <w:keepLines/>
              <w:jc w:val="center"/>
              <w:rPr>
                <w:sz w:val="22"/>
                <w:szCs w:val="22"/>
              </w:rPr>
            </w:pPr>
            <w:r w:rsidRPr="00F64707">
              <w:rPr>
                <w:sz w:val="22"/>
                <w:szCs w:val="22"/>
              </w:rPr>
              <w:t>&lt; 0,1 %</w:t>
            </w:r>
          </w:p>
        </w:tc>
        <w:tc>
          <w:tcPr>
            <w:tcW w:w="1202" w:type="dxa"/>
          </w:tcPr>
          <w:p w:rsidR="00A6512C" w:rsidRPr="00F64707" w:rsidRDefault="00A6512C" w:rsidP="00F64707">
            <w:pPr>
              <w:keepNext/>
              <w:keepLines/>
              <w:jc w:val="center"/>
              <w:rPr>
                <w:sz w:val="22"/>
                <w:szCs w:val="22"/>
              </w:rPr>
            </w:pPr>
            <w:r w:rsidRPr="00F64707">
              <w:rPr>
                <w:sz w:val="22"/>
                <w:szCs w:val="22"/>
              </w:rPr>
              <w:t>&lt; 0,1 %</w:t>
            </w:r>
          </w:p>
        </w:tc>
      </w:tr>
      <w:tr w:rsidR="00A6512C" w:rsidRPr="00F64707" w:rsidTr="00400023">
        <w:trPr>
          <w:trHeight w:val="288"/>
        </w:trPr>
        <w:tc>
          <w:tcPr>
            <w:tcW w:w="1865" w:type="dxa"/>
            <w:vMerge/>
          </w:tcPr>
          <w:p w:rsidR="00A6512C" w:rsidRPr="00F64707" w:rsidRDefault="00A6512C" w:rsidP="00F64707">
            <w:pPr>
              <w:keepNext/>
              <w:keepLines/>
              <w:tabs>
                <w:tab w:val="left" w:pos="162"/>
              </w:tabs>
              <w:rPr>
                <w:sz w:val="22"/>
                <w:szCs w:val="22"/>
              </w:rPr>
            </w:pPr>
          </w:p>
        </w:tc>
        <w:tc>
          <w:tcPr>
            <w:tcW w:w="2241" w:type="dxa"/>
          </w:tcPr>
          <w:p w:rsidR="00A6512C" w:rsidRPr="00F64707" w:rsidRDefault="00A6512C" w:rsidP="00F64707">
            <w:pPr>
              <w:keepNext/>
              <w:keepLines/>
              <w:tabs>
                <w:tab w:val="left" w:pos="162"/>
              </w:tabs>
              <w:rPr>
                <w:sz w:val="22"/>
                <w:szCs w:val="22"/>
              </w:rPr>
            </w:pPr>
            <w:r w:rsidRPr="00F64707">
              <w:rPr>
                <w:sz w:val="22"/>
                <w:szCs w:val="22"/>
              </w:rPr>
              <w:tab/>
              <w:t>Tamsulozín</w:t>
            </w:r>
          </w:p>
        </w:tc>
        <w:tc>
          <w:tcPr>
            <w:tcW w:w="1311" w:type="dxa"/>
          </w:tcPr>
          <w:p w:rsidR="00A6512C" w:rsidRPr="00F64707" w:rsidRDefault="00A6512C" w:rsidP="00F64707">
            <w:pPr>
              <w:keepNext/>
              <w:keepLines/>
              <w:jc w:val="center"/>
              <w:rPr>
                <w:sz w:val="22"/>
                <w:szCs w:val="22"/>
              </w:rPr>
            </w:pPr>
            <w:r w:rsidRPr="00F64707">
              <w:rPr>
                <w:sz w:val="22"/>
                <w:szCs w:val="22"/>
              </w:rPr>
              <w:t>1,3 %</w:t>
            </w:r>
          </w:p>
        </w:tc>
        <w:tc>
          <w:tcPr>
            <w:tcW w:w="1310" w:type="dxa"/>
          </w:tcPr>
          <w:p w:rsidR="00A6512C" w:rsidRPr="00F64707" w:rsidRDefault="00A6512C" w:rsidP="00F64707">
            <w:pPr>
              <w:keepNext/>
              <w:keepLines/>
              <w:jc w:val="center"/>
              <w:rPr>
                <w:sz w:val="22"/>
                <w:szCs w:val="22"/>
              </w:rPr>
            </w:pPr>
            <w:r w:rsidRPr="00F64707">
              <w:rPr>
                <w:sz w:val="22"/>
                <w:szCs w:val="22"/>
              </w:rPr>
              <w:t>0,4 %</w:t>
            </w:r>
          </w:p>
        </w:tc>
        <w:tc>
          <w:tcPr>
            <w:tcW w:w="1282" w:type="dxa"/>
          </w:tcPr>
          <w:p w:rsidR="00A6512C" w:rsidRPr="00F64707" w:rsidRDefault="00A6512C" w:rsidP="00F64707">
            <w:pPr>
              <w:keepNext/>
              <w:keepLines/>
              <w:jc w:val="center"/>
              <w:rPr>
                <w:sz w:val="22"/>
                <w:szCs w:val="22"/>
              </w:rPr>
            </w:pPr>
            <w:r w:rsidRPr="00F64707">
              <w:rPr>
                <w:sz w:val="22"/>
                <w:szCs w:val="22"/>
              </w:rPr>
              <w:t>&lt; 0,1 %</w:t>
            </w:r>
          </w:p>
        </w:tc>
        <w:tc>
          <w:tcPr>
            <w:tcW w:w="1202" w:type="dxa"/>
          </w:tcPr>
          <w:p w:rsidR="00A6512C" w:rsidRPr="00F64707" w:rsidRDefault="00A6512C" w:rsidP="00F64707">
            <w:pPr>
              <w:keepNext/>
              <w:keepLines/>
              <w:jc w:val="center"/>
              <w:rPr>
                <w:sz w:val="22"/>
                <w:szCs w:val="22"/>
              </w:rPr>
            </w:pPr>
            <w:r w:rsidRPr="00F64707">
              <w:rPr>
                <w:sz w:val="22"/>
                <w:szCs w:val="22"/>
              </w:rPr>
              <w:t>0 %</w:t>
            </w:r>
          </w:p>
        </w:tc>
      </w:tr>
      <w:tr w:rsidR="00400023" w:rsidRPr="00F64707" w:rsidTr="00297B72">
        <w:trPr>
          <w:trHeight w:val="288"/>
        </w:trPr>
        <w:tc>
          <w:tcPr>
            <w:tcW w:w="1865" w:type="dxa"/>
            <w:vMerge w:val="restart"/>
          </w:tcPr>
          <w:p w:rsidR="00400023" w:rsidRPr="00F64707" w:rsidRDefault="00400023" w:rsidP="00F64707">
            <w:pPr>
              <w:keepNext/>
              <w:keepLines/>
              <w:tabs>
                <w:tab w:val="left" w:pos="162"/>
              </w:tabs>
              <w:rPr>
                <w:sz w:val="22"/>
                <w:szCs w:val="22"/>
              </w:rPr>
            </w:pPr>
            <w:r w:rsidRPr="00F64707">
              <w:rPr>
                <w:sz w:val="22"/>
                <w:szCs w:val="22"/>
              </w:rPr>
              <w:t>Poruchy srdca a srdcovej činnosti</w:t>
            </w:r>
          </w:p>
        </w:tc>
        <w:tc>
          <w:tcPr>
            <w:tcW w:w="7346" w:type="dxa"/>
            <w:gridSpan w:val="5"/>
          </w:tcPr>
          <w:p w:rsidR="00400023" w:rsidRPr="00F64707" w:rsidRDefault="00400023" w:rsidP="00F64707">
            <w:pPr>
              <w:keepNext/>
              <w:keepLines/>
              <w:rPr>
                <w:sz w:val="22"/>
                <w:szCs w:val="22"/>
              </w:rPr>
            </w:pPr>
            <w:r w:rsidRPr="00F64707">
              <w:rPr>
                <w:sz w:val="22"/>
                <w:szCs w:val="22"/>
              </w:rPr>
              <w:t>Srdcové zlyhanie (kompozitný termín</w:t>
            </w:r>
            <w:r w:rsidRPr="00F64707">
              <w:rPr>
                <w:sz w:val="22"/>
                <w:szCs w:val="22"/>
                <w:vertAlign w:val="superscript"/>
              </w:rPr>
              <w:t>b</w:t>
            </w:r>
            <w:r w:rsidRPr="00F64707">
              <w:rPr>
                <w:sz w:val="22"/>
                <w:szCs w:val="22"/>
              </w:rPr>
              <w:t>)</w:t>
            </w:r>
          </w:p>
        </w:tc>
      </w:tr>
      <w:tr w:rsidR="0006757D" w:rsidRPr="00F64707" w:rsidTr="00400023">
        <w:trPr>
          <w:trHeight w:val="288"/>
        </w:trPr>
        <w:tc>
          <w:tcPr>
            <w:tcW w:w="1865" w:type="dxa"/>
            <w:vMerge/>
          </w:tcPr>
          <w:p w:rsidR="0006757D" w:rsidRPr="00F64707" w:rsidRDefault="0006757D" w:rsidP="00F64707">
            <w:pPr>
              <w:keepNext/>
              <w:keepLines/>
              <w:tabs>
                <w:tab w:val="left" w:pos="162"/>
              </w:tabs>
              <w:rPr>
                <w:sz w:val="22"/>
                <w:szCs w:val="22"/>
              </w:rPr>
            </w:pPr>
          </w:p>
        </w:tc>
        <w:tc>
          <w:tcPr>
            <w:tcW w:w="2241" w:type="dxa"/>
          </w:tcPr>
          <w:p w:rsidR="0006757D" w:rsidRPr="00F64707" w:rsidRDefault="0006757D" w:rsidP="00F64707">
            <w:pPr>
              <w:keepNext/>
              <w:keepLines/>
              <w:tabs>
                <w:tab w:val="left" w:pos="162"/>
              </w:tabs>
              <w:rPr>
                <w:sz w:val="22"/>
                <w:szCs w:val="22"/>
              </w:rPr>
            </w:pPr>
            <w:r w:rsidRPr="00F64707">
              <w:rPr>
                <w:sz w:val="22"/>
                <w:szCs w:val="22"/>
              </w:rPr>
              <w:tab/>
              <w:t>Kombinácia</w:t>
            </w:r>
            <w:r w:rsidRPr="00F64707">
              <w:rPr>
                <w:sz w:val="22"/>
                <w:szCs w:val="22"/>
                <w:vertAlign w:val="superscript"/>
              </w:rPr>
              <w:t>a</w:t>
            </w:r>
          </w:p>
        </w:tc>
        <w:tc>
          <w:tcPr>
            <w:tcW w:w="1311" w:type="dxa"/>
          </w:tcPr>
          <w:p w:rsidR="0006757D" w:rsidRPr="00F64707" w:rsidRDefault="0006757D" w:rsidP="00F64707">
            <w:pPr>
              <w:keepNext/>
              <w:keepLines/>
              <w:jc w:val="center"/>
              <w:rPr>
                <w:sz w:val="22"/>
                <w:szCs w:val="22"/>
              </w:rPr>
            </w:pPr>
            <w:r w:rsidRPr="00F64707">
              <w:rPr>
                <w:sz w:val="22"/>
                <w:szCs w:val="22"/>
              </w:rPr>
              <w:t>0,2 %</w:t>
            </w:r>
          </w:p>
        </w:tc>
        <w:tc>
          <w:tcPr>
            <w:tcW w:w="1310" w:type="dxa"/>
          </w:tcPr>
          <w:p w:rsidR="0006757D" w:rsidRPr="00F64707" w:rsidRDefault="0006757D" w:rsidP="00F64707">
            <w:pPr>
              <w:keepNext/>
              <w:keepLines/>
              <w:jc w:val="center"/>
              <w:rPr>
                <w:sz w:val="22"/>
                <w:szCs w:val="22"/>
              </w:rPr>
            </w:pPr>
            <w:r w:rsidRPr="00F64707">
              <w:rPr>
                <w:sz w:val="22"/>
                <w:szCs w:val="22"/>
              </w:rPr>
              <w:t>0,4 %</w:t>
            </w:r>
          </w:p>
        </w:tc>
        <w:tc>
          <w:tcPr>
            <w:tcW w:w="1282" w:type="dxa"/>
          </w:tcPr>
          <w:p w:rsidR="0006757D" w:rsidRPr="00F64707" w:rsidRDefault="0006757D" w:rsidP="00F64707">
            <w:pPr>
              <w:keepNext/>
              <w:keepLines/>
              <w:jc w:val="center"/>
              <w:rPr>
                <w:sz w:val="22"/>
                <w:szCs w:val="22"/>
              </w:rPr>
            </w:pPr>
            <w:r w:rsidRPr="00F64707">
              <w:rPr>
                <w:sz w:val="22"/>
                <w:szCs w:val="22"/>
              </w:rPr>
              <w:t>0,2 %</w:t>
            </w:r>
          </w:p>
        </w:tc>
        <w:tc>
          <w:tcPr>
            <w:tcW w:w="1202" w:type="dxa"/>
          </w:tcPr>
          <w:p w:rsidR="0006757D" w:rsidRPr="00F64707" w:rsidRDefault="0006757D" w:rsidP="00F64707">
            <w:pPr>
              <w:keepNext/>
              <w:keepLines/>
              <w:jc w:val="center"/>
              <w:rPr>
                <w:sz w:val="22"/>
                <w:szCs w:val="22"/>
              </w:rPr>
            </w:pPr>
            <w:r w:rsidRPr="00F64707">
              <w:rPr>
                <w:sz w:val="22"/>
                <w:szCs w:val="22"/>
              </w:rPr>
              <w:t>0,2 %</w:t>
            </w:r>
          </w:p>
        </w:tc>
      </w:tr>
      <w:tr w:rsidR="0006757D" w:rsidRPr="00F64707" w:rsidTr="00400023">
        <w:trPr>
          <w:trHeight w:val="288"/>
        </w:trPr>
        <w:tc>
          <w:tcPr>
            <w:tcW w:w="1865" w:type="dxa"/>
            <w:vMerge/>
          </w:tcPr>
          <w:p w:rsidR="0006757D" w:rsidRPr="00F64707" w:rsidRDefault="0006757D" w:rsidP="00F64707">
            <w:pPr>
              <w:keepNext/>
              <w:keepLines/>
              <w:tabs>
                <w:tab w:val="left" w:pos="162"/>
              </w:tabs>
              <w:rPr>
                <w:sz w:val="22"/>
                <w:szCs w:val="22"/>
              </w:rPr>
            </w:pPr>
          </w:p>
        </w:tc>
        <w:tc>
          <w:tcPr>
            <w:tcW w:w="2241" w:type="dxa"/>
          </w:tcPr>
          <w:p w:rsidR="0006757D" w:rsidRPr="00F64707" w:rsidRDefault="0006757D" w:rsidP="00F64707">
            <w:pPr>
              <w:keepNext/>
              <w:keepLines/>
              <w:tabs>
                <w:tab w:val="left" w:pos="162"/>
              </w:tabs>
              <w:rPr>
                <w:sz w:val="22"/>
                <w:szCs w:val="22"/>
              </w:rPr>
            </w:pPr>
            <w:r w:rsidRPr="00F64707">
              <w:rPr>
                <w:sz w:val="22"/>
                <w:szCs w:val="22"/>
              </w:rPr>
              <w:tab/>
              <w:t>Dutasterid</w:t>
            </w:r>
          </w:p>
        </w:tc>
        <w:tc>
          <w:tcPr>
            <w:tcW w:w="1311" w:type="dxa"/>
          </w:tcPr>
          <w:p w:rsidR="0006757D" w:rsidRPr="00F64707" w:rsidRDefault="0006757D" w:rsidP="00F64707">
            <w:pPr>
              <w:keepNext/>
              <w:keepLines/>
              <w:jc w:val="center"/>
              <w:rPr>
                <w:sz w:val="22"/>
                <w:szCs w:val="22"/>
              </w:rPr>
            </w:pPr>
            <w:r w:rsidRPr="00F64707">
              <w:rPr>
                <w:sz w:val="22"/>
                <w:szCs w:val="22"/>
              </w:rPr>
              <w:t>&lt; 0,1 %</w:t>
            </w:r>
          </w:p>
        </w:tc>
        <w:tc>
          <w:tcPr>
            <w:tcW w:w="1310" w:type="dxa"/>
          </w:tcPr>
          <w:p w:rsidR="0006757D" w:rsidRPr="00F64707" w:rsidRDefault="0006757D" w:rsidP="00F64707">
            <w:pPr>
              <w:keepNext/>
              <w:keepLines/>
              <w:jc w:val="center"/>
              <w:rPr>
                <w:sz w:val="22"/>
                <w:szCs w:val="22"/>
              </w:rPr>
            </w:pPr>
            <w:r w:rsidRPr="00F64707">
              <w:rPr>
                <w:sz w:val="22"/>
                <w:szCs w:val="22"/>
              </w:rPr>
              <w:t>0,1 %</w:t>
            </w:r>
          </w:p>
        </w:tc>
        <w:tc>
          <w:tcPr>
            <w:tcW w:w="1282" w:type="dxa"/>
          </w:tcPr>
          <w:p w:rsidR="0006757D" w:rsidRPr="00F64707" w:rsidRDefault="0006757D" w:rsidP="00F64707">
            <w:pPr>
              <w:keepNext/>
              <w:keepLines/>
              <w:jc w:val="center"/>
              <w:rPr>
                <w:sz w:val="22"/>
                <w:szCs w:val="22"/>
              </w:rPr>
            </w:pPr>
            <w:r w:rsidRPr="00F64707">
              <w:rPr>
                <w:sz w:val="22"/>
                <w:szCs w:val="22"/>
              </w:rPr>
              <w:t>&lt; 0,1 %</w:t>
            </w:r>
          </w:p>
        </w:tc>
        <w:tc>
          <w:tcPr>
            <w:tcW w:w="1202" w:type="dxa"/>
          </w:tcPr>
          <w:p w:rsidR="0006757D" w:rsidRPr="00F64707" w:rsidRDefault="0006757D" w:rsidP="00F64707">
            <w:pPr>
              <w:keepNext/>
              <w:keepLines/>
              <w:jc w:val="center"/>
              <w:rPr>
                <w:sz w:val="22"/>
                <w:szCs w:val="22"/>
              </w:rPr>
            </w:pPr>
            <w:r w:rsidRPr="00F64707">
              <w:rPr>
                <w:sz w:val="22"/>
                <w:szCs w:val="22"/>
              </w:rPr>
              <w:t>0 %</w:t>
            </w:r>
          </w:p>
        </w:tc>
      </w:tr>
      <w:tr w:rsidR="0006757D" w:rsidRPr="00F64707" w:rsidTr="00400023">
        <w:trPr>
          <w:trHeight w:val="288"/>
        </w:trPr>
        <w:tc>
          <w:tcPr>
            <w:tcW w:w="1865" w:type="dxa"/>
            <w:vMerge/>
          </w:tcPr>
          <w:p w:rsidR="0006757D" w:rsidRPr="00F64707" w:rsidRDefault="0006757D" w:rsidP="00F64707">
            <w:pPr>
              <w:keepNext/>
              <w:keepLines/>
              <w:tabs>
                <w:tab w:val="left" w:pos="162"/>
              </w:tabs>
              <w:rPr>
                <w:sz w:val="22"/>
                <w:szCs w:val="22"/>
              </w:rPr>
            </w:pPr>
          </w:p>
        </w:tc>
        <w:tc>
          <w:tcPr>
            <w:tcW w:w="2241" w:type="dxa"/>
          </w:tcPr>
          <w:p w:rsidR="0006757D" w:rsidRPr="00F64707" w:rsidRDefault="0006757D" w:rsidP="00F64707">
            <w:pPr>
              <w:keepNext/>
              <w:keepLines/>
              <w:tabs>
                <w:tab w:val="left" w:pos="162"/>
              </w:tabs>
              <w:rPr>
                <w:sz w:val="22"/>
                <w:szCs w:val="22"/>
              </w:rPr>
            </w:pPr>
            <w:r w:rsidRPr="00F64707">
              <w:rPr>
                <w:sz w:val="22"/>
                <w:szCs w:val="22"/>
              </w:rPr>
              <w:tab/>
              <w:t>Tamsulozín</w:t>
            </w:r>
          </w:p>
        </w:tc>
        <w:tc>
          <w:tcPr>
            <w:tcW w:w="1311" w:type="dxa"/>
          </w:tcPr>
          <w:p w:rsidR="0006757D" w:rsidRPr="00F64707" w:rsidRDefault="0006757D" w:rsidP="00F64707">
            <w:pPr>
              <w:keepNext/>
              <w:keepLines/>
              <w:jc w:val="center"/>
              <w:rPr>
                <w:sz w:val="22"/>
                <w:szCs w:val="22"/>
              </w:rPr>
            </w:pPr>
            <w:r w:rsidRPr="00F64707">
              <w:rPr>
                <w:sz w:val="22"/>
                <w:szCs w:val="22"/>
              </w:rPr>
              <w:t>0,1 %</w:t>
            </w:r>
          </w:p>
        </w:tc>
        <w:tc>
          <w:tcPr>
            <w:tcW w:w="1310" w:type="dxa"/>
          </w:tcPr>
          <w:p w:rsidR="0006757D" w:rsidRPr="00F64707" w:rsidRDefault="0006757D" w:rsidP="00F64707">
            <w:pPr>
              <w:keepNext/>
              <w:keepLines/>
              <w:jc w:val="center"/>
              <w:rPr>
                <w:sz w:val="22"/>
                <w:szCs w:val="22"/>
              </w:rPr>
            </w:pPr>
            <w:r w:rsidRPr="00F64707">
              <w:rPr>
                <w:sz w:val="22"/>
                <w:szCs w:val="22"/>
              </w:rPr>
              <w:t>&lt; 0,1 %</w:t>
            </w:r>
          </w:p>
        </w:tc>
        <w:tc>
          <w:tcPr>
            <w:tcW w:w="1282" w:type="dxa"/>
          </w:tcPr>
          <w:p w:rsidR="0006757D" w:rsidRPr="00F64707" w:rsidRDefault="0006757D" w:rsidP="00F64707">
            <w:pPr>
              <w:keepNext/>
              <w:keepLines/>
              <w:jc w:val="center"/>
              <w:rPr>
                <w:sz w:val="22"/>
                <w:szCs w:val="22"/>
              </w:rPr>
            </w:pPr>
            <w:r w:rsidRPr="00F64707">
              <w:rPr>
                <w:sz w:val="22"/>
                <w:szCs w:val="22"/>
              </w:rPr>
              <w:t>0,4 %</w:t>
            </w:r>
          </w:p>
        </w:tc>
        <w:tc>
          <w:tcPr>
            <w:tcW w:w="1202" w:type="dxa"/>
          </w:tcPr>
          <w:p w:rsidR="0006757D" w:rsidRPr="00F64707" w:rsidRDefault="0006757D" w:rsidP="00F64707">
            <w:pPr>
              <w:keepNext/>
              <w:keepLines/>
              <w:jc w:val="center"/>
              <w:rPr>
                <w:sz w:val="22"/>
                <w:szCs w:val="22"/>
              </w:rPr>
            </w:pPr>
            <w:r w:rsidRPr="00F64707">
              <w:rPr>
                <w:sz w:val="22"/>
                <w:szCs w:val="22"/>
              </w:rPr>
              <w:t>0,2 %</w:t>
            </w:r>
          </w:p>
        </w:tc>
      </w:tr>
      <w:tr w:rsidR="006933DA" w:rsidRPr="00F64707" w:rsidTr="00297B72">
        <w:trPr>
          <w:trHeight w:val="288"/>
        </w:trPr>
        <w:tc>
          <w:tcPr>
            <w:tcW w:w="1865" w:type="dxa"/>
            <w:vMerge w:val="restart"/>
          </w:tcPr>
          <w:p w:rsidR="006933DA" w:rsidRPr="00F64707" w:rsidRDefault="006933DA" w:rsidP="00F64707">
            <w:pPr>
              <w:keepNext/>
              <w:keepLines/>
              <w:tabs>
                <w:tab w:val="left" w:pos="162"/>
              </w:tabs>
              <w:rPr>
                <w:sz w:val="22"/>
                <w:szCs w:val="22"/>
              </w:rPr>
            </w:pPr>
            <w:r w:rsidRPr="00F64707">
              <w:rPr>
                <w:sz w:val="22"/>
                <w:szCs w:val="22"/>
              </w:rPr>
              <w:t>Poruchy reprodukčného systému a prsníkov,</w:t>
            </w:r>
          </w:p>
          <w:p w:rsidR="006933DA" w:rsidRPr="00F64707" w:rsidRDefault="006933DA" w:rsidP="00F64707">
            <w:pPr>
              <w:keepNext/>
              <w:keepLines/>
              <w:tabs>
                <w:tab w:val="left" w:pos="162"/>
              </w:tabs>
              <w:rPr>
                <w:bCs/>
                <w:sz w:val="22"/>
                <w:szCs w:val="22"/>
              </w:rPr>
            </w:pPr>
            <w:r w:rsidRPr="00F64707">
              <w:rPr>
                <w:bCs/>
                <w:sz w:val="22"/>
                <w:szCs w:val="22"/>
              </w:rPr>
              <w:t>Psychické poruchy,</w:t>
            </w:r>
          </w:p>
          <w:p w:rsidR="006933DA" w:rsidRPr="00F64707" w:rsidRDefault="006933DA" w:rsidP="00F64707">
            <w:pPr>
              <w:keepNext/>
              <w:keepLines/>
              <w:tabs>
                <w:tab w:val="left" w:pos="162"/>
              </w:tabs>
              <w:rPr>
                <w:sz w:val="22"/>
                <w:szCs w:val="22"/>
              </w:rPr>
            </w:pPr>
            <w:r w:rsidRPr="00F64707">
              <w:rPr>
                <w:bCs/>
                <w:sz w:val="22"/>
                <w:szCs w:val="22"/>
              </w:rPr>
              <w:t>Laboratórne a funkčné vyšetrenia</w:t>
            </w:r>
          </w:p>
        </w:tc>
        <w:tc>
          <w:tcPr>
            <w:tcW w:w="7346" w:type="dxa"/>
            <w:gridSpan w:val="5"/>
          </w:tcPr>
          <w:p w:rsidR="006933DA" w:rsidRPr="00F64707" w:rsidRDefault="006933DA" w:rsidP="00F64707">
            <w:pPr>
              <w:keepNext/>
              <w:keepLines/>
              <w:rPr>
                <w:sz w:val="22"/>
                <w:szCs w:val="22"/>
              </w:rPr>
            </w:pPr>
            <w:r w:rsidRPr="00F64707">
              <w:rPr>
                <w:sz w:val="22"/>
                <w:szCs w:val="22"/>
              </w:rPr>
              <w:t>Impotencia</w:t>
            </w:r>
            <w:r w:rsidRPr="00F64707">
              <w:rPr>
                <w:sz w:val="22"/>
                <w:szCs w:val="22"/>
                <w:vertAlign w:val="superscript"/>
              </w:rPr>
              <w:t>c</w:t>
            </w:r>
          </w:p>
        </w:tc>
      </w:tr>
      <w:tr w:rsidR="005B5B3A" w:rsidRPr="00F64707" w:rsidTr="00400023">
        <w:trPr>
          <w:trHeight w:val="314"/>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r>
            <w:r w:rsidR="00D96B28" w:rsidRPr="00F64707">
              <w:rPr>
                <w:sz w:val="22"/>
                <w:szCs w:val="22"/>
              </w:rPr>
              <w:t>Kombinácia</w:t>
            </w:r>
            <w:r w:rsidRPr="00F64707">
              <w:rPr>
                <w:sz w:val="22"/>
                <w:szCs w:val="22"/>
                <w:vertAlign w:val="superscript"/>
              </w:rPr>
              <w:t>a</w:t>
            </w:r>
          </w:p>
        </w:tc>
        <w:tc>
          <w:tcPr>
            <w:tcW w:w="1311" w:type="dxa"/>
          </w:tcPr>
          <w:p w:rsidR="005B5B3A" w:rsidRPr="00F64707" w:rsidRDefault="005B5B3A" w:rsidP="00F64707">
            <w:pPr>
              <w:keepNext/>
              <w:keepLines/>
              <w:jc w:val="center"/>
              <w:rPr>
                <w:sz w:val="22"/>
                <w:szCs w:val="22"/>
              </w:rPr>
            </w:pPr>
            <w:r w:rsidRPr="00F64707">
              <w:rPr>
                <w:sz w:val="22"/>
                <w:szCs w:val="22"/>
              </w:rPr>
              <w:t>6</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8</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9</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4</w:t>
            </w:r>
            <w:r w:rsidR="00D96B28" w:rsidRPr="00F64707">
              <w:rPr>
                <w:sz w:val="22"/>
                <w:szCs w:val="22"/>
              </w:rPr>
              <w:t> </w:t>
            </w:r>
            <w:r w:rsidRPr="00F64707">
              <w:rPr>
                <w:sz w:val="22"/>
                <w:szCs w:val="22"/>
              </w:rPr>
              <w:t>%</w:t>
            </w:r>
          </w:p>
        </w:tc>
      </w:tr>
      <w:tr w:rsidR="005B5B3A" w:rsidRPr="00F64707" w:rsidTr="00400023">
        <w:trPr>
          <w:trHeight w:val="314"/>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Dutasterid</w:t>
            </w:r>
          </w:p>
        </w:tc>
        <w:tc>
          <w:tcPr>
            <w:tcW w:w="1311" w:type="dxa"/>
          </w:tcPr>
          <w:p w:rsidR="005B5B3A" w:rsidRPr="00F64707" w:rsidRDefault="005B5B3A" w:rsidP="00F64707">
            <w:pPr>
              <w:keepNext/>
              <w:keepLines/>
              <w:jc w:val="center"/>
              <w:rPr>
                <w:sz w:val="22"/>
                <w:szCs w:val="22"/>
              </w:rPr>
            </w:pPr>
            <w:r w:rsidRPr="00F64707">
              <w:rPr>
                <w:sz w:val="22"/>
                <w:szCs w:val="22"/>
              </w:rPr>
              <w:t>5</w:t>
            </w:r>
            <w:r w:rsidR="00D96B28" w:rsidRPr="00F64707">
              <w:rPr>
                <w:sz w:val="22"/>
                <w:szCs w:val="22"/>
              </w:rPr>
              <w:t>,</w:t>
            </w:r>
            <w:r w:rsidRPr="00F64707">
              <w:rPr>
                <w:sz w:val="22"/>
                <w:szCs w:val="22"/>
              </w:rPr>
              <w:t>1</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6</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6</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Tamsulozín</w:t>
            </w:r>
          </w:p>
        </w:tc>
        <w:tc>
          <w:tcPr>
            <w:tcW w:w="1311" w:type="dxa"/>
          </w:tcPr>
          <w:p w:rsidR="005B5B3A" w:rsidRPr="00F64707" w:rsidRDefault="005B5B3A" w:rsidP="00F64707">
            <w:pPr>
              <w:keepNext/>
              <w:keepLines/>
              <w:jc w:val="center"/>
              <w:rPr>
                <w:sz w:val="22"/>
                <w:szCs w:val="22"/>
              </w:rPr>
            </w:pPr>
            <w:r w:rsidRPr="00F64707">
              <w:rPr>
                <w:sz w:val="22"/>
                <w:szCs w:val="22"/>
              </w:rPr>
              <w:t>3</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0</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6</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1</w:t>
            </w:r>
            <w:r w:rsidR="00D96B28" w:rsidRPr="00F64707">
              <w:rPr>
                <w:sz w:val="22"/>
                <w:szCs w:val="22"/>
              </w:rPr>
              <w:t> </w:t>
            </w:r>
            <w:r w:rsidRPr="00F64707">
              <w:rPr>
                <w:sz w:val="22"/>
                <w:szCs w:val="22"/>
              </w:rPr>
              <w:t>%</w:t>
            </w:r>
          </w:p>
        </w:tc>
      </w:tr>
      <w:tr w:rsidR="006933DA" w:rsidRPr="00F64707" w:rsidTr="00297B72">
        <w:trPr>
          <w:trHeight w:val="350"/>
        </w:trPr>
        <w:tc>
          <w:tcPr>
            <w:tcW w:w="1865" w:type="dxa"/>
            <w:vMerge/>
          </w:tcPr>
          <w:p w:rsidR="006933DA" w:rsidRPr="00F64707" w:rsidRDefault="006933DA" w:rsidP="00F64707">
            <w:pPr>
              <w:keepNext/>
              <w:keepLines/>
              <w:rPr>
                <w:sz w:val="22"/>
                <w:szCs w:val="22"/>
              </w:rPr>
            </w:pPr>
          </w:p>
        </w:tc>
        <w:tc>
          <w:tcPr>
            <w:tcW w:w="7346" w:type="dxa"/>
            <w:gridSpan w:val="5"/>
          </w:tcPr>
          <w:p w:rsidR="006933DA" w:rsidRPr="00F64707" w:rsidRDefault="006933DA" w:rsidP="00F64707">
            <w:pPr>
              <w:keepNext/>
              <w:keepLines/>
              <w:rPr>
                <w:sz w:val="22"/>
                <w:szCs w:val="22"/>
              </w:rPr>
            </w:pPr>
            <w:r w:rsidRPr="00F64707">
              <w:rPr>
                <w:sz w:val="22"/>
                <w:szCs w:val="22"/>
              </w:rPr>
              <w:t>Zmenené (znížené) libido</w:t>
            </w:r>
            <w:r w:rsidRPr="00F64707">
              <w:rPr>
                <w:sz w:val="22"/>
                <w:szCs w:val="22"/>
                <w:vertAlign w:val="superscript"/>
              </w:rPr>
              <w:t>c</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r>
            <w:r w:rsidR="00D96B28" w:rsidRPr="00F64707">
              <w:rPr>
                <w:sz w:val="22"/>
                <w:szCs w:val="22"/>
              </w:rPr>
              <w:t>Kombinácia</w:t>
            </w:r>
            <w:r w:rsidRPr="00F64707">
              <w:rPr>
                <w:sz w:val="22"/>
                <w:szCs w:val="22"/>
                <w:vertAlign w:val="superscript"/>
              </w:rPr>
              <w:t>a</w:t>
            </w:r>
          </w:p>
        </w:tc>
        <w:tc>
          <w:tcPr>
            <w:tcW w:w="1311" w:type="dxa"/>
          </w:tcPr>
          <w:p w:rsidR="005B5B3A" w:rsidRPr="00F64707" w:rsidRDefault="005B5B3A" w:rsidP="00F64707">
            <w:pPr>
              <w:keepNext/>
              <w:keepLines/>
              <w:jc w:val="center"/>
              <w:rPr>
                <w:sz w:val="22"/>
                <w:szCs w:val="22"/>
              </w:rPr>
            </w:pPr>
            <w:r w:rsidRPr="00F64707">
              <w:rPr>
                <w:sz w:val="22"/>
                <w:szCs w:val="22"/>
              </w:rPr>
              <w:t>5</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8</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 </w:t>
            </w:r>
            <w:r w:rsidRPr="00F64707">
              <w:rPr>
                <w:sz w:val="22"/>
                <w:szCs w:val="22"/>
              </w:rPr>
              <w:t>%</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Dutasterid</w:t>
            </w:r>
          </w:p>
        </w:tc>
        <w:tc>
          <w:tcPr>
            <w:tcW w:w="1311" w:type="dxa"/>
          </w:tcPr>
          <w:p w:rsidR="005B5B3A" w:rsidRPr="00F64707" w:rsidRDefault="005B5B3A" w:rsidP="00F64707">
            <w:pPr>
              <w:keepNext/>
              <w:keepLines/>
              <w:jc w:val="center"/>
              <w:rPr>
                <w:sz w:val="22"/>
                <w:szCs w:val="22"/>
              </w:rPr>
            </w:pPr>
            <w:r w:rsidRPr="00F64707">
              <w:rPr>
                <w:sz w:val="22"/>
                <w:szCs w:val="22"/>
              </w:rPr>
              <w:t>3</w:t>
            </w:r>
            <w:r w:rsidR="00D96B28" w:rsidRPr="00F64707">
              <w:rPr>
                <w:sz w:val="22"/>
                <w:szCs w:val="22"/>
              </w:rPr>
              <w:t>,</w:t>
            </w:r>
            <w:r w:rsidRPr="00F64707">
              <w:rPr>
                <w:sz w:val="22"/>
                <w:szCs w:val="22"/>
              </w:rPr>
              <w:t>8</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0</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 </w:t>
            </w:r>
            <w:r w:rsidRPr="00F64707">
              <w:rPr>
                <w:sz w:val="22"/>
                <w:szCs w:val="22"/>
              </w:rPr>
              <w:t>%</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Tamsulo</w:t>
            </w:r>
            <w:r w:rsidR="00D96B28" w:rsidRPr="00F64707">
              <w:rPr>
                <w:sz w:val="22"/>
                <w:szCs w:val="22"/>
              </w:rPr>
              <w:t>zí</w:t>
            </w:r>
            <w:r w:rsidRPr="00F64707">
              <w:rPr>
                <w:sz w:val="22"/>
                <w:szCs w:val="22"/>
              </w:rPr>
              <w:t>n</w:t>
            </w:r>
          </w:p>
        </w:tc>
        <w:tc>
          <w:tcPr>
            <w:tcW w:w="1311" w:type="dxa"/>
          </w:tcPr>
          <w:p w:rsidR="005B5B3A" w:rsidRPr="00F64707" w:rsidRDefault="005B5B3A" w:rsidP="00F64707">
            <w:pPr>
              <w:keepNext/>
              <w:keepLines/>
              <w:jc w:val="center"/>
              <w:rPr>
                <w:sz w:val="22"/>
                <w:szCs w:val="22"/>
              </w:rPr>
            </w:pPr>
            <w:r w:rsidRPr="00F64707">
              <w:rPr>
                <w:sz w:val="22"/>
                <w:szCs w:val="22"/>
              </w:rPr>
              <w:t>2</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7</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&lt;</w:t>
            </w:r>
            <w:r w:rsidR="00D96B28" w:rsidRPr="00F64707">
              <w:rPr>
                <w:sz w:val="22"/>
                <w:szCs w:val="22"/>
              </w:rPr>
              <w:t> </w:t>
            </w:r>
            <w:r w:rsidRPr="00F64707">
              <w:rPr>
                <w:sz w:val="22"/>
                <w:szCs w:val="22"/>
              </w:rPr>
              <w:t>0</w:t>
            </w:r>
            <w:r w:rsidR="00D96B28" w:rsidRPr="00F64707">
              <w:rPr>
                <w:sz w:val="22"/>
                <w:szCs w:val="22"/>
              </w:rPr>
              <w:t>,</w:t>
            </w:r>
            <w:r w:rsidRPr="00F64707">
              <w:rPr>
                <w:sz w:val="22"/>
                <w:szCs w:val="22"/>
              </w:rPr>
              <w:t>1</w:t>
            </w:r>
            <w:r w:rsidR="00D96B28" w:rsidRPr="00F64707">
              <w:rPr>
                <w:sz w:val="22"/>
                <w:szCs w:val="22"/>
              </w:rPr>
              <w:t> </w:t>
            </w:r>
            <w:r w:rsidRPr="00F64707">
              <w:rPr>
                <w:sz w:val="22"/>
                <w:szCs w:val="22"/>
              </w:rPr>
              <w:t>%</w:t>
            </w:r>
          </w:p>
        </w:tc>
      </w:tr>
      <w:tr w:rsidR="006933DA" w:rsidRPr="00F64707" w:rsidTr="00297B72">
        <w:trPr>
          <w:trHeight w:val="404"/>
        </w:trPr>
        <w:tc>
          <w:tcPr>
            <w:tcW w:w="1865" w:type="dxa"/>
            <w:vMerge/>
          </w:tcPr>
          <w:p w:rsidR="006933DA" w:rsidRPr="00F64707" w:rsidRDefault="006933DA" w:rsidP="00F64707">
            <w:pPr>
              <w:keepNext/>
              <w:keepLines/>
              <w:rPr>
                <w:sz w:val="22"/>
                <w:szCs w:val="22"/>
              </w:rPr>
            </w:pPr>
          </w:p>
        </w:tc>
        <w:tc>
          <w:tcPr>
            <w:tcW w:w="7346" w:type="dxa"/>
            <w:gridSpan w:val="5"/>
          </w:tcPr>
          <w:p w:rsidR="006933DA" w:rsidRPr="00F64707" w:rsidRDefault="006933DA" w:rsidP="00F64707">
            <w:pPr>
              <w:keepNext/>
              <w:keepLines/>
              <w:rPr>
                <w:sz w:val="22"/>
                <w:szCs w:val="22"/>
              </w:rPr>
            </w:pPr>
            <w:r w:rsidRPr="00F64707">
              <w:rPr>
                <w:sz w:val="22"/>
                <w:szCs w:val="22"/>
              </w:rPr>
              <w:t>Poruchy ejakulácie</w:t>
            </w:r>
            <w:r w:rsidRPr="00F64707">
              <w:rPr>
                <w:sz w:val="22"/>
                <w:szCs w:val="22"/>
                <w:vertAlign w:val="superscript"/>
              </w:rPr>
              <w:t>c</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r>
            <w:r w:rsidR="00D96B28" w:rsidRPr="00F64707">
              <w:rPr>
                <w:sz w:val="22"/>
                <w:szCs w:val="22"/>
              </w:rPr>
              <w:t>Kombinácia</w:t>
            </w:r>
            <w:r w:rsidRPr="00F64707">
              <w:rPr>
                <w:sz w:val="22"/>
                <w:szCs w:val="22"/>
                <w:vertAlign w:val="superscript"/>
              </w:rPr>
              <w:t>a</w:t>
            </w:r>
          </w:p>
        </w:tc>
        <w:tc>
          <w:tcPr>
            <w:tcW w:w="1311" w:type="dxa"/>
          </w:tcPr>
          <w:p w:rsidR="005B5B3A" w:rsidRPr="00F64707" w:rsidRDefault="005B5B3A" w:rsidP="00F64707">
            <w:pPr>
              <w:keepNext/>
              <w:keepLines/>
              <w:jc w:val="center"/>
              <w:rPr>
                <w:sz w:val="22"/>
                <w:szCs w:val="22"/>
              </w:rPr>
            </w:pPr>
            <w:r w:rsidRPr="00F64707">
              <w:rPr>
                <w:sz w:val="22"/>
                <w:szCs w:val="22"/>
              </w:rPr>
              <w:t>9</w:t>
            </w:r>
            <w:r w:rsidR="00D96B28" w:rsidRPr="00F64707">
              <w:rPr>
                <w:sz w:val="22"/>
                <w:szCs w:val="22"/>
              </w:rPr>
              <w:t>,</w:t>
            </w:r>
            <w:r w:rsidRPr="00F64707">
              <w:rPr>
                <w:sz w:val="22"/>
                <w:szCs w:val="22"/>
              </w:rPr>
              <w:t>0</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0</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&lt;</w:t>
            </w:r>
            <w:r w:rsidR="00D96B28" w:rsidRPr="00F64707">
              <w:rPr>
                <w:sz w:val="22"/>
                <w:szCs w:val="22"/>
              </w:rPr>
              <w:t> </w:t>
            </w:r>
            <w:r w:rsidRPr="00F64707">
              <w:rPr>
                <w:sz w:val="22"/>
                <w:szCs w:val="22"/>
              </w:rPr>
              <w:t>0</w:t>
            </w:r>
            <w:r w:rsidR="00D96B28" w:rsidRPr="00F64707">
              <w:rPr>
                <w:sz w:val="22"/>
                <w:szCs w:val="22"/>
              </w:rPr>
              <w:t>,</w:t>
            </w:r>
            <w:r w:rsidRPr="00F64707">
              <w:rPr>
                <w:sz w:val="22"/>
                <w:szCs w:val="22"/>
              </w:rPr>
              <w:t>1</w:t>
            </w:r>
            <w:r w:rsidR="00D96B28" w:rsidRPr="00F64707">
              <w:rPr>
                <w:sz w:val="22"/>
                <w:szCs w:val="22"/>
              </w:rPr>
              <w:t> </w:t>
            </w:r>
            <w:r w:rsidRPr="00F64707">
              <w:rPr>
                <w:sz w:val="22"/>
                <w:szCs w:val="22"/>
              </w:rPr>
              <w:t>%</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Dutasterid</w:t>
            </w:r>
          </w:p>
        </w:tc>
        <w:tc>
          <w:tcPr>
            <w:tcW w:w="1311"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r>
      <w:tr w:rsidR="005B5B3A" w:rsidRPr="00F64707" w:rsidTr="00400023">
        <w:trPr>
          <w:trHeight w:val="350"/>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Tamsulo</w:t>
            </w:r>
            <w:r w:rsidR="00D96B28" w:rsidRPr="00F64707">
              <w:rPr>
                <w:sz w:val="22"/>
                <w:szCs w:val="22"/>
              </w:rPr>
              <w:t>zí</w:t>
            </w:r>
            <w:r w:rsidRPr="00F64707">
              <w:rPr>
                <w:sz w:val="22"/>
                <w:szCs w:val="22"/>
              </w:rPr>
              <w:t>n</w:t>
            </w:r>
          </w:p>
        </w:tc>
        <w:tc>
          <w:tcPr>
            <w:tcW w:w="1311" w:type="dxa"/>
          </w:tcPr>
          <w:p w:rsidR="005B5B3A" w:rsidRPr="00F64707" w:rsidRDefault="005B5B3A" w:rsidP="00F64707">
            <w:pPr>
              <w:keepNext/>
              <w:keepLines/>
              <w:jc w:val="center"/>
              <w:rPr>
                <w:sz w:val="22"/>
                <w:szCs w:val="22"/>
              </w:rPr>
            </w:pPr>
            <w:r w:rsidRPr="00F64707">
              <w:rPr>
                <w:sz w:val="22"/>
                <w:szCs w:val="22"/>
              </w:rPr>
              <w:t>2</w:t>
            </w:r>
            <w:r w:rsidR="00D96B28" w:rsidRPr="00F64707">
              <w:rPr>
                <w:sz w:val="22"/>
                <w:szCs w:val="22"/>
              </w:rPr>
              <w:t>,</w:t>
            </w:r>
            <w:r w:rsidRPr="00F64707">
              <w:rPr>
                <w:sz w:val="22"/>
                <w:szCs w:val="22"/>
              </w:rPr>
              <w:t>7</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3</w:t>
            </w:r>
            <w:r w:rsidR="00D96B28" w:rsidRPr="00F64707">
              <w:rPr>
                <w:sz w:val="22"/>
                <w:szCs w:val="22"/>
              </w:rPr>
              <w:t> </w:t>
            </w:r>
            <w:r w:rsidRPr="00F64707">
              <w:rPr>
                <w:sz w:val="22"/>
                <w:szCs w:val="22"/>
              </w:rPr>
              <w:t>%</w:t>
            </w:r>
          </w:p>
        </w:tc>
      </w:tr>
      <w:tr w:rsidR="006933DA" w:rsidRPr="00F64707" w:rsidTr="00297B72">
        <w:trPr>
          <w:trHeight w:val="350"/>
        </w:trPr>
        <w:tc>
          <w:tcPr>
            <w:tcW w:w="1865" w:type="dxa"/>
            <w:vMerge/>
          </w:tcPr>
          <w:p w:rsidR="006933DA" w:rsidRPr="00F64707" w:rsidRDefault="006933DA" w:rsidP="00F64707">
            <w:pPr>
              <w:keepNext/>
              <w:keepLines/>
              <w:rPr>
                <w:sz w:val="22"/>
                <w:szCs w:val="22"/>
              </w:rPr>
            </w:pPr>
          </w:p>
        </w:tc>
        <w:tc>
          <w:tcPr>
            <w:tcW w:w="7346" w:type="dxa"/>
            <w:gridSpan w:val="5"/>
          </w:tcPr>
          <w:p w:rsidR="006933DA" w:rsidRPr="00F64707" w:rsidRDefault="006933DA" w:rsidP="00F64707">
            <w:pPr>
              <w:keepNext/>
              <w:keepLines/>
              <w:rPr>
                <w:sz w:val="22"/>
                <w:szCs w:val="22"/>
              </w:rPr>
            </w:pPr>
            <w:r w:rsidRPr="00F64707">
              <w:rPr>
                <w:sz w:val="22"/>
                <w:szCs w:val="22"/>
              </w:rPr>
              <w:t>Poruchy prsníkov</w:t>
            </w:r>
            <w:r w:rsidRPr="00F64707">
              <w:rPr>
                <w:sz w:val="22"/>
                <w:szCs w:val="22"/>
                <w:vertAlign w:val="superscript"/>
              </w:rPr>
              <w:t>d</w:t>
            </w:r>
          </w:p>
        </w:tc>
      </w:tr>
      <w:tr w:rsidR="005B5B3A" w:rsidRPr="00F64707" w:rsidTr="00400023">
        <w:trPr>
          <w:trHeight w:val="278"/>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r>
            <w:r w:rsidR="00D96B28" w:rsidRPr="00F64707">
              <w:rPr>
                <w:sz w:val="22"/>
                <w:szCs w:val="22"/>
              </w:rPr>
              <w:t>Kombinácia</w:t>
            </w:r>
            <w:r w:rsidRPr="00F64707">
              <w:rPr>
                <w:sz w:val="22"/>
                <w:szCs w:val="22"/>
                <w:vertAlign w:val="superscript"/>
              </w:rPr>
              <w:t>a</w:t>
            </w:r>
          </w:p>
        </w:tc>
        <w:tc>
          <w:tcPr>
            <w:tcW w:w="1311" w:type="dxa"/>
          </w:tcPr>
          <w:p w:rsidR="005B5B3A" w:rsidRPr="00F64707" w:rsidRDefault="005B5B3A" w:rsidP="00F64707">
            <w:pPr>
              <w:keepNext/>
              <w:keepLines/>
              <w:jc w:val="center"/>
              <w:rPr>
                <w:sz w:val="22"/>
                <w:szCs w:val="22"/>
              </w:rPr>
            </w:pPr>
            <w:r w:rsidRPr="00F64707">
              <w:rPr>
                <w:sz w:val="22"/>
                <w:szCs w:val="22"/>
              </w:rPr>
              <w:t>2</w:t>
            </w:r>
            <w:r w:rsidR="00D96B28" w:rsidRPr="00F64707">
              <w:rPr>
                <w:sz w:val="22"/>
                <w:szCs w:val="22"/>
              </w:rPr>
              <w:t>,</w:t>
            </w:r>
            <w:r w:rsidRPr="00F64707">
              <w:rPr>
                <w:sz w:val="22"/>
                <w:szCs w:val="22"/>
              </w:rPr>
              <w:t>1</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8</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9</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6</w:t>
            </w:r>
            <w:r w:rsidR="00D96B28" w:rsidRPr="00F64707">
              <w:rPr>
                <w:sz w:val="22"/>
                <w:szCs w:val="22"/>
              </w:rPr>
              <w:t> </w:t>
            </w:r>
            <w:r w:rsidRPr="00F64707">
              <w:rPr>
                <w:sz w:val="22"/>
                <w:szCs w:val="22"/>
              </w:rPr>
              <w:t>%</w:t>
            </w:r>
          </w:p>
        </w:tc>
      </w:tr>
      <w:tr w:rsidR="005B5B3A" w:rsidRPr="00F64707" w:rsidTr="00400023">
        <w:trPr>
          <w:trHeight w:val="278"/>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Dutasterid</w:t>
            </w:r>
          </w:p>
        </w:tc>
        <w:tc>
          <w:tcPr>
            <w:tcW w:w="1311"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7</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1</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5</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7</w:t>
            </w:r>
            <w:r w:rsidR="00D96B28" w:rsidRPr="00F64707">
              <w:rPr>
                <w:sz w:val="22"/>
                <w:szCs w:val="22"/>
              </w:rPr>
              <w:t> </w:t>
            </w:r>
            <w:r w:rsidRPr="00F64707">
              <w:rPr>
                <w:sz w:val="22"/>
                <w:szCs w:val="22"/>
              </w:rPr>
              <w:t>%</w:t>
            </w:r>
          </w:p>
        </w:tc>
      </w:tr>
      <w:tr w:rsidR="005B5B3A" w:rsidRPr="00F64707" w:rsidTr="00400023">
        <w:trPr>
          <w:trHeight w:val="314"/>
        </w:trPr>
        <w:tc>
          <w:tcPr>
            <w:tcW w:w="1865" w:type="dxa"/>
            <w:vMerge/>
          </w:tcPr>
          <w:p w:rsidR="005B5B3A" w:rsidRPr="00F64707" w:rsidRDefault="005B5B3A" w:rsidP="00F64707">
            <w:pPr>
              <w:keepNext/>
              <w:keepLines/>
              <w:tabs>
                <w:tab w:val="left" w:pos="162"/>
              </w:tabs>
              <w:ind w:left="720" w:hanging="720"/>
              <w:rPr>
                <w:sz w:val="22"/>
                <w:szCs w:val="22"/>
              </w:rPr>
            </w:pPr>
          </w:p>
        </w:tc>
        <w:tc>
          <w:tcPr>
            <w:tcW w:w="2241" w:type="dxa"/>
          </w:tcPr>
          <w:p w:rsidR="005B5B3A" w:rsidRPr="00F64707" w:rsidRDefault="005B5B3A" w:rsidP="00F64707">
            <w:pPr>
              <w:keepNext/>
              <w:keepLines/>
              <w:tabs>
                <w:tab w:val="left" w:pos="162"/>
              </w:tabs>
              <w:ind w:left="720" w:hanging="720"/>
              <w:rPr>
                <w:sz w:val="22"/>
                <w:szCs w:val="22"/>
              </w:rPr>
            </w:pPr>
            <w:r w:rsidRPr="00F64707">
              <w:rPr>
                <w:sz w:val="22"/>
                <w:szCs w:val="22"/>
              </w:rPr>
              <w:tab/>
              <w:t>Tamsulo</w:t>
            </w:r>
            <w:r w:rsidR="00D96B28" w:rsidRPr="00F64707">
              <w:rPr>
                <w:sz w:val="22"/>
                <w:szCs w:val="22"/>
              </w:rPr>
              <w:t>zí</w:t>
            </w:r>
            <w:r w:rsidRPr="00F64707">
              <w:rPr>
                <w:sz w:val="22"/>
                <w:szCs w:val="22"/>
              </w:rPr>
              <w:t>n</w:t>
            </w:r>
          </w:p>
        </w:tc>
        <w:tc>
          <w:tcPr>
            <w:tcW w:w="1311"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8</w:t>
            </w:r>
            <w:r w:rsidR="00D96B28" w:rsidRPr="00F64707">
              <w:rPr>
                <w:sz w:val="22"/>
                <w:szCs w:val="22"/>
              </w:rPr>
              <w:t> </w:t>
            </w:r>
            <w:r w:rsidRPr="00F64707">
              <w:rPr>
                <w:sz w:val="22"/>
                <w:szCs w:val="22"/>
              </w:rPr>
              <w:t>%</w:t>
            </w:r>
          </w:p>
        </w:tc>
        <w:tc>
          <w:tcPr>
            <w:tcW w:w="1310"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4</w:t>
            </w:r>
            <w:r w:rsidR="00D96B28" w:rsidRPr="00F64707">
              <w:rPr>
                <w:sz w:val="22"/>
                <w:szCs w:val="22"/>
              </w:rPr>
              <w:t> </w:t>
            </w:r>
            <w:r w:rsidRPr="00F64707">
              <w:rPr>
                <w:sz w:val="22"/>
                <w:szCs w:val="22"/>
              </w:rPr>
              <w:t>%</w:t>
            </w:r>
          </w:p>
        </w:tc>
        <w:tc>
          <w:tcPr>
            <w:tcW w:w="128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w:t>
            </w:r>
            <w:r w:rsidRPr="00F64707">
              <w:rPr>
                <w:sz w:val="22"/>
                <w:szCs w:val="22"/>
              </w:rPr>
              <w:t>2</w:t>
            </w:r>
            <w:r w:rsidR="00D96B28" w:rsidRPr="00F64707">
              <w:rPr>
                <w:sz w:val="22"/>
                <w:szCs w:val="22"/>
              </w:rPr>
              <w:t> </w:t>
            </w:r>
            <w:r w:rsidRPr="00F64707">
              <w:rPr>
                <w:sz w:val="22"/>
                <w:szCs w:val="22"/>
              </w:rPr>
              <w:t>%</w:t>
            </w:r>
          </w:p>
        </w:tc>
        <w:tc>
          <w:tcPr>
            <w:tcW w:w="1202" w:type="dxa"/>
          </w:tcPr>
          <w:p w:rsidR="005B5B3A" w:rsidRPr="00F64707" w:rsidRDefault="005B5B3A" w:rsidP="00F64707">
            <w:pPr>
              <w:keepNext/>
              <w:keepLines/>
              <w:jc w:val="center"/>
              <w:rPr>
                <w:sz w:val="22"/>
                <w:szCs w:val="22"/>
              </w:rPr>
            </w:pPr>
            <w:r w:rsidRPr="00F64707">
              <w:rPr>
                <w:sz w:val="22"/>
                <w:szCs w:val="22"/>
              </w:rPr>
              <w:t>0</w:t>
            </w:r>
            <w:r w:rsidR="00D96B28" w:rsidRPr="00F64707">
              <w:rPr>
                <w:sz w:val="22"/>
                <w:szCs w:val="22"/>
              </w:rPr>
              <w:t> </w:t>
            </w:r>
            <w:r w:rsidRPr="00F64707">
              <w:rPr>
                <w:sz w:val="22"/>
                <w:szCs w:val="22"/>
              </w:rPr>
              <w:t>%</w:t>
            </w:r>
          </w:p>
        </w:tc>
      </w:tr>
    </w:tbl>
    <w:p w:rsidR="00D96B28" w:rsidRPr="00F64707" w:rsidRDefault="005B5B3A" w:rsidP="00F64707">
      <w:pPr>
        <w:keepNext/>
        <w:ind w:left="567" w:hanging="567"/>
        <w:rPr>
          <w:sz w:val="22"/>
          <w:szCs w:val="22"/>
        </w:rPr>
      </w:pPr>
      <w:r w:rsidRPr="00F64707">
        <w:rPr>
          <w:sz w:val="22"/>
          <w:szCs w:val="22"/>
          <w:vertAlign w:val="superscript"/>
        </w:rPr>
        <w:t>a</w:t>
      </w:r>
      <w:r w:rsidRPr="00F64707">
        <w:rPr>
          <w:sz w:val="22"/>
          <w:szCs w:val="22"/>
          <w:vertAlign w:val="superscript"/>
        </w:rPr>
        <w:tab/>
      </w:r>
      <w:r w:rsidR="00D96B28" w:rsidRPr="00F64707">
        <w:rPr>
          <w:sz w:val="22"/>
          <w:szCs w:val="22"/>
        </w:rPr>
        <w:t>Kombinácia</w:t>
      </w:r>
      <w:r w:rsidRPr="00F64707">
        <w:rPr>
          <w:sz w:val="22"/>
          <w:szCs w:val="22"/>
        </w:rPr>
        <w:t xml:space="preserve"> = dutasterid 0</w:t>
      </w:r>
      <w:r w:rsidR="00D96B28" w:rsidRPr="00F64707">
        <w:rPr>
          <w:sz w:val="22"/>
          <w:szCs w:val="22"/>
        </w:rPr>
        <w:t>,</w:t>
      </w:r>
      <w:r w:rsidRPr="00F64707">
        <w:rPr>
          <w:sz w:val="22"/>
          <w:szCs w:val="22"/>
        </w:rPr>
        <w:t xml:space="preserve">5 mg </w:t>
      </w:r>
      <w:r w:rsidR="00D96B28" w:rsidRPr="00F64707">
        <w:rPr>
          <w:sz w:val="22"/>
          <w:szCs w:val="22"/>
        </w:rPr>
        <w:t>jedenkrát denne plus</w:t>
      </w:r>
      <w:r w:rsidRPr="00F64707">
        <w:rPr>
          <w:sz w:val="22"/>
          <w:szCs w:val="22"/>
        </w:rPr>
        <w:t xml:space="preserve"> tamsulo</w:t>
      </w:r>
      <w:r w:rsidR="00D96B28" w:rsidRPr="00F64707">
        <w:rPr>
          <w:sz w:val="22"/>
          <w:szCs w:val="22"/>
        </w:rPr>
        <w:t>zí</w:t>
      </w:r>
      <w:r w:rsidRPr="00F64707">
        <w:rPr>
          <w:sz w:val="22"/>
          <w:szCs w:val="22"/>
        </w:rPr>
        <w:t>n 0</w:t>
      </w:r>
      <w:r w:rsidR="00D96B28" w:rsidRPr="00F64707">
        <w:rPr>
          <w:sz w:val="22"/>
          <w:szCs w:val="22"/>
        </w:rPr>
        <w:t>,</w:t>
      </w:r>
      <w:r w:rsidRPr="00F64707">
        <w:rPr>
          <w:sz w:val="22"/>
          <w:szCs w:val="22"/>
        </w:rPr>
        <w:t xml:space="preserve">4 mg </w:t>
      </w:r>
      <w:r w:rsidR="00D96B28" w:rsidRPr="00F64707">
        <w:rPr>
          <w:sz w:val="22"/>
          <w:szCs w:val="22"/>
        </w:rPr>
        <w:t>jedenkrát denne</w:t>
      </w:r>
      <w:r w:rsidRPr="00F64707">
        <w:rPr>
          <w:sz w:val="22"/>
          <w:szCs w:val="22"/>
        </w:rPr>
        <w:t>.</w:t>
      </w:r>
    </w:p>
    <w:p w:rsidR="0006757D" w:rsidRPr="00F64707" w:rsidRDefault="005B5B3A" w:rsidP="00F64707">
      <w:pPr>
        <w:keepNext/>
        <w:ind w:left="567" w:hanging="567"/>
        <w:rPr>
          <w:sz w:val="22"/>
          <w:szCs w:val="22"/>
        </w:rPr>
      </w:pPr>
      <w:r w:rsidRPr="00F64707">
        <w:rPr>
          <w:sz w:val="22"/>
          <w:szCs w:val="22"/>
          <w:vertAlign w:val="superscript"/>
        </w:rPr>
        <w:t>b</w:t>
      </w:r>
      <w:r w:rsidRPr="00F64707">
        <w:rPr>
          <w:sz w:val="22"/>
          <w:szCs w:val="22"/>
          <w:vertAlign w:val="superscript"/>
        </w:rPr>
        <w:tab/>
      </w:r>
      <w:r w:rsidR="0006757D" w:rsidRPr="00F64707">
        <w:rPr>
          <w:sz w:val="22"/>
          <w:szCs w:val="22"/>
        </w:rPr>
        <w:t>Srdcové zlyhanie ako kom</w:t>
      </w:r>
      <w:r w:rsidR="006933DA" w:rsidRPr="00F64707">
        <w:rPr>
          <w:sz w:val="22"/>
          <w:szCs w:val="22"/>
        </w:rPr>
        <w:t xml:space="preserve">pozitný </w:t>
      </w:r>
      <w:r w:rsidR="0006757D" w:rsidRPr="00F64707">
        <w:rPr>
          <w:sz w:val="22"/>
          <w:szCs w:val="22"/>
        </w:rPr>
        <w:t>termín zahŕ</w:t>
      </w:r>
      <w:r w:rsidR="006933DA" w:rsidRPr="00F64707">
        <w:rPr>
          <w:sz w:val="22"/>
          <w:szCs w:val="22"/>
        </w:rPr>
        <w:t>ňajúci</w:t>
      </w:r>
      <w:r w:rsidR="0006757D" w:rsidRPr="00F64707">
        <w:rPr>
          <w:sz w:val="22"/>
          <w:szCs w:val="22"/>
        </w:rPr>
        <w:t xml:space="preserve"> kongestívne </w:t>
      </w:r>
      <w:r w:rsidR="006933DA" w:rsidRPr="00F64707">
        <w:rPr>
          <w:sz w:val="22"/>
          <w:szCs w:val="22"/>
        </w:rPr>
        <w:t>srdcové zlyhanie</w:t>
      </w:r>
      <w:r w:rsidR="0006757D" w:rsidRPr="00F64707">
        <w:rPr>
          <w:sz w:val="22"/>
          <w:szCs w:val="22"/>
        </w:rPr>
        <w:t>, srdcové zlyhanie, zlyhanie ľavej srdcovej komory, akútne srdcové zlyhanie, kardiogénny šok, akútne zlyhanie ľavej srdcovej komory, zlyhanie pravej srdcovej komory, akútne zlyhanie pravej srdcovej komory, zlyhanie oboch srdcových komôr, kardiopulmonálne zlyhanie, kongestívnu kardiomyopatiu</w:t>
      </w:r>
      <w:r w:rsidR="00231DDC" w:rsidRPr="00F64707">
        <w:rPr>
          <w:sz w:val="22"/>
          <w:szCs w:val="22"/>
        </w:rPr>
        <w:t>.</w:t>
      </w:r>
    </w:p>
    <w:p w:rsidR="00077ED1" w:rsidRPr="00F64707" w:rsidRDefault="00077ED1" w:rsidP="00F64707">
      <w:pPr>
        <w:keepNext/>
        <w:ind w:left="567" w:hanging="567"/>
        <w:rPr>
          <w:iCs/>
          <w:sz w:val="22"/>
          <w:szCs w:val="22"/>
        </w:rPr>
      </w:pPr>
      <w:r w:rsidRPr="00F64707">
        <w:rPr>
          <w:sz w:val="22"/>
          <w:szCs w:val="22"/>
          <w:vertAlign w:val="superscript"/>
        </w:rPr>
        <w:t>c</w:t>
      </w:r>
      <w:r w:rsidRPr="00F64707">
        <w:rPr>
          <w:iCs/>
          <w:sz w:val="22"/>
          <w:szCs w:val="22"/>
        </w:rPr>
        <w:tab/>
        <w:t xml:space="preserve">Tieto sexuálne nežiaduce udalosti súvisia s liečbou dutasteridom (vrátane monoterapie a kombinácie s tamsulozínom). Tieto nežiaduce udalosti môžu pretrvávať po </w:t>
      </w:r>
      <w:r w:rsidR="006933DA" w:rsidRPr="00F64707">
        <w:rPr>
          <w:iCs/>
          <w:sz w:val="22"/>
          <w:szCs w:val="22"/>
        </w:rPr>
        <w:t>prerušení</w:t>
      </w:r>
      <w:r w:rsidRPr="00F64707">
        <w:rPr>
          <w:iCs/>
          <w:sz w:val="22"/>
          <w:szCs w:val="22"/>
        </w:rPr>
        <w:t xml:space="preserve"> liečby. Úloha dutasteridu pri ich pretrvávaní nie je známa.</w:t>
      </w:r>
    </w:p>
    <w:p w:rsidR="005B5B3A" w:rsidRPr="00F64707" w:rsidRDefault="00077ED1" w:rsidP="00F64707">
      <w:pPr>
        <w:keepNext/>
        <w:ind w:left="567" w:hanging="567"/>
        <w:rPr>
          <w:sz w:val="22"/>
          <w:szCs w:val="22"/>
        </w:rPr>
      </w:pPr>
      <w:r w:rsidRPr="00F64707">
        <w:rPr>
          <w:sz w:val="22"/>
          <w:szCs w:val="22"/>
          <w:vertAlign w:val="superscript"/>
        </w:rPr>
        <w:t>d</w:t>
      </w:r>
      <w:r w:rsidR="0006757D" w:rsidRPr="00F64707">
        <w:rPr>
          <w:sz w:val="22"/>
          <w:szCs w:val="22"/>
        </w:rPr>
        <w:tab/>
      </w:r>
      <w:r w:rsidR="00D96B28" w:rsidRPr="00F64707">
        <w:rPr>
          <w:sz w:val="22"/>
          <w:szCs w:val="22"/>
        </w:rPr>
        <w:t>Zahŕňa</w:t>
      </w:r>
      <w:r w:rsidRPr="00F64707">
        <w:rPr>
          <w:sz w:val="22"/>
          <w:szCs w:val="22"/>
        </w:rPr>
        <w:t>jú</w:t>
      </w:r>
      <w:r w:rsidR="00D96B28" w:rsidRPr="00F64707">
        <w:rPr>
          <w:sz w:val="22"/>
          <w:szCs w:val="22"/>
        </w:rPr>
        <w:t xml:space="preserve"> citl</w:t>
      </w:r>
      <w:r w:rsidR="00C56E69" w:rsidRPr="00F64707">
        <w:rPr>
          <w:sz w:val="22"/>
          <w:szCs w:val="22"/>
        </w:rPr>
        <w:t>i</w:t>
      </w:r>
      <w:r w:rsidR="00D96B28" w:rsidRPr="00F64707">
        <w:rPr>
          <w:sz w:val="22"/>
          <w:szCs w:val="22"/>
        </w:rPr>
        <w:t>vosť prsníkov a zväčšenie prsníkov</w:t>
      </w:r>
      <w:r w:rsidR="005B5B3A" w:rsidRPr="00F64707">
        <w:rPr>
          <w:sz w:val="22"/>
          <w:szCs w:val="22"/>
        </w:rPr>
        <w:t>.</w:t>
      </w:r>
    </w:p>
    <w:p w:rsidR="00D96B28" w:rsidRPr="00F64707" w:rsidRDefault="00D96B28" w:rsidP="00F64707">
      <w:pPr>
        <w:rPr>
          <w:color w:val="000000"/>
          <w:sz w:val="22"/>
          <w:szCs w:val="22"/>
        </w:rPr>
      </w:pPr>
    </w:p>
    <w:p w:rsidR="00C56E69" w:rsidRPr="00F64707" w:rsidRDefault="00C56E69" w:rsidP="00F64707">
      <w:pPr>
        <w:keepNext/>
        <w:keepLines/>
        <w:rPr>
          <w:bCs/>
          <w:iCs/>
          <w:sz w:val="22"/>
          <w:szCs w:val="22"/>
        </w:rPr>
      </w:pPr>
      <w:r w:rsidRPr="00F64707">
        <w:rPr>
          <w:bCs/>
          <w:iCs/>
          <w:sz w:val="22"/>
          <w:szCs w:val="22"/>
        </w:rPr>
        <w:t>ĎALŠIE ÚDAJE</w:t>
      </w:r>
    </w:p>
    <w:p w:rsidR="00F3082A" w:rsidRPr="00F64707" w:rsidRDefault="00F3082A" w:rsidP="00F64707">
      <w:pPr>
        <w:keepNext/>
        <w:keepLines/>
        <w:rPr>
          <w:bCs/>
          <w:iCs/>
          <w:sz w:val="22"/>
          <w:szCs w:val="22"/>
        </w:rPr>
      </w:pPr>
    </w:p>
    <w:p w:rsidR="00C56E69" w:rsidRPr="00F64707" w:rsidRDefault="00C56E69" w:rsidP="00F64707">
      <w:pPr>
        <w:keepNext/>
        <w:keepLines/>
        <w:rPr>
          <w:color w:val="000000"/>
          <w:sz w:val="22"/>
          <w:szCs w:val="22"/>
        </w:rPr>
      </w:pPr>
      <w:r w:rsidRPr="00F64707">
        <w:rPr>
          <w:sz w:val="22"/>
          <w:szCs w:val="22"/>
        </w:rPr>
        <w:t>Štúdia REDUCE odhalila vyššiu incidenciu karcinómov prostaty s</w:t>
      </w:r>
      <w:r w:rsidR="00C42310" w:rsidRPr="00F64707">
        <w:rPr>
          <w:sz w:val="22"/>
          <w:szCs w:val="22"/>
        </w:rPr>
        <w:t> </w:t>
      </w:r>
      <w:r w:rsidRPr="00F64707">
        <w:rPr>
          <w:sz w:val="22"/>
          <w:szCs w:val="22"/>
        </w:rPr>
        <w:t>Gleasonovým skóre 8 </w:t>
      </w:r>
      <w:r w:rsidRPr="00F64707">
        <w:rPr>
          <w:sz w:val="22"/>
          <w:szCs w:val="22"/>
        </w:rPr>
        <w:noBreakHyphen/>
        <w:t xml:space="preserve"> 10 </w:t>
      </w:r>
      <w:r w:rsidR="00C42310" w:rsidRPr="00F64707">
        <w:rPr>
          <w:sz w:val="22"/>
          <w:szCs w:val="22"/>
        </w:rPr>
        <w:t xml:space="preserve">u mužov liečených dutasteridom v porovnaní s mužmi, ktorí dostávali placebo </w:t>
      </w:r>
      <w:r w:rsidRPr="00F64707">
        <w:rPr>
          <w:sz w:val="22"/>
          <w:szCs w:val="22"/>
        </w:rPr>
        <w:t>(pozri čas</w:t>
      </w:r>
      <w:r w:rsidR="00955098" w:rsidRPr="00F64707">
        <w:rPr>
          <w:sz w:val="22"/>
          <w:szCs w:val="22"/>
        </w:rPr>
        <w:t>ti</w:t>
      </w:r>
      <w:r w:rsidR="00C42310" w:rsidRPr="00F64707">
        <w:rPr>
          <w:sz w:val="22"/>
          <w:szCs w:val="22"/>
        </w:rPr>
        <w:t xml:space="preserve"> </w:t>
      </w:r>
      <w:r w:rsidRPr="00F64707">
        <w:rPr>
          <w:sz w:val="22"/>
          <w:szCs w:val="22"/>
        </w:rPr>
        <w:t>4.4</w:t>
      </w:r>
      <w:r w:rsidR="00955098" w:rsidRPr="00F64707">
        <w:rPr>
          <w:sz w:val="22"/>
          <w:szCs w:val="22"/>
        </w:rPr>
        <w:t> </w:t>
      </w:r>
      <w:r w:rsidRPr="00F64707">
        <w:rPr>
          <w:sz w:val="22"/>
          <w:szCs w:val="22"/>
        </w:rPr>
        <w:t>a</w:t>
      </w:r>
      <w:r w:rsidR="00955098" w:rsidRPr="00F64707">
        <w:rPr>
          <w:sz w:val="22"/>
          <w:szCs w:val="22"/>
        </w:rPr>
        <w:t> </w:t>
      </w:r>
      <w:r w:rsidRPr="00F64707">
        <w:rPr>
          <w:sz w:val="22"/>
          <w:szCs w:val="22"/>
        </w:rPr>
        <w:t>5.1</w:t>
      </w:r>
      <w:r w:rsidR="00F3082A" w:rsidRPr="00F64707">
        <w:rPr>
          <w:sz w:val="22"/>
          <w:szCs w:val="22"/>
        </w:rPr>
        <w:t>). Nestanovilo sa, či účinok du</w:t>
      </w:r>
      <w:r w:rsidRPr="00F64707">
        <w:rPr>
          <w:sz w:val="22"/>
          <w:szCs w:val="22"/>
        </w:rPr>
        <w:t>ta</w:t>
      </w:r>
      <w:r w:rsidR="00F3082A" w:rsidRPr="00F64707">
        <w:rPr>
          <w:sz w:val="22"/>
          <w:szCs w:val="22"/>
        </w:rPr>
        <w:t>s</w:t>
      </w:r>
      <w:r w:rsidRPr="00F64707">
        <w:rPr>
          <w:sz w:val="22"/>
          <w:szCs w:val="22"/>
        </w:rPr>
        <w:t>teridu na zníženie objemu prostaty, alebo faktory súvisiace so štúdiou, ovplyvnili výsledky tejto štúdie.</w:t>
      </w:r>
    </w:p>
    <w:p w:rsidR="00C56E69" w:rsidRPr="00F64707" w:rsidRDefault="00C56E69" w:rsidP="00F64707">
      <w:pPr>
        <w:rPr>
          <w:color w:val="000000"/>
          <w:sz w:val="22"/>
          <w:szCs w:val="22"/>
        </w:rPr>
      </w:pPr>
    </w:p>
    <w:p w:rsidR="008B37E8" w:rsidRPr="00F64707" w:rsidRDefault="00C42310" w:rsidP="00F64707">
      <w:pPr>
        <w:rPr>
          <w:color w:val="000000"/>
          <w:sz w:val="22"/>
          <w:szCs w:val="22"/>
        </w:rPr>
      </w:pPr>
      <w:r w:rsidRPr="00F64707">
        <w:rPr>
          <w:color w:val="000000"/>
          <w:sz w:val="22"/>
          <w:szCs w:val="22"/>
        </w:rPr>
        <w:lastRenderedPageBreak/>
        <w:t>V</w:t>
      </w:r>
      <w:r w:rsidR="008B37E8" w:rsidRPr="00F64707">
        <w:rPr>
          <w:color w:val="000000"/>
          <w:sz w:val="22"/>
          <w:szCs w:val="22"/>
        </w:rPr>
        <w:t xml:space="preserve"> klinických </w:t>
      </w:r>
      <w:r w:rsidRPr="00F64707">
        <w:rPr>
          <w:color w:val="000000"/>
          <w:sz w:val="22"/>
          <w:szCs w:val="22"/>
        </w:rPr>
        <w:t xml:space="preserve">skúšaniach </w:t>
      </w:r>
      <w:r w:rsidR="008B37E8" w:rsidRPr="00F64707">
        <w:rPr>
          <w:color w:val="000000"/>
          <w:sz w:val="22"/>
          <w:szCs w:val="22"/>
        </w:rPr>
        <w:t xml:space="preserve">a po uvedení lieku na trh bol hlásený nasledujúci nežiaduci účinok: </w:t>
      </w:r>
      <w:r w:rsidR="006933DA" w:rsidRPr="00F64707">
        <w:rPr>
          <w:color w:val="000000"/>
          <w:sz w:val="22"/>
          <w:szCs w:val="22"/>
        </w:rPr>
        <w:t>karcinóm</w:t>
      </w:r>
      <w:r w:rsidR="008B37E8" w:rsidRPr="00F64707">
        <w:rPr>
          <w:color w:val="000000"/>
          <w:sz w:val="22"/>
          <w:szCs w:val="22"/>
        </w:rPr>
        <w:t xml:space="preserve"> prsníka u</w:t>
      </w:r>
      <w:r w:rsidRPr="00F64707">
        <w:rPr>
          <w:color w:val="000000"/>
          <w:sz w:val="22"/>
          <w:szCs w:val="22"/>
        </w:rPr>
        <w:t> </w:t>
      </w:r>
      <w:r w:rsidR="008B37E8" w:rsidRPr="00F64707">
        <w:rPr>
          <w:color w:val="000000"/>
          <w:sz w:val="22"/>
          <w:szCs w:val="22"/>
        </w:rPr>
        <w:t>mužov (pozri časť</w:t>
      </w:r>
      <w:r w:rsidRPr="00F64707">
        <w:rPr>
          <w:color w:val="000000"/>
          <w:sz w:val="22"/>
          <w:szCs w:val="22"/>
        </w:rPr>
        <w:t xml:space="preserve"> </w:t>
      </w:r>
      <w:r w:rsidR="008B37E8" w:rsidRPr="00F64707">
        <w:rPr>
          <w:color w:val="000000"/>
          <w:sz w:val="22"/>
          <w:szCs w:val="22"/>
        </w:rPr>
        <w:t>4.4).</w:t>
      </w:r>
    </w:p>
    <w:p w:rsidR="008B37E8" w:rsidRPr="00F64707" w:rsidRDefault="008B37E8" w:rsidP="00F64707">
      <w:pPr>
        <w:rPr>
          <w:color w:val="000000"/>
          <w:sz w:val="22"/>
          <w:szCs w:val="22"/>
        </w:rPr>
      </w:pPr>
    </w:p>
    <w:p w:rsidR="00482F33" w:rsidRPr="00F64707" w:rsidRDefault="00482F33" w:rsidP="00F64707">
      <w:pPr>
        <w:keepNext/>
        <w:autoSpaceDE w:val="0"/>
        <w:autoSpaceDN w:val="0"/>
        <w:adjustRightInd w:val="0"/>
        <w:rPr>
          <w:sz w:val="22"/>
          <w:szCs w:val="22"/>
          <w:u w:val="single"/>
        </w:rPr>
      </w:pPr>
      <w:r w:rsidRPr="00F64707">
        <w:rPr>
          <w:sz w:val="22"/>
          <w:szCs w:val="22"/>
          <w:u w:val="single"/>
        </w:rPr>
        <w:t>Hlásenie podozrení na nežiaduce reakcie</w:t>
      </w:r>
    </w:p>
    <w:p w:rsidR="00482F33" w:rsidRPr="00F64707" w:rsidRDefault="00482F33" w:rsidP="00F64707">
      <w:pPr>
        <w:autoSpaceDE w:val="0"/>
        <w:autoSpaceDN w:val="0"/>
        <w:adjustRightInd w:val="0"/>
        <w:rPr>
          <w:color w:val="000000"/>
          <w:sz w:val="22"/>
          <w:szCs w:val="22"/>
        </w:rPr>
      </w:pPr>
      <w:r w:rsidRPr="00F64707">
        <w:rPr>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prostredníctvom </w:t>
      </w:r>
      <w:r w:rsidRPr="00F64707">
        <w:rPr>
          <w:sz w:val="22"/>
          <w:szCs w:val="22"/>
          <w:highlight w:val="lightGray"/>
        </w:rPr>
        <w:t>národného systému hlásenia uvedeného v </w:t>
      </w:r>
      <w:hyperlink r:id="rId8" w:history="1">
        <w:r w:rsidRPr="00F64707">
          <w:rPr>
            <w:rStyle w:val="Hypertextovprepojenie"/>
            <w:sz w:val="22"/>
            <w:szCs w:val="22"/>
            <w:highlight w:val="lightGray"/>
          </w:rPr>
          <w:t>Prílohe V</w:t>
        </w:r>
      </w:hyperlink>
      <w:r w:rsidRPr="00F64707">
        <w:rPr>
          <w:sz w:val="22"/>
          <w:szCs w:val="22"/>
        </w:rPr>
        <w:t>.</w:t>
      </w:r>
    </w:p>
    <w:p w:rsidR="00482F33" w:rsidRPr="00F64707" w:rsidRDefault="00482F33" w:rsidP="00F64707">
      <w:pPr>
        <w:rPr>
          <w:color w:val="000000"/>
          <w:sz w:val="22"/>
          <w:szCs w:val="22"/>
        </w:rPr>
      </w:pPr>
    </w:p>
    <w:p w:rsidR="00F1304A" w:rsidRPr="00F64707" w:rsidRDefault="00F1304A" w:rsidP="00F64707">
      <w:pPr>
        <w:keepNext/>
        <w:keepLines/>
        <w:ind w:left="567" w:hanging="567"/>
        <w:rPr>
          <w:sz w:val="22"/>
          <w:szCs w:val="22"/>
        </w:rPr>
      </w:pPr>
      <w:r w:rsidRPr="00F64707">
        <w:rPr>
          <w:b/>
          <w:sz w:val="22"/>
          <w:szCs w:val="22"/>
        </w:rPr>
        <w:t>4.9</w:t>
      </w:r>
      <w:r w:rsidRPr="00F64707">
        <w:rPr>
          <w:b/>
          <w:sz w:val="22"/>
          <w:szCs w:val="22"/>
        </w:rPr>
        <w:tab/>
        <w:t>Predávkovanie</w:t>
      </w:r>
    </w:p>
    <w:p w:rsidR="00F1304A" w:rsidRPr="00F64707" w:rsidRDefault="00F1304A" w:rsidP="00F64707">
      <w:pPr>
        <w:keepNext/>
        <w:keepLines/>
        <w:rPr>
          <w:sz w:val="22"/>
          <w:szCs w:val="22"/>
        </w:rPr>
      </w:pPr>
    </w:p>
    <w:p w:rsidR="00F1304A" w:rsidRPr="00F64707" w:rsidRDefault="00F1304A" w:rsidP="00F64707">
      <w:pPr>
        <w:keepNext/>
        <w:keepLines/>
        <w:rPr>
          <w:sz w:val="22"/>
          <w:szCs w:val="22"/>
        </w:rPr>
      </w:pPr>
      <w:r w:rsidRPr="00F64707">
        <w:rPr>
          <w:sz w:val="22"/>
          <w:szCs w:val="22"/>
        </w:rPr>
        <w:t xml:space="preserve">V štúdiách </w:t>
      </w:r>
      <w:r w:rsidR="00C42310" w:rsidRPr="00F64707">
        <w:rPr>
          <w:sz w:val="22"/>
          <w:szCs w:val="22"/>
        </w:rPr>
        <w:t xml:space="preserve">s dutasteridom </w:t>
      </w:r>
      <w:r w:rsidRPr="00F64707">
        <w:rPr>
          <w:sz w:val="22"/>
          <w:szCs w:val="22"/>
        </w:rPr>
        <w:t>boli dobrovoľníkom podávané jednorazové denné dávky dutasteridu až</w:t>
      </w:r>
      <w:r w:rsidR="004612A5" w:rsidRPr="00F64707">
        <w:rPr>
          <w:sz w:val="22"/>
          <w:szCs w:val="22"/>
        </w:rPr>
        <w:t xml:space="preserve"> </w:t>
      </w:r>
      <w:r w:rsidRPr="00F64707">
        <w:rPr>
          <w:sz w:val="22"/>
          <w:szCs w:val="22"/>
        </w:rPr>
        <w:t>do</w:t>
      </w:r>
      <w:r w:rsidR="006933DA" w:rsidRPr="00F64707">
        <w:rPr>
          <w:sz w:val="22"/>
          <w:szCs w:val="22"/>
        </w:rPr>
        <w:t xml:space="preserve"> </w:t>
      </w:r>
      <w:r w:rsidRPr="00F64707">
        <w:rPr>
          <w:sz w:val="22"/>
          <w:szCs w:val="22"/>
        </w:rPr>
        <w:t>40</w:t>
      </w:r>
      <w:r w:rsidR="00482F33" w:rsidRPr="00F64707">
        <w:rPr>
          <w:sz w:val="22"/>
          <w:szCs w:val="22"/>
        </w:rPr>
        <w:t> </w:t>
      </w:r>
      <w:r w:rsidRPr="00F64707">
        <w:rPr>
          <w:sz w:val="22"/>
          <w:szCs w:val="22"/>
        </w:rPr>
        <w:t>mg/deň (80</w:t>
      </w:r>
      <w:r w:rsidR="004612A5" w:rsidRPr="00F64707">
        <w:rPr>
          <w:sz w:val="22"/>
          <w:szCs w:val="22"/>
        </w:rPr>
        <w:t>-</w:t>
      </w:r>
      <w:r w:rsidRPr="00F64707">
        <w:rPr>
          <w:sz w:val="22"/>
          <w:szCs w:val="22"/>
        </w:rPr>
        <w:t>násobok terapeutickej dávky) po</w:t>
      </w:r>
      <w:r w:rsidR="00482F33" w:rsidRPr="00F64707">
        <w:rPr>
          <w:sz w:val="22"/>
          <w:szCs w:val="22"/>
        </w:rPr>
        <w:t>čas</w:t>
      </w:r>
      <w:r w:rsidRPr="00F64707">
        <w:rPr>
          <w:sz w:val="22"/>
          <w:szCs w:val="22"/>
        </w:rPr>
        <w:t xml:space="preserve"> 7</w:t>
      </w:r>
      <w:r w:rsidR="00482F33" w:rsidRPr="00F64707">
        <w:rPr>
          <w:sz w:val="22"/>
          <w:szCs w:val="22"/>
        </w:rPr>
        <w:t> </w:t>
      </w:r>
      <w:r w:rsidRPr="00F64707">
        <w:rPr>
          <w:sz w:val="22"/>
          <w:szCs w:val="22"/>
        </w:rPr>
        <w:t xml:space="preserve">dní bez signifikantných </w:t>
      </w:r>
      <w:r w:rsidR="00C04529" w:rsidRPr="00F64707">
        <w:rPr>
          <w:sz w:val="22"/>
          <w:szCs w:val="22"/>
        </w:rPr>
        <w:t>obáv týkajúcich sa</w:t>
      </w:r>
      <w:r w:rsidRPr="00F64707">
        <w:rPr>
          <w:sz w:val="22"/>
          <w:szCs w:val="22"/>
        </w:rPr>
        <w:t xml:space="preserve"> bezpečnosti. V klinický</w:t>
      </w:r>
      <w:r w:rsidR="004612A5" w:rsidRPr="00F64707">
        <w:rPr>
          <w:sz w:val="22"/>
          <w:szCs w:val="22"/>
        </w:rPr>
        <w:t>ch štúdiách, v </w:t>
      </w:r>
      <w:r w:rsidRPr="00F64707">
        <w:rPr>
          <w:sz w:val="22"/>
          <w:szCs w:val="22"/>
        </w:rPr>
        <w:t xml:space="preserve">ktorých boli osobám </w:t>
      </w:r>
      <w:r w:rsidR="004612A5" w:rsidRPr="00F64707">
        <w:rPr>
          <w:sz w:val="22"/>
          <w:szCs w:val="22"/>
        </w:rPr>
        <w:t xml:space="preserve">denne </w:t>
      </w:r>
      <w:r w:rsidRPr="00F64707">
        <w:rPr>
          <w:sz w:val="22"/>
          <w:szCs w:val="22"/>
        </w:rPr>
        <w:t>podávané 5</w:t>
      </w:r>
      <w:r w:rsidR="00482F33" w:rsidRPr="00F64707">
        <w:rPr>
          <w:sz w:val="22"/>
          <w:szCs w:val="22"/>
        </w:rPr>
        <w:t> </w:t>
      </w:r>
      <w:r w:rsidRPr="00F64707">
        <w:rPr>
          <w:sz w:val="22"/>
          <w:szCs w:val="22"/>
        </w:rPr>
        <w:t>mg dávky po</w:t>
      </w:r>
      <w:r w:rsidR="00482F33" w:rsidRPr="00F64707">
        <w:rPr>
          <w:sz w:val="22"/>
          <w:szCs w:val="22"/>
        </w:rPr>
        <w:t>čas</w:t>
      </w:r>
      <w:r w:rsidRPr="00F64707">
        <w:rPr>
          <w:sz w:val="22"/>
          <w:szCs w:val="22"/>
        </w:rPr>
        <w:t xml:space="preserve"> 6</w:t>
      </w:r>
      <w:r w:rsidR="00482F33" w:rsidRPr="00F64707">
        <w:rPr>
          <w:sz w:val="22"/>
          <w:szCs w:val="22"/>
        </w:rPr>
        <w:t> </w:t>
      </w:r>
      <w:r w:rsidRPr="00F64707">
        <w:rPr>
          <w:sz w:val="22"/>
          <w:szCs w:val="22"/>
        </w:rPr>
        <w:t xml:space="preserve">mesiacov, neboli zaznamenané </w:t>
      </w:r>
      <w:r w:rsidR="004612A5" w:rsidRPr="00F64707">
        <w:rPr>
          <w:sz w:val="22"/>
          <w:szCs w:val="22"/>
        </w:rPr>
        <w:t xml:space="preserve">žiadne </w:t>
      </w:r>
      <w:r w:rsidRPr="00F64707">
        <w:rPr>
          <w:sz w:val="22"/>
          <w:szCs w:val="22"/>
        </w:rPr>
        <w:t>ďalšie nežiaduce účinky okrem tých, ktoré boli pozorované pri</w:t>
      </w:r>
      <w:r w:rsidR="004612A5" w:rsidRPr="00F64707">
        <w:rPr>
          <w:sz w:val="22"/>
          <w:szCs w:val="22"/>
        </w:rPr>
        <w:t xml:space="preserve"> </w:t>
      </w:r>
      <w:r w:rsidRPr="00F64707">
        <w:rPr>
          <w:sz w:val="22"/>
          <w:szCs w:val="22"/>
        </w:rPr>
        <w:t>terapeutických dávkach 0,5</w:t>
      </w:r>
      <w:r w:rsidR="00482F33" w:rsidRPr="00F64707">
        <w:rPr>
          <w:sz w:val="22"/>
          <w:szCs w:val="22"/>
        </w:rPr>
        <w:t> </w:t>
      </w:r>
      <w:r w:rsidRPr="00F64707">
        <w:rPr>
          <w:sz w:val="22"/>
          <w:szCs w:val="22"/>
        </w:rPr>
        <w:t xml:space="preserve">mg. Neexistuje žiadne špecifické antidotum pre </w:t>
      </w:r>
      <w:r w:rsidR="004612A5" w:rsidRPr="00F64707">
        <w:rPr>
          <w:sz w:val="22"/>
          <w:szCs w:val="22"/>
        </w:rPr>
        <w:t>dutasterid</w:t>
      </w:r>
      <w:r w:rsidR="00C04529" w:rsidRPr="00F64707">
        <w:rPr>
          <w:sz w:val="22"/>
          <w:szCs w:val="22"/>
        </w:rPr>
        <w:t xml:space="preserve"> a </w:t>
      </w:r>
      <w:r w:rsidRPr="00F64707">
        <w:rPr>
          <w:sz w:val="22"/>
          <w:szCs w:val="22"/>
        </w:rPr>
        <w:t xml:space="preserve">preto sa </w:t>
      </w:r>
      <w:r w:rsidR="00C04529" w:rsidRPr="00F64707">
        <w:rPr>
          <w:sz w:val="22"/>
          <w:szCs w:val="22"/>
        </w:rPr>
        <w:t xml:space="preserve">má </w:t>
      </w:r>
      <w:r w:rsidRPr="00F64707">
        <w:rPr>
          <w:sz w:val="22"/>
          <w:szCs w:val="22"/>
        </w:rPr>
        <w:t>pri</w:t>
      </w:r>
      <w:r w:rsidR="00C04529" w:rsidRPr="00F64707">
        <w:rPr>
          <w:sz w:val="22"/>
          <w:szCs w:val="22"/>
        </w:rPr>
        <w:t xml:space="preserve"> </w:t>
      </w:r>
      <w:r w:rsidRPr="00F64707">
        <w:rPr>
          <w:sz w:val="22"/>
          <w:szCs w:val="22"/>
        </w:rPr>
        <w:t>podozrení na predávkovanie podľa po</w:t>
      </w:r>
      <w:r w:rsidR="00C04529" w:rsidRPr="00F64707">
        <w:rPr>
          <w:sz w:val="22"/>
          <w:szCs w:val="22"/>
        </w:rPr>
        <w:t>treby poskytnúť symptomatická a </w:t>
      </w:r>
      <w:r w:rsidRPr="00F64707">
        <w:rPr>
          <w:sz w:val="22"/>
          <w:szCs w:val="22"/>
        </w:rPr>
        <w:t>podporná liečba.</w:t>
      </w:r>
    </w:p>
    <w:p w:rsidR="00F1304A" w:rsidRPr="00F64707" w:rsidRDefault="00F1304A" w:rsidP="00F64707">
      <w:pPr>
        <w:rPr>
          <w:sz w:val="22"/>
          <w:szCs w:val="22"/>
        </w:rPr>
      </w:pPr>
    </w:p>
    <w:p w:rsidR="00F1304A" w:rsidRPr="00F64707" w:rsidRDefault="00F1304A" w:rsidP="00F64707">
      <w:pPr>
        <w:rPr>
          <w:sz w:val="22"/>
          <w:szCs w:val="22"/>
        </w:rPr>
      </w:pPr>
    </w:p>
    <w:p w:rsidR="00F1304A" w:rsidRPr="00F64707" w:rsidRDefault="00F1304A" w:rsidP="00F64707">
      <w:pPr>
        <w:keepNext/>
        <w:ind w:left="567" w:hanging="567"/>
        <w:rPr>
          <w:b/>
          <w:sz w:val="22"/>
          <w:szCs w:val="22"/>
        </w:rPr>
      </w:pPr>
      <w:r w:rsidRPr="00F64707">
        <w:rPr>
          <w:b/>
          <w:sz w:val="22"/>
          <w:szCs w:val="22"/>
        </w:rPr>
        <w:t>5.</w:t>
      </w:r>
      <w:r w:rsidRPr="00F64707">
        <w:rPr>
          <w:b/>
          <w:sz w:val="22"/>
          <w:szCs w:val="22"/>
        </w:rPr>
        <w:tab/>
        <w:t>FARMAKOLOGICKÉ VLASTNOSTI</w:t>
      </w:r>
    </w:p>
    <w:p w:rsidR="00F1304A" w:rsidRPr="00F64707" w:rsidRDefault="00F1304A" w:rsidP="00F64707">
      <w:pPr>
        <w:keepNext/>
        <w:ind w:left="567" w:hanging="567"/>
        <w:rPr>
          <w:b/>
          <w:sz w:val="22"/>
          <w:szCs w:val="22"/>
        </w:rPr>
      </w:pPr>
    </w:p>
    <w:p w:rsidR="00F1304A" w:rsidRPr="00F64707" w:rsidRDefault="00F1304A" w:rsidP="00F64707">
      <w:pPr>
        <w:keepNext/>
        <w:ind w:left="567" w:hanging="567"/>
        <w:rPr>
          <w:sz w:val="22"/>
          <w:szCs w:val="22"/>
        </w:rPr>
      </w:pPr>
      <w:r w:rsidRPr="00F64707">
        <w:rPr>
          <w:b/>
          <w:sz w:val="22"/>
          <w:szCs w:val="22"/>
        </w:rPr>
        <w:t>5.1.</w:t>
      </w:r>
      <w:r w:rsidRPr="00F64707">
        <w:rPr>
          <w:b/>
          <w:sz w:val="22"/>
          <w:szCs w:val="22"/>
        </w:rPr>
        <w:tab/>
        <w:t>Farmakodynamické vlastnosti</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 xml:space="preserve">Farmakoterapeutická skupina: </w:t>
      </w:r>
      <w:r w:rsidR="00BE6F89" w:rsidRPr="00F64707">
        <w:rPr>
          <w:sz w:val="22"/>
          <w:szCs w:val="22"/>
        </w:rPr>
        <w:t xml:space="preserve">urologiká, </w:t>
      </w:r>
      <w:r w:rsidRPr="00F64707">
        <w:rPr>
          <w:sz w:val="22"/>
          <w:szCs w:val="22"/>
        </w:rPr>
        <w:t>inhibítory testosterón</w:t>
      </w:r>
      <w:r w:rsidR="004612A5" w:rsidRPr="00F64707">
        <w:rPr>
          <w:sz w:val="22"/>
          <w:szCs w:val="22"/>
        </w:rPr>
        <w:t>-</w:t>
      </w:r>
      <w:r w:rsidR="006D712F" w:rsidRPr="00F64707">
        <w:rPr>
          <w:sz w:val="22"/>
          <w:szCs w:val="22"/>
        </w:rPr>
        <w:t>5-alfa-reduktázy</w:t>
      </w:r>
      <w:r w:rsidR="00BE6F89" w:rsidRPr="00F64707">
        <w:rPr>
          <w:sz w:val="22"/>
          <w:szCs w:val="22"/>
        </w:rPr>
        <w:t>, ATC kód: G04C</w:t>
      </w:r>
      <w:r w:rsidRPr="00F64707">
        <w:rPr>
          <w:sz w:val="22"/>
          <w:szCs w:val="22"/>
        </w:rPr>
        <w:t>B02.</w:t>
      </w:r>
    </w:p>
    <w:p w:rsidR="00F1304A" w:rsidRPr="00F64707" w:rsidRDefault="00F1304A" w:rsidP="00F64707">
      <w:pPr>
        <w:rPr>
          <w:sz w:val="22"/>
          <w:szCs w:val="22"/>
        </w:rPr>
      </w:pPr>
    </w:p>
    <w:p w:rsidR="00F1304A" w:rsidRPr="00F64707" w:rsidRDefault="00F1304A" w:rsidP="00F64707">
      <w:pPr>
        <w:rPr>
          <w:sz w:val="22"/>
          <w:szCs w:val="22"/>
        </w:rPr>
      </w:pPr>
      <w:r w:rsidRPr="00F64707">
        <w:rPr>
          <w:sz w:val="22"/>
          <w:szCs w:val="22"/>
        </w:rPr>
        <w:t xml:space="preserve">Dutasterid znižuje hladiny cirkulujúceho dihydrotestosterónu (DHT) inhibovaním izoenzýmov </w:t>
      </w:r>
      <w:r w:rsidR="006D712F" w:rsidRPr="00F64707">
        <w:rPr>
          <w:sz w:val="22"/>
          <w:szCs w:val="22"/>
        </w:rPr>
        <w:t>5-alfa-reduktázy</w:t>
      </w:r>
      <w:r w:rsidR="00A13B90" w:rsidRPr="00F64707">
        <w:rPr>
          <w:sz w:val="22"/>
          <w:szCs w:val="22"/>
        </w:rPr>
        <w:t xml:space="preserve"> oboch</w:t>
      </w:r>
      <w:r w:rsidR="006D712F" w:rsidRPr="00F64707">
        <w:rPr>
          <w:sz w:val="22"/>
          <w:szCs w:val="22"/>
        </w:rPr>
        <w:t xml:space="preserve"> </w:t>
      </w:r>
      <w:r w:rsidRPr="00F64707">
        <w:rPr>
          <w:sz w:val="22"/>
          <w:szCs w:val="22"/>
        </w:rPr>
        <w:t>typ</w:t>
      </w:r>
      <w:r w:rsidR="00A13B90" w:rsidRPr="00F64707">
        <w:rPr>
          <w:sz w:val="22"/>
          <w:szCs w:val="22"/>
        </w:rPr>
        <w:t>ov</w:t>
      </w:r>
      <w:r w:rsidR="00C04529" w:rsidRPr="00F64707">
        <w:rPr>
          <w:sz w:val="22"/>
          <w:szCs w:val="22"/>
        </w:rPr>
        <w:t xml:space="preserve"> </w:t>
      </w:r>
      <w:r w:rsidR="00A13B90" w:rsidRPr="00F64707">
        <w:rPr>
          <w:sz w:val="22"/>
          <w:szCs w:val="22"/>
        </w:rPr>
        <w:t>1</w:t>
      </w:r>
      <w:r w:rsidRPr="00F64707">
        <w:rPr>
          <w:sz w:val="22"/>
          <w:szCs w:val="22"/>
        </w:rPr>
        <w:t xml:space="preserve"> aj </w:t>
      </w:r>
      <w:r w:rsidR="00A13B90" w:rsidRPr="00F64707">
        <w:rPr>
          <w:sz w:val="22"/>
          <w:szCs w:val="22"/>
        </w:rPr>
        <w:t>2</w:t>
      </w:r>
      <w:r w:rsidRPr="00F64707">
        <w:rPr>
          <w:sz w:val="22"/>
          <w:szCs w:val="22"/>
        </w:rPr>
        <w:t xml:space="preserve">, ktoré sú zodpovedné za konverziu testosterónu na </w:t>
      </w:r>
      <w:r w:rsidR="00A13B90" w:rsidRPr="00F64707">
        <w:rPr>
          <w:sz w:val="22"/>
          <w:szCs w:val="22"/>
        </w:rPr>
        <w:t>5 alfa-</w:t>
      </w:r>
      <w:r w:rsidRPr="00F64707">
        <w:rPr>
          <w:sz w:val="22"/>
          <w:szCs w:val="22"/>
        </w:rPr>
        <w:t>DHT.</w:t>
      </w:r>
    </w:p>
    <w:p w:rsidR="00F1304A" w:rsidRPr="00F64707" w:rsidRDefault="00F1304A" w:rsidP="00F64707">
      <w:pPr>
        <w:rPr>
          <w:i/>
          <w:sz w:val="22"/>
          <w:szCs w:val="22"/>
        </w:rPr>
      </w:pPr>
    </w:p>
    <w:p w:rsidR="00C04529" w:rsidRPr="00F64707" w:rsidRDefault="00C04529" w:rsidP="00F64707">
      <w:pPr>
        <w:rPr>
          <w:sz w:val="22"/>
          <w:szCs w:val="22"/>
        </w:rPr>
      </w:pPr>
      <w:r w:rsidRPr="00F64707">
        <w:rPr>
          <w:sz w:val="22"/>
          <w:szCs w:val="22"/>
        </w:rPr>
        <w:t>DUTAMED AKO MONOTERAPIA</w:t>
      </w:r>
    </w:p>
    <w:p w:rsidR="00C04529" w:rsidRPr="00F64707" w:rsidRDefault="00C04529" w:rsidP="00F64707">
      <w:pPr>
        <w:rPr>
          <w:i/>
          <w:sz w:val="22"/>
          <w:szCs w:val="22"/>
        </w:rPr>
      </w:pPr>
    </w:p>
    <w:p w:rsidR="00F1304A" w:rsidRPr="00F64707" w:rsidRDefault="00F1304A" w:rsidP="00F64707">
      <w:pPr>
        <w:rPr>
          <w:i/>
          <w:sz w:val="22"/>
          <w:szCs w:val="22"/>
        </w:rPr>
      </w:pPr>
      <w:r w:rsidRPr="00F64707">
        <w:rPr>
          <w:i/>
          <w:sz w:val="22"/>
          <w:szCs w:val="22"/>
        </w:rPr>
        <w:t>Účinky na DHT/</w:t>
      </w:r>
      <w:r w:rsidR="00482F33" w:rsidRPr="00F64707">
        <w:rPr>
          <w:i/>
          <w:sz w:val="22"/>
          <w:szCs w:val="22"/>
        </w:rPr>
        <w:t>t</w:t>
      </w:r>
      <w:r w:rsidRPr="00F64707">
        <w:rPr>
          <w:i/>
          <w:sz w:val="22"/>
          <w:szCs w:val="22"/>
        </w:rPr>
        <w:t>estosterón:</w:t>
      </w:r>
    </w:p>
    <w:p w:rsidR="00F1304A" w:rsidRPr="00F64707" w:rsidRDefault="00F1304A" w:rsidP="00F64707">
      <w:pPr>
        <w:rPr>
          <w:sz w:val="22"/>
          <w:szCs w:val="22"/>
        </w:rPr>
      </w:pPr>
      <w:r w:rsidRPr="00F64707">
        <w:rPr>
          <w:sz w:val="22"/>
          <w:szCs w:val="22"/>
        </w:rPr>
        <w:t xml:space="preserve">Účinok denných dávok </w:t>
      </w:r>
      <w:r w:rsidR="00A13B90" w:rsidRPr="00F64707">
        <w:rPr>
          <w:sz w:val="22"/>
          <w:szCs w:val="22"/>
        </w:rPr>
        <w:t>dutasteridu</w:t>
      </w:r>
      <w:r w:rsidRPr="00F64707">
        <w:rPr>
          <w:sz w:val="22"/>
          <w:szCs w:val="22"/>
        </w:rPr>
        <w:t xml:space="preserve"> na redukciu DHT je </w:t>
      </w:r>
      <w:r w:rsidR="00573508" w:rsidRPr="00F64707">
        <w:rPr>
          <w:sz w:val="22"/>
          <w:szCs w:val="22"/>
        </w:rPr>
        <w:t xml:space="preserve">závislý od dávky </w:t>
      </w:r>
      <w:r w:rsidRPr="00F64707">
        <w:rPr>
          <w:sz w:val="22"/>
          <w:szCs w:val="22"/>
        </w:rPr>
        <w:t>a</w:t>
      </w:r>
      <w:r w:rsidR="00573508" w:rsidRPr="00F64707">
        <w:rPr>
          <w:sz w:val="22"/>
          <w:szCs w:val="22"/>
        </w:rPr>
        <w:t> </w:t>
      </w:r>
      <w:r w:rsidRPr="00F64707">
        <w:rPr>
          <w:sz w:val="22"/>
          <w:szCs w:val="22"/>
        </w:rPr>
        <w:t>je pozorovaný do</w:t>
      </w:r>
      <w:r w:rsidR="00C04529" w:rsidRPr="00F64707">
        <w:rPr>
          <w:sz w:val="22"/>
          <w:szCs w:val="22"/>
        </w:rPr>
        <w:t xml:space="preserve"> </w:t>
      </w:r>
      <w:r w:rsidRPr="00F64707">
        <w:rPr>
          <w:sz w:val="22"/>
          <w:szCs w:val="22"/>
        </w:rPr>
        <w:t>1</w:t>
      </w:r>
      <w:r w:rsidR="00482F33" w:rsidRPr="00F64707">
        <w:rPr>
          <w:sz w:val="22"/>
          <w:szCs w:val="22"/>
        </w:rPr>
        <w:t> </w:t>
      </w:r>
      <w:r w:rsidR="00482F33" w:rsidRPr="00F64707">
        <w:rPr>
          <w:sz w:val="22"/>
          <w:szCs w:val="22"/>
        </w:rPr>
        <w:noBreakHyphen/>
        <w:t> </w:t>
      </w:r>
      <w:r w:rsidRPr="00F64707">
        <w:rPr>
          <w:sz w:val="22"/>
          <w:szCs w:val="22"/>
        </w:rPr>
        <w:t>2</w:t>
      </w:r>
      <w:r w:rsidR="00482F33" w:rsidRPr="00F64707">
        <w:rPr>
          <w:sz w:val="22"/>
          <w:szCs w:val="22"/>
        </w:rPr>
        <w:t> </w:t>
      </w:r>
      <w:r w:rsidRPr="00F64707">
        <w:rPr>
          <w:sz w:val="22"/>
          <w:szCs w:val="22"/>
        </w:rPr>
        <w:t>týždňov (85</w:t>
      </w:r>
      <w:r w:rsidR="00482F33" w:rsidRPr="00F64707">
        <w:rPr>
          <w:sz w:val="22"/>
          <w:szCs w:val="22"/>
        </w:rPr>
        <w:t> </w:t>
      </w:r>
      <w:r w:rsidRPr="00F64707">
        <w:rPr>
          <w:sz w:val="22"/>
          <w:szCs w:val="22"/>
        </w:rPr>
        <w:t>% a</w:t>
      </w:r>
      <w:r w:rsidR="00482F33" w:rsidRPr="00F64707">
        <w:rPr>
          <w:sz w:val="22"/>
          <w:szCs w:val="22"/>
        </w:rPr>
        <w:t> </w:t>
      </w:r>
      <w:r w:rsidRPr="00F64707">
        <w:rPr>
          <w:sz w:val="22"/>
          <w:szCs w:val="22"/>
        </w:rPr>
        <w:t>90</w:t>
      </w:r>
      <w:r w:rsidR="00482F33" w:rsidRPr="00F64707">
        <w:rPr>
          <w:sz w:val="22"/>
          <w:szCs w:val="22"/>
        </w:rPr>
        <w:t> </w:t>
      </w:r>
      <w:r w:rsidRPr="00F64707">
        <w:rPr>
          <w:sz w:val="22"/>
          <w:szCs w:val="22"/>
        </w:rPr>
        <w:t>% redukcia</w:t>
      </w:r>
      <w:r w:rsidR="00482F33" w:rsidRPr="00F64707">
        <w:rPr>
          <w:sz w:val="22"/>
          <w:szCs w:val="22"/>
        </w:rPr>
        <w:t>, v uvedenom poradí</w:t>
      </w:r>
      <w:r w:rsidRPr="00F64707">
        <w:rPr>
          <w:sz w:val="22"/>
          <w:szCs w:val="22"/>
        </w:rPr>
        <w:t>).</w:t>
      </w:r>
    </w:p>
    <w:p w:rsidR="00F1304A" w:rsidRPr="00F64707" w:rsidRDefault="00F1304A" w:rsidP="00F64707">
      <w:pPr>
        <w:rPr>
          <w:sz w:val="22"/>
          <w:szCs w:val="22"/>
        </w:rPr>
      </w:pPr>
    </w:p>
    <w:p w:rsidR="00F1304A" w:rsidRPr="00F64707" w:rsidRDefault="00573508" w:rsidP="00F64707">
      <w:pPr>
        <w:rPr>
          <w:sz w:val="22"/>
          <w:szCs w:val="22"/>
        </w:rPr>
      </w:pPr>
      <w:r w:rsidRPr="00F64707">
        <w:rPr>
          <w:sz w:val="22"/>
          <w:szCs w:val="22"/>
        </w:rPr>
        <w:t>U </w:t>
      </w:r>
      <w:r w:rsidR="00F1304A" w:rsidRPr="00F64707">
        <w:rPr>
          <w:sz w:val="22"/>
          <w:szCs w:val="22"/>
        </w:rPr>
        <w:t xml:space="preserve">pacientov s BPH liečených dutasteridom </w:t>
      </w:r>
      <w:r w:rsidRPr="00F64707">
        <w:rPr>
          <w:sz w:val="22"/>
          <w:szCs w:val="22"/>
        </w:rPr>
        <w:t>v </w:t>
      </w:r>
      <w:r w:rsidR="00F1304A" w:rsidRPr="00F64707">
        <w:rPr>
          <w:sz w:val="22"/>
          <w:szCs w:val="22"/>
        </w:rPr>
        <w:t>dávk</w:t>
      </w:r>
      <w:r w:rsidRPr="00F64707">
        <w:rPr>
          <w:sz w:val="22"/>
          <w:szCs w:val="22"/>
        </w:rPr>
        <w:t>e</w:t>
      </w:r>
      <w:r w:rsidR="00F1304A" w:rsidRPr="00F64707">
        <w:rPr>
          <w:sz w:val="22"/>
          <w:szCs w:val="22"/>
        </w:rPr>
        <w:t xml:space="preserve"> 0,5</w:t>
      </w:r>
      <w:r w:rsidR="007426EB" w:rsidRPr="00F64707">
        <w:rPr>
          <w:sz w:val="22"/>
          <w:szCs w:val="22"/>
        </w:rPr>
        <w:t> </w:t>
      </w:r>
      <w:r w:rsidR="00F1304A" w:rsidRPr="00F64707">
        <w:rPr>
          <w:sz w:val="22"/>
          <w:szCs w:val="22"/>
        </w:rPr>
        <w:t>mg/deň bol</w:t>
      </w:r>
      <w:r w:rsidRPr="00F64707">
        <w:rPr>
          <w:sz w:val="22"/>
          <w:szCs w:val="22"/>
        </w:rPr>
        <w:t xml:space="preserve"> medián zníženia sérového </w:t>
      </w:r>
      <w:r w:rsidR="00F1304A" w:rsidRPr="00F64707">
        <w:rPr>
          <w:sz w:val="22"/>
          <w:szCs w:val="22"/>
        </w:rPr>
        <w:t>DHT 94</w:t>
      </w:r>
      <w:r w:rsidR="007426EB" w:rsidRPr="00F64707">
        <w:rPr>
          <w:sz w:val="22"/>
          <w:szCs w:val="22"/>
        </w:rPr>
        <w:t> </w:t>
      </w:r>
      <w:r w:rsidR="00F1304A" w:rsidRPr="00F64707">
        <w:rPr>
          <w:sz w:val="22"/>
          <w:szCs w:val="22"/>
        </w:rPr>
        <w:t>% po</w:t>
      </w:r>
      <w:r w:rsidRPr="00F64707">
        <w:rPr>
          <w:sz w:val="22"/>
          <w:szCs w:val="22"/>
        </w:rPr>
        <w:t xml:space="preserve"> </w:t>
      </w:r>
      <w:r w:rsidR="00F1304A" w:rsidRPr="00F64707">
        <w:rPr>
          <w:sz w:val="22"/>
          <w:szCs w:val="22"/>
        </w:rPr>
        <w:t>1</w:t>
      </w:r>
      <w:r w:rsidR="007426EB" w:rsidRPr="00F64707">
        <w:rPr>
          <w:sz w:val="22"/>
          <w:szCs w:val="22"/>
        </w:rPr>
        <w:t> </w:t>
      </w:r>
      <w:r w:rsidRPr="00F64707">
        <w:rPr>
          <w:sz w:val="22"/>
          <w:szCs w:val="22"/>
        </w:rPr>
        <w:t>roku a </w:t>
      </w:r>
      <w:r w:rsidR="00F1304A" w:rsidRPr="00F64707">
        <w:rPr>
          <w:sz w:val="22"/>
          <w:szCs w:val="22"/>
        </w:rPr>
        <w:t>93</w:t>
      </w:r>
      <w:r w:rsidR="007426EB" w:rsidRPr="00F64707">
        <w:rPr>
          <w:sz w:val="22"/>
          <w:szCs w:val="22"/>
        </w:rPr>
        <w:t> </w:t>
      </w:r>
      <w:r w:rsidR="00F1304A" w:rsidRPr="00F64707">
        <w:rPr>
          <w:sz w:val="22"/>
          <w:szCs w:val="22"/>
        </w:rPr>
        <w:t>% po</w:t>
      </w:r>
      <w:r w:rsidR="007426EB" w:rsidRPr="00F64707">
        <w:rPr>
          <w:sz w:val="22"/>
          <w:szCs w:val="22"/>
        </w:rPr>
        <w:t> </w:t>
      </w:r>
      <w:r w:rsidR="00F1304A" w:rsidRPr="00F64707">
        <w:rPr>
          <w:sz w:val="22"/>
          <w:szCs w:val="22"/>
        </w:rPr>
        <w:t>2</w:t>
      </w:r>
      <w:r w:rsidR="007426EB" w:rsidRPr="00F64707">
        <w:rPr>
          <w:sz w:val="22"/>
          <w:szCs w:val="22"/>
        </w:rPr>
        <w:t> </w:t>
      </w:r>
      <w:r w:rsidR="00F1304A" w:rsidRPr="00F64707">
        <w:rPr>
          <w:sz w:val="22"/>
          <w:szCs w:val="22"/>
        </w:rPr>
        <w:t>rokoch a</w:t>
      </w:r>
      <w:r w:rsidRPr="00F64707">
        <w:rPr>
          <w:sz w:val="22"/>
          <w:szCs w:val="22"/>
        </w:rPr>
        <w:t> medián zvýšenia sérového testosterónu bol</w:t>
      </w:r>
      <w:r w:rsidR="00F1304A" w:rsidRPr="00F64707">
        <w:rPr>
          <w:sz w:val="22"/>
          <w:szCs w:val="22"/>
        </w:rPr>
        <w:t xml:space="preserve"> 19</w:t>
      </w:r>
      <w:r w:rsidR="007426EB" w:rsidRPr="00F64707">
        <w:rPr>
          <w:sz w:val="22"/>
          <w:szCs w:val="22"/>
        </w:rPr>
        <w:t> </w:t>
      </w:r>
      <w:r w:rsidR="00F1304A" w:rsidRPr="00F64707">
        <w:rPr>
          <w:sz w:val="22"/>
          <w:szCs w:val="22"/>
        </w:rPr>
        <w:t>% po 1</w:t>
      </w:r>
      <w:r w:rsidRPr="00F64707">
        <w:rPr>
          <w:sz w:val="22"/>
          <w:szCs w:val="22"/>
        </w:rPr>
        <w:t xml:space="preserve"> </w:t>
      </w:r>
      <w:r w:rsidR="00F1304A" w:rsidRPr="00F64707">
        <w:rPr>
          <w:sz w:val="22"/>
          <w:szCs w:val="22"/>
        </w:rPr>
        <w:t>aj</w:t>
      </w:r>
      <w:r w:rsidR="007426EB" w:rsidRPr="00F64707">
        <w:rPr>
          <w:sz w:val="22"/>
          <w:szCs w:val="22"/>
        </w:rPr>
        <w:t> </w:t>
      </w:r>
      <w:r w:rsidR="00F1304A" w:rsidRPr="00F64707">
        <w:rPr>
          <w:sz w:val="22"/>
          <w:szCs w:val="22"/>
        </w:rPr>
        <w:t>po</w:t>
      </w:r>
      <w:r w:rsidRPr="00F64707">
        <w:rPr>
          <w:sz w:val="22"/>
          <w:szCs w:val="22"/>
        </w:rPr>
        <w:t xml:space="preserve"> </w:t>
      </w:r>
      <w:r w:rsidR="00F1304A" w:rsidRPr="00F64707">
        <w:rPr>
          <w:sz w:val="22"/>
          <w:szCs w:val="22"/>
        </w:rPr>
        <w:t>2</w:t>
      </w:r>
      <w:r w:rsidR="007426EB" w:rsidRPr="00F64707">
        <w:rPr>
          <w:sz w:val="22"/>
          <w:szCs w:val="22"/>
        </w:rPr>
        <w:t> </w:t>
      </w:r>
      <w:r w:rsidR="00F1304A" w:rsidRPr="00F64707">
        <w:rPr>
          <w:sz w:val="22"/>
          <w:szCs w:val="22"/>
        </w:rPr>
        <w:t>rokoch.</w:t>
      </w:r>
    </w:p>
    <w:p w:rsidR="00F1304A" w:rsidRPr="00F64707" w:rsidRDefault="00F1304A" w:rsidP="00F64707">
      <w:pPr>
        <w:rPr>
          <w:sz w:val="22"/>
          <w:szCs w:val="22"/>
        </w:rPr>
      </w:pPr>
    </w:p>
    <w:p w:rsidR="00F1304A" w:rsidRPr="00F64707" w:rsidRDefault="00F1304A" w:rsidP="00F64707">
      <w:pPr>
        <w:rPr>
          <w:i/>
          <w:sz w:val="22"/>
          <w:szCs w:val="22"/>
        </w:rPr>
      </w:pPr>
      <w:r w:rsidRPr="00F64707">
        <w:rPr>
          <w:i/>
          <w:sz w:val="22"/>
          <w:szCs w:val="22"/>
        </w:rPr>
        <w:t>Účinok na objem prostaty:</w:t>
      </w:r>
    </w:p>
    <w:p w:rsidR="00F1304A" w:rsidRPr="00F64707" w:rsidRDefault="00F1304A" w:rsidP="00F64707">
      <w:pPr>
        <w:rPr>
          <w:sz w:val="22"/>
          <w:szCs w:val="22"/>
        </w:rPr>
      </w:pPr>
      <w:r w:rsidRPr="00F64707">
        <w:rPr>
          <w:sz w:val="22"/>
          <w:szCs w:val="22"/>
        </w:rPr>
        <w:t>Signifikantné redukcie objemu prostaty boli detegované už po jednom mesiaci po za</w:t>
      </w:r>
      <w:r w:rsidR="007426EB" w:rsidRPr="00F64707">
        <w:rPr>
          <w:sz w:val="22"/>
          <w:szCs w:val="22"/>
        </w:rPr>
        <w:t>čatí</w:t>
      </w:r>
      <w:r w:rsidR="00573508" w:rsidRPr="00F64707">
        <w:rPr>
          <w:sz w:val="22"/>
          <w:szCs w:val="22"/>
        </w:rPr>
        <w:t xml:space="preserve"> liečby a </w:t>
      </w:r>
      <w:r w:rsidRPr="00F64707">
        <w:rPr>
          <w:sz w:val="22"/>
          <w:szCs w:val="22"/>
        </w:rPr>
        <w:t>redukcie pokračovali až</w:t>
      </w:r>
      <w:r w:rsidR="00573508" w:rsidRPr="00F64707">
        <w:rPr>
          <w:sz w:val="22"/>
          <w:szCs w:val="22"/>
        </w:rPr>
        <w:t xml:space="preserve"> </w:t>
      </w:r>
      <w:r w:rsidRPr="00F64707">
        <w:rPr>
          <w:sz w:val="22"/>
          <w:szCs w:val="22"/>
        </w:rPr>
        <w:t>do</w:t>
      </w:r>
      <w:r w:rsidR="00573508" w:rsidRPr="00F64707">
        <w:rPr>
          <w:sz w:val="22"/>
          <w:szCs w:val="22"/>
        </w:rPr>
        <w:t xml:space="preserve"> </w:t>
      </w:r>
      <w:r w:rsidRPr="00F64707">
        <w:rPr>
          <w:sz w:val="22"/>
          <w:szCs w:val="22"/>
        </w:rPr>
        <w:t>24.</w:t>
      </w:r>
      <w:r w:rsidR="007426EB" w:rsidRPr="00F64707">
        <w:rPr>
          <w:sz w:val="22"/>
          <w:szCs w:val="22"/>
        </w:rPr>
        <w:t> </w:t>
      </w:r>
      <w:r w:rsidRPr="00F64707">
        <w:rPr>
          <w:sz w:val="22"/>
          <w:szCs w:val="22"/>
        </w:rPr>
        <w:t>mesiaca (p</w:t>
      </w:r>
      <w:r w:rsidR="00785F11" w:rsidRPr="00F64707">
        <w:rPr>
          <w:sz w:val="22"/>
          <w:szCs w:val="22"/>
        </w:rPr>
        <w:t> </w:t>
      </w:r>
      <w:r w:rsidR="007426EB" w:rsidRPr="00F64707">
        <w:rPr>
          <w:sz w:val="22"/>
          <w:szCs w:val="22"/>
        </w:rPr>
        <w:t>&lt;</w:t>
      </w:r>
      <w:r w:rsidR="00785F11" w:rsidRPr="00F64707">
        <w:rPr>
          <w:sz w:val="22"/>
          <w:szCs w:val="22"/>
        </w:rPr>
        <w:t> </w:t>
      </w:r>
      <w:r w:rsidRPr="00F64707">
        <w:rPr>
          <w:sz w:val="22"/>
          <w:szCs w:val="22"/>
        </w:rPr>
        <w:t xml:space="preserve">0,001). </w:t>
      </w:r>
      <w:r w:rsidR="00573508" w:rsidRPr="00F64707">
        <w:rPr>
          <w:sz w:val="22"/>
          <w:szCs w:val="22"/>
        </w:rPr>
        <w:t>Dutasterid</w:t>
      </w:r>
      <w:r w:rsidRPr="00F64707">
        <w:rPr>
          <w:sz w:val="22"/>
          <w:szCs w:val="22"/>
        </w:rPr>
        <w:t xml:space="preserve"> viedol k priemernej redukcii celkového objemu prostaty o</w:t>
      </w:r>
      <w:r w:rsidR="007426EB" w:rsidRPr="00F64707">
        <w:rPr>
          <w:sz w:val="22"/>
          <w:szCs w:val="22"/>
        </w:rPr>
        <w:t> </w:t>
      </w:r>
      <w:r w:rsidRPr="00F64707">
        <w:rPr>
          <w:sz w:val="22"/>
          <w:szCs w:val="22"/>
        </w:rPr>
        <w:t>23,6</w:t>
      </w:r>
      <w:r w:rsidR="007426EB" w:rsidRPr="00F64707">
        <w:rPr>
          <w:sz w:val="22"/>
          <w:szCs w:val="22"/>
        </w:rPr>
        <w:t> </w:t>
      </w:r>
      <w:r w:rsidRPr="00F64707">
        <w:rPr>
          <w:sz w:val="22"/>
          <w:szCs w:val="22"/>
        </w:rPr>
        <w:t>% (z</w:t>
      </w:r>
      <w:r w:rsidR="00573508" w:rsidRPr="00F64707">
        <w:rPr>
          <w:sz w:val="22"/>
          <w:szCs w:val="22"/>
        </w:rPr>
        <w:t> východiskovej hodnoty</w:t>
      </w:r>
      <w:r w:rsidRPr="00F64707">
        <w:rPr>
          <w:sz w:val="22"/>
          <w:szCs w:val="22"/>
        </w:rPr>
        <w:t xml:space="preserve"> 54,9</w:t>
      </w:r>
      <w:r w:rsidR="007426EB" w:rsidRPr="00F64707">
        <w:rPr>
          <w:sz w:val="22"/>
          <w:szCs w:val="22"/>
        </w:rPr>
        <w:t> </w:t>
      </w:r>
      <w:r w:rsidRPr="00F64707">
        <w:rPr>
          <w:sz w:val="22"/>
          <w:szCs w:val="22"/>
        </w:rPr>
        <w:t>ml na 42,1</w:t>
      </w:r>
      <w:r w:rsidR="007426EB" w:rsidRPr="00F64707">
        <w:rPr>
          <w:sz w:val="22"/>
          <w:szCs w:val="22"/>
        </w:rPr>
        <w:t> </w:t>
      </w:r>
      <w:r w:rsidRPr="00F64707">
        <w:rPr>
          <w:sz w:val="22"/>
          <w:szCs w:val="22"/>
        </w:rPr>
        <w:t>ml) v</w:t>
      </w:r>
      <w:r w:rsidR="007426EB" w:rsidRPr="00F64707">
        <w:rPr>
          <w:sz w:val="22"/>
          <w:szCs w:val="22"/>
        </w:rPr>
        <w:t> </w:t>
      </w:r>
      <w:r w:rsidRPr="00F64707">
        <w:rPr>
          <w:sz w:val="22"/>
          <w:szCs w:val="22"/>
        </w:rPr>
        <w:t>12.</w:t>
      </w:r>
      <w:r w:rsidR="007426EB" w:rsidRPr="00F64707">
        <w:rPr>
          <w:sz w:val="22"/>
          <w:szCs w:val="22"/>
        </w:rPr>
        <w:t> </w:t>
      </w:r>
      <w:r w:rsidRPr="00F64707">
        <w:rPr>
          <w:sz w:val="22"/>
          <w:szCs w:val="22"/>
        </w:rPr>
        <w:t>mesiaci v porovnaní s priemernou 0,5</w:t>
      </w:r>
      <w:r w:rsidR="007426EB" w:rsidRPr="00F64707">
        <w:rPr>
          <w:sz w:val="22"/>
          <w:szCs w:val="22"/>
        </w:rPr>
        <w:t> </w:t>
      </w:r>
      <w:r w:rsidR="00C04529" w:rsidRPr="00F64707">
        <w:rPr>
          <w:sz w:val="22"/>
          <w:szCs w:val="22"/>
        </w:rPr>
        <w:t>% redukciou (z </w:t>
      </w:r>
      <w:r w:rsidRPr="00F64707">
        <w:rPr>
          <w:sz w:val="22"/>
          <w:szCs w:val="22"/>
        </w:rPr>
        <w:t>54,0</w:t>
      </w:r>
      <w:r w:rsidR="007426EB" w:rsidRPr="00F64707">
        <w:rPr>
          <w:sz w:val="22"/>
          <w:szCs w:val="22"/>
        </w:rPr>
        <w:t> </w:t>
      </w:r>
      <w:r w:rsidRPr="00F64707">
        <w:rPr>
          <w:sz w:val="22"/>
          <w:szCs w:val="22"/>
        </w:rPr>
        <w:t>ml na 53,7</w:t>
      </w:r>
      <w:r w:rsidR="007426EB" w:rsidRPr="00F64707">
        <w:rPr>
          <w:sz w:val="22"/>
          <w:szCs w:val="22"/>
        </w:rPr>
        <w:t> </w:t>
      </w:r>
      <w:r w:rsidR="00573508" w:rsidRPr="00F64707">
        <w:rPr>
          <w:sz w:val="22"/>
          <w:szCs w:val="22"/>
        </w:rPr>
        <w:t>ml) v skupine s </w:t>
      </w:r>
      <w:r w:rsidRPr="00F64707">
        <w:rPr>
          <w:sz w:val="22"/>
          <w:szCs w:val="22"/>
        </w:rPr>
        <w:t>placebom. Signifikantné (p</w:t>
      </w:r>
      <w:r w:rsidR="00785F11" w:rsidRPr="00F64707">
        <w:rPr>
          <w:sz w:val="22"/>
          <w:szCs w:val="22"/>
        </w:rPr>
        <w:t> </w:t>
      </w:r>
      <w:r w:rsidR="007426EB" w:rsidRPr="00F64707">
        <w:rPr>
          <w:sz w:val="22"/>
          <w:szCs w:val="22"/>
        </w:rPr>
        <w:t>&lt;</w:t>
      </w:r>
      <w:r w:rsidR="00785F11" w:rsidRPr="00F64707">
        <w:rPr>
          <w:sz w:val="22"/>
          <w:szCs w:val="22"/>
        </w:rPr>
        <w:t> </w:t>
      </w:r>
      <w:r w:rsidR="00C04529" w:rsidRPr="00F64707">
        <w:rPr>
          <w:sz w:val="22"/>
          <w:szCs w:val="22"/>
        </w:rPr>
        <w:t xml:space="preserve">0,001) redukcie sa </w:t>
      </w:r>
      <w:r w:rsidRPr="00F64707">
        <w:rPr>
          <w:sz w:val="22"/>
          <w:szCs w:val="22"/>
        </w:rPr>
        <w:t>tiež vyskytli v prechodnej zóne objemu prostaty u</w:t>
      </w:r>
      <w:r w:rsidR="00C04529" w:rsidRPr="00F64707">
        <w:rPr>
          <w:sz w:val="22"/>
          <w:szCs w:val="22"/>
        </w:rPr>
        <w:t>ž po jednom mesiaci a </w:t>
      </w:r>
      <w:r w:rsidRPr="00F64707">
        <w:rPr>
          <w:sz w:val="22"/>
          <w:szCs w:val="22"/>
        </w:rPr>
        <w:t>pokračovali až</w:t>
      </w:r>
      <w:r w:rsidR="007426EB" w:rsidRPr="00F64707">
        <w:rPr>
          <w:sz w:val="22"/>
          <w:szCs w:val="22"/>
        </w:rPr>
        <w:t> </w:t>
      </w:r>
      <w:r w:rsidRPr="00F64707">
        <w:rPr>
          <w:sz w:val="22"/>
          <w:szCs w:val="22"/>
        </w:rPr>
        <w:t>do</w:t>
      </w:r>
      <w:r w:rsidR="007426EB" w:rsidRPr="00F64707">
        <w:rPr>
          <w:sz w:val="22"/>
          <w:szCs w:val="22"/>
        </w:rPr>
        <w:t> </w:t>
      </w:r>
      <w:r w:rsidRPr="00F64707">
        <w:rPr>
          <w:sz w:val="22"/>
          <w:szCs w:val="22"/>
        </w:rPr>
        <w:t>24.</w:t>
      </w:r>
      <w:r w:rsidR="007426EB" w:rsidRPr="00F64707">
        <w:rPr>
          <w:sz w:val="22"/>
          <w:szCs w:val="22"/>
        </w:rPr>
        <w:t> </w:t>
      </w:r>
      <w:r w:rsidRPr="00F64707">
        <w:rPr>
          <w:sz w:val="22"/>
          <w:szCs w:val="22"/>
        </w:rPr>
        <w:t>mesiaca, s priemernou redukciou v prechodnej zóne objemu prostaty o</w:t>
      </w:r>
      <w:r w:rsidR="007426EB" w:rsidRPr="00F64707">
        <w:rPr>
          <w:sz w:val="22"/>
          <w:szCs w:val="22"/>
        </w:rPr>
        <w:t> </w:t>
      </w:r>
      <w:r w:rsidRPr="00F64707">
        <w:rPr>
          <w:sz w:val="22"/>
          <w:szCs w:val="22"/>
        </w:rPr>
        <w:t>17,8</w:t>
      </w:r>
      <w:r w:rsidR="007426EB" w:rsidRPr="00F64707">
        <w:rPr>
          <w:sz w:val="22"/>
          <w:szCs w:val="22"/>
        </w:rPr>
        <w:t> </w:t>
      </w:r>
      <w:r w:rsidRPr="00F64707">
        <w:rPr>
          <w:sz w:val="22"/>
          <w:szCs w:val="22"/>
        </w:rPr>
        <w:t>% (z</w:t>
      </w:r>
      <w:r w:rsidR="0061658B" w:rsidRPr="00F64707">
        <w:rPr>
          <w:sz w:val="22"/>
          <w:szCs w:val="22"/>
        </w:rPr>
        <w:t xml:space="preserve"> východiskovej hodnoty </w:t>
      </w:r>
      <w:r w:rsidRPr="00F64707">
        <w:rPr>
          <w:sz w:val="22"/>
          <w:szCs w:val="22"/>
        </w:rPr>
        <w:t>26,8</w:t>
      </w:r>
      <w:r w:rsidR="007426EB" w:rsidRPr="00F64707">
        <w:rPr>
          <w:sz w:val="22"/>
          <w:szCs w:val="22"/>
        </w:rPr>
        <w:t> </w:t>
      </w:r>
      <w:r w:rsidRPr="00F64707">
        <w:rPr>
          <w:sz w:val="22"/>
          <w:szCs w:val="22"/>
        </w:rPr>
        <w:t>ml na 21,4</w:t>
      </w:r>
      <w:r w:rsidR="007426EB" w:rsidRPr="00F64707">
        <w:rPr>
          <w:sz w:val="22"/>
          <w:szCs w:val="22"/>
        </w:rPr>
        <w:t> </w:t>
      </w:r>
      <w:r w:rsidRPr="00F64707">
        <w:rPr>
          <w:sz w:val="22"/>
          <w:szCs w:val="22"/>
        </w:rPr>
        <w:t xml:space="preserve">ml) v skupine </w:t>
      </w:r>
      <w:r w:rsidR="0061658B" w:rsidRPr="00F64707">
        <w:rPr>
          <w:sz w:val="22"/>
          <w:szCs w:val="22"/>
        </w:rPr>
        <w:t>s dutasteridom</w:t>
      </w:r>
      <w:r w:rsidRPr="00F64707">
        <w:rPr>
          <w:sz w:val="22"/>
          <w:szCs w:val="22"/>
        </w:rPr>
        <w:t xml:space="preserve"> v porovnaní s priemerným zvýšením o</w:t>
      </w:r>
      <w:r w:rsidR="007426EB" w:rsidRPr="00F64707">
        <w:rPr>
          <w:sz w:val="22"/>
          <w:szCs w:val="22"/>
        </w:rPr>
        <w:t> </w:t>
      </w:r>
      <w:r w:rsidRPr="00F64707">
        <w:rPr>
          <w:sz w:val="22"/>
          <w:szCs w:val="22"/>
        </w:rPr>
        <w:t>7,9</w:t>
      </w:r>
      <w:r w:rsidR="007426EB" w:rsidRPr="00F64707">
        <w:rPr>
          <w:sz w:val="22"/>
          <w:szCs w:val="22"/>
        </w:rPr>
        <w:t> </w:t>
      </w:r>
      <w:r w:rsidRPr="00F64707">
        <w:rPr>
          <w:sz w:val="22"/>
          <w:szCs w:val="22"/>
        </w:rPr>
        <w:t>% (z</w:t>
      </w:r>
      <w:r w:rsidR="007426EB" w:rsidRPr="00F64707">
        <w:rPr>
          <w:sz w:val="22"/>
          <w:szCs w:val="22"/>
        </w:rPr>
        <w:t> </w:t>
      </w:r>
      <w:r w:rsidRPr="00F64707">
        <w:rPr>
          <w:sz w:val="22"/>
          <w:szCs w:val="22"/>
        </w:rPr>
        <w:t>26,8</w:t>
      </w:r>
      <w:r w:rsidR="007426EB" w:rsidRPr="00F64707">
        <w:rPr>
          <w:sz w:val="22"/>
          <w:szCs w:val="22"/>
        </w:rPr>
        <w:t> </w:t>
      </w:r>
      <w:r w:rsidRPr="00F64707">
        <w:rPr>
          <w:sz w:val="22"/>
          <w:szCs w:val="22"/>
        </w:rPr>
        <w:t>ml</w:t>
      </w:r>
      <w:r w:rsidRPr="00F64707">
        <w:rPr>
          <w:sz w:val="22"/>
          <w:szCs w:val="22"/>
          <w:vertAlign w:val="superscript"/>
        </w:rPr>
        <w:t xml:space="preserve"> </w:t>
      </w:r>
      <w:r w:rsidRPr="00F64707">
        <w:rPr>
          <w:sz w:val="22"/>
          <w:szCs w:val="22"/>
        </w:rPr>
        <w:t>na 27,5</w:t>
      </w:r>
      <w:r w:rsidR="007426EB" w:rsidRPr="00F64707">
        <w:rPr>
          <w:sz w:val="22"/>
          <w:szCs w:val="22"/>
        </w:rPr>
        <w:t> </w:t>
      </w:r>
      <w:r w:rsidRPr="00F64707">
        <w:rPr>
          <w:sz w:val="22"/>
          <w:szCs w:val="22"/>
        </w:rPr>
        <w:t>ml) v skupine s placebom v 12.</w:t>
      </w:r>
      <w:r w:rsidR="007426EB" w:rsidRPr="00F64707">
        <w:rPr>
          <w:sz w:val="22"/>
          <w:szCs w:val="22"/>
        </w:rPr>
        <w:t> </w:t>
      </w:r>
      <w:r w:rsidRPr="00F64707">
        <w:rPr>
          <w:sz w:val="22"/>
          <w:szCs w:val="22"/>
        </w:rPr>
        <w:t xml:space="preserve">mesiaci. </w:t>
      </w:r>
      <w:r w:rsidR="00C04529" w:rsidRPr="00F64707">
        <w:rPr>
          <w:sz w:val="22"/>
          <w:szCs w:val="22"/>
        </w:rPr>
        <w:t>Redukcia objemu prostaty pozorovaná</w:t>
      </w:r>
      <w:r w:rsidRPr="00F64707">
        <w:rPr>
          <w:sz w:val="22"/>
          <w:szCs w:val="22"/>
        </w:rPr>
        <w:t xml:space="preserve"> počas prvých dvoch rokov dvojito zaslepenej liečby sa udržiaval</w:t>
      </w:r>
      <w:r w:rsidR="00C04529" w:rsidRPr="00F64707">
        <w:rPr>
          <w:sz w:val="22"/>
          <w:szCs w:val="22"/>
        </w:rPr>
        <w:t>a</w:t>
      </w:r>
      <w:r w:rsidRPr="00F64707">
        <w:rPr>
          <w:sz w:val="22"/>
          <w:szCs w:val="22"/>
        </w:rPr>
        <w:t xml:space="preserve"> aj počas ďalších 2</w:t>
      </w:r>
      <w:r w:rsidR="007426EB" w:rsidRPr="00F64707">
        <w:rPr>
          <w:sz w:val="22"/>
          <w:szCs w:val="22"/>
        </w:rPr>
        <w:t> </w:t>
      </w:r>
      <w:r w:rsidRPr="00F64707">
        <w:rPr>
          <w:sz w:val="22"/>
          <w:szCs w:val="22"/>
        </w:rPr>
        <w:t xml:space="preserve">rokov otvorených </w:t>
      </w:r>
      <w:r w:rsidR="0061658B" w:rsidRPr="00F64707">
        <w:rPr>
          <w:sz w:val="22"/>
          <w:szCs w:val="22"/>
        </w:rPr>
        <w:t>rozšírených</w:t>
      </w:r>
      <w:r w:rsidRPr="00F64707">
        <w:rPr>
          <w:sz w:val="22"/>
          <w:szCs w:val="22"/>
        </w:rPr>
        <w:t xml:space="preserve"> štúdií. Redukcia vo veľkosti prostaty viedla k zlepš</w:t>
      </w:r>
      <w:r w:rsidR="0061658B" w:rsidRPr="00F64707">
        <w:rPr>
          <w:sz w:val="22"/>
          <w:szCs w:val="22"/>
        </w:rPr>
        <w:t>eniu symptómov a znížila riziko AUR a </w:t>
      </w:r>
      <w:r w:rsidRPr="00F64707">
        <w:rPr>
          <w:sz w:val="22"/>
          <w:szCs w:val="22"/>
        </w:rPr>
        <w:t>chirurgického zákroku súvisiaceho s BPH.</w:t>
      </w:r>
    </w:p>
    <w:p w:rsidR="00F1304A" w:rsidRPr="00F64707" w:rsidRDefault="00F1304A" w:rsidP="00F64707">
      <w:pPr>
        <w:rPr>
          <w:i/>
          <w:caps/>
          <w:sz w:val="22"/>
          <w:szCs w:val="22"/>
        </w:rPr>
      </w:pPr>
    </w:p>
    <w:p w:rsidR="0061658B" w:rsidRPr="00F64707" w:rsidRDefault="0061658B" w:rsidP="00F64707">
      <w:pPr>
        <w:keepNext/>
        <w:rPr>
          <w:sz w:val="22"/>
          <w:szCs w:val="22"/>
        </w:rPr>
      </w:pPr>
      <w:r w:rsidRPr="00F64707">
        <w:rPr>
          <w:sz w:val="22"/>
          <w:szCs w:val="22"/>
        </w:rPr>
        <w:lastRenderedPageBreak/>
        <w:t>KLINICKÉ ŠTÚDIE</w:t>
      </w:r>
    </w:p>
    <w:p w:rsidR="00F1304A" w:rsidRPr="00F64707" w:rsidRDefault="00F1304A" w:rsidP="00F64707">
      <w:pPr>
        <w:keepNext/>
        <w:keepLines/>
        <w:rPr>
          <w:sz w:val="22"/>
          <w:szCs w:val="22"/>
        </w:rPr>
      </w:pPr>
    </w:p>
    <w:p w:rsidR="00F1304A" w:rsidRPr="00F64707" w:rsidRDefault="0061658B" w:rsidP="00F64707">
      <w:pPr>
        <w:keepNext/>
        <w:keepLines/>
        <w:rPr>
          <w:sz w:val="22"/>
          <w:szCs w:val="22"/>
        </w:rPr>
      </w:pPr>
      <w:r w:rsidRPr="00F64707">
        <w:rPr>
          <w:sz w:val="22"/>
          <w:szCs w:val="22"/>
        </w:rPr>
        <w:t>Dutasterid</w:t>
      </w:r>
      <w:r w:rsidR="00F1304A" w:rsidRPr="00F64707">
        <w:rPr>
          <w:sz w:val="22"/>
          <w:szCs w:val="22"/>
        </w:rPr>
        <w:t xml:space="preserve"> v dávke 0,5</w:t>
      </w:r>
      <w:r w:rsidR="007426EB" w:rsidRPr="00F64707">
        <w:rPr>
          <w:sz w:val="22"/>
          <w:szCs w:val="22"/>
        </w:rPr>
        <w:t> </w:t>
      </w:r>
      <w:r w:rsidR="00F1304A" w:rsidRPr="00F64707">
        <w:rPr>
          <w:sz w:val="22"/>
          <w:szCs w:val="22"/>
        </w:rPr>
        <w:t>mg/deň alebo placebo boli vyhodnotené u</w:t>
      </w:r>
      <w:r w:rsidR="009F2D4A" w:rsidRPr="00F64707">
        <w:rPr>
          <w:sz w:val="22"/>
          <w:szCs w:val="22"/>
        </w:rPr>
        <w:t> </w:t>
      </w:r>
      <w:r w:rsidR="00F1304A" w:rsidRPr="00F64707">
        <w:rPr>
          <w:sz w:val="22"/>
          <w:szCs w:val="22"/>
        </w:rPr>
        <w:t>4</w:t>
      </w:r>
      <w:r w:rsidR="009F2D4A" w:rsidRPr="00F64707">
        <w:rPr>
          <w:sz w:val="22"/>
          <w:szCs w:val="22"/>
        </w:rPr>
        <w:t> </w:t>
      </w:r>
      <w:r w:rsidR="00F1304A" w:rsidRPr="00F64707">
        <w:rPr>
          <w:sz w:val="22"/>
          <w:szCs w:val="22"/>
        </w:rPr>
        <w:t>325</w:t>
      </w:r>
      <w:r w:rsidR="009F2D4A" w:rsidRPr="00F64707">
        <w:rPr>
          <w:sz w:val="22"/>
          <w:szCs w:val="22"/>
        </w:rPr>
        <w:t> </w:t>
      </w:r>
      <w:r w:rsidR="00F1304A" w:rsidRPr="00F64707">
        <w:rPr>
          <w:sz w:val="22"/>
          <w:szCs w:val="22"/>
        </w:rPr>
        <w:t>mužov so stredne ťažkými až</w:t>
      </w:r>
      <w:r w:rsidR="00C04529" w:rsidRPr="00F64707">
        <w:rPr>
          <w:sz w:val="22"/>
          <w:szCs w:val="22"/>
        </w:rPr>
        <w:t xml:space="preserve"> </w:t>
      </w:r>
      <w:r w:rsidR="00F1304A" w:rsidRPr="00F64707">
        <w:rPr>
          <w:sz w:val="22"/>
          <w:szCs w:val="22"/>
        </w:rPr>
        <w:t xml:space="preserve">ťažkými symptómami BPH, ktorí mali prostatu </w:t>
      </w:r>
      <w:r w:rsidR="00F1304A" w:rsidRPr="00F64707">
        <w:rPr>
          <w:sz w:val="22"/>
          <w:szCs w:val="22"/>
        </w:rPr>
        <w:sym w:font="Symbol" w:char="F0B3"/>
      </w:r>
      <w:r w:rsidR="009F2D4A" w:rsidRPr="00F64707">
        <w:rPr>
          <w:sz w:val="22"/>
          <w:szCs w:val="22"/>
        </w:rPr>
        <w:t> </w:t>
      </w:r>
      <w:r w:rsidR="00F1304A" w:rsidRPr="00F64707">
        <w:rPr>
          <w:sz w:val="22"/>
          <w:szCs w:val="22"/>
        </w:rPr>
        <w:t>30</w:t>
      </w:r>
      <w:r w:rsidR="009F2D4A" w:rsidRPr="00F64707">
        <w:rPr>
          <w:sz w:val="22"/>
          <w:szCs w:val="22"/>
        </w:rPr>
        <w:t> </w:t>
      </w:r>
      <w:r w:rsidR="00F1304A" w:rsidRPr="00F64707">
        <w:rPr>
          <w:sz w:val="22"/>
          <w:szCs w:val="22"/>
        </w:rPr>
        <w:t>m</w:t>
      </w:r>
      <w:r w:rsidRPr="00F64707">
        <w:rPr>
          <w:sz w:val="22"/>
          <w:szCs w:val="22"/>
        </w:rPr>
        <w:t>l a </w:t>
      </w:r>
      <w:r w:rsidR="00F1304A" w:rsidRPr="00F64707">
        <w:rPr>
          <w:sz w:val="22"/>
          <w:szCs w:val="22"/>
        </w:rPr>
        <w:t>hodnotu PSA v rozsahu 1,5</w:t>
      </w:r>
      <w:r w:rsidR="009F2D4A" w:rsidRPr="00F64707">
        <w:rPr>
          <w:sz w:val="22"/>
          <w:szCs w:val="22"/>
        </w:rPr>
        <w:t> </w:t>
      </w:r>
      <w:r w:rsidR="009F2D4A" w:rsidRPr="00F64707">
        <w:rPr>
          <w:sz w:val="22"/>
          <w:szCs w:val="22"/>
        </w:rPr>
        <w:noBreakHyphen/>
        <w:t> </w:t>
      </w:r>
      <w:r w:rsidR="00F1304A" w:rsidRPr="00F64707">
        <w:rPr>
          <w:sz w:val="22"/>
          <w:szCs w:val="22"/>
        </w:rPr>
        <w:t>10</w:t>
      </w:r>
      <w:r w:rsidR="009F2D4A" w:rsidRPr="00F64707">
        <w:rPr>
          <w:sz w:val="22"/>
          <w:szCs w:val="22"/>
        </w:rPr>
        <w:t> </w:t>
      </w:r>
      <w:r w:rsidR="00F1304A" w:rsidRPr="00F64707">
        <w:rPr>
          <w:sz w:val="22"/>
          <w:szCs w:val="22"/>
        </w:rPr>
        <w:t>ng/ml, v troch 2</w:t>
      </w:r>
      <w:r w:rsidR="009F2D4A" w:rsidRPr="00F64707">
        <w:rPr>
          <w:sz w:val="22"/>
          <w:szCs w:val="22"/>
        </w:rPr>
        <w:noBreakHyphen/>
      </w:r>
      <w:r w:rsidR="00F1304A" w:rsidRPr="00F64707">
        <w:rPr>
          <w:sz w:val="22"/>
          <w:szCs w:val="22"/>
        </w:rPr>
        <w:t>ročných multicentrických, medzinárodných, placebom</w:t>
      </w:r>
      <w:r w:rsidR="009F2D4A" w:rsidRPr="00F64707">
        <w:rPr>
          <w:sz w:val="22"/>
          <w:szCs w:val="22"/>
        </w:rPr>
        <w:t xml:space="preserve"> </w:t>
      </w:r>
      <w:r w:rsidR="00F1304A" w:rsidRPr="00F64707">
        <w:rPr>
          <w:sz w:val="22"/>
          <w:szCs w:val="22"/>
        </w:rPr>
        <w:t>kontrolovaných, dvojito</w:t>
      </w:r>
      <w:r w:rsidR="009F2D4A" w:rsidRPr="00F64707">
        <w:rPr>
          <w:sz w:val="22"/>
          <w:szCs w:val="22"/>
        </w:rPr>
        <w:t xml:space="preserve"> </w:t>
      </w:r>
      <w:r w:rsidR="00F1304A" w:rsidRPr="00F64707">
        <w:rPr>
          <w:sz w:val="22"/>
          <w:szCs w:val="22"/>
        </w:rPr>
        <w:t>zaslepených štúdiách primárnej účinnosti. Štúdie potom pokračovali do</w:t>
      </w:r>
      <w:r w:rsidR="00C04529" w:rsidRPr="00F64707">
        <w:rPr>
          <w:sz w:val="22"/>
          <w:szCs w:val="22"/>
        </w:rPr>
        <w:t xml:space="preserve"> </w:t>
      </w:r>
      <w:r w:rsidR="00F1304A" w:rsidRPr="00F64707">
        <w:rPr>
          <w:sz w:val="22"/>
          <w:szCs w:val="22"/>
        </w:rPr>
        <w:t>4</w:t>
      </w:r>
      <w:r w:rsidR="009F2D4A" w:rsidRPr="00F64707">
        <w:rPr>
          <w:sz w:val="22"/>
          <w:szCs w:val="22"/>
        </w:rPr>
        <w:t> </w:t>
      </w:r>
      <w:r w:rsidR="00F1304A" w:rsidRPr="00F64707">
        <w:rPr>
          <w:sz w:val="22"/>
          <w:szCs w:val="22"/>
        </w:rPr>
        <w:t xml:space="preserve">rokov ako </w:t>
      </w:r>
      <w:r w:rsidRPr="00F64707">
        <w:rPr>
          <w:sz w:val="22"/>
          <w:szCs w:val="22"/>
        </w:rPr>
        <w:t>rozšírené</w:t>
      </w:r>
      <w:r w:rsidR="00F1304A" w:rsidRPr="00F64707">
        <w:rPr>
          <w:sz w:val="22"/>
          <w:szCs w:val="22"/>
        </w:rPr>
        <w:t xml:space="preserve"> otvorené</w:t>
      </w:r>
      <w:r w:rsidR="00D93184">
        <w:rPr>
          <w:sz w:val="22"/>
          <w:szCs w:val="22"/>
        </w:rPr>
        <w:t xml:space="preserve"> a</w:t>
      </w:r>
      <w:r w:rsidR="00F1304A" w:rsidRPr="00F64707">
        <w:rPr>
          <w:sz w:val="22"/>
          <w:szCs w:val="22"/>
        </w:rPr>
        <w:t xml:space="preserve"> </w:t>
      </w:r>
      <w:r w:rsidR="00D93184">
        <w:rPr>
          <w:sz w:val="22"/>
          <w:szCs w:val="22"/>
        </w:rPr>
        <w:t xml:space="preserve">všetci pacienti, ktorí </w:t>
      </w:r>
      <w:r w:rsidR="00F1304A" w:rsidRPr="00F64707">
        <w:rPr>
          <w:sz w:val="22"/>
          <w:szCs w:val="22"/>
        </w:rPr>
        <w:t>zot</w:t>
      </w:r>
      <w:r w:rsidRPr="00F64707">
        <w:rPr>
          <w:sz w:val="22"/>
          <w:szCs w:val="22"/>
        </w:rPr>
        <w:t>rváva</w:t>
      </w:r>
      <w:r w:rsidR="00D93184">
        <w:rPr>
          <w:sz w:val="22"/>
          <w:szCs w:val="22"/>
        </w:rPr>
        <w:t>li</w:t>
      </w:r>
      <w:r w:rsidRPr="00F64707">
        <w:rPr>
          <w:sz w:val="22"/>
          <w:szCs w:val="22"/>
        </w:rPr>
        <w:t xml:space="preserve"> </w:t>
      </w:r>
      <w:r w:rsidR="00F1304A" w:rsidRPr="00F64707">
        <w:rPr>
          <w:sz w:val="22"/>
          <w:szCs w:val="22"/>
        </w:rPr>
        <w:t>v štúdii, užívali dutasterid v rovnakej dávke 0,5</w:t>
      </w:r>
      <w:r w:rsidR="009F2D4A" w:rsidRPr="00F64707">
        <w:rPr>
          <w:sz w:val="22"/>
          <w:szCs w:val="22"/>
        </w:rPr>
        <w:t> </w:t>
      </w:r>
      <w:r w:rsidR="00F1304A" w:rsidRPr="00F64707">
        <w:rPr>
          <w:sz w:val="22"/>
          <w:szCs w:val="22"/>
        </w:rPr>
        <w:t>mg. 37</w:t>
      </w:r>
      <w:r w:rsidR="009F2D4A" w:rsidRPr="00F64707">
        <w:rPr>
          <w:sz w:val="22"/>
          <w:szCs w:val="22"/>
        </w:rPr>
        <w:t> </w:t>
      </w:r>
      <w:r w:rsidR="00F1304A" w:rsidRPr="00F64707">
        <w:rPr>
          <w:sz w:val="22"/>
          <w:szCs w:val="22"/>
        </w:rPr>
        <w:t>%</w:t>
      </w:r>
      <w:r w:rsidR="009F2D4A" w:rsidRPr="00F64707">
        <w:rPr>
          <w:sz w:val="22"/>
          <w:szCs w:val="22"/>
        </w:rPr>
        <w:t> </w:t>
      </w:r>
      <w:r w:rsidR="00F1304A" w:rsidRPr="00F64707">
        <w:rPr>
          <w:sz w:val="22"/>
          <w:szCs w:val="22"/>
        </w:rPr>
        <w:t>pac</w:t>
      </w:r>
      <w:r w:rsidR="00C04529" w:rsidRPr="00F64707">
        <w:rPr>
          <w:sz w:val="22"/>
          <w:szCs w:val="22"/>
        </w:rPr>
        <w:t>ientov pôvodne randomizovaných na užívanie</w:t>
      </w:r>
      <w:r w:rsidR="00DA5AA0" w:rsidRPr="00F64707">
        <w:rPr>
          <w:sz w:val="22"/>
          <w:szCs w:val="22"/>
        </w:rPr>
        <w:t xml:space="preserve"> placeba</w:t>
      </w:r>
      <w:r w:rsidR="00F1304A" w:rsidRPr="00F64707">
        <w:rPr>
          <w:sz w:val="22"/>
          <w:szCs w:val="22"/>
        </w:rPr>
        <w:t xml:space="preserve"> a 40</w:t>
      </w:r>
      <w:r w:rsidR="009F2D4A" w:rsidRPr="00F64707">
        <w:rPr>
          <w:sz w:val="22"/>
          <w:szCs w:val="22"/>
        </w:rPr>
        <w:t> </w:t>
      </w:r>
      <w:r w:rsidR="00F1304A" w:rsidRPr="00F64707">
        <w:rPr>
          <w:sz w:val="22"/>
          <w:szCs w:val="22"/>
        </w:rPr>
        <w:t xml:space="preserve">% pacientov randomizovaných </w:t>
      </w:r>
      <w:r w:rsidR="00C04529" w:rsidRPr="00F64707">
        <w:rPr>
          <w:sz w:val="22"/>
          <w:szCs w:val="22"/>
        </w:rPr>
        <w:t>na užívanie</w:t>
      </w:r>
      <w:r w:rsidR="00DA5AA0" w:rsidRPr="00F64707">
        <w:rPr>
          <w:sz w:val="22"/>
          <w:szCs w:val="22"/>
        </w:rPr>
        <w:t xml:space="preserve"> </w:t>
      </w:r>
      <w:r w:rsidR="00F1304A" w:rsidRPr="00F64707">
        <w:rPr>
          <w:sz w:val="22"/>
          <w:szCs w:val="22"/>
        </w:rPr>
        <w:t>dutasteridu zo</w:t>
      </w:r>
      <w:r w:rsidR="00DA5AA0" w:rsidRPr="00F64707">
        <w:rPr>
          <w:sz w:val="22"/>
          <w:szCs w:val="22"/>
        </w:rPr>
        <w:t>trvalo</w:t>
      </w:r>
      <w:r w:rsidR="00F1304A" w:rsidRPr="00F64707">
        <w:rPr>
          <w:sz w:val="22"/>
          <w:szCs w:val="22"/>
        </w:rPr>
        <w:t xml:space="preserve"> v štúdii 4</w:t>
      </w:r>
      <w:r w:rsidR="009F2D4A" w:rsidRPr="00F64707">
        <w:rPr>
          <w:sz w:val="22"/>
          <w:szCs w:val="22"/>
        </w:rPr>
        <w:t> </w:t>
      </w:r>
      <w:r w:rsidR="00F1304A" w:rsidRPr="00F64707">
        <w:rPr>
          <w:sz w:val="22"/>
          <w:szCs w:val="22"/>
        </w:rPr>
        <w:t>roky. Väčšina (71</w:t>
      </w:r>
      <w:r w:rsidR="009F2D4A" w:rsidRPr="00F64707">
        <w:rPr>
          <w:sz w:val="22"/>
          <w:szCs w:val="22"/>
        </w:rPr>
        <w:t> </w:t>
      </w:r>
      <w:r w:rsidR="00F1304A" w:rsidRPr="00F64707">
        <w:rPr>
          <w:sz w:val="22"/>
          <w:szCs w:val="22"/>
        </w:rPr>
        <w:t>%) z 2</w:t>
      </w:r>
      <w:r w:rsidR="009F2D4A" w:rsidRPr="00F64707">
        <w:rPr>
          <w:sz w:val="22"/>
          <w:szCs w:val="22"/>
        </w:rPr>
        <w:t> </w:t>
      </w:r>
      <w:r w:rsidR="00F1304A" w:rsidRPr="00F64707">
        <w:rPr>
          <w:sz w:val="22"/>
          <w:szCs w:val="22"/>
        </w:rPr>
        <w:t>340 jedincov v predĺženej otvorenej štúdii dokončila ďalšie 2</w:t>
      </w:r>
      <w:r w:rsidR="009F2D4A" w:rsidRPr="00F64707">
        <w:rPr>
          <w:sz w:val="22"/>
          <w:szCs w:val="22"/>
        </w:rPr>
        <w:t> </w:t>
      </w:r>
      <w:r w:rsidR="00F1304A" w:rsidRPr="00F64707">
        <w:rPr>
          <w:sz w:val="22"/>
          <w:szCs w:val="22"/>
        </w:rPr>
        <w:t>roky otvorenej liečby.</w:t>
      </w:r>
    </w:p>
    <w:p w:rsidR="00F1304A" w:rsidRPr="00F64707" w:rsidRDefault="00F1304A" w:rsidP="00F64707">
      <w:pPr>
        <w:rPr>
          <w:sz w:val="22"/>
          <w:szCs w:val="22"/>
        </w:rPr>
      </w:pP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 xml:space="preserve">Najdôležitejšími parametrami klinickej </w:t>
      </w:r>
      <w:r w:rsidR="00CD05D0" w:rsidRPr="00F64707">
        <w:rPr>
          <w:rFonts w:ascii="Times New Roman" w:hAnsi="Times New Roman"/>
          <w:sz w:val="22"/>
          <w:szCs w:val="22"/>
        </w:rPr>
        <w:t>účinnosti bol Index symptómov podľa</w:t>
      </w:r>
      <w:r w:rsidRPr="00F64707">
        <w:rPr>
          <w:rFonts w:ascii="Times New Roman" w:hAnsi="Times New Roman"/>
          <w:sz w:val="22"/>
          <w:szCs w:val="22"/>
        </w:rPr>
        <w:t xml:space="preserve"> Americkej urologickej asociácie (AUA</w:t>
      </w:r>
      <w:r w:rsidR="009F2D4A" w:rsidRPr="00F64707">
        <w:rPr>
          <w:rFonts w:ascii="Times New Roman" w:hAnsi="Times New Roman"/>
          <w:sz w:val="22"/>
          <w:szCs w:val="22"/>
        </w:rPr>
        <w:noBreakHyphen/>
      </w:r>
      <w:r w:rsidRPr="00F64707">
        <w:rPr>
          <w:rFonts w:ascii="Times New Roman" w:hAnsi="Times New Roman"/>
          <w:sz w:val="22"/>
          <w:szCs w:val="22"/>
        </w:rPr>
        <w:t>SI), maximálny prietok moču (Q</w:t>
      </w:r>
      <w:r w:rsidRPr="00F64707">
        <w:rPr>
          <w:rFonts w:ascii="Times New Roman" w:hAnsi="Times New Roman"/>
          <w:sz w:val="22"/>
          <w:szCs w:val="22"/>
          <w:vertAlign w:val="subscript"/>
        </w:rPr>
        <w:t>max</w:t>
      </w:r>
      <w:r w:rsidR="00DA5AA0" w:rsidRPr="00F64707">
        <w:rPr>
          <w:rFonts w:ascii="Times New Roman" w:hAnsi="Times New Roman"/>
          <w:sz w:val="22"/>
          <w:szCs w:val="22"/>
        </w:rPr>
        <w:t>) a výskyt akútnej retencie moču a </w:t>
      </w:r>
      <w:r w:rsidRPr="00F64707">
        <w:rPr>
          <w:rFonts w:ascii="Times New Roman" w:hAnsi="Times New Roman"/>
          <w:sz w:val="22"/>
          <w:szCs w:val="22"/>
        </w:rPr>
        <w:t>chirurgického zákroku súvisiaceho s BPH.</w:t>
      </w:r>
    </w:p>
    <w:p w:rsidR="009F2D4A" w:rsidRPr="00F64707" w:rsidRDefault="009F2D4A" w:rsidP="00F64707">
      <w:pPr>
        <w:pStyle w:val="Zkladntext2"/>
        <w:jc w:val="left"/>
        <w:rPr>
          <w:rFonts w:ascii="Times New Roman" w:hAnsi="Times New Roman"/>
          <w:sz w:val="22"/>
          <w:szCs w:val="22"/>
        </w:rPr>
      </w:pPr>
    </w:p>
    <w:p w:rsidR="00F1304A" w:rsidRPr="00F64707" w:rsidRDefault="00F1304A" w:rsidP="00F64707">
      <w:pPr>
        <w:rPr>
          <w:sz w:val="22"/>
          <w:szCs w:val="22"/>
        </w:rPr>
      </w:pPr>
      <w:r w:rsidRPr="00F64707">
        <w:rPr>
          <w:sz w:val="22"/>
          <w:szCs w:val="22"/>
        </w:rPr>
        <w:t>AUA</w:t>
      </w:r>
      <w:r w:rsidR="009F2D4A" w:rsidRPr="00F64707">
        <w:rPr>
          <w:sz w:val="22"/>
          <w:szCs w:val="22"/>
        </w:rPr>
        <w:noBreakHyphen/>
      </w:r>
      <w:r w:rsidRPr="00F64707">
        <w:rPr>
          <w:sz w:val="22"/>
          <w:szCs w:val="22"/>
        </w:rPr>
        <w:t>SI je sedempoložkový dotazník o</w:t>
      </w:r>
      <w:r w:rsidR="00DA5AA0" w:rsidRPr="00F64707">
        <w:rPr>
          <w:sz w:val="22"/>
          <w:szCs w:val="22"/>
        </w:rPr>
        <w:t> </w:t>
      </w:r>
      <w:r w:rsidRPr="00F64707">
        <w:rPr>
          <w:sz w:val="22"/>
          <w:szCs w:val="22"/>
        </w:rPr>
        <w:t>symptómoch týkajúcich sa BPH s maximálnym bodovým skóre 35. Na začiatku štúdií mali pacienti priemerné skóre približne 17.</w:t>
      </w:r>
      <w:r w:rsidR="001E79C5" w:rsidRPr="00F64707">
        <w:rPr>
          <w:sz w:val="22"/>
          <w:szCs w:val="22"/>
        </w:rPr>
        <w:t xml:space="preserve"> Po šesťmesačnej, jednoročnej a </w:t>
      </w:r>
      <w:r w:rsidRPr="00F64707">
        <w:rPr>
          <w:sz w:val="22"/>
          <w:szCs w:val="22"/>
        </w:rPr>
        <w:t>dvojročnej liečbe mala skupina s</w:t>
      </w:r>
      <w:r w:rsidR="001E79C5" w:rsidRPr="00F64707">
        <w:rPr>
          <w:sz w:val="22"/>
          <w:szCs w:val="22"/>
        </w:rPr>
        <w:t> </w:t>
      </w:r>
      <w:r w:rsidRPr="00F64707">
        <w:rPr>
          <w:sz w:val="22"/>
          <w:szCs w:val="22"/>
        </w:rPr>
        <w:t>placebom priemerné zlepšenia o</w:t>
      </w:r>
      <w:r w:rsidR="009F2D4A" w:rsidRPr="00F64707">
        <w:rPr>
          <w:sz w:val="22"/>
          <w:szCs w:val="22"/>
        </w:rPr>
        <w:t> </w:t>
      </w:r>
      <w:r w:rsidRPr="00F64707">
        <w:rPr>
          <w:sz w:val="22"/>
          <w:szCs w:val="22"/>
        </w:rPr>
        <w:t>2,5</w:t>
      </w:r>
      <w:r w:rsidR="009F2D4A" w:rsidRPr="00F64707">
        <w:rPr>
          <w:sz w:val="22"/>
          <w:szCs w:val="22"/>
        </w:rPr>
        <w:t>;</w:t>
      </w:r>
      <w:r w:rsidR="00CD05D0" w:rsidRPr="00F64707">
        <w:rPr>
          <w:sz w:val="22"/>
          <w:szCs w:val="22"/>
        </w:rPr>
        <w:t xml:space="preserve"> 2,5 a </w:t>
      </w:r>
      <w:r w:rsidRPr="00F64707">
        <w:rPr>
          <w:sz w:val="22"/>
          <w:szCs w:val="22"/>
        </w:rPr>
        <w:t>2,3</w:t>
      </w:r>
      <w:r w:rsidR="009F2D4A" w:rsidRPr="00F64707">
        <w:rPr>
          <w:sz w:val="22"/>
          <w:szCs w:val="22"/>
        </w:rPr>
        <w:t> </w:t>
      </w:r>
      <w:r w:rsidRPr="00F64707">
        <w:rPr>
          <w:sz w:val="22"/>
          <w:szCs w:val="22"/>
        </w:rPr>
        <w:t>bod</w:t>
      </w:r>
      <w:r w:rsidR="009F2D4A" w:rsidRPr="00F64707">
        <w:rPr>
          <w:sz w:val="22"/>
          <w:szCs w:val="22"/>
        </w:rPr>
        <w:t>u</w:t>
      </w:r>
      <w:r w:rsidRPr="00F64707">
        <w:rPr>
          <w:sz w:val="22"/>
          <w:szCs w:val="22"/>
        </w:rPr>
        <w:t>, zatiaľ čo skupina s </w:t>
      </w:r>
      <w:r w:rsidR="001E79C5" w:rsidRPr="00F64707">
        <w:rPr>
          <w:sz w:val="22"/>
          <w:szCs w:val="22"/>
        </w:rPr>
        <w:t>dutasteridom</w:t>
      </w:r>
      <w:r w:rsidRPr="00F64707">
        <w:rPr>
          <w:sz w:val="22"/>
          <w:szCs w:val="22"/>
        </w:rPr>
        <w:t xml:space="preserve"> sa zlepšila o</w:t>
      </w:r>
      <w:r w:rsidR="009F2D4A" w:rsidRPr="00F64707">
        <w:rPr>
          <w:sz w:val="22"/>
          <w:szCs w:val="22"/>
        </w:rPr>
        <w:t> </w:t>
      </w:r>
      <w:r w:rsidRPr="00F64707">
        <w:rPr>
          <w:sz w:val="22"/>
          <w:szCs w:val="22"/>
        </w:rPr>
        <w:t>3,2</w:t>
      </w:r>
      <w:r w:rsidR="009F2D4A" w:rsidRPr="00F64707">
        <w:rPr>
          <w:sz w:val="22"/>
          <w:szCs w:val="22"/>
        </w:rPr>
        <w:t>;</w:t>
      </w:r>
      <w:r w:rsidR="001E79C5" w:rsidRPr="00F64707">
        <w:rPr>
          <w:sz w:val="22"/>
          <w:szCs w:val="22"/>
        </w:rPr>
        <w:t xml:space="preserve"> 3,8 a </w:t>
      </w:r>
      <w:r w:rsidRPr="00F64707">
        <w:rPr>
          <w:sz w:val="22"/>
          <w:szCs w:val="22"/>
        </w:rPr>
        <w:t>4,5</w:t>
      </w:r>
      <w:r w:rsidR="009F2D4A" w:rsidRPr="00F64707">
        <w:rPr>
          <w:sz w:val="22"/>
          <w:szCs w:val="22"/>
        </w:rPr>
        <w:t> </w:t>
      </w:r>
      <w:r w:rsidRPr="00F64707">
        <w:rPr>
          <w:sz w:val="22"/>
          <w:szCs w:val="22"/>
        </w:rPr>
        <w:t>bod</w:t>
      </w:r>
      <w:r w:rsidR="009F2D4A" w:rsidRPr="00F64707">
        <w:rPr>
          <w:sz w:val="22"/>
          <w:szCs w:val="22"/>
        </w:rPr>
        <w:t>u</w:t>
      </w:r>
      <w:r w:rsidR="001E79C5" w:rsidRPr="00F64707">
        <w:rPr>
          <w:sz w:val="22"/>
          <w:szCs w:val="22"/>
        </w:rPr>
        <w:t>, v uvedenom poradí</w:t>
      </w:r>
      <w:r w:rsidRPr="00F64707">
        <w:rPr>
          <w:sz w:val="22"/>
          <w:szCs w:val="22"/>
        </w:rPr>
        <w:t>. Rozdiely medzi skupinami boli štatisticky signifikantné. Zlepšenie uvedené v</w:t>
      </w:r>
      <w:r w:rsidR="009F2D4A" w:rsidRPr="00F64707">
        <w:rPr>
          <w:sz w:val="22"/>
          <w:szCs w:val="22"/>
        </w:rPr>
        <w:t> </w:t>
      </w:r>
      <w:r w:rsidRPr="00F64707">
        <w:rPr>
          <w:sz w:val="22"/>
          <w:szCs w:val="22"/>
        </w:rPr>
        <w:t>AUA</w:t>
      </w:r>
      <w:r w:rsidR="009F2D4A" w:rsidRPr="00F64707">
        <w:rPr>
          <w:sz w:val="22"/>
          <w:szCs w:val="22"/>
        </w:rPr>
        <w:noBreakHyphen/>
      </w:r>
      <w:r w:rsidRPr="00F64707">
        <w:rPr>
          <w:sz w:val="22"/>
          <w:szCs w:val="22"/>
        </w:rPr>
        <w:t>SI pozorované počas prvých 2</w:t>
      </w:r>
      <w:r w:rsidR="009F2D4A" w:rsidRPr="00F64707">
        <w:rPr>
          <w:sz w:val="22"/>
          <w:szCs w:val="22"/>
        </w:rPr>
        <w:t> </w:t>
      </w:r>
      <w:r w:rsidRPr="00F64707">
        <w:rPr>
          <w:sz w:val="22"/>
          <w:szCs w:val="22"/>
        </w:rPr>
        <w:t>rokov dvojito zaslepenej liečby sa zachovalo počas ďalších 2</w:t>
      </w:r>
      <w:r w:rsidR="009F2D4A" w:rsidRPr="00F64707">
        <w:rPr>
          <w:sz w:val="22"/>
          <w:szCs w:val="22"/>
        </w:rPr>
        <w:t> </w:t>
      </w:r>
      <w:r w:rsidRPr="00F64707">
        <w:rPr>
          <w:sz w:val="22"/>
          <w:szCs w:val="22"/>
        </w:rPr>
        <w:t>rokov predĺžených otvorených štúdií.</w:t>
      </w:r>
    </w:p>
    <w:p w:rsidR="00F1304A" w:rsidRPr="00F64707" w:rsidRDefault="00F1304A" w:rsidP="00F64707">
      <w:pPr>
        <w:rPr>
          <w:sz w:val="22"/>
          <w:szCs w:val="22"/>
        </w:rPr>
      </w:pPr>
    </w:p>
    <w:p w:rsidR="00F1304A" w:rsidRPr="00F64707" w:rsidRDefault="00F1304A" w:rsidP="00F64707">
      <w:pPr>
        <w:keepNext/>
        <w:keepLines/>
        <w:rPr>
          <w:i/>
          <w:sz w:val="22"/>
          <w:szCs w:val="22"/>
        </w:rPr>
      </w:pPr>
      <w:r w:rsidRPr="00F64707">
        <w:rPr>
          <w:i/>
          <w:sz w:val="22"/>
          <w:szCs w:val="22"/>
        </w:rPr>
        <w:t>Q</w:t>
      </w:r>
      <w:r w:rsidRPr="00F64707">
        <w:rPr>
          <w:i/>
          <w:sz w:val="22"/>
          <w:szCs w:val="22"/>
          <w:vertAlign w:val="subscript"/>
        </w:rPr>
        <w:t>max</w:t>
      </w:r>
      <w:r w:rsidR="00E46EC3" w:rsidRPr="00F64707">
        <w:rPr>
          <w:i/>
          <w:sz w:val="22"/>
          <w:szCs w:val="22"/>
        </w:rPr>
        <w:t xml:space="preserve"> (maximálny prietok moču)</w:t>
      </w:r>
      <w:r w:rsidR="00CD05D0" w:rsidRPr="00F64707">
        <w:rPr>
          <w:i/>
          <w:sz w:val="22"/>
          <w:szCs w:val="22"/>
        </w:rPr>
        <w:t>:</w:t>
      </w:r>
    </w:p>
    <w:p w:rsidR="00F1304A" w:rsidRPr="00F64707" w:rsidRDefault="00F1304A" w:rsidP="00F64707">
      <w:pPr>
        <w:keepNext/>
        <w:keepLines/>
        <w:rPr>
          <w:sz w:val="22"/>
          <w:szCs w:val="22"/>
        </w:rPr>
      </w:pPr>
      <w:r w:rsidRPr="00F64707">
        <w:rPr>
          <w:sz w:val="22"/>
          <w:szCs w:val="22"/>
        </w:rPr>
        <w:t xml:space="preserve">Priemerná </w:t>
      </w:r>
      <w:r w:rsidR="001E79C5" w:rsidRPr="00F64707">
        <w:rPr>
          <w:sz w:val="22"/>
          <w:szCs w:val="22"/>
        </w:rPr>
        <w:t xml:space="preserve">východisková </w:t>
      </w:r>
      <w:r w:rsidRPr="00F64707">
        <w:rPr>
          <w:sz w:val="22"/>
          <w:szCs w:val="22"/>
        </w:rPr>
        <w:t>hodnota Q</w:t>
      </w:r>
      <w:r w:rsidRPr="00F64707">
        <w:rPr>
          <w:sz w:val="22"/>
          <w:szCs w:val="22"/>
          <w:vertAlign w:val="subscript"/>
        </w:rPr>
        <w:t>max</w:t>
      </w:r>
      <w:r w:rsidRPr="00F64707">
        <w:rPr>
          <w:sz w:val="22"/>
          <w:szCs w:val="22"/>
        </w:rPr>
        <w:t xml:space="preserve"> v štúdiách bola približne 10</w:t>
      </w:r>
      <w:r w:rsidR="009F2D4A" w:rsidRPr="00F64707">
        <w:rPr>
          <w:sz w:val="22"/>
          <w:szCs w:val="22"/>
        </w:rPr>
        <w:t> </w:t>
      </w:r>
      <w:r w:rsidRPr="00F64707">
        <w:rPr>
          <w:sz w:val="22"/>
          <w:szCs w:val="22"/>
        </w:rPr>
        <w:t>ml/sekund</w:t>
      </w:r>
      <w:r w:rsidR="001E79C5" w:rsidRPr="00F64707">
        <w:rPr>
          <w:sz w:val="22"/>
          <w:szCs w:val="22"/>
        </w:rPr>
        <w:t>a</w:t>
      </w:r>
      <w:r w:rsidRPr="00F64707">
        <w:rPr>
          <w:sz w:val="22"/>
          <w:szCs w:val="22"/>
        </w:rPr>
        <w:t xml:space="preserve"> (normálny Q</w:t>
      </w:r>
      <w:r w:rsidRPr="00F64707">
        <w:rPr>
          <w:sz w:val="22"/>
          <w:szCs w:val="22"/>
          <w:vertAlign w:val="subscript"/>
        </w:rPr>
        <w:t>max</w:t>
      </w:r>
      <w:r w:rsidR="009F2D4A" w:rsidRPr="00F64707">
        <w:rPr>
          <w:sz w:val="22"/>
          <w:szCs w:val="22"/>
        </w:rPr>
        <w:t> </w:t>
      </w:r>
      <w:r w:rsidRPr="00F64707">
        <w:rPr>
          <w:sz w:val="22"/>
          <w:szCs w:val="22"/>
        </w:rPr>
        <w:sym w:font="Symbol" w:char="F0B3"/>
      </w:r>
      <w:r w:rsidR="009F2D4A" w:rsidRPr="00F64707">
        <w:rPr>
          <w:sz w:val="22"/>
          <w:szCs w:val="22"/>
        </w:rPr>
        <w:t> </w:t>
      </w:r>
      <w:r w:rsidR="001E79C5" w:rsidRPr="00F64707">
        <w:rPr>
          <w:sz w:val="22"/>
          <w:szCs w:val="22"/>
        </w:rPr>
        <w:t>15 ml/sek.). Po jednom a </w:t>
      </w:r>
      <w:r w:rsidRPr="00F64707">
        <w:rPr>
          <w:sz w:val="22"/>
          <w:szCs w:val="22"/>
        </w:rPr>
        <w:t>dvoch rokoch liečby sa prietok v skupine s placebom zlepšil o</w:t>
      </w:r>
      <w:r w:rsidR="009F2D4A" w:rsidRPr="00F64707">
        <w:rPr>
          <w:sz w:val="22"/>
          <w:szCs w:val="22"/>
        </w:rPr>
        <w:t> </w:t>
      </w:r>
      <w:r w:rsidRPr="00F64707">
        <w:rPr>
          <w:sz w:val="22"/>
          <w:szCs w:val="22"/>
        </w:rPr>
        <w:t>0,8</w:t>
      </w:r>
      <w:r w:rsidR="001E79C5" w:rsidRPr="00F64707">
        <w:rPr>
          <w:sz w:val="22"/>
          <w:szCs w:val="22"/>
        </w:rPr>
        <w:t xml:space="preserve"> </w:t>
      </w:r>
      <w:r w:rsidRPr="00F64707">
        <w:rPr>
          <w:sz w:val="22"/>
          <w:szCs w:val="22"/>
        </w:rPr>
        <w:t>a</w:t>
      </w:r>
      <w:r w:rsidR="009F2D4A" w:rsidRPr="00F64707">
        <w:rPr>
          <w:sz w:val="22"/>
          <w:szCs w:val="22"/>
        </w:rPr>
        <w:t> </w:t>
      </w:r>
      <w:r w:rsidRPr="00F64707">
        <w:rPr>
          <w:sz w:val="22"/>
          <w:szCs w:val="22"/>
        </w:rPr>
        <w:t>0,9</w:t>
      </w:r>
      <w:r w:rsidR="009F2D4A" w:rsidRPr="00F64707">
        <w:rPr>
          <w:sz w:val="22"/>
          <w:szCs w:val="22"/>
        </w:rPr>
        <w:t> </w:t>
      </w:r>
      <w:r w:rsidRPr="00F64707">
        <w:rPr>
          <w:sz w:val="22"/>
          <w:szCs w:val="22"/>
        </w:rPr>
        <w:t>m</w:t>
      </w:r>
      <w:r w:rsidR="001E79C5" w:rsidRPr="00F64707">
        <w:rPr>
          <w:sz w:val="22"/>
          <w:szCs w:val="22"/>
        </w:rPr>
        <w:t>l/sek. a </w:t>
      </w:r>
      <w:r w:rsidRPr="00F64707">
        <w:rPr>
          <w:sz w:val="22"/>
          <w:szCs w:val="22"/>
        </w:rPr>
        <w:t>1,7</w:t>
      </w:r>
      <w:r w:rsidR="001E79C5" w:rsidRPr="00F64707">
        <w:rPr>
          <w:sz w:val="22"/>
          <w:szCs w:val="22"/>
        </w:rPr>
        <w:t xml:space="preserve"> </w:t>
      </w:r>
      <w:r w:rsidRPr="00F64707">
        <w:rPr>
          <w:sz w:val="22"/>
          <w:szCs w:val="22"/>
        </w:rPr>
        <w:t>a</w:t>
      </w:r>
      <w:r w:rsidR="009F2D4A" w:rsidRPr="00F64707">
        <w:rPr>
          <w:sz w:val="22"/>
          <w:szCs w:val="22"/>
        </w:rPr>
        <w:t> </w:t>
      </w:r>
      <w:r w:rsidRPr="00F64707">
        <w:rPr>
          <w:sz w:val="22"/>
          <w:szCs w:val="22"/>
        </w:rPr>
        <w:t>2,0</w:t>
      </w:r>
      <w:r w:rsidR="009F2D4A" w:rsidRPr="00F64707">
        <w:rPr>
          <w:sz w:val="22"/>
          <w:szCs w:val="22"/>
        </w:rPr>
        <w:t> </w:t>
      </w:r>
      <w:r w:rsidRPr="00F64707">
        <w:rPr>
          <w:sz w:val="22"/>
          <w:szCs w:val="22"/>
        </w:rPr>
        <w:t>ml/sek. v skupine s </w:t>
      </w:r>
      <w:r w:rsidR="001E79C5" w:rsidRPr="00F64707">
        <w:rPr>
          <w:sz w:val="22"/>
          <w:szCs w:val="22"/>
        </w:rPr>
        <w:t>dutasteridom</w:t>
      </w:r>
      <w:r w:rsidRPr="00F64707">
        <w:rPr>
          <w:sz w:val="22"/>
          <w:szCs w:val="22"/>
        </w:rPr>
        <w:t>. Rozdiel medzi skupinami bol štatisticky signifikantný od</w:t>
      </w:r>
      <w:r w:rsidR="001E79C5" w:rsidRPr="00F64707">
        <w:rPr>
          <w:sz w:val="22"/>
          <w:szCs w:val="22"/>
        </w:rPr>
        <w:t xml:space="preserve"> </w:t>
      </w:r>
      <w:r w:rsidRPr="00F64707">
        <w:rPr>
          <w:sz w:val="22"/>
          <w:szCs w:val="22"/>
        </w:rPr>
        <w:t>1.</w:t>
      </w:r>
      <w:r w:rsidR="009F2D4A" w:rsidRPr="00F64707">
        <w:rPr>
          <w:sz w:val="22"/>
          <w:szCs w:val="22"/>
        </w:rPr>
        <w:t> </w:t>
      </w:r>
      <w:r w:rsidRPr="00F64707">
        <w:rPr>
          <w:sz w:val="22"/>
          <w:szCs w:val="22"/>
        </w:rPr>
        <w:t>mesiaca po</w:t>
      </w:r>
      <w:r w:rsidR="001E79C5" w:rsidRPr="00F64707">
        <w:rPr>
          <w:sz w:val="22"/>
          <w:szCs w:val="22"/>
        </w:rPr>
        <w:t xml:space="preserve"> </w:t>
      </w:r>
      <w:r w:rsidRPr="00F64707">
        <w:rPr>
          <w:sz w:val="22"/>
          <w:szCs w:val="22"/>
        </w:rPr>
        <w:t>24.</w:t>
      </w:r>
      <w:r w:rsidR="009F2D4A" w:rsidRPr="00F64707">
        <w:rPr>
          <w:sz w:val="22"/>
          <w:szCs w:val="22"/>
        </w:rPr>
        <w:t> </w:t>
      </w:r>
      <w:r w:rsidRPr="00F64707">
        <w:rPr>
          <w:sz w:val="22"/>
          <w:szCs w:val="22"/>
        </w:rPr>
        <w:t>mesiac. Zvýšenie maximálnej rýchlosti prietoku moč</w:t>
      </w:r>
      <w:r w:rsidR="008E712D" w:rsidRPr="00F64707">
        <w:rPr>
          <w:sz w:val="22"/>
          <w:szCs w:val="22"/>
        </w:rPr>
        <w:t>u</w:t>
      </w:r>
      <w:r w:rsidRPr="00F64707">
        <w:rPr>
          <w:sz w:val="22"/>
          <w:szCs w:val="22"/>
        </w:rPr>
        <w:t xml:space="preserve"> pozorované počas prvých 2</w:t>
      </w:r>
      <w:r w:rsidR="009F2D4A" w:rsidRPr="00F64707">
        <w:rPr>
          <w:sz w:val="22"/>
          <w:szCs w:val="22"/>
        </w:rPr>
        <w:t> </w:t>
      </w:r>
      <w:r w:rsidRPr="00F64707">
        <w:rPr>
          <w:sz w:val="22"/>
          <w:szCs w:val="22"/>
        </w:rPr>
        <w:t>rokov dvojito zaslepenej liečby sa zachovalo počas ďalších 2</w:t>
      </w:r>
      <w:r w:rsidR="009F2D4A" w:rsidRPr="00F64707">
        <w:rPr>
          <w:sz w:val="22"/>
          <w:szCs w:val="22"/>
        </w:rPr>
        <w:t> </w:t>
      </w:r>
      <w:r w:rsidRPr="00F64707">
        <w:rPr>
          <w:sz w:val="22"/>
          <w:szCs w:val="22"/>
        </w:rPr>
        <w:t xml:space="preserve">rokov </w:t>
      </w:r>
      <w:bookmarkStart w:id="0" w:name="OLE_LINK1"/>
      <w:r w:rsidRPr="00F64707">
        <w:rPr>
          <w:sz w:val="22"/>
          <w:szCs w:val="22"/>
        </w:rPr>
        <w:t>predĺžených otvorených štúdií.</w:t>
      </w:r>
      <w:bookmarkEnd w:id="0"/>
    </w:p>
    <w:p w:rsidR="00F1304A" w:rsidRPr="00F64707" w:rsidRDefault="00F1304A" w:rsidP="00F64707">
      <w:pPr>
        <w:rPr>
          <w:sz w:val="22"/>
          <w:szCs w:val="22"/>
        </w:rPr>
      </w:pPr>
    </w:p>
    <w:p w:rsidR="00F1304A" w:rsidRPr="00F64707" w:rsidRDefault="001E79C5" w:rsidP="00F64707">
      <w:pPr>
        <w:pStyle w:val="Nadpis5"/>
        <w:jc w:val="left"/>
        <w:rPr>
          <w:rFonts w:ascii="Times New Roman" w:hAnsi="Times New Roman"/>
          <w:i w:val="0"/>
          <w:sz w:val="22"/>
          <w:szCs w:val="22"/>
        </w:rPr>
      </w:pPr>
      <w:r w:rsidRPr="00F64707">
        <w:rPr>
          <w:rFonts w:ascii="Times New Roman" w:hAnsi="Times New Roman"/>
          <w:sz w:val="22"/>
          <w:szCs w:val="22"/>
        </w:rPr>
        <w:t xml:space="preserve">Akútna retencia moču </w:t>
      </w:r>
      <w:r w:rsidR="00E46EC3" w:rsidRPr="00F64707">
        <w:rPr>
          <w:rFonts w:ascii="Times New Roman" w:hAnsi="Times New Roman"/>
          <w:sz w:val="22"/>
          <w:szCs w:val="22"/>
        </w:rPr>
        <w:t xml:space="preserve">(AUR) </w:t>
      </w:r>
      <w:r w:rsidRPr="00F64707">
        <w:rPr>
          <w:rFonts w:ascii="Times New Roman" w:hAnsi="Times New Roman"/>
          <w:sz w:val="22"/>
          <w:szCs w:val="22"/>
        </w:rPr>
        <w:t>a </w:t>
      </w:r>
      <w:r w:rsidR="00F1304A" w:rsidRPr="00F64707">
        <w:rPr>
          <w:rFonts w:ascii="Times New Roman" w:hAnsi="Times New Roman"/>
          <w:sz w:val="22"/>
          <w:szCs w:val="22"/>
        </w:rPr>
        <w:t>chirurgická intervencia</w:t>
      </w:r>
      <w:r w:rsidR="00CD05D0" w:rsidRPr="00F64707">
        <w:rPr>
          <w:rFonts w:ascii="Times New Roman" w:hAnsi="Times New Roman"/>
          <w:sz w:val="22"/>
          <w:szCs w:val="22"/>
        </w:rPr>
        <w:t>:</w:t>
      </w: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Po dvoch rokoch liečby bol</w:t>
      </w:r>
      <w:r w:rsidR="00E46EC3" w:rsidRPr="00F64707">
        <w:rPr>
          <w:rFonts w:ascii="Times New Roman" w:hAnsi="Times New Roman"/>
          <w:sz w:val="22"/>
          <w:szCs w:val="22"/>
        </w:rPr>
        <w:t>a</w:t>
      </w:r>
      <w:r w:rsidRPr="00F64707">
        <w:rPr>
          <w:rFonts w:ascii="Times New Roman" w:hAnsi="Times New Roman"/>
          <w:sz w:val="22"/>
          <w:szCs w:val="22"/>
        </w:rPr>
        <w:t xml:space="preserve"> </w:t>
      </w:r>
      <w:r w:rsidR="00E46EC3" w:rsidRPr="00F64707">
        <w:rPr>
          <w:rFonts w:ascii="Times New Roman" w:hAnsi="Times New Roman"/>
          <w:sz w:val="22"/>
          <w:szCs w:val="22"/>
        </w:rPr>
        <w:t>incidencia</w:t>
      </w:r>
      <w:r w:rsidRPr="00F64707">
        <w:rPr>
          <w:rFonts w:ascii="Times New Roman" w:hAnsi="Times New Roman"/>
          <w:sz w:val="22"/>
          <w:szCs w:val="22"/>
        </w:rPr>
        <w:t xml:space="preserve"> AUR v skupine s placebom 4,2</w:t>
      </w:r>
      <w:r w:rsidR="00D322B7" w:rsidRPr="00F64707">
        <w:rPr>
          <w:rFonts w:ascii="Times New Roman" w:hAnsi="Times New Roman"/>
          <w:sz w:val="22"/>
          <w:szCs w:val="22"/>
        </w:rPr>
        <w:t> </w:t>
      </w:r>
      <w:r w:rsidRPr="00F64707">
        <w:rPr>
          <w:rFonts w:ascii="Times New Roman" w:hAnsi="Times New Roman"/>
          <w:sz w:val="22"/>
          <w:szCs w:val="22"/>
        </w:rPr>
        <w:t>% oproti 1,8</w:t>
      </w:r>
      <w:r w:rsidR="00D322B7" w:rsidRPr="00F64707">
        <w:rPr>
          <w:rFonts w:ascii="Times New Roman" w:hAnsi="Times New Roman"/>
          <w:sz w:val="22"/>
          <w:szCs w:val="22"/>
        </w:rPr>
        <w:t> </w:t>
      </w:r>
      <w:r w:rsidRPr="00F64707">
        <w:rPr>
          <w:rFonts w:ascii="Times New Roman" w:hAnsi="Times New Roman"/>
          <w:sz w:val="22"/>
          <w:szCs w:val="22"/>
        </w:rPr>
        <w:t>% v skupine s </w:t>
      </w:r>
      <w:r w:rsidR="001E79C5" w:rsidRPr="00F64707">
        <w:rPr>
          <w:rFonts w:ascii="Times New Roman" w:hAnsi="Times New Roman"/>
          <w:sz w:val="22"/>
          <w:szCs w:val="22"/>
        </w:rPr>
        <w:t>dutasteridom</w:t>
      </w:r>
      <w:r w:rsidRPr="00F64707">
        <w:rPr>
          <w:rFonts w:ascii="Times New Roman" w:hAnsi="Times New Roman"/>
          <w:sz w:val="22"/>
          <w:szCs w:val="22"/>
        </w:rPr>
        <w:t xml:space="preserve"> (57</w:t>
      </w:r>
      <w:r w:rsidR="00E12A40" w:rsidRPr="00F64707">
        <w:rPr>
          <w:rFonts w:ascii="Times New Roman" w:hAnsi="Times New Roman"/>
          <w:sz w:val="22"/>
          <w:szCs w:val="22"/>
        </w:rPr>
        <w:t xml:space="preserve"> </w:t>
      </w:r>
      <w:r w:rsidRPr="00F64707">
        <w:rPr>
          <w:rFonts w:ascii="Times New Roman" w:hAnsi="Times New Roman"/>
          <w:sz w:val="22"/>
          <w:szCs w:val="22"/>
        </w:rPr>
        <w:t>% zníženie rizika). Tento rozdiel je štatisticky signifika</w:t>
      </w:r>
      <w:r w:rsidR="001E79C5" w:rsidRPr="00F64707">
        <w:rPr>
          <w:rFonts w:ascii="Times New Roman" w:hAnsi="Times New Roman"/>
          <w:sz w:val="22"/>
          <w:szCs w:val="22"/>
        </w:rPr>
        <w:t>ntný a </w:t>
      </w:r>
      <w:r w:rsidRPr="00F64707">
        <w:rPr>
          <w:rFonts w:ascii="Times New Roman" w:hAnsi="Times New Roman"/>
          <w:sz w:val="22"/>
          <w:szCs w:val="22"/>
        </w:rPr>
        <w:t>znamená, že 42</w:t>
      </w:r>
      <w:r w:rsidR="00D322B7" w:rsidRPr="00F64707">
        <w:rPr>
          <w:rFonts w:ascii="Times New Roman" w:hAnsi="Times New Roman"/>
          <w:sz w:val="22"/>
          <w:szCs w:val="22"/>
        </w:rPr>
        <w:t> </w:t>
      </w:r>
      <w:r w:rsidRPr="00F64707">
        <w:rPr>
          <w:rFonts w:ascii="Times New Roman" w:hAnsi="Times New Roman"/>
          <w:sz w:val="22"/>
          <w:szCs w:val="22"/>
        </w:rPr>
        <w:t>pacientov (95</w:t>
      </w:r>
      <w:r w:rsidR="00D322B7" w:rsidRPr="00F64707">
        <w:rPr>
          <w:rFonts w:ascii="Times New Roman" w:hAnsi="Times New Roman"/>
          <w:sz w:val="22"/>
          <w:szCs w:val="22"/>
        </w:rPr>
        <w:t> </w:t>
      </w:r>
      <w:r w:rsidRPr="00F64707">
        <w:rPr>
          <w:rFonts w:ascii="Times New Roman" w:hAnsi="Times New Roman"/>
          <w:sz w:val="22"/>
          <w:szCs w:val="22"/>
        </w:rPr>
        <w:t xml:space="preserve">% </w:t>
      </w:r>
      <w:r w:rsidR="001E79C5" w:rsidRPr="00F64707">
        <w:rPr>
          <w:rFonts w:ascii="Times New Roman" w:hAnsi="Times New Roman"/>
          <w:sz w:val="22"/>
          <w:szCs w:val="22"/>
        </w:rPr>
        <w:t>IS</w:t>
      </w:r>
      <w:r w:rsidRPr="00F64707">
        <w:rPr>
          <w:rFonts w:ascii="Times New Roman" w:hAnsi="Times New Roman"/>
          <w:sz w:val="22"/>
          <w:szCs w:val="22"/>
        </w:rPr>
        <w:t xml:space="preserve"> 30</w:t>
      </w:r>
      <w:r w:rsidR="00D322B7" w:rsidRPr="00F64707">
        <w:rPr>
          <w:rFonts w:ascii="Times New Roman" w:hAnsi="Times New Roman"/>
          <w:sz w:val="22"/>
          <w:szCs w:val="22"/>
        </w:rPr>
        <w:t> </w:t>
      </w:r>
      <w:r w:rsidR="00D322B7" w:rsidRPr="00F64707">
        <w:rPr>
          <w:rFonts w:ascii="Times New Roman" w:hAnsi="Times New Roman"/>
          <w:sz w:val="22"/>
          <w:szCs w:val="22"/>
        </w:rPr>
        <w:noBreakHyphen/>
        <w:t> </w:t>
      </w:r>
      <w:r w:rsidRPr="00F64707">
        <w:rPr>
          <w:rFonts w:ascii="Times New Roman" w:hAnsi="Times New Roman"/>
          <w:sz w:val="22"/>
          <w:szCs w:val="22"/>
        </w:rPr>
        <w:t>73) musí byť liečených po</w:t>
      </w:r>
      <w:r w:rsidR="00D322B7" w:rsidRPr="00F64707">
        <w:rPr>
          <w:rFonts w:ascii="Times New Roman" w:hAnsi="Times New Roman"/>
          <w:sz w:val="22"/>
          <w:szCs w:val="22"/>
        </w:rPr>
        <w:t>čas</w:t>
      </w:r>
      <w:r w:rsidR="00E46EC3" w:rsidRPr="00F64707">
        <w:rPr>
          <w:rFonts w:ascii="Times New Roman" w:hAnsi="Times New Roman"/>
          <w:sz w:val="22"/>
          <w:szCs w:val="22"/>
        </w:rPr>
        <w:t xml:space="preserve"> dvoch rokov, aby sa zabránilo jednému </w:t>
      </w:r>
      <w:r w:rsidRPr="00F64707">
        <w:rPr>
          <w:rFonts w:ascii="Times New Roman" w:hAnsi="Times New Roman"/>
          <w:sz w:val="22"/>
          <w:szCs w:val="22"/>
        </w:rPr>
        <w:t>prípadu AUR.</w:t>
      </w:r>
    </w:p>
    <w:p w:rsidR="00F1304A" w:rsidRPr="00F64707" w:rsidRDefault="00F1304A" w:rsidP="00F64707">
      <w:pPr>
        <w:rPr>
          <w:sz w:val="22"/>
          <w:szCs w:val="22"/>
        </w:rPr>
      </w:pPr>
    </w:p>
    <w:p w:rsidR="00F1304A" w:rsidRPr="00F64707" w:rsidRDefault="00CD05D0" w:rsidP="00F64707">
      <w:pPr>
        <w:rPr>
          <w:sz w:val="22"/>
          <w:szCs w:val="22"/>
        </w:rPr>
      </w:pPr>
      <w:r w:rsidRPr="00F64707">
        <w:rPr>
          <w:sz w:val="22"/>
          <w:szCs w:val="22"/>
        </w:rPr>
        <w:t>Incidencia</w:t>
      </w:r>
      <w:r w:rsidR="00F1304A" w:rsidRPr="00F64707">
        <w:rPr>
          <w:sz w:val="22"/>
          <w:szCs w:val="22"/>
        </w:rPr>
        <w:t xml:space="preserve"> chirurgického zákroku súvisiaceho s BPH </w:t>
      </w:r>
      <w:r w:rsidRPr="00F64707">
        <w:rPr>
          <w:sz w:val="22"/>
          <w:szCs w:val="22"/>
        </w:rPr>
        <w:t xml:space="preserve">bola </w:t>
      </w:r>
      <w:r w:rsidR="00F1304A" w:rsidRPr="00F64707">
        <w:rPr>
          <w:sz w:val="22"/>
          <w:szCs w:val="22"/>
        </w:rPr>
        <w:t>po dvoch rokoch 4,1</w:t>
      </w:r>
      <w:r w:rsidR="00D322B7" w:rsidRPr="00F64707">
        <w:rPr>
          <w:sz w:val="22"/>
          <w:szCs w:val="22"/>
        </w:rPr>
        <w:t> </w:t>
      </w:r>
      <w:r w:rsidR="00F1304A" w:rsidRPr="00F64707">
        <w:rPr>
          <w:sz w:val="22"/>
          <w:szCs w:val="22"/>
        </w:rPr>
        <w:t>% v skupine s</w:t>
      </w:r>
      <w:r w:rsidRPr="00F64707">
        <w:rPr>
          <w:sz w:val="22"/>
          <w:szCs w:val="22"/>
        </w:rPr>
        <w:t> </w:t>
      </w:r>
      <w:r w:rsidR="00F1304A" w:rsidRPr="00F64707">
        <w:rPr>
          <w:sz w:val="22"/>
          <w:szCs w:val="22"/>
        </w:rPr>
        <w:t>placebom a</w:t>
      </w:r>
      <w:r w:rsidR="00D322B7" w:rsidRPr="00F64707">
        <w:rPr>
          <w:sz w:val="22"/>
          <w:szCs w:val="22"/>
        </w:rPr>
        <w:t> </w:t>
      </w:r>
      <w:r w:rsidR="00F1304A" w:rsidRPr="00F64707">
        <w:rPr>
          <w:sz w:val="22"/>
          <w:szCs w:val="22"/>
        </w:rPr>
        <w:t>2,2</w:t>
      </w:r>
      <w:r w:rsidR="00D322B7" w:rsidRPr="00F64707">
        <w:rPr>
          <w:sz w:val="22"/>
          <w:szCs w:val="22"/>
        </w:rPr>
        <w:t> </w:t>
      </w:r>
      <w:r w:rsidR="00F1304A" w:rsidRPr="00F64707">
        <w:rPr>
          <w:sz w:val="22"/>
          <w:szCs w:val="22"/>
        </w:rPr>
        <w:t>% v skupine s </w:t>
      </w:r>
      <w:r w:rsidR="00E46EC3" w:rsidRPr="00F64707">
        <w:rPr>
          <w:sz w:val="22"/>
          <w:szCs w:val="22"/>
        </w:rPr>
        <w:t>dutasteridom</w:t>
      </w:r>
      <w:r w:rsidR="00F1304A" w:rsidRPr="00F64707">
        <w:rPr>
          <w:sz w:val="22"/>
          <w:szCs w:val="22"/>
        </w:rPr>
        <w:t xml:space="preserve"> (48</w:t>
      </w:r>
      <w:r w:rsidR="00E12A40" w:rsidRPr="00F64707">
        <w:rPr>
          <w:sz w:val="22"/>
          <w:szCs w:val="22"/>
        </w:rPr>
        <w:t xml:space="preserve"> </w:t>
      </w:r>
      <w:r w:rsidR="00F1304A" w:rsidRPr="00F64707">
        <w:rPr>
          <w:sz w:val="22"/>
          <w:szCs w:val="22"/>
        </w:rPr>
        <w:t>% zníženie rizika). Tento rozdiel</w:t>
      </w:r>
      <w:r w:rsidR="00E46EC3" w:rsidRPr="00F64707">
        <w:rPr>
          <w:sz w:val="22"/>
          <w:szCs w:val="22"/>
        </w:rPr>
        <w:t xml:space="preserve"> je štatisticky signifikantný a </w:t>
      </w:r>
      <w:r w:rsidR="00F1304A" w:rsidRPr="00F64707">
        <w:rPr>
          <w:sz w:val="22"/>
          <w:szCs w:val="22"/>
        </w:rPr>
        <w:t>znamená, že 51</w:t>
      </w:r>
      <w:r w:rsidR="00D322B7" w:rsidRPr="00F64707">
        <w:rPr>
          <w:sz w:val="22"/>
          <w:szCs w:val="22"/>
        </w:rPr>
        <w:t> </w:t>
      </w:r>
      <w:r w:rsidR="00F1304A" w:rsidRPr="00F64707">
        <w:rPr>
          <w:sz w:val="22"/>
          <w:szCs w:val="22"/>
        </w:rPr>
        <w:t xml:space="preserve">pacientov </w:t>
      </w:r>
      <w:r w:rsidR="00F1304A" w:rsidRPr="00163B3E">
        <w:rPr>
          <w:sz w:val="22"/>
          <w:szCs w:val="22"/>
        </w:rPr>
        <w:t>(95</w:t>
      </w:r>
      <w:r w:rsidR="00D322B7" w:rsidRPr="00163B3E">
        <w:rPr>
          <w:sz w:val="22"/>
          <w:szCs w:val="22"/>
        </w:rPr>
        <w:t> </w:t>
      </w:r>
      <w:r w:rsidR="00E46EC3" w:rsidRPr="00163B3E">
        <w:rPr>
          <w:sz w:val="22"/>
          <w:szCs w:val="22"/>
        </w:rPr>
        <w:t>% IS</w:t>
      </w:r>
      <w:r w:rsidR="00F1304A" w:rsidRPr="00163B3E">
        <w:rPr>
          <w:sz w:val="22"/>
          <w:szCs w:val="22"/>
        </w:rPr>
        <w:t xml:space="preserve"> 33</w:t>
      </w:r>
      <w:r w:rsidR="00D322B7" w:rsidRPr="00163B3E">
        <w:rPr>
          <w:sz w:val="22"/>
          <w:szCs w:val="22"/>
        </w:rPr>
        <w:t> </w:t>
      </w:r>
      <w:r w:rsidR="00D322B7" w:rsidRPr="00163B3E">
        <w:rPr>
          <w:sz w:val="22"/>
          <w:szCs w:val="22"/>
        </w:rPr>
        <w:noBreakHyphen/>
        <w:t> </w:t>
      </w:r>
      <w:r w:rsidR="00163B3E" w:rsidRPr="00163B3E">
        <w:rPr>
          <w:sz w:val="22"/>
          <w:szCs w:val="22"/>
        </w:rPr>
        <w:t>103</w:t>
      </w:r>
      <w:r w:rsidR="00F1304A" w:rsidRPr="00F64707">
        <w:rPr>
          <w:sz w:val="22"/>
          <w:szCs w:val="22"/>
        </w:rPr>
        <w:t>) musí byť liečených po</w:t>
      </w:r>
      <w:r w:rsidR="00D322B7" w:rsidRPr="00F64707">
        <w:rPr>
          <w:sz w:val="22"/>
          <w:szCs w:val="22"/>
        </w:rPr>
        <w:t>čas</w:t>
      </w:r>
      <w:r w:rsidR="00F1304A" w:rsidRPr="00F64707">
        <w:rPr>
          <w:sz w:val="22"/>
          <w:szCs w:val="22"/>
        </w:rPr>
        <w:t xml:space="preserve"> dvoch rokov, aby sa zabránilo jednej chirurgickej intervencii.</w:t>
      </w:r>
    </w:p>
    <w:p w:rsidR="00F1304A" w:rsidRPr="00F64707" w:rsidRDefault="00F1304A" w:rsidP="00F64707">
      <w:pPr>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Poruchy vlasov</w:t>
      </w:r>
      <w:r w:rsidR="00CD05D0" w:rsidRPr="00F64707">
        <w:rPr>
          <w:rFonts w:ascii="Times New Roman" w:hAnsi="Times New Roman"/>
          <w:sz w:val="22"/>
          <w:szCs w:val="22"/>
        </w:rPr>
        <w:t>:</w:t>
      </w:r>
    </w:p>
    <w:p w:rsidR="00F1304A" w:rsidRPr="00F64707" w:rsidRDefault="00F1304A" w:rsidP="00F64707">
      <w:pPr>
        <w:rPr>
          <w:sz w:val="22"/>
          <w:szCs w:val="22"/>
        </w:rPr>
      </w:pPr>
      <w:r w:rsidRPr="00F64707">
        <w:rPr>
          <w:sz w:val="22"/>
          <w:szCs w:val="22"/>
        </w:rPr>
        <w:t>Účinok dutasteridu na rozloženie vlasov sa počas fázy</w:t>
      </w:r>
      <w:r w:rsidR="00E46EC3" w:rsidRPr="00F64707">
        <w:rPr>
          <w:sz w:val="22"/>
          <w:szCs w:val="22"/>
        </w:rPr>
        <w:t xml:space="preserve"> </w:t>
      </w:r>
      <w:r w:rsidRPr="00F64707">
        <w:rPr>
          <w:sz w:val="22"/>
          <w:szCs w:val="22"/>
        </w:rPr>
        <w:t xml:space="preserve">III programu formálne neskúmal, inhibítory </w:t>
      </w:r>
      <w:r w:rsidR="006D712F" w:rsidRPr="00F64707">
        <w:rPr>
          <w:sz w:val="22"/>
          <w:szCs w:val="22"/>
        </w:rPr>
        <w:t xml:space="preserve">5-alfa-reduktázy </w:t>
      </w:r>
      <w:r w:rsidRPr="00F64707">
        <w:rPr>
          <w:sz w:val="22"/>
          <w:szCs w:val="22"/>
        </w:rPr>
        <w:t>však m</w:t>
      </w:r>
      <w:r w:rsidR="00E46EC3" w:rsidRPr="00F64707">
        <w:rPr>
          <w:sz w:val="22"/>
          <w:szCs w:val="22"/>
        </w:rPr>
        <w:t>ôžu znížiť vypadávanie vlasov a </w:t>
      </w:r>
      <w:r w:rsidRPr="00F64707">
        <w:rPr>
          <w:sz w:val="22"/>
          <w:szCs w:val="22"/>
        </w:rPr>
        <w:t>môžu vyvolať rast vlasov u</w:t>
      </w:r>
      <w:r w:rsidR="00E46EC3" w:rsidRPr="00F64707">
        <w:rPr>
          <w:sz w:val="22"/>
          <w:szCs w:val="22"/>
        </w:rPr>
        <w:t> </w:t>
      </w:r>
      <w:r w:rsidRPr="00F64707">
        <w:rPr>
          <w:sz w:val="22"/>
          <w:szCs w:val="22"/>
        </w:rPr>
        <w:t>osôb s mužským typom vypadávania vlasov (mužskou androgenetickou alopéciou).</w:t>
      </w:r>
    </w:p>
    <w:p w:rsidR="00F1304A" w:rsidRPr="00F64707" w:rsidRDefault="00F1304A" w:rsidP="00F64707">
      <w:pPr>
        <w:rPr>
          <w:sz w:val="22"/>
          <w:szCs w:val="22"/>
        </w:rPr>
      </w:pPr>
    </w:p>
    <w:p w:rsidR="00F1304A" w:rsidRPr="00F64707" w:rsidRDefault="00E46EC3" w:rsidP="00F64707">
      <w:pPr>
        <w:pStyle w:val="Zkladntext2"/>
        <w:keepNext/>
        <w:keepLines/>
        <w:jc w:val="left"/>
        <w:rPr>
          <w:rFonts w:ascii="Times New Roman" w:hAnsi="Times New Roman"/>
          <w:sz w:val="22"/>
          <w:szCs w:val="22"/>
        </w:rPr>
      </w:pPr>
      <w:r w:rsidRPr="00F64707">
        <w:rPr>
          <w:rFonts w:ascii="Times New Roman" w:hAnsi="Times New Roman"/>
          <w:i/>
          <w:sz w:val="22"/>
          <w:szCs w:val="22"/>
        </w:rPr>
        <w:t>Funkcia štítnej žľazy</w:t>
      </w:r>
      <w:r w:rsidR="00CD05D0" w:rsidRPr="00F64707">
        <w:rPr>
          <w:rFonts w:ascii="Times New Roman" w:hAnsi="Times New Roman"/>
          <w:i/>
          <w:sz w:val="22"/>
          <w:szCs w:val="22"/>
        </w:rPr>
        <w:t>:</w:t>
      </w:r>
    </w:p>
    <w:p w:rsidR="00F1304A" w:rsidRPr="00F64707" w:rsidRDefault="00F1304A" w:rsidP="00F64707">
      <w:pPr>
        <w:keepNext/>
        <w:keepLines/>
        <w:rPr>
          <w:sz w:val="22"/>
          <w:szCs w:val="22"/>
        </w:rPr>
      </w:pPr>
      <w:r w:rsidRPr="00F64707">
        <w:rPr>
          <w:sz w:val="22"/>
          <w:szCs w:val="22"/>
        </w:rPr>
        <w:t xml:space="preserve">Funkcia štítnej žľazy </w:t>
      </w:r>
      <w:r w:rsidR="00E46EC3" w:rsidRPr="00F64707">
        <w:rPr>
          <w:sz w:val="22"/>
          <w:szCs w:val="22"/>
        </w:rPr>
        <w:t xml:space="preserve">bola </w:t>
      </w:r>
      <w:r w:rsidRPr="00F64707">
        <w:rPr>
          <w:sz w:val="22"/>
          <w:szCs w:val="22"/>
        </w:rPr>
        <w:t>hodnotená v</w:t>
      </w:r>
      <w:r w:rsidR="00E46EC3" w:rsidRPr="00F64707">
        <w:rPr>
          <w:sz w:val="22"/>
          <w:szCs w:val="22"/>
        </w:rPr>
        <w:t> </w:t>
      </w:r>
      <w:r w:rsidRPr="00F64707">
        <w:rPr>
          <w:sz w:val="22"/>
          <w:szCs w:val="22"/>
        </w:rPr>
        <w:t>jednoročnej štúdii</w:t>
      </w:r>
      <w:r w:rsidR="00E46EC3" w:rsidRPr="00F64707">
        <w:rPr>
          <w:sz w:val="22"/>
          <w:szCs w:val="22"/>
        </w:rPr>
        <w:t xml:space="preserve"> u zdravých mužov</w:t>
      </w:r>
      <w:r w:rsidRPr="00F64707">
        <w:rPr>
          <w:sz w:val="22"/>
          <w:szCs w:val="22"/>
        </w:rPr>
        <w:t>. Hladiny voľného tyroxínu boli počas liečby dutasteridom stabilné, ale hladiny TSH boli na konci jednoročnej liečby v porovnaní s placebom mierne zvýšené (o</w:t>
      </w:r>
      <w:r w:rsidR="002C26F4" w:rsidRPr="00F64707">
        <w:rPr>
          <w:sz w:val="22"/>
          <w:szCs w:val="22"/>
        </w:rPr>
        <w:t> </w:t>
      </w:r>
      <w:r w:rsidRPr="00F64707">
        <w:rPr>
          <w:sz w:val="22"/>
          <w:szCs w:val="22"/>
        </w:rPr>
        <w:t>0,4</w:t>
      </w:r>
      <w:r w:rsidR="002C26F4" w:rsidRPr="00F64707">
        <w:rPr>
          <w:sz w:val="22"/>
          <w:szCs w:val="22"/>
        </w:rPr>
        <w:t> </w:t>
      </w:r>
      <w:r w:rsidRPr="00F64707">
        <w:rPr>
          <w:sz w:val="22"/>
          <w:szCs w:val="22"/>
        </w:rPr>
        <w:t xml:space="preserve">MCIU/ml). </w:t>
      </w:r>
      <w:r w:rsidR="00E46EC3" w:rsidRPr="00F64707">
        <w:rPr>
          <w:sz w:val="22"/>
          <w:szCs w:val="22"/>
        </w:rPr>
        <w:t>Aj keď h</w:t>
      </w:r>
      <w:r w:rsidRPr="00F64707">
        <w:rPr>
          <w:sz w:val="22"/>
          <w:szCs w:val="22"/>
        </w:rPr>
        <w:t xml:space="preserve">ladiny TSH boli </w:t>
      </w:r>
      <w:r w:rsidR="00E46EC3" w:rsidRPr="00F64707">
        <w:rPr>
          <w:sz w:val="22"/>
          <w:szCs w:val="22"/>
        </w:rPr>
        <w:t>premenlivé</w:t>
      </w:r>
      <w:r w:rsidRPr="00F64707">
        <w:rPr>
          <w:sz w:val="22"/>
          <w:szCs w:val="22"/>
        </w:rPr>
        <w:t xml:space="preserve">, </w:t>
      </w:r>
      <w:r w:rsidR="00184A61" w:rsidRPr="00F64707">
        <w:rPr>
          <w:sz w:val="22"/>
          <w:szCs w:val="22"/>
        </w:rPr>
        <w:t xml:space="preserve">medián </w:t>
      </w:r>
      <w:r w:rsidRPr="00F64707">
        <w:rPr>
          <w:sz w:val="22"/>
          <w:szCs w:val="22"/>
        </w:rPr>
        <w:t>rozsah</w:t>
      </w:r>
      <w:r w:rsidR="00184A61" w:rsidRPr="00F64707">
        <w:rPr>
          <w:sz w:val="22"/>
          <w:szCs w:val="22"/>
        </w:rPr>
        <w:t>ov</w:t>
      </w:r>
      <w:r w:rsidRPr="00F64707">
        <w:rPr>
          <w:sz w:val="22"/>
          <w:szCs w:val="22"/>
        </w:rPr>
        <w:t xml:space="preserve"> TSH (1,4</w:t>
      </w:r>
      <w:r w:rsidR="002C26F4" w:rsidRPr="00F64707">
        <w:rPr>
          <w:sz w:val="22"/>
          <w:szCs w:val="22"/>
        </w:rPr>
        <w:t> </w:t>
      </w:r>
      <w:r w:rsidR="002C26F4" w:rsidRPr="00F64707">
        <w:rPr>
          <w:sz w:val="22"/>
          <w:szCs w:val="22"/>
        </w:rPr>
        <w:noBreakHyphen/>
        <w:t> </w:t>
      </w:r>
      <w:r w:rsidRPr="00F64707">
        <w:rPr>
          <w:sz w:val="22"/>
          <w:szCs w:val="22"/>
        </w:rPr>
        <w:t>1,9</w:t>
      </w:r>
      <w:r w:rsidR="002C26F4" w:rsidRPr="00F64707">
        <w:rPr>
          <w:sz w:val="22"/>
          <w:szCs w:val="22"/>
        </w:rPr>
        <w:t> </w:t>
      </w:r>
      <w:r w:rsidRPr="00F64707">
        <w:rPr>
          <w:sz w:val="22"/>
          <w:szCs w:val="22"/>
        </w:rPr>
        <w:t>MCIU/ml) zostal v</w:t>
      </w:r>
      <w:r w:rsidR="00184A61" w:rsidRPr="00F64707">
        <w:rPr>
          <w:sz w:val="22"/>
          <w:szCs w:val="22"/>
        </w:rPr>
        <w:t> </w:t>
      </w:r>
      <w:r w:rsidRPr="00F64707">
        <w:rPr>
          <w:sz w:val="22"/>
          <w:szCs w:val="22"/>
        </w:rPr>
        <w:t xml:space="preserve">rámci </w:t>
      </w:r>
      <w:r w:rsidR="00184A61" w:rsidRPr="00F64707">
        <w:rPr>
          <w:sz w:val="22"/>
          <w:szCs w:val="22"/>
        </w:rPr>
        <w:t>referenčných</w:t>
      </w:r>
      <w:r w:rsidRPr="00F64707">
        <w:rPr>
          <w:sz w:val="22"/>
          <w:szCs w:val="22"/>
        </w:rPr>
        <w:t xml:space="preserve"> limitov (0,5</w:t>
      </w:r>
      <w:r w:rsidR="002C26F4" w:rsidRPr="00F64707">
        <w:rPr>
          <w:sz w:val="22"/>
          <w:szCs w:val="22"/>
        </w:rPr>
        <w:t> </w:t>
      </w:r>
      <w:r w:rsidR="002C26F4" w:rsidRPr="00F64707">
        <w:rPr>
          <w:sz w:val="22"/>
          <w:szCs w:val="22"/>
        </w:rPr>
        <w:noBreakHyphen/>
        <w:t> </w:t>
      </w:r>
      <w:r w:rsidRPr="00F64707">
        <w:rPr>
          <w:sz w:val="22"/>
          <w:szCs w:val="22"/>
        </w:rPr>
        <w:t>5/6</w:t>
      </w:r>
      <w:r w:rsidR="002C26F4" w:rsidRPr="00F64707">
        <w:rPr>
          <w:sz w:val="22"/>
          <w:szCs w:val="22"/>
        </w:rPr>
        <w:t> </w:t>
      </w:r>
      <w:r w:rsidRPr="00F64707">
        <w:rPr>
          <w:sz w:val="22"/>
          <w:szCs w:val="22"/>
        </w:rPr>
        <w:t>MCIU/ml), hladiny v</w:t>
      </w:r>
      <w:r w:rsidR="00184A61" w:rsidRPr="00F64707">
        <w:rPr>
          <w:sz w:val="22"/>
          <w:szCs w:val="22"/>
        </w:rPr>
        <w:t>oľného tyroxínu boli stabilné v </w:t>
      </w:r>
      <w:r w:rsidRPr="00F64707">
        <w:rPr>
          <w:sz w:val="22"/>
          <w:szCs w:val="22"/>
        </w:rPr>
        <w:t xml:space="preserve">rámci </w:t>
      </w:r>
      <w:r w:rsidR="00184A61" w:rsidRPr="00F64707">
        <w:rPr>
          <w:sz w:val="22"/>
          <w:szCs w:val="22"/>
        </w:rPr>
        <w:t>referenčného</w:t>
      </w:r>
      <w:r w:rsidRPr="00F64707">
        <w:rPr>
          <w:sz w:val="22"/>
          <w:szCs w:val="22"/>
        </w:rPr>
        <w:t xml:space="preserve"> rozsahu a</w:t>
      </w:r>
      <w:r w:rsidR="00184A61" w:rsidRPr="00F64707">
        <w:rPr>
          <w:sz w:val="22"/>
          <w:szCs w:val="22"/>
        </w:rPr>
        <w:t xml:space="preserve"> podobné pri </w:t>
      </w:r>
      <w:r w:rsidRPr="00F64707">
        <w:rPr>
          <w:sz w:val="22"/>
          <w:szCs w:val="22"/>
        </w:rPr>
        <w:t>placeb</w:t>
      </w:r>
      <w:r w:rsidR="00184A61" w:rsidRPr="00F64707">
        <w:rPr>
          <w:sz w:val="22"/>
          <w:szCs w:val="22"/>
        </w:rPr>
        <w:t xml:space="preserve">e </w:t>
      </w:r>
      <w:r w:rsidRPr="00F64707">
        <w:rPr>
          <w:sz w:val="22"/>
          <w:szCs w:val="22"/>
        </w:rPr>
        <w:t>a</w:t>
      </w:r>
      <w:r w:rsidR="00184A61" w:rsidRPr="00F64707">
        <w:rPr>
          <w:sz w:val="22"/>
          <w:szCs w:val="22"/>
        </w:rPr>
        <w:t> </w:t>
      </w:r>
      <w:r w:rsidRPr="00F64707">
        <w:rPr>
          <w:sz w:val="22"/>
          <w:szCs w:val="22"/>
        </w:rPr>
        <w:t>aj v</w:t>
      </w:r>
      <w:r w:rsidR="00184A61" w:rsidRPr="00F64707">
        <w:rPr>
          <w:sz w:val="22"/>
          <w:szCs w:val="22"/>
        </w:rPr>
        <w:t xml:space="preserve"> liečbe dutasteridom, zmeny </w:t>
      </w:r>
      <w:r w:rsidR="002B26C1">
        <w:rPr>
          <w:sz w:val="22"/>
          <w:szCs w:val="22"/>
        </w:rPr>
        <w:t>hladín</w:t>
      </w:r>
      <w:r w:rsidR="002B26C1" w:rsidRPr="00F64707">
        <w:rPr>
          <w:sz w:val="22"/>
          <w:szCs w:val="22"/>
        </w:rPr>
        <w:t> </w:t>
      </w:r>
      <w:r w:rsidRPr="00F64707">
        <w:rPr>
          <w:sz w:val="22"/>
          <w:szCs w:val="22"/>
        </w:rPr>
        <w:t xml:space="preserve">TSH </w:t>
      </w:r>
      <w:r w:rsidR="00184A61" w:rsidRPr="00F64707">
        <w:rPr>
          <w:sz w:val="22"/>
          <w:szCs w:val="22"/>
        </w:rPr>
        <w:t xml:space="preserve">však </w:t>
      </w:r>
      <w:r w:rsidRPr="00F64707">
        <w:rPr>
          <w:sz w:val="22"/>
          <w:szCs w:val="22"/>
        </w:rPr>
        <w:t>neboli považované za klinicky signifikantné. V klinických štúdiách sa nedokázal nepriaznivý vplyv dutasteridu na funkciu štítnej žľazy.</w:t>
      </w:r>
    </w:p>
    <w:p w:rsidR="00F1304A" w:rsidRPr="00F64707" w:rsidRDefault="00F1304A" w:rsidP="00F64707">
      <w:pPr>
        <w:rPr>
          <w:sz w:val="22"/>
          <w:szCs w:val="22"/>
        </w:rPr>
      </w:pPr>
    </w:p>
    <w:p w:rsidR="00F1304A" w:rsidRPr="00F64707" w:rsidRDefault="00184A61" w:rsidP="00F64707">
      <w:pPr>
        <w:keepNext/>
        <w:keepLines/>
        <w:rPr>
          <w:sz w:val="22"/>
          <w:szCs w:val="22"/>
        </w:rPr>
      </w:pPr>
      <w:r w:rsidRPr="00F64707">
        <w:rPr>
          <w:i/>
          <w:sz w:val="22"/>
          <w:szCs w:val="22"/>
        </w:rPr>
        <w:lastRenderedPageBreak/>
        <w:t>Neoplázia prsníkov</w:t>
      </w:r>
      <w:r w:rsidR="00CD05D0" w:rsidRPr="00F64707">
        <w:rPr>
          <w:i/>
          <w:sz w:val="22"/>
          <w:szCs w:val="22"/>
        </w:rPr>
        <w:t>:</w:t>
      </w:r>
    </w:p>
    <w:p w:rsidR="00F1304A" w:rsidRPr="00F64707" w:rsidRDefault="00184A61" w:rsidP="00F64707">
      <w:pPr>
        <w:keepNext/>
        <w:keepLines/>
        <w:rPr>
          <w:sz w:val="22"/>
          <w:szCs w:val="22"/>
        </w:rPr>
      </w:pPr>
      <w:r w:rsidRPr="00F64707">
        <w:rPr>
          <w:sz w:val="22"/>
          <w:szCs w:val="22"/>
        </w:rPr>
        <w:t>V </w:t>
      </w:r>
      <w:r w:rsidR="00F1304A" w:rsidRPr="00F64707">
        <w:rPr>
          <w:sz w:val="22"/>
          <w:szCs w:val="22"/>
        </w:rPr>
        <w:t>dvojročných klinických skúš</w:t>
      </w:r>
      <w:r w:rsidRPr="00F64707">
        <w:rPr>
          <w:sz w:val="22"/>
          <w:szCs w:val="22"/>
        </w:rPr>
        <w:t>aniac</w:t>
      </w:r>
      <w:r w:rsidR="00F1304A" w:rsidRPr="00F64707">
        <w:rPr>
          <w:sz w:val="22"/>
          <w:szCs w:val="22"/>
        </w:rPr>
        <w:t>h, ktoré poskytujú 3</w:t>
      </w:r>
      <w:r w:rsidR="002C26F4" w:rsidRPr="00F64707">
        <w:rPr>
          <w:sz w:val="22"/>
          <w:szCs w:val="22"/>
        </w:rPr>
        <w:t> </w:t>
      </w:r>
      <w:r w:rsidR="00F1304A" w:rsidRPr="00F64707">
        <w:rPr>
          <w:sz w:val="22"/>
          <w:szCs w:val="22"/>
        </w:rPr>
        <w:t>374</w:t>
      </w:r>
      <w:r w:rsidR="002C26F4" w:rsidRPr="00F64707">
        <w:rPr>
          <w:sz w:val="22"/>
          <w:szCs w:val="22"/>
        </w:rPr>
        <w:t> </w:t>
      </w:r>
      <w:r w:rsidR="00F1304A" w:rsidRPr="00F64707">
        <w:rPr>
          <w:sz w:val="22"/>
          <w:szCs w:val="22"/>
        </w:rPr>
        <w:t>pacient</w:t>
      </w:r>
      <w:r w:rsidR="002C26F4" w:rsidRPr="00F64707">
        <w:rPr>
          <w:sz w:val="22"/>
          <w:szCs w:val="22"/>
        </w:rPr>
        <w:t>o</w:t>
      </w:r>
      <w:r w:rsidR="00F1304A" w:rsidRPr="00F64707">
        <w:rPr>
          <w:sz w:val="22"/>
          <w:szCs w:val="22"/>
        </w:rPr>
        <w:t>rokov expozície dutasteridu, a</w:t>
      </w:r>
      <w:r w:rsidR="002C26F4" w:rsidRPr="00F64707">
        <w:rPr>
          <w:sz w:val="22"/>
          <w:szCs w:val="22"/>
        </w:rPr>
        <w:t> </w:t>
      </w:r>
      <w:r w:rsidR="00CD05D0" w:rsidRPr="00F64707">
        <w:rPr>
          <w:sz w:val="22"/>
          <w:szCs w:val="22"/>
        </w:rPr>
        <w:t>v čase registrácie do</w:t>
      </w:r>
      <w:r w:rsidR="00F1304A" w:rsidRPr="00F64707">
        <w:rPr>
          <w:sz w:val="22"/>
          <w:szCs w:val="22"/>
        </w:rPr>
        <w:t> predĺženej dvojročnej otvorenej štúdii, boli hlásené 2</w:t>
      </w:r>
      <w:r w:rsidR="002C26F4" w:rsidRPr="00F64707">
        <w:rPr>
          <w:sz w:val="22"/>
          <w:szCs w:val="22"/>
        </w:rPr>
        <w:t> </w:t>
      </w:r>
      <w:r w:rsidR="00F1304A" w:rsidRPr="00F64707">
        <w:rPr>
          <w:sz w:val="22"/>
          <w:szCs w:val="22"/>
        </w:rPr>
        <w:t xml:space="preserve">prípady </w:t>
      </w:r>
      <w:r w:rsidR="00CD05D0" w:rsidRPr="00F64707">
        <w:rPr>
          <w:sz w:val="22"/>
          <w:szCs w:val="22"/>
        </w:rPr>
        <w:t>karcinómu</w:t>
      </w:r>
      <w:r w:rsidR="00F1304A" w:rsidRPr="00F64707">
        <w:rPr>
          <w:sz w:val="22"/>
          <w:szCs w:val="22"/>
        </w:rPr>
        <w:t xml:space="preserve"> prsníka u</w:t>
      </w:r>
      <w:r w:rsidR="002C26F4" w:rsidRPr="00F64707">
        <w:rPr>
          <w:sz w:val="22"/>
          <w:szCs w:val="22"/>
        </w:rPr>
        <w:t> </w:t>
      </w:r>
      <w:r w:rsidR="00F1304A" w:rsidRPr="00F64707">
        <w:rPr>
          <w:sz w:val="22"/>
          <w:szCs w:val="22"/>
        </w:rPr>
        <w:t>pacientov liečených dutasteridom a</w:t>
      </w:r>
      <w:r w:rsidR="002C26F4" w:rsidRPr="00F64707">
        <w:rPr>
          <w:sz w:val="22"/>
          <w:szCs w:val="22"/>
        </w:rPr>
        <w:t> </w:t>
      </w:r>
      <w:r w:rsidR="00F1304A" w:rsidRPr="00F64707">
        <w:rPr>
          <w:sz w:val="22"/>
          <w:szCs w:val="22"/>
        </w:rPr>
        <w:t>1</w:t>
      </w:r>
      <w:r w:rsidR="002C26F4" w:rsidRPr="00F64707">
        <w:rPr>
          <w:sz w:val="22"/>
          <w:szCs w:val="22"/>
        </w:rPr>
        <w:t> </w:t>
      </w:r>
      <w:r w:rsidRPr="00F64707">
        <w:rPr>
          <w:sz w:val="22"/>
          <w:szCs w:val="22"/>
        </w:rPr>
        <w:t>prípad u </w:t>
      </w:r>
      <w:r w:rsidR="00F1304A" w:rsidRPr="00F64707">
        <w:rPr>
          <w:sz w:val="22"/>
          <w:szCs w:val="22"/>
        </w:rPr>
        <w:t xml:space="preserve">pacienta </w:t>
      </w:r>
      <w:r w:rsidRPr="00F64707">
        <w:rPr>
          <w:sz w:val="22"/>
          <w:szCs w:val="22"/>
        </w:rPr>
        <w:t>dostávajúceho</w:t>
      </w:r>
      <w:r w:rsidR="00F1304A" w:rsidRPr="00F64707">
        <w:rPr>
          <w:sz w:val="22"/>
          <w:szCs w:val="22"/>
        </w:rPr>
        <w:t xml:space="preserve"> placebo.</w:t>
      </w:r>
      <w:r w:rsidR="008B37E8" w:rsidRPr="00F64707">
        <w:rPr>
          <w:sz w:val="22"/>
          <w:szCs w:val="22"/>
        </w:rPr>
        <w:t xml:space="preserve"> V 4</w:t>
      </w:r>
      <w:r w:rsidR="008B37E8" w:rsidRPr="00F64707">
        <w:rPr>
          <w:sz w:val="22"/>
          <w:szCs w:val="22"/>
        </w:rPr>
        <w:noBreakHyphen/>
        <w:t xml:space="preserve">ročných </w:t>
      </w:r>
      <w:r w:rsidR="006D5156" w:rsidRPr="00F64707">
        <w:rPr>
          <w:sz w:val="22"/>
          <w:szCs w:val="22"/>
        </w:rPr>
        <w:t>klinických skúš</w:t>
      </w:r>
      <w:r w:rsidRPr="00F64707">
        <w:rPr>
          <w:sz w:val="22"/>
          <w:szCs w:val="22"/>
        </w:rPr>
        <w:t>aniach</w:t>
      </w:r>
      <w:r w:rsidR="008B37E8" w:rsidRPr="00F64707">
        <w:rPr>
          <w:sz w:val="22"/>
          <w:szCs w:val="22"/>
        </w:rPr>
        <w:t xml:space="preserve"> CombAT a REDUCE, </w:t>
      </w:r>
      <w:r w:rsidR="00C46044" w:rsidRPr="00F64707">
        <w:rPr>
          <w:sz w:val="22"/>
          <w:szCs w:val="22"/>
        </w:rPr>
        <w:t xml:space="preserve">ktoré poskytujú </w:t>
      </w:r>
      <w:r w:rsidR="008B37E8" w:rsidRPr="00F64707">
        <w:rPr>
          <w:sz w:val="22"/>
          <w:szCs w:val="22"/>
        </w:rPr>
        <w:t>17 489 pacient</w:t>
      </w:r>
      <w:r w:rsidR="002C26F4" w:rsidRPr="00F64707">
        <w:rPr>
          <w:sz w:val="22"/>
          <w:szCs w:val="22"/>
        </w:rPr>
        <w:t>o</w:t>
      </w:r>
      <w:r w:rsidR="00C46044" w:rsidRPr="00F64707">
        <w:rPr>
          <w:sz w:val="22"/>
          <w:szCs w:val="22"/>
        </w:rPr>
        <w:t>ro</w:t>
      </w:r>
      <w:r w:rsidR="008B37E8" w:rsidRPr="00F64707">
        <w:rPr>
          <w:sz w:val="22"/>
          <w:szCs w:val="22"/>
        </w:rPr>
        <w:t>kov expozície dutasteridu a 5 027 pacient</w:t>
      </w:r>
      <w:r w:rsidR="002C26F4" w:rsidRPr="00F64707">
        <w:rPr>
          <w:sz w:val="22"/>
          <w:szCs w:val="22"/>
        </w:rPr>
        <w:t>o</w:t>
      </w:r>
      <w:r w:rsidR="008B37E8" w:rsidRPr="00F64707">
        <w:rPr>
          <w:sz w:val="22"/>
          <w:szCs w:val="22"/>
        </w:rPr>
        <w:t>rokov expozície kombinácii dutasteridu a</w:t>
      </w:r>
      <w:r w:rsidR="00C46044" w:rsidRPr="00F64707">
        <w:rPr>
          <w:sz w:val="22"/>
          <w:szCs w:val="22"/>
        </w:rPr>
        <w:t> </w:t>
      </w:r>
      <w:r w:rsidR="008B37E8" w:rsidRPr="00F64707">
        <w:rPr>
          <w:sz w:val="22"/>
          <w:szCs w:val="22"/>
        </w:rPr>
        <w:t>tamsulozínu</w:t>
      </w:r>
      <w:r w:rsidR="00C46044" w:rsidRPr="00F64707">
        <w:rPr>
          <w:sz w:val="22"/>
          <w:szCs w:val="22"/>
        </w:rPr>
        <w:t xml:space="preserve">, neboli hlásené žiadne </w:t>
      </w:r>
      <w:r w:rsidRPr="00F64707">
        <w:rPr>
          <w:sz w:val="22"/>
          <w:szCs w:val="22"/>
        </w:rPr>
        <w:t xml:space="preserve">ďalšie </w:t>
      </w:r>
      <w:r w:rsidR="00C46044" w:rsidRPr="00F64707">
        <w:rPr>
          <w:sz w:val="22"/>
          <w:szCs w:val="22"/>
        </w:rPr>
        <w:t>prípa</w:t>
      </w:r>
      <w:r w:rsidRPr="00F64707">
        <w:rPr>
          <w:sz w:val="22"/>
          <w:szCs w:val="22"/>
        </w:rPr>
        <w:t xml:space="preserve">dy </w:t>
      </w:r>
      <w:r w:rsidR="00CD05D0" w:rsidRPr="00F64707">
        <w:rPr>
          <w:sz w:val="22"/>
          <w:szCs w:val="22"/>
        </w:rPr>
        <w:t>karcinómu</w:t>
      </w:r>
      <w:r w:rsidRPr="00F64707">
        <w:rPr>
          <w:sz w:val="22"/>
          <w:szCs w:val="22"/>
        </w:rPr>
        <w:t xml:space="preserve"> prsníka v žiadnej z </w:t>
      </w:r>
      <w:r w:rsidR="00C46044" w:rsidRPr="00F64707">
        <w:rPr>
          <w:sz w:val="22"/>
          <w:szCs w:val="22"/>
        </w:rPr>
        <w:t>liečebných skupín</w:t>
      </w:r>
      <w:r w:rsidR="006D5156" w:rsidRPr="00F64707">
        <w:rPr>
          <w:sz w:val="22"/>
          <w:szCs w:val="22"/>
        </w:rPr>
        <w:t>.</w:t>
      </w:r>
    </w:p>
    <w:p w:rsidR="006D5156" w:rsidRPr="00F64707" w:rsidRDefault="006D5156" w:rsidP="00F64707">
      <w:pPr>
        <w:rPr>
          <w:sz w:val="22"/>
          <w:szCs w:val="22"/>
        </w:rPr>
      </w:pPr>
    </w:p>
    <w:p w:rsidR="00F1304A" w:rsidRPr="00F64707" w:rsidRDefault="00C56E69" w:rsidP="00F64707">
      <w:pPr>
        <w:rPr>
          <w:sz w:val="22"/>
          <w:szCs w:val="22"/>
        </w:rPr>
      </w:pPr>
      <w:r w:rsidRPr="00F64707">
        <w:rPr>
          <w:sz w:val="22"/>
          <w:szCs w:val="22"/>
        </w:rPr>
        <w:t>V súčasnosti nie je jasné, či je medzi výsk</w:t>
      </w:r>
      <w:r w:rsidR="00184A61" w:rsidRPr="00F64707">
        <w:rPr>
          <w:sz w:val="22"/>
          <w:szCs w:val="22"/>
        </w:rPr>
        <w:t xml:space="preserve">ytom </w:t>
      </w:r>
      <w:r w:rsidR="00CD05D0" w:rsidRPr="00F64707">
        <w:rPr>
          <w:sz w:val="22"/>
          <w:szCs w:val="22"/>
        </w:rPr>
        <w:t>karcinómu</w:t>
      </w:r>
      <w:r w:rsidR="00184A61" w:rsidRPr="00F64707">
        <w:rPr>
          <w:sz w:val="22"/>
          <w:szCs w:val="22"/>
        </w:rPr>
        <w:t xml:space="preserve"> prsníka u mužov a </w:t>
      </w:r>
      <w:r w:rsidRPr="00F64707">
        <w:rPr>
          <w:sz w:val="22"/>
          <w:szCs w:val="22"/>
        </w:rPr>
        <w:t>dlhodobým užívaním dutasteridu príčinný vzťah.</w:t>
      </w:r>
    </w:p>
    <w:p w:rsidR="00CD05D0" w:rsidRPr="00F64707" w:rsidRDefault="00CD05D0" w:rsidP="00F64707">
      <w:pPr>
        <w:pStyle w:val="Zkladntext2"/>
        <w:jc w:val="left"/>
        <w:rPr>
          <w:rFonts w:ascii="Times New Roman" w:hAnsi="Times New Roman"/>
          <w:i/>
          <w:iCs/>
          <w:sz w:val="22"/>
          <w:szCs w:val="22"/>
        </w:rPr>
      </w:pPr>
    </w:p>
    <w:p w:rsidR="00F1304A" w:rsidRPr="00F64707" w:rsidRDefault="00F1304A" w:rsidP="00F64707">
      <w:pPr>
        <w:pStyle w:val="Zkladntext2"/>
        <w:keepNext/>
        <w:jc w:val="left"/>
        <w:rPr>
          <w:rFonts w:ascii="Times New Roman" w:hAnsi="Times New Roman"/>
          <w:i/>
          <w:iCs/>
          <w:sz w:val="22"/>
          <w:szCs w:val="22"/>
        </w:rPr>
      </w:pPr>
      <w:r w:rsidRPr="00F64707">
        <w:rPr>
          <w:rFonts w:ascii="Times New Roman" w:hAnsi="Times New Roman"/>
          <w:i/>
          <w:iCs/>
          <w:sz w:val="22"/>
          <w:szCs w:val="22"/>
        </w:rPr>
        <w:t>Účinky na mužskú fertilitu</w:t>
      </w:r>
      <w:r w:rsidR="00CD05D0" w:rsidRPr="00F64707">
        <w:rPr>
          <w:rFonts w:ascii="Times New Roman" w:hAnsi="Times New Roman"/>
          <w:i/>
          <w:iCs/>
          <w:sz w:val="22"/>
          <w:szCs w:val="22"/>
        </w:rPr>
        <w:t>:</w:t>
      </w:r>
    </w:p>
    <w:p w:rsidR="00F1304A" w:rsidRPr="00F64707" w:rsidRDefault="00F1304A" w:rsidP="00F64707">
      <w:pPr>
        <w:pStyle w:val="Zkladntext2"/>
        <w:jc w:val="left"/>
        <w:rPr>
          <w:rFonts w:ascii="Times New Roman" w:hAnsi="Times New Roman"/>
          <w:i/>
          <w:iCs/>
          <w:sz w:val="22"/>
          <w:szCs w:val="22"/>
        </w:rPr>
      </w:pPr>
      <w:r w:rsidRPr="00F64707">
        <w:rPr>
          <w:rFonts w:ascii="Times New Roman" w:hAnsi="Times New Roman"/>
          <w:sz w:val="22"/>
          <w:szCs w:val="22"/>
        </w:rPr>
        <w:t>Účinky dutasteridu v dávke 0,5</w:t>
      </w:r>
      <w:r w:rsidR="002C26F4" w:rsidRPr="00F64707">
        <w:rPr>
          <w:rFonts w:ascii="Times New Roman" w:hAnsi="Times New Roman"/>
          <w:sz w:val="22"/>
          <w:szCs w:val="22"/>
        </w:rPr>
        <w:t> </w:t>
      </w:r>
      <w:r w:rsidRPr="00F64707">
        <w:rPr>
          <w:rFonts w:ascii="Times New Roman" w:hAnsi="Times New Roman"/>
          <w:sz w:val="22"/>
          <w:szCs w:val="22"/>
        </w:rPr>
        <w:t>mg/deň na charakteristické vlastnosti spermy boli hodnotené u zdravých dobrovoľníkov vo veku 18</w:t>
      </w:r>
      <w:r w:rsidR="002C26F4" w:rsidRPr="00F64707">
        <w:rPr>
          <w:rFonts w:ascii="Times New Roman" w:hAnsi="Times New Roman"/>
          <w:sz w:val="22"/>
          <w:szCs w:val="22"/>
        </w:rPr>
        <w:t> </w:t>
      </w:r>
      <w:r w:rsidRPr="00F64707">
        <w:rPr>
          <w:rFonts w:ascii="Times New Roman" w:hAnsi="Times New Roman"/>
          <w:sz w:val="22"/>
          <w:szCs w:val="22"/>
        </w:rPr>
        <w:t>až</w:t>
      </w:r>
      <w:r w:rsidR="00184A61" w:rsidRPr="00F64707">
        <w:rPr>
          <w:rFonts w:ascii="Times New Roman" w:hAnsi="Times New Roman"/>
          <w:sz w:val="22"/>
          <w:szCs w:val="22"/>
        </w:rPr>
        <w:t xml:space="preserve"> </w:t>
      </w:r>
      <w:r w:rsidRPr="00F64707">
        <w:rPr>
          <w:rFonts w:ascii="Times New Roman" w:hAnsi="Times New Roman"/>
          <w:sz w:val="22"/>
          <w:szCs w:val="22"/>
        </w:rPr>
        <w:t>52</w:t>
      </w:r>
      <w:r w:rsidR="002C26F4" w:rsidRPr="00F64707">
        <w:rPr>
          <w:rFonts w:ascii="Times New Roman" w:hAnsi="Times New Roman"/>
          <w:sz w:val="22"/>
          <w:szCs w:val="22"/>
        </w:rPr>
        <w:t> </w:t>
      </w:r>
      <w:r w:rsidRPr="00F64707">
        <w:rPr>
          <w:rFonts w:ascii="Times New Roman" w:hAnsi="Times New Roman"/>
          <w:sz w:val="22"/>
          <w:szCs w:val="22"/>
        </w:rPr>
        <w:t>rokov (n</w:t>
      </w:r>
      <w:r w:rsidR="00201671" w:rsidRPr="00F64707">
        <w:rPr>
          <w:rFonts w:ascii="Times New Roman" w:hAnsi="Times New Roman"/>
          <w:sz w:val="22"/>
          <w:szCs w:val="22"/>
        </w:rPr>
        <w:t> </w:t>
      </w:r>
      <w:r w:rsidRPr="00F64707">
        <w:rPr>
          <w:rFonts w:ascii="Times New Roman" w:hAnsi="Times New Roman"/>
          <w:sz w:val="22"/>
          <w:szCs w:val="22"/>
        </w:rPr>
        <w:t>=</w:t>
      </w:r>
      <w:r w:rsidR="00201671" w:rsidRPr="00F64707">
        <w:rPr>
          <w:rFonts w:ascii="Times New Roman" w:hAnsi="Times New Roman"/>
          <w:sz w:val="22"/>
          <w:szCs w:val="22"/>
        </w:rPr>
        <w:t> </w:t>
      </w:r>
      <w:r w:rsidRPr="00F64707">
        <w:rPr>
          <w:rFonts w:ascii="Times New Roman" w:hAnsi="Times New Roman"/>
          <w:sz w:val="22"/>
          <w:szCs w:val="22"/>
        </w:rPr>
        <w:t>27 pre dutasterid, n</w:t>
      </w:r>
      <w:r w:rsidR="00201671" w:rsidRPr="00F64707">
        <w:rPr>
          <w:rFonts w:ascii="Times New Roman" w:hAnsi="Times New Roman"/>
          <w:sz w:val="22"/>
          <w:szCs w:val="22"/>
        </w:rPr>
        <w:t> </w:t>
      </w:r>
      <w:r w:rsidRPr="00F64707">
        <w:rPr>
          <w:rFonts w:ascii="Times New Roman" w:hAnsi="Times New Roman"/>
          <w:sz w:val="22"/>
          <w:szCs w:val="22"/>
        </w:rPr>
        <w:t>=</w:t>
      </w:r>
      <w:r w:rsidR="00201671" w:rsidRPr="00F64707">
        <w:rPr>
          <w:rFonts w:ascii="Times New Roman" w:hAnsi="Times New Roman"/>
          <w:sz w:val="22"/>
          <w:szCs w:val="22"/>
        </w:rPr>
        <w:t> </w:t>
      </w:r>
      <w:r w:rsidRPr="00F64707">
        <w:rPr>
          <w:rFonts w:ascii="Times New Roman" w:hAnsi="Times New Roman"/>
          <w:sz w:val="22"/>
          <w:szCs w:val="22"/>
        </w:rPr>
        <w:t>23 pre placebo) počas 52</w:t>
      </w:r>
      <w:r w:rsidR="002C26F4" w:rsidRPr="00F64707">
        <w:rPr>
          <w:rFonts w:ascii="Times New Roman" w:hAnsi="Times New Roman"/>
          <w:sz w:val="22"/>
          <w:szCs w:val="22"/>
        </w:rPr>
        <w:t> </w:t>
      </w:r>
      <w:r w:rsidRPr="00F64707">
        <w:rPr>
          <w:rFonts w:ascii="Times New Roman" w:hAnsi="Times New Roman"/>
          <w:sz w:val="22"/>
          <w:szCs w:val="22"/>
        </w:rPr>
        <w:t>týždňov liečby a 24</w:t>
      </w:r>
      <w:r w:rsidR="002C26F4" w:rsidRPr="00F64707">
        <w:rPr>
          <w:rFonts w:ascii="Times New Roman" w:hAnsi="Times New Roman"/>
          <w:sz w:val="22"/>
          <w:szCs w:val="22"/>
        </w:rPr>
        <w:t> </w:t>
      </w:r>
      <w:r w:rsidRPr="00F64707">
        <w:rPr>
          <w:rFonts w:ascii="Times New Roman" w:hAnsi="Times New Roman"/>
          <w:sz w:val="22"/>
          <w:szCs w:val="22"/>
        </w:rPr>
        <w:t>týždňov sledovania po liečbe. V 52</w:t>
      </w:r>
      <w:r w:rsidR="002C26F4" w:rsidRPr="00F64707">
        <w:rPr>
          <w:rFonts w:ascii="Times New Roman" w:hAnsi="Times New Roman"/>
          <w:sz w:val="22"/>
          <w:szCs w:val="22"/>
        </w:rPr>
        <w:t>. </w:t>
      </w:r>
      <w:r w:rsidRPr="00F64707">
        <w:rPr>
          <w:rFonts w:ascii="Times New Roman" w:hAnsi="Times New Roman"/>
          <w:sz w:val="22"/>
          <w:szCs w:val="22"/>
        </w:rPr>
        <w:t>týždni bolo v</w:t>
      </w:r>
      <w:r w:rsidR="00126759" w:rsidRPr="00F64707">
        <w:rPr>
          <w:rFonts w:ascii="Times New Roman" w:hAnsi="Times New Roman"/>
          <w:sz w:val="22"/>
          <w:szCs w:val="22"/>
        </w:rPr>
        <w:t> </w:t>
      </w:r>
      <w:r w:rsidRPr="00F64707">
        <w:rPr>
          <w:rFonts w:ascii="Times New Roman" w:hAnsi="Times New Roman"/>
          <w:sz w:val="22"/>
          <w:szCs w:val="22"/>
        </w:rPr>
        <w:t xml:space="preserve">skupine s dutasteridom priemerné percentuálne zníženie od </w:t>
      </w:r>
      <w:r w:rsidR="00184A61" w:rsidRPr="00F64707">
        <w:rPr>
          <w:rFonts w:ascii="Times New Roman" w:hAnsi="Times New Roman"/>
          <w:sz w:val="22"/>
          <w:szCs w:val="22"/>
        </w:rPr>
        <w:t>východiskových hodnôt v </w:t>
      </w:r>
      <w:r w:rsidRPr="00F64707">
        <w:rPr>
          <w:rFonts w:ascii="Times New Roman" w:hAnsi="Times New Roman"/>
          <w:sz w:val="22"/>
          <w:szCs w:val="22"/>
        </w:rPr>
        <w:t>celkovom počte spermií 23</w:t>
      </w:r>
      <w:r w:rsidR="002C26F4" w:rsidRPr="00F64707">
        <w:rPr>
          <w:rFonts w:ascii="Times New Roman" w:hAnsi="Times New Roman"/>
          <w:sz w:val="22"/>
          <w:szCs w:val="22"/>
        </w:rPr>
        <w:t> </w:t>
      </w:r>
      <w:r w:rsidR="00184A61" w:rsidRPr="00F64707">
        <w:rPr>
          <w:rFonts w:ascii="Times New Roman" w:hAnsi="Times New Roman"/>
          <w:sz w:val="22"/>
          <w:szCs w:val="22"/>
        </w:rPr>
        <w:t>%, v </w:t>
      </w:r>
      <w:r w:rsidRPr="00F64707">
        <w:rPr>
          <w:rFonts w:ascii="Times New Roman" w:hAnsi="Times New Roman"/>
          <w:sz w:val="22"/>
          <w:szCs w:val="22"/>
        </w:rPr>
        <w:t>objeme spermy 26</w:t>
      </w:r>
      <w:r w:rsidR="002C26F4" w:rsidRPr="00F64707">
        <w:rPr>
          <w:rFonts w:ascii="Times New Roman" w:hAnsi="Times New Roman"/>
          <w:sz w:val="22"/>
          <w:szCs w:val="22"/>
        </w:rPr>
        <w:t> </w:t>
      </w:r>
      <w:r w:rsidR="00184A61" w:rsidRPr="00F64707">
        <w:rPr>
          <w:rFonts w:ascii="Times New Roman" w:hAnsi="Times New Roman"/>
          <w:sz w:val="22"/>
          <w:szCs w:val="22"/>
        </w:rPr>
        <w:t>% a </w:t>
      </w:r>
      <w:r w:rsidRPr="00F64707">
        <w:rPr>
          <w:rFonts w:ascii="Times New Roman" w:hAnsi="Times New Roman"/>
          <w:sz w:val="22"/>
          <w:szCs w:val="22"/>
        </w:rPr>
        <w:t>v motilite spermií 18</w:t>
      </w:r>
      <w:r w:rsidR="002C26F4" w:rsidRPr="00F64707">
        <w:rPr>
          <w:rFonts w:ascii="Times New Roman" w:hAnsi="Times New Roman"/>
          <w:sz w:val="22"/>
          <w:szCs w:val="22"/>
        </w:rPr>
        <w:t> </w:t>
      </w:r>
      <w:r w:rsidR="00126759" w:rsidRPr="00F64707">
        <w:rPr>
          <w:rFonts w:ascii="Times New Roman" w:hAnsi="Times New Roman"/>
          <w:sz w:val="22"/>
          <w:szCs w:val="22"/>
        </w:rPr>
        <w:t>%</w:t>
      </w:r>
      <w:r w:rsidRPr="00F64707">
        <w:rPr>
          <w:rFonts w:ascii="Times New Roman" w:hAnsi="Times New Roman"/>
          <w:sz w:val="22"/>
          <w:szCs w:val="22"/>
        </w:rPr>
        <w:t xml:space="preserve"> po prepočte na zmeny </w:t>
      </w:r>
      <w:r w:rsidR="00184A61" w:rsidRPr="00F64707">
        <w:rPr>
          <w:rFonts w:ascii="Times New Roman" w:hAnsi="Times New Roman"/>
          <w:sz w:val="22"/>
          <w:szCs w:val="22"/>
        </w:rPr>
        <w:t>oproti východiskovým</w:t>
      </w:r>
      <w:r w:rsidRPr="00F64707">
        <w:rPr>
          <w:rFonts w:ascii="Times New Roman" w:hAnsi="Times New Roman"/>
          <w:sz w:val="22"/>
          <w:szCs w:val="22"/>
        </w:rPr>
        <w:t xml:space="preserve"> hodn</w:t>
      </w:r>
      <w:r w:rsidR="00184A61" w:rsidRPr="00F64707">
        <w:rPr>
          <w:rFonts w:ascii="Times New Roman" w:hAnsi="Times New Roman"/>
          <w:sz w:val="22"/>
          <w:szCs w:val="22"/>
        </w:rPr>
        <w:t>otám</w:t>
      </w:r>
      <w:r w:rsidRPr="00F64707">
        <w:rPr>
          <w:rFonts w:ascii="Times New Roman" w:hAnsi="Times New Roman"/>
          <w:sz w:val="22"/>
          <w:szCs w:val="22"/>
        </w:rPr>
        <w:t xml:space="preserve"> v skupine s placebom. Koncentrácia spermií a morfológia spermií nebola ovplyvnená. Po 24</w:t>
      </w:r>
      <w:r w:rsidR="002C26F4" w:rsidRPr="00F64707">
        <w:rPr>
          <w:rFonts w:ascii="Times New Roman" w:hAnsi="Times New Roman"/>
          <w:sz w:val="22"/>
          <w:szCs w:val="22"/>
        </w:rPr>
        <w:t> </w:t>
      </w:r>
      <w:r w:rsidRPr="00F64707">
        <w:rPr>
          <w:rFonts w:ascii="Times New Roman" w:hAnsi="Times New Roman"/>
          <w:sz w:val="22"/>
          <w:szCs w:val="22"/>
        </w:rPr>
        <w:t>týždňoch sledovania zostala priemerná percentuálna zmena v celkovom počte spermií v skupine s dutasteridom o 23</w:t>
      </w:r>
      <w:r w:rsidR="002C26F4" w:rsidRPr="00F64707">
        <w:rPr>
          <w:rFonts w:ascii="Times New Roman" w:hAnsi="Times New Roman"/>
          <w:sz w:val="22"/>
          <w:szCs w:val="22"/>
        </w:rPr>
        <w:t> </w:t>
      </w:r>
      <w:r w:rsidRPr="00F64707">
        <w:rPr>
          <w:rFonts w:ascii="Times New Roman" w:hAnsi="Times New Roman"/>
          <w:sz w:val="22"/>
          <w:szCs w:val="22"/>
        </w:rPr>
        <w:t xml:space="preserve">% nižšia ako boli </w:t>
      </w:r>
      <w:r w:rsidR="00126759" w:rsidRPr="00F64707">
        <w:rPr>
          <w:rFonts w:ascii="Times New Roman" w:hAnsi="Times New Roman"/>
          <w:sz w:val="22"/>
          <w:szCs w:val="22"/>
        </w:rPr>
        <w:t>východiskové</w:t>
      </w:r>
      <w:r w:rsidRPr="00F64707">
        <w:rPr>
          <w:rFonts w:ascii="Times New Roman" w:hAnsi="Times New Roman"/>
          <w:sz w:val="22"/>
          <w:szCs w:val="22"/>
        </w:rPr>
        <w:t xml:space="preserve"> hodnoty. Zatiaľ čo priemerné hodnoty pre všetky parametre zostali vo</w:t>
      </w:r>
      <w:r w:rsidR="002C26F4" w:rsidRPr="00F64707">
        <w:rPr>
          <w:rFonts w:ascii="Times New Roman" w:hAnsi="Times New Roman"/>
          <w:sz w:val="22"/>
          <w:szCs w:val="22"/>
        </w:rPr>
        <w:t> </w:t>
      </w:r>
      <w:r w:rsidRPr="00F64707">
        <w:rPr>
          <w:rFonts w:ascii="Times New Roman" w:hAnsi="Times New Roman"/>
          <w:sz w:val="22"/>
          <w:szCs w:val="22"/>
        </w:rPr>
        <w:t>všetkých časových bodoch v</w:t>
      </w:r>
      <w:r w:rsidR="00D52581" w:rsidRPr="00F64707">
        <w:rPr>
          <w:rFonts w:ascii="Times New Roman" w:hAnsi="Times New Roman"/>
          <w:sz w:val="22"/>
          <w:szCs w:val="22"/>
        </w:rPr>
        <w:t> </w:t>
      </w:r>
      <w:r w:rsidRPr="00F64707">
        <w:rPr>
          <w:rFonts w:ascii="Times New Roman" w:hAnsi="Times New Roman"/>
          <w:sz w:val="22"/>
          <w:szCs w:val="22"/>
        </w:rPr>
        <w:t>rámci</w:t>
      </w:r>
      <w:r w:rsidR="00D52581" w:rsidRPr="00F64707">
        <w:rPr>
          <w:rFonts w:ascii="Times New Roman" w:hAnsi="Times New Roman"/>
          <w:sz w:val="22"/>
          <w:szCs w:val="22"/>
        </w:rPr>
        <w:t xml:space="preserve"> </w:t>
      </w:r>
      <w:r w:rsidR="00126759" w:rsidRPr="00F64707">
        <w:rPr>
          <w:rFonts w:ascii="Times New Roman" w:hAnsi="Times New Roman"/>
          <w:sz w:val="22"/>
          <w:szCs w:val="22"/>
        </w:rPr>
        <w:t>referenčných</w:t>
      </w:r>
      <w:r w:rsidRPr="00F64707">
        <w:rPr>
          <w:rFonts w:ascii="Times New Roman" w:hAnsi="Times New Roman"/>
          <w:sz w:val="22"/>
          <w:szCs w:val="22"/>
        </w:rPr>
        <w:t xml:space="preserve"> rozsahov a nesplnili vopred definované kritériá pre</w:t>
      </w:r>
      <w:r w:rsidR="00126759" w:rsidRPr="00F64707">
        <w:rPr>
          <w:rFonts w:ascii="Times New Roman" w:hAnsi="Times New Roman"/>
          <w:sz w:val="22"/>
          <w:szCs w:val="22"/>
        </w:rPr>
        <w:t xml:space="preserve"> </w:t>
      </w:r>
      <w:r w:rsidRPr="00F64707">
        <w:rPr>
          <w:rFonts w:ascii="Times New Roman" w:hAnsi="Times New Roman"/>
          <w:sz w:val="22"/>
          <w:szCs w:val="22"/>
        </w:rPr>
        <w:t xml:space="preserve">klinicky </w:t>
      </w:r>
      <w:r w:rsidR="00126759" w:rsidRPr="00F64707">
        <w:rPr>
          <w:rFonts w:ascii="Times New Roman" w:hAnsi="Times New Roman"/>
          <w:sz w:val="22"/>
          <w:szCs w:val="22"/>
        </w:rPr>
        <w:t>signifikantnú</w:t>
      </w:r>
      <w:r w:rsidRPr="00F64707">
        <w:rPr>
          <w:rFonts w:ascii="Times New Roman" w:hAnsi="Times New Roman"/>
          <w:sz w:val="22"/>
          <w:szCs w:val="22"/>
        </w:rPr>
        <w:t xml:space="preserve"> zmenu (30</w:t>
      </w:r>
      <w:r w:rsidR="002C26F4" w:rsidRPr="00F64707">
        <w:rPr>
          <w:rFonts w:ascii="Times New Roman" w:hAnsi="Times New Roman"/>
          <w:sz w:val="22"/>
          <w:szCs w:val="22"/>
        </w:rPr>
        <w:t> </w:t>
      </w:r>
      <w:r w:rsidRPr="00F64707">
        <w:rPr>
          <w:rFonts w:ascii="Times New Roman" w:hAnsi="Times New Roman"/>
          <w:sz w:val="22"/>
          <w:szCs w:val="22"/>
        </w:rPr>
        <w:t>%), dvaja jedinci v skupine s dutasteridom mali v 52</w:t>
      </w:r>
      <w:r w:rsidR="002C26F4" w:rsidRPr="00F64707">
        <w:rPr>
          <w:rFonts w:ascii="Times New Roman" w:hAnsi="Times New Roman"/>
          <w:sz w:val="22"/>
          <w:szCs w:val="22"/>
        </w:rPr>
        <w:t>. </w:t>
      </w:r>
      <w:r w:rsidRPr="00F64707">
        <w:rPr>
          <w:rFonts w:ascii="Times New Roman" w:hAnsi="Times New Roman"/>
          <w:sz w:val="22"/>
          <w:szCs w:val="22"/>
        </w:rPr>
        <w:t>týždni zníženia v počte spermií vyššie ako 90</w:t>
      </w:r>
      <w:r w:rsidR="002C26F4" w:rsidRPr="00F64707">
        <w:rPr>
          <w:rFonts w:ascii="Times New Roman" w:hAnsi="Times New Roman"/>
          <w:sz w:val="22"/>
          <w:szCs w:val="22"/>
        </w:rPr>
        <w:t> </w:t>
      </w:r>
      <w:r w:rsidRPr="00F64707">
        <w:rPr>
          <w:rFonts w:ascii="Times New Roman" w:hAnsi="Times New Roman"/>
          <w:sz w:val="22"/>
          <w:szCs w:val="22"/>
        </w:rPr>
        <w:t xml:space="preserve">% od </w:t>
      </w:r>
      <w:r w:rsidR="00126759" w:rsidRPr="00F64707">
        <w:rPr>
          <w:rFonts w:ascii="Times New Roman" w:hAnsi="Times New Roman"/>
          <w:sz w:val="22"/>
          <w:szCs w:val="22"/>
        </w:rPr>
        <w:t>východiskových</w:t>
      </w:r>
      <w:r w:rsidRPr="00F64707">
        <w:rPr>
          <w:rFonts w:ascii="Times New Roman" w:hAnsi="Times New Roman"/>
          <w:sz w:val="22"/>
          <w:szCs w:val="22"/>
        </w:rPr>
        <w:t xml:space="preserve"> hodnôt, s čiastočným obnovením počas 24</w:t>
      </w:r>
      <w:r w:rsidR="002C26F4" w:rsidRPr="00F64707">
        <w:rPr>
          <w:rFonts w:ascii="Times New Roman" w:hAnsi="Times New Roman"/>
          <w:sz w:val="22"/>
          <w:szCs w:val="22"/>
        </w:rPr>
        <w:noBreakHyphen/>
      </w:r>
      <w:r w:rsidRPr="00F64707">
        <w:rPr>
          <w:rFonts w:ascii="Times New Roman" w:hAnsi="Times New Roman"/>
          <w:sz w:val="22"/>
          <w:szCs w:val="22"/>
        </w:rPr>
        <w:t>týždňového sledovania. Možnosť zníženej mužskej fertility nie je možné vylúčiť.</w:t>
      </w:r>
    </w:p>
    <w:p w:rsidR="00F1304A" w:rsidRPr="00F64707" w:rsidRDefault="00F1304A" w:rsidP="00F64707">
      <w:pPr>
        <w:rPr>
          <w:sz w:val="22"/>
          <w:szCs w:val="22"/>
        </w:rPr>
      </w:pPr>
    </w:p>
    <w:p w:rsidR="00F1304A" w:rsidRPr="00F64707" w:rsidRDefault="00126759" w:rsidP="00F64707">
      <w:pPr>
        <w:pStyle w:val="Zkladntext2"/>
        <w:keepNext/>
        <w:jc w:val="left"/>
        <w:rPr>
          <w:rFonts w:ascii="Times New Roman" w:hAnsi="Times New Roman"/>
          <w:sz w:val="22"/>
          <w:szCs w:val="22"/>
        </w:rPr>
      </w:pPr>
      <w:r w:rsidRPr="00F64707">
        <w:rPr>
          <w:rFonts w:ascii="Times New Roman" w:hAnsi="Times New Roman"/>
          <w:sz w:val="22"/>
          <w:szCs w:val="22"/>
        </w:rPr>
        <w:t>DUTASTERID</w:t>
      </w:r>
      <w:r w:rsidR="00F1304A" w:rsidRPr="00F64707">
        <w:rPr>
          <w:rFonts w:ascii="Times New Roman" w:hAnsi="Times New Roman"/>
          <w:sz w:val="22"/>
          <w:szCs w:val="22"/>
        </w:rPr>
        <w:t xml:space="preserve"> V KOMBINÁCII S</w:t>
      </w:r>
      <w:r w:rsidRPr="00F64707">
        <w:rPr>
          <w:rFonts w:ascii="Times New Roman" w:hAnsi="Times New Roman"/>
          <w:sz w:val="22"/>
          <w:szCs w:val="22"/>
        </w:rPr>
        <w:t> </w:t>
      </w:r>
      <w:r w:rsidR="00F1304A" w:rsidRPr="00F64707">
        <w:rPr>
          <w:rFonts w:ascii="Times New Roman" w:hAnsi="Times New Roman"/>
          <w:sz w:val="22"/>
          <w:szCs w:val="22"/>
        </w:rPr>
        <w:t>ALFABLOKÁTOROM TAMSULOZÍNOM</w:t>
      </w:r>
    </w:p>
    <w:p w:rsidR="00F1304A" w:rsidRPr="00F64707" w:rsidRDefault="00F1304A" w:rsidP="00F64707">
      <w:pPr>
        <w:pStyle w:val="Zkladntext2"/>
        <w:keepNext/>
        <w:jc w:val="left"/>
        <w:rPr>
          <w:rFonts w:ascii="Times New Roman" w:hAnsi="Times New Roman"/>
          <w:sz w:val="22"/>
          <w:szCs w:val="22"/>
        </w:rPr>
      </w:pPr>
    </w:p>
    <w:p w:rsidR="002A72FB" w:rsidRPr="00F64707" w:rsidRDefault="00126759" w:rsidP="00F64707">
      <w:pPr>
        <w:pStyle w:val="Zkladntext2"/>
        <w:jc w:val="left"/>
        <w:rPr>
          <w:rFonts w:ascii="Times New Roman" w:hAnsi="Times New Roman"/>
          <w:color w:val="000000"/>
          <w:sz w:val="22"/>
          <w:szCs w:val="22"/>
        </w:rPr>
      </w:pPr>
      <w:r w:rsidRPr="00F64707">
        <w:rPr>
          <w:rFonts w:ascii="Times New Roman" w:hAnsi="Times New Roman"/>
          <w:sz w:val="22"/>
          <w:szCs w:val="22"/>
        </w:rPr>
        <w:t>Dutasterid</w:t>
      </w:r>
      <w:r w:rsidR="00F1304A" w:rsidRPr="00F64707">
        <w:rPr>
          <w:rFonts w:ascii="Times New Roman" w:hAnsi="Times New Roman"/>
          <w:sz w:val="22"/>
          <w:szCs w:val="22"/>
        </w:rPr>
        <w:t xml:space="preserve"> 0,5</w:t>
      </w:r>
      <w:r w:rsidR="002C26F4" w:rsidRPr="00F64707">
        <w:rPr>
          <w:rFonts w:ascii="Times New Roman" w:hAnsi="Times New Roman"/>
          <w:sz w:val="22"/>
          <w:szCs w:val="22"/>
        </w:rPr>
        <w:t> </w:t>
      </w:r>
      <w:r w:rsidR="00F1304A" w:rsidRPr="00F64707">
        <w:rPr>
          <w:rFonts w:ascii="Times New Roman" w:hAnsi="Times New Roman"/>
          <w:sz w:val="22"/>
          <w:szCs w:val="22"/>
        </w:rPr>
        <w:t>mg/deň (n</w:t>
      </w:r>
      <w:r w:rsidR="00201671" w:rsidRPr="00F64707">
        <w:rPr>
          <w:rFonts w:ascii="Times New Roman" w:hAnsi="Times New Roman"/>
          <w:sz w:val="22"/>
          <w:szCs w:val="22"/>
        </w:rPr>
        <w:t> </w:t>
      </w:r>
      <w:r w:rsidR="00F1304A" w:rsidRPr="00F64707">
        <w:rPr>
          <w:rFonts w:ascii="Times New Roman" w:hAnsi="Times New Roman"/>
          <w:sz w:val="22"/>
          <w:szCs w:val="22"/>
        </w:rPr>
        <w:t>=</w:t>
      </w:r>
      <w:r w:rsidR="00201671" w:rsidRPr="00F64707">
        <w:rPr>
          <w:rFonts w:ascii="Times New Roman" w:hAnsi="Times New Roman"/>
          <w:sz w:val="22"/>
          <w:szCs w:val="22"/>
        </w:rPr>
        <w:t> </w:t>
      </w:r>
      <w:r w:rsidR="00F1304A" w:rsidRPr="00F64707">
        <w:rPr>
          <w:rFonts w:ascii="Times New Roman" w:hAnsi="Times New Roman"/>
          <w:sz w:val="22"/>
          <w:szCs w:val="22"/>
        </w:rPr>
        <w:t>1</w:t>
      </w:r>
      <w:r w:rsidR="002C26F4" w:rsidRPr="00F64707">
        <w:rPr>
          <w:rFonts w:ascii="Times New Roman" w:hAnsi="Times New Roman"/>
          <w:sz w:val="22"/>
          <w:szCs w:val="22"/>
        </w:rPr>
        <w:t> </w:t>
      </w:r>
      <w:r w:rsidR="00F1304A" w:rsidRPr="00F64707">
        <w:rPr>
          <w:rFonts w:ascii="Times New Roman" w:hAnsi="Times New Roman"/>
          <w:sz w:val="22"/>
          <w:szCs w:val="22"/>
        </w:rPr>
        <w:t>623), tamsulozín 0,4</w:t>
      </w:r>
      <w:r w:rsidR="002C26F4" w:rsidRPr="00F64707">
        <w:rPr>
          <w:rFonts w:ascii="Times New Roman" w:hAnsi="Times New Roman"/>
          <w:sz w:val="22"/>
          <w:szCs w:val="22"/>
        </w:rPr>
        <w:t> </w:t>
      </w:r>
      <w:r w:rsidR="00F1304A" w:rsidRPr="00F64707">
        <w:rPr>
          <w:rFonts w:ascii="Times New Roman" w:hAnsi="Times New Roman"/>
          <w:sz w:val="22"/>
          <w:szCs w:val="22"/>
        </w:rPr>
        <w:t>mg/deň (n</w:t>
      </w:r>
      <w:r w:rsidR="00201671" w:rsidRPr="00F64707">
        <w:rPr>
          <w:rFonts w:ascii="Times New Roman" w:hAnsi="Times New Roman"/>
          <w:sz w:val="22"/>
          <w:szCs w:val="22"/>
        </w:rPr>
        <w:t> </w:t>
      </w:r>
      <w:r w:rsidR="00F1304A" w:rsidRPr="00F64707">
        <w:rPr>
          <w:rFonts w:ascii="Times New Roman" w:hAnsi="Times New Roman"/>
          <w:sz w:val="22"/>
          <w:szCs w:val="22"/>
        </w:rPr>
        <w:t>=</w:t>
      </w:r>
      <w:r w:rsidR="00201671" w:rsidRPr="00F64707">
        <w:rPr>
          <w:rFonts w:ascii="Times New Roman" w:hAnsi="Times New Roman"/>
          <w:sz w:val="22"/>
          <w:szCs w:val="22"/>
        </w:rPr>
        <w:t> </w:t>
      </w:r>
      <w:r w:rsidR="00F1304A" w:rsidRPr="00F64707">
        <w:rPr>
          <w:rFonts w:ascii="Times New Roman" w:hAnsi="Times New Roman"/>
          <w:sz w:val="22"/>
          <w:szCs w:val="22"/>
        </w:rPr>
        <w:t>1</w:t>
      </w:r>
      <w:r w:rsidR="002C26F4" w:rsidRPr="00F64707">
        <w:rPr>
          <w:rFonts w:ascii="Times New Roman" w:hAnsi="Times New Roman"/>
          <w:sz w:val="22"/>
          <w:szCs w:val="22"/>
        </w:rPr>
        <w:t> </w:t>
      </w:r>
      <w:r w:rsidR="00F1304A" w:rsidRPr="00F64707">
        <w:rPr>
          <w:rFonts w:ascii="Times New Roman" w:hAnsi="Times New Roman"/>
          <w:sz w:val="22"/>
          <w:szCs w:val="22"/>
        </w:rPr>
        <w:t xml:space="preserve">611) alebo kombinácia </w:t>
      </w:r>
      <w:r w:rsidRPr="00F64707">
        <w:rPr>
          <w:rFonts w:ascii="Times New Roman" w:hAnsi="Times New Roman"/>
          <w:sz w:val="22"/>
          <w:szCs w:val="22"/>
        </w:rPr>
        <w:t>dutasterid</w:t>
      </w:r>
      <w:r w:rsidR="00F1304A" w:rsidRPr="00F64707">
        <w:rPr>
          <w:rFonts w:ascii="Times New Roman" w:hAnsi="Times New Roman"/>
          <w:sz w:val="22"/>
          <w:szCs w:val="22"/>
        </w:rPr>
        <w:t xml:space="preserve"> 0,5</w:t>
      </w:r>
      <w:r w:rsidR="002C26F4" w:rsidRPr="00F64707">
        <w:rPr>
          <w:rFonts w:ascii="Times New Roman" w:hAnsi="Times New Roman"/>
          <w:sz w:val="22"/>
          <w:szCs w:val="22"/>
        </w:rPr>
        <w:t> </w:t>
      </w:r>
      <w:r w:rsidR="00F1304A" w:rsidRPr="00F64707">
        <w:rPr>
          <w:rFonts w:ascii="Times New Roman" w:hAnsi="Times New Roman"/>
          <w:sz w:val="22"/>
          <w:szCs w:val="22"/>
        </w:rPr>
        <w:t>mg plus tamsulozín 0,4 mg (n</w:t>
      </w:r>
      <w:r w:rsidR="00201671" w:rsidRPr="00F64707">
        <w:rPr>
          <w:rFonts w:ascii="Times New Roman" w:hAnsi="Times New Roman"/>
          <w:sz w:val="22"/>
          <w:szCs w:val="22"/>
        </w:rPr>
        <w:t> </w:t>
      </w:r>
      <w:r w:rsidR="00F1304A" w:rsidRPr="00F64707">
        <w:rPr>
          <w:rFonts w:ascii="Times New Roman" w:hAnsi="Times New Roman"/>
          <w:sz w:val="22"/>
          <w:szCs w:val="22"/>
        </w:rPr>
        <w:t>=</w:t>
      </w:r>
      <w:r w:rsidR="00201671" w:rsidRPr="00F64707">
        <w:rPr>
          <w:rFonts w:ascii="Times New Roman" w:hAnsi="Times New Roman"/>
          <w:sz w:val="22"/>
          <w:szCs w:val="22"/>
        </w:rPr>
        <w:t> </w:t>
      </w:r>
      <w:r w:rsidR="00F1304A" w:rsidRPr="00F64707">
        <w:rPr>
          <w:rFonts w:ascii="Times New Roman" w:hAnsi="Times New Roman"/>
          <w:sz w:val="22"/>
          <w:szCs w:val="22"/>
        </w:rPr>
        <w:t>1</w:t>
      </w:r>
      <w:r w:rsidR="002C26F4" w:rsidRPr="00F64707">
        <w:rPr>
          <w:rFonts w:ascii="Times New Roman" w:hAnsi="Times New Roman"/>
          <w:sz w:val="22"/>
          <w:szCs w:val="22"/>
        </w:rPr>
        <w:t> </w:t>
      </w:r>
      <w:r w:rsidRPr="00F64707">
        <w:rPr>
          <w:rFonts w:ascii="Times New Roman" w:hAnsi="Times New Roman"/>
          <w:sz w:val="22"/>
          <w:szCs w:val="22"/>
        </w:rPr>
        <w:t xml:space="preserve">610) sa </w:t>
      </w:r>
      <w:r w:rsidR="00F1304A" w:rsidRPr="00F64707">
        <w:rPr>
          <w:rFonts w:ascii="Times New Roman" w:hAnsi="Times New Roman"/>
          <w:sz w:val="22"/>
          <w:szCs w:val="22"/>
        </w:rPr>
        <w:t>hodno</w:t>
      </w:r>
      <w:r w:rsidRPr="00F64707">
        <w:rPr>
          <w:rFonts w:ascii="Times New Roman" w:hAnsi="Times New Roman"/>
          <w:sz w:val="22"/>
          <w:szCs w:val="22"/>
        </w:rPr>
        <w:t>tila</w:t>
      </w:r>
      <w:r w:rsidR="00F1304A" w:rsidRPr="00F64707">
        <w:rPr>
          <w:rFonts w:ascii="Times New Roman" w:hAnsi="Times New Roman"/>
          <w:sz w:val="22"/>
          <w:szCs w:val="22"/>
        </w:rPr>
        <w:t xml:space="preserve"> u mužov so stredne </w:t>
      </w:r>
      <w:r w:rsidRPr="00F64707">
        <w:rPr>
          <w:rFonts w:ascii="Times New Roman" w:hAnsi="Times New Roman"/>
          <w:sz w:val="22"/>
          <w:szCs w:val="22"/>
        </w:rPr>
        <w:t>ťažkými</w:t>
      </w:r>
      <w:r w:rsidR="00F1304A" w:rsidRPr="00F64707">
        <w:rPr>
          <w:rFonts w:ascii="Times New Roman" w:hAnsi="Times New Roman"/>
          <w:sz w:val="22"/>
          <w:szCs w:val="22"/>
        </w:rPr>
        <w:t xml:space="preserve"> až </w:t>
      </w:r>
      <w:r w:rsidRPr="00F64707">
        <w:rPr>
          <w:rFonts w:ascii="Times New Roman" w:hAnsi="Times New Roman"/>
          <w:sz w:val="22"/>
          <w:szCs w:val="22"/>
        </w:rPr>
        <w:t>ťažkými</w:t>
      </w:r>
      <w:r w:rsidR="00F1304A" w:rsidRPr="00F64707">
        <w:rPr>
          <w:rFonts w:ascii="Times New Roman" w:hAnsi="Times New Roman"/>
          <w:sz w:val="22"/>
          <w:szCs w:val="22"/>
        </w:rPr>
        <w:t xml:space="preserve"> </w:t>
      </w:r>
      <w:r w:rsidR="008E712D" w:rsidRPr="00F64707">
        <w:rPr>
          <w:rFonts w:ascii="Times New Roman" w:hAnsi="Times New Roman"/>
          <w:sz w:val="22"/>
          <w:szCs w:val="22"/>
        </w:rPr>
        <w:t>symptómami</w:t>
      </w:r>
      <w:r w:rsidR="00F1304A" w:rsidRPr="00F64707">
        <w:rPr>
          <w:rFonts w:ascii="Times New Roman" w:hAnsi="Times New Roman"/>
          <w:sz w:val="22"/>
          <w:szCs w:val="22"/>
        </w:rPr>
        <w:t xml:space="preserve"> benígnej hyperplázie prostaty (BP</w:t>
      </w:r>
      <w:r w:rsidR="00036BA7" w:rsidRPr="00F64707">
        <w:rPr>
          <w:rFonts w:ascii="Times New Roman" w:hAnsi="Times New Roman"/>
          <w:sz w:val="22"/>
          <w:szCs w:val="22"/>
        </w:rPr>
        <w:t>H</w:t>
      </w:r>
      <w:r w:rsidR="00F1304A" w:rsidRPr="00F64707">
        <w:rPr>
          <w:rFonts w:ascii="Times New Roman" w:hAnsi="Times New Roman"/>
          <w:sz w:val="22"/>
          <w:szCs w:val="22"/>
        </w:rPr>
        <w:t>), ktorí mali prost</w:t>
      </w:r>
      <w:r w:rsidRPr="00F64707">
        <w:rPr>
          <w:rFonts w:ascii="Times New Roman" w:hAnsi="Times New Roman"/>
          <w:sz w:val="22"/>
          <w:szCs w:val="22"/>
        </w:rPr>
        <w:t>atu</w:t>
      </w:r>
      <w:r w:rsidR="00F1304A" w:rsidRPr="00F64707">
        <w:rPr>
          <w:rFonts w:ascii="Times New Roman" w:hAnsi="Times New Roman"/>
          <w:sz w:val="22"/>
          <w:szCs w:val="22"/>
        </w:rPr>
        <w:t xml:space="preserve"> </w:t>
      </w:r>
      <w:r w:rsidR="00F1304A" w:rsidRPr="00F64707">
        <w:rPr>
          <w:rFonts w:ascii="Times New Roman" w:hAnsi="Times New Roman"/>
          <w:sz w:val="22"/>
          <w:szCs w:val="22"/>
          <w:u w:val="single"/>
        </w:rPr>
        <w:t>&gt;</w:t>
      </w:r>
      <w:r w:rsidR="00ED3C21" w:rsidRPr="00F64707">
        <w:rPr>
          <w:rFonts w:ascii="Times New Roman" w:hAnsi="Times New Roman"/>
          <w:sz w:val="22"/>
          <w:szCs w:val="22"/>
        </w:rPr>
        <w:t> </w:t>
      </w:r>
      <w:r w:rsidR="00F1304A" w:rsidRPr="00F64707">
        <w:rPr>
          <w:rFonts w:ascii="Times New Roman" w:hAnsi="Times New Roman"/>
          <w:sz w:val="22"/>
          <w:szCs w:val="22"/>
        </w:rPr>
        <w:t>30</w:t>
      </w:r>
      <w:r w:rsidR="00ED3C21" w:rsidRPr="00F64707">
        <w:rPr>
          <w:rFonts w:ascii="Times New Roman" w:hAnsi="Times New Roman"/>
          <w:sz w:val="22"/>
          <w:szCs w:val="22"/>
        </w:rPr>
        <w:t> </w:t>
      </w:r>
      <w:r w:rsidR="00F1304A" w:rsidRPr="00F64707">
        <w:rPr>
          <w:rFonts w:ascii="Times New Roman" w:hAnsi="Times New Roman"/>
          <w:sz w:val="22"/>
          <w:szCs w:val="22"/>
        </w:rPr>
        <w:t>ml a hodnotu PSA v rozmedzí 1,5</w:t>
      </w:r>
      <w:r w:rsidR="00ED3C21" w:rsidRPr="00F64707">
        <w:rPr>
          <w:rFonts w:ascii="Times New Roman" w:hAnsi="Times New Roman"/>
          <w:sz w:val="22"/>
          <w:szCs w:val="22"/>
        </w:rPr>
        <w:t> </w:t>
      </w:r>
      <w:r w:rsidR="00ED3C21" w:rsidRPr="00F64707">
        <w:rPr>
          <w:rFonts w:ascii="Times New Roman" w:hAnsi="Times New Roman"/>
          <w:sz w:val="22"/>
          <w:szCs w:val="22"/>
        </w:rPr>
        <w:noBreakHyphen/>
        <w:t> </w:t>
      </w:r>
      <w:r w:rsidR="00F1304A" w:rsidRPr="00F64707">
        <w:rPr>
          <w:rFonts w:ascii="Times New Roman" w:hAnsi="Times New Roman"/>
          <w:sz w:val="22"/>
          <w:szCs w:val="22"/>
        </w:rPr>
        <w:t>10</w:t>
      </w:r>
      <w:r w:rsidR="00ED3C21" w:rsidRPr="00F64707">
        <w:rPr>
          <w:rFonts w:ascii="Times New Roman" w:hAnsi="Times New Roman"/>
          <w:sz w:val="22"/>
          <w:szCs w:val="22"/>
        </w:rPr>
        <w:t> </w:t>
      </w:r>
      <w:r w:rsidR="00F1304A" w:rsidRPr="00F64707">
        <w:rPr>
          <w:rFonts w:ascii="Times New Roman" w:hAnsi="Times New Roman"/>
          <w:sz w:val="22"/>
          <w:szCs w:val="22"/>
        </w:rPr>
        <w:t xml:space="preserve">ng/ml v multicentrickej, </w:t>
      </w:r>
      <w:r w:rsidR="008E712D" w:rsidRPr="00F64707">
        <w:rPr>
          <w:rFonts w:ascii="Times New Roman" w:hAnsi="Times New Roman"/>
          <w:sz w:val="22"/>
          <w:szCs w:val="22"/>
        </w:rPr>
        <w:t>medzi</w:t>
      </w:r>
      <w:r w:rsidR="00F1304A" w:rsidRPr="00F64707">
        <w:rPr>
          <w:rFonts w:ascii="Times New Roman" w:hAnsi="Times New Roman"/>
          <w:sz w:val="22"/>
          <w:szCs w:val="22"/>
        </w:rPr>
        <w:t>národnej, randomizovanej</w:t>
      </w:r>
      <w:r w:rsidR="00D96B28" w:rsidRPr="00F64707">
        <w:rPr>
          <w:rFonts w:ascii="Times New Roman" w:hAnsi="Times New Roman"/>
          <w:sz w:val="22"/>
          <w:szCs w:val="22"/>
        </w:rPr>
        <w:t>,</w:t>
      </w:r>
      <w:r w:rsidR="00F1304A" w:rsidRPr="00F64707">
        <w:rPr>
          <w:rFonts w:ascii="Times New Roman" w:hAnsi="Times New Roman"/>
          <w:sz w:val="22"/>
          <w:szCs w:val="22"/>
        </w:rPr>
        <w:t xml:space="preserve"> dvojito zaslepenej</w:t>
      </w:r>
      <w:r w:rsidR="008E712D" w:rsidRPr="00F64707">
        <w:rPr>
          <w:rFonts w:ascii="Times New Roman" w:hAnsi="Times New Roman"/>
          <w:sz w:val="22"/>
          <w:szCs w:val="22"/>
        </w:rPr>
        <w:t xml:space="preserve"> štúdii</w:t>
      </w:r>
      <w:r w:rsidR="00F1304A" w:rsidRPr="00F64707">
        <w:rPr>
          <w:rFonts w:ascii="Times New Roman" w:hAnsi="Times New Roman"/>
          <w:sz w:val="22"/>
          <w:szCs w:val="22"/>
        </w:rPr>
        <w:t xml:space="preserve"> </w:t>
      </w:r>
      <w:r w:rsidRPr="00F64707">
        <w:rPr>
          <w:rFonts w:ascii="Times New Roman" w:hAnsi="Times New Roman"/>
          <w:sz w:val="22"/>
          <w:szCs w:val="22"/>
        </w:rPr>
        <w:t>s </w:t>
      </w:r>
      <w:r w:rsidR="00F1304A" w:rsidRPr="00F64707">
        <w:rPr>
          <w:rFonts w:ascii="Times New Roman" w:hAnsi="Times New Roman"/>
          <w:sz w:val="22"/>
          <w:szCs w:val="22"/>
        </w:rPr>
        <w:t>paraleln</w:t>
      </w:r>
      <w:r w:rsidR="008E712D" w:rsidRPr="00F64707">
        <w:rPr>
          <w:rFonts w:ascii="Times New Roman" w:hAnsi="Times New Roman"/>
          <w:sz w:val="22"/>
          <w:szCs w:val="22"/>
        </w:rPr>
        <w:t>ými</w:t>
      </w:r>
      <w:r w:rsidR="00F1304A" w:rsidRPr="00F64707">
        <w:rPr>
          <w:rFonts w:ascii="Times New Roman" w:hAnsi="Times New Roman"/>
          <w:sz w:val="22"/>
          <w:szCs w:val="22"/>
        </w:rPr>
        <w:t xml:space="preserve"> skupin</w:t>
      </w:r>
      <w:r w:rsidR="008E712D" w:rsidRPr="00F64707">
        <w:rPr>
          <w:rFonts w:ascii="Times New Roman" w:hAnsi="Times New Roman"/>
          <w:sz w:val="22"/>
          <w:szCs w:val="22"/>
        </w:rPr>
        <w:t>ami</w:t>
      </w:r>
      <w:r w:rsidR="00C56E69" w:rsidRPr="00F64707">
        <w:rPr>
          <w:rFonts w:ascii="Times New Roman" w:hAnsi="Times New Roman"/>
          <w:sz w:val="22"/>
          <w:szCs w:val="22"/>
        </w:rPr>
        <w:t xml:space="preserve"> (štúdia CombAT)</w:t>
      </w:r>
      <w:r w:rsidR="00F1304A" w:rsidRPr="00F64707">
        <w:rPr>
          <w:rFonts w:ascii="Times New Roman" w:hAnsi="Times New Roman"/>
          <w:sz w:val="22"/>
          <w:szCs w:val="22"/>
        </w:rPr>
        <w:t xml:space="preserve">. Približne </w:t>
      </w:r>
      <w:r w:rsidR="00D96B28" w:rsidRPr="00F64707">
        <w:rPr>
          <w:rFonts w:ascii="Times New Roman" w:hAnsi="Times New Roman"/>
          <w:sz w:val="22"/>
          <w:szCs w:val="22"/>
        </w:rPr>
        <w:t>53</w:t>
      </w:r>
      <w:r w:rsidR="00ED3C21" w:rsidRPr="00F64707">
        <w:rPr>
          <w:rFonts w:ascii="Times New Roman" w:hAnsi="Times New Roman"/>
          <w:sz w:val="22"/>
          <w:szCs w:val="22"/>
        </w:rPr>
        <w:t> </w:t>
      </w:r>
      <w:r w:rsidR="00F1304A" w:rsidRPr="00F64707">
        <w:rPr>
          <w:rFonts w:ascii="Times New Roman" w:hAnsi="Times New Roman"/>
          <w:sz w:val="22"/>
          <w:szCs w:val="22"/>
        </w:rPr>
        <w:t xml:space="preserve">% jedincov bolo predtým </w:t>
      </w:r>
      <w:r w:rsidR="008E712D" w:rsidRPr="00F64707">
        <w:rPr>
          <w:rFonts w:ascii="Times New Roman" w:hAnsi="Times New Roman"/>
          <w:sz w:val="22"/>
          <w:szCs w:val="22"/>
        </w:rPr>
        <w:t>liečených</w:t>
      </w:r>
      <w:r w:rsidR="00F1304A" w:rsidRPr="00F64707">
        <w:rPr>
          <w:rFonts w:ascii="Times New Roman" w:hAnsi="Times New Roman"/>
          <w:sz w:val="22"/>
          <w:szCs w:val="22"/>
        </w:rPr>
        <w:t xml:space="preserve"> inhibítor</w:t>
      </w:r>
      <w:r w:rsidR="008E712D" w:rsidRPr="00F64707">
        <w:rPr>
          <w:rFonts w:ascii="Times New Roman" w:hAnsi="Times New Roman"/>
          <w:sz w:val="22"/>
          <w:szCs w:val="22"/>
        </w:rPr>
        <w:t>om</w:t>
      </w:r>
      <w:r w:rsidR="00F1304A" w:rsidRPr="00F64707">
        <w:rPr>
          <w:rFonts w:ascii="Times New Roman" w:hAnsi="Times New Roman"/>
          <w:sz w:val="22"/>
          <w:szCs w:val="22"/>
        </w:rPr>
        <w:t xml:space="preserve"> </w:t>
      </w:r>
      <w:r w:rsidR="006D712F" w:rsidRPr="00F64707">
        <w:rPr>
          <w:rFonts w:ascii="Times New Roman" w:hAnsi="Times New Roman"/>
          <w:sz w:val="22"/>
          <w:szCs w:val="22"/>
        </w:rPr>
        <w:t xml:space="preserve">5-alfa-reduktázy </w:t>
      </w:r>
      <w:r w:rsidR="00F1304A" w:rsidRPr="00F64707">
        <w:rPr>
          <w:rFonts w:ascii="Times New Roman" w:hAnsi="Times New Roman"/>
          <w:sz w:val="22"/>
          <w:szCs w:val="22"/>
        </w:rPr>
        <w:t xml:space="preserve">alebo alfablokátorom. </w:t>
      </w:r>
      <w:r w:rsidR="00FB463C" w:rsidRPr="00F64707">
        <w:rPr>
          <w:rFonts w:ascii="Times New Roman" w:hAnsi="Times New Roman"/>
          <w:sz w:val="22"/>
          <w:szCs w:val="22"/>
        </w:rPr>
        <w:t>Primárny</w:t>
      </w:r>
      <w:r w:rsidR="007E0988" w:rsidRPr="00F64707">
        <w:rPr>
          <w:rFonts w:ascii="Times New Roman" w:hAnsi="Times New Roman"/>
          <w:sz w:val="22"/>
          <w:szCs w:val="22"/>
        </w:rPr>
        <w:t>m</w:t>
      </w:r>
      <w:r w:rsidR="00FB463C" w:rsidRPr="00F64707">
        <w:rPr>
          <w:rFonts w:ascii="Times New Roman" w:hAnsi="Times New Roman"/>
          <w:sz w:val="22"/>
          <w:szCs w:val="22"/>
        </w:rPr>
        <w:t xml:space="preserve"> koncový</w:t>
      </w:r>
      <w:r w:rsidR="007E0988" w:rsidRPr="00F64707">
        <w:rPr>
          <w:rFonts w:ascii="Times New Roman" w:hAnsi="Times New Roman"/>
          <w:sz w:val="22"/>
          <w:szCs w:val="22"/>
        </w:rPr>
        <w:t>m</w:t>
      </w:r>
      <w:r w:rsidR="00FB463C" w:rsidRPr="00F64707">
        <w:rPr>
          <w:rFonts w:ascii="Times New Roman" w:hAnsi="Times New Roman"/>
          <w:sz w:val="22"/>
          <w:szCs w:val="22"/>
        </w:rPr>
        <w:t xml:space="preserve"> ukazovateľ</w:t>
      </w:r>
      <w:r w:rsidR="00CB66E5" w:rsidRPr="00F64707">
        <w:rPr>
          <w:rFonts w:ascii="Times New Roman" w:hAnsi="Times New Roman"/>
          <w:sz w:val="22"/>
          <w:szCs w:val="22"/>
        </w:rPr>
        <w:t>om</w:t>
      </w:r>
      <w:r w:rsidR="00F1304A" w:rsidRPr="00F64707">
        <w:rPr>
          <w:rFonts w:ascii="Times New Roman" w:hAnsi="Times New Roman"/>
          <w:sz w:val="22"/>
          <w:szCs w:val="22"/>
        </w:rPr>
        <w:t xml:space="preserve"> účinnosti počas </w:t>
      </w:r>
      <w:r w:rsidR="007E0988" w:rsidRPr="00F64707">
        <w:rPr>
          <w:rFonts w:ascii="Times New Roman" w:hAnsi="Times New Roman"/>
          <w:sz w:val="22"/>
          <w:szCs w:val="22"/>
        </w:rPr>
        <w:t>prvých dvoch rokov</w:t>
      </w:r>
      <w:r w:rsidR="00F1304A" w:rsidRPr="00F64707">
        <w:rPr>
          <w:rFonts w:ascii="Times New Roman" w:hAnsi="Times New Roman"/>
          <w:sz w:val="22"/>
          <w:szCs w:val="22"/>
        </w:rPr>
        <w:t xml:space="preserve"> liečby bol</w:t>
      </w:r>
      <w:r w:rsidR="00CB66E5" w:rsidRPr="00F64707">
        <w:rPr>
          <w:rFonts w:ascii="Times New Roman" w:hAnsi="Times New Roman"/>
          <w:sz w:val="22"/>
          <w:szCs w:val="22"/>
        </w:rPr>
        <w:t>a</w:t>
      </w:r>
      <w:r w:rsidR="00F1304A" w:rsidRPr="00F64707">
        <w:rPr>
          <w:rFonts w:ascii="Times New Roman" w:hAnsi="Times New Roman"/>
          <w:sz w:val="22"/>
          <w:szCs w:val="22"/>
        </w:rPr>
        <w:t xml:space="preserve"> zmena medzinárodného skóre </w:t>
      </w:r>
      <w:r w:rsidR="008E712D" w:rsidRPr="00F64707">
        <w:rPr>
          <w:rFonts w:ascii="Times New Roman" w:hAnsi="Times New Roman"/>
          <w:sz w:val="22"/>
          <w:szCs w:val="22"/>
        </w:rPr>
        <w:t>symptómov</w:t>
      </w:r>
      <w:r w:rsidR="00F1304A" w:rsidRPr="00F64707">
        <w:rPr>
          <w:rFonts w:ascii="Times New Roman" w:hAnsi="Times New Roman"/>
          <w:sz w:val="22"/>
          <w:szCs w:val="22"/>
        </w:rPr>
        <w:t xml:space="preserve"> prostaty (IPSS)</w:t>
      </w:r>
      <w:r w:rsidR="00CB66E5" w:rsidRPr="00F64707">
        <w:rPr>
          <w:rFonts w:ascii="Times New Roman" w:hAnsi="Times New Roman"/>
          <w:sz w:val="22"/>
          <w:szCs w:val="22"/>
        </w:rPr>
        <w:t>, čo</w:t>
      </w:r>
      <w:r w:rsidR="00F1304A" w:rsidRPr="00F64707">
        <w:rPr>
          <w:rFonts w:ascii="Times New Roman" w:hAnsi="Times New Roman"/>
          <w:sz w:val="22"/>
          <w:szCs w:val="22"/>
        </w:rPr>
        <w:t xml:space="preserve"> je </w:t>
      </w:r>
      <w:r w:rsidR="008E712D" w:rsidRPr="00F64707">
        <w:rPr>
          <w:rFonts w:ascii="Times New Roman" w:hAnsi="Times New Roman"/>
          <w:sz w:val="22"/>
          <w:szCs w:val="22"/>
        </w:rPr>
        <w:t>dotazník</w:t>
      </w:r>
      <w:r w:rsidR="00F1304A" w:rsidRPr="00F64707">
        <w:rPr>
          <w:rFonts w:ascii="Times New Roman" w:hAnsi="Times New Roman"/>
          <w:sz w:val="22"/>
          <w:szCs w:val="22"/>
        </w:rPr>
        <w:t xml:space="preserve"> s ôsmymi </w:t>
      </w:r>
      <w:r w:rsidR="008E712D" w:rsidRPr="00F64707">
        <w:rPr>
          <w:rFonts w:ascii="Times New Roman" w:hAnsi="Times New Roman"/>
          <w:sz w:val="22"/>
          <w:szCs w:val="22"/>
        </w:rPr>
        <w:t>otázkami vychádzajúci z</w:t>
      </w:r>
      <w:r w:rsidR="00ED3C21" w:rsidRPr="00F64707">
        <w:rPr>
          <w:rFonts w:ascii="Times New Roman" w:hAnsi="Times New Roman"/>
          <w:sz w:val="22"/>
          <w:szCs w:val="22"/>
        </w:rPr>
        <w:t> </w:t>
      </w:r>
      <w:r w:rsidR="00F1304A" w:rsidRPr="00F64707">
        <w:rPr>
          <w:rFonts w:ascii="Times New Roman" w:hAnsi="Times New Roman"/>
          <w:sz w:val="22"/>
          <w:szCs w:val="22"/>
        </w:rPr>
        <w:t>AUA</w:t>
      </w:r>
      <w:r w:rsidR="00ED3C21" w:rsidRPr="00F64707">
        <w:rPr>
          <w:rFonts w:ascii="Times New Roman" w:hAnsi="Times New Roman"/>
          <w:sz w:val="22"/>
          <w:szCs w:val="22"/>
        </w:rPr>
        <w:noBreakHyphen/>
      </w:r>
      <w:r w:rsidR="00F1304A" w:rsidRPr="00F64707">
        <w:rPr>
          <w:rFonts w:ascii="Times New Roman" w:hAnsi="Times New Roman"/>
          <w:sz w:val="22"/>
          <w:szCs w:val="22"/>
        </w:rPr>
        <w:t>SI s dodatočnou otázkou o kvalite života.</w:t>
      </w:r>
      <w:r w:rsidR="00DD1C43" w:rsidRPr="00F64707">
        <w:rPr>
          <w:rFonts w:ascii="Times New Roman" w:hAnsi="Times New Roman"/>
          <w:sz w:val="22"/>
          <w:szCs w:val="22"/>
        </w:rPr>
        <w:t xml:space="preserve"> </w:t>
      </w:r>
      <w:r w:rsidR="00CB66E5" w:rsidRPr="00F64707">
        <w:rPr>
          <w:rFonts w:ascii="Times New Roman" w:hAnsi="Times New Roman"/>
          <w:color w:val="000000"/>
          <w:sz w:val="22"/>
          <w:szCs w:val="22"/>
        </w:rPr>
        <w:t>Sekundárne koncové ukazovatele účinnosti po</w:t>
      </w:r>
      <w:r w:rsidRPr="00F64707">
        <w:rPr>
          <w:rFonts w:ascii="Times New Roman" w:hAnsi="Times New Roman"/>
          <w:sz w:val="22"/>
          <w:szCs w:val="22"/>
        </w:rPr>
        <w:t xml:space="preserve"> </w:t>
      </w:r>
      <w:r w:rsidR="00CB66E5" w:rsidRPr="00F64707">
        <w:rPr>
          <w:rFonts w:ascii="Times New Roman" w:hAnsi="Times New Roman"/>
          <w:color w:val="000000"/>
          <w:sz w:val="22"/>
          <w:szCs w:val="22"/>
        </w:rPr>
        <w:t>2 rokoch liečby zahŕňali maximálnu rýchlosť prietoku moču (Q</w:t>
      </w:r>
      <w:r w:rsidR="00CB66E5" w:rsidRPr="00F64707">
        <w:rPr>
          <w:rFonts w:ascii="Times New Roman" w:hAnsi="Times New Roman"/>
          <w:color w:val="000000"/>
          <w:sz w:val="22"/>
          <w:szCs w:val="22"/>
          <w:vertAlign w:val="subscript"/>
        </w:rPr>
        <w:t>max</w:t>
      </w:r>
      <w:r w:rsidR="00CB66E5" w:rsidRPr="00F64707">
        <w:rPr>
          <w:rFonts w:ascii="Times New Roman" w:hAnsi="Times New Roman"/>
          <w:color w:val="000000"/>
          <w:sz w:val="22"/>
          <w:szCs w:val="22"/>
        </w:rPr>
        <w:t>) a</w:t>
      </w:r>
      <w:r w:rsidRPr="00F64707">
        <w:rPr>
          <w:rFonts w:ascii="Times New Roman" w:hAnsi="Times New Roman"/>
          <w:color w:val="000000"/>
          <w:sz w:val="22"/>
          <w:szCs w:val="22"/>
        </w:rPr>
        <w:t> </w:t>
      </w:r>
      <w:r w:rsidR="002A72FB" w:rsidRPr="00F64707">
        <w:rPr>
          <w:rFonts w:ascii="Times New Roman" w:hAnsi="Times New Roman"/>
          <w:color w:val="000000"/>
          <w:sz w:val="22"/>
          <w:szCs w:val="22"/>
        </w:rPr>
        <w:t>objem prostaty.</w:t>
      </w:r>
    </w:p>
    <w:p w:rsidR="00253CEB" w:rsidRPr="00F64707" w:rsidRDefault="00253CEB" w:rsidP="00F64707">
      <w:pPr>
        <w:pStyle w:val="Zkladntext2"/>
        <w:jc w:val="left"/>
        <w:rPr>
          <w:rFonts w:ascii="Times New Roman" w:hAnsi="Times New Roman"/>
          <w:color w:val="000000"/>
          <w:sz w:val="22"/>
          <w:szCs w:val="22"/>
        </w:rPr>
      </w:pPr>
    </w:p>
    <w:p w:rsidR="00CB66E5" w:rsidRPr="00F64707" w:rsidRDefault="00CB66E5" w:rsidP="00F64707">
      <w:pPr>
        <w:pStyle w:val="Zkladntext2"/>
        <w:jc w:val="left"/>
        <w:rPr>
          <w:rFonts w:ascii="Times New Roman" w:hAnsi="Times New Roman"/>
          <w:color w:val="000000"/>
          <w:sz w:val="22"/>
          <w:szCs w:val="22"/>
        </w:rPr>
      </w:pPr>
      <w:r w:rsidRPr="00F64707">
        <w:rPr>
          <w:rFonts w:ascii="Times New Roman" w:hAnsi="Times New Roman"/>
          <w:color w:val="000000"/>
          <w:sz w:val="22"/>
          <w:szCs w:val="22"/>
        </w:rPr>
        <w:t>Pri</w:t>
      </w:r>
      <w:r w:rsidR="00D52581" w:rsidRPr="00F64707">
        <w:rPr>
          <w:rFonts w:ascii="Times New Roman" w:hAnsi="Times New Roman"/>
          <w:color w:val="000000"/>
          <w:sz w:val="22"/>
          <w:szCs w:val="22"/>
        </w:rPr>
        <w:t xml:space="preserve"> </w:t>
      </w:r>
      <w:r w:rsidRPr="00F64707">
        <w:rPr>
          <w:rFonts w:ascii="Times New Roman" w:hAnsi="Times New Roman"/>
          <w:color w:val="000000"/>
          <w:sz w:val="22"/>
          <w:szCs w:val="22"/>
        </w:rPr>
        <w:t>kombin</w:t>
      </w:r>
      <w:r w:rsidR="003C6031" w:rsidRPr="00F64707">
        <w:rPr>
          <w:rFonts w:ascii="Times New Roman" w:hAnsi="Times New Roman"/>
          <w:color w:val="000000"/>
          <w:sz w:val="22"/>
          <w:szCs w:val="22"/>
        </w:rPr>
        <w:t>ácii</w:t>
      </w:r>
      <w:r w:rsidRPr="00F64707">
        <w:rPr>
          <w:rFonts w:ascii="Times New Roman" w:hAnsi="Times New Roman"/>
          <w:color w:val="000000"/>
          <w:sz w:val="22"/>
          <w:szCs w:val="22"/>
        </w:rPr>
        <w:t xml:space="preserve"> sa dosiahlo významné zlepšenie skóre IPSS od</w:t>
      </w:r>
      <w:r w:rsidR="00ED3C21" w:rsidRPr="00F64707">
        <w:rPr>
          <w:rFonts w:ascii="Times New Roman" w:hAnsi="Times New Roman"/>
          <w:color w:val="000000"/>
          <w:sz w:val="22"/>
          <w:szCs w:val="22"/>
        </w:rPr>
        <w:t> </w:t>
      </w:r>
      <w:r w:rsidRPr="00F64707">
        <w:rPr>
          <w:rFonts w:ascii="Times New Roman" w:hAnsi="Times New Roman"/>
          <w:color w:val="000000"/>
          <w:sz w:val="22"/>
          <w:szCs w:val="22"/>
        </w:rPr>
        <w:t>3.</w:t>
      </w:r>
      <w:r w:rsidR="00ED3C21" w:rsidRPr="00F64707">
        <w:rPr>
          <w:rFonts w:ascii="Times New Roman" w:hAnsi="Times New Roman"/>
          <w:color w:val="000000"/>
          <w:sz w:val="22"/>
          <w:szCs w:val="22"/>
        </w:rPr>
        <w:t> </w:t>
      </w:r>
      <w:r w:rsidRPr="00F64707">
        <w:rPr>
          <w:rFonts w:ascii="Times New Roman" w:hAnsi="Times New Roman"/>
          <w:color w:val="000000"/>
          <w:sz w:val="22"/>
          <w:szCs w:val="22"/>
        </w:rPr>
        <w:t>mesiaca v porovnaní s </w:t>
      </w:r>
      <w:r w:rsidR="002A72FB" w:rsidRPr="00F64707">
        <w:rPr>
          <w:rFonts w:ascii="Times New Roman" w:hAnsi="Times New Roman"/>
          <w:color w:val="000000"/>
          <w:sz w:val="22"/>
          <w:szCs w:val="22"/>
        </w:rPr>
        <w:t>dutasteridom</w:t>
      </w:r>
      <w:r w:rsidRPr="00F64707">
        <w:rPr>
          <w:rFonts w:ascii="Times New Roman" w:hAnsi="Times New Roman"/>
          <w:color w:val="000000"/>
          <w:sz w:val="22"/>
          <w:szCs w:val="22"/>
        </w:rPr>
        <w:t xml:space="preserve"> a</w:t>
      </w:r>
      <w:r w:rsidR="002A72FB" w:rsidRPr="00F64707">
        <w:rPr>
          <w:rFonts w:ascii="Times New Roman" w:hAnsi="Times New Roman"/>
          <w:color w:val="000000"/>
          <w:sz w:val="22"/>
          <w:szCs w:val="22"/>
        </w:rPr>
        <w:t> </w:t>
      </w:r>
      <w:r w:rsidRPr="00F64707">
        <w:rPr>
          <w:rFonts w:ascii="Times New Roman" w:hAnsi="Times New Roman"/>
          <w:color w:val="000000"/>
          <w:sz w:val="22"/>
          <w:szCs w:val="22"/>
        </w:rPr>
        <w:t>od</w:t>
      </w:r>
      <w:r w:rsidR="002A72FB" w:rsidRPr="00F64707">
        <w:rPr>
          <w:rFonts w:ascii="Times New Roman" w:hAnsi="Times New Roman"/>
          <w:color w:val="000000"/>
          <w:sz w:val="22"/>
          <w:szCs w:val="22"/>
        </w:rPr>
        <w:t xml:space="preserve"> </w:t>
      </w:r>
      <w:r w:rsidRPr="00F64707">
        <w:rPr>
          <w:rFonts w:ascii="Times New Roman" w:hAnsi="Times New Roman"/>
          <w:color w:val="000000"/>
          <w:sz w:val="22"/>
          <w:szCs w:val="22"/>
        </w:rPr>
        <w:t>9.</w:t>
      </w:r>
      <w:r w:rsidR="00ED3C21" w:rsidRPr="00F64707">
        <w:rPr>
          <w:rFonts w:ascii="Times New Roman" w:hAnsi="Times New Roman"/>
          <w:color w:val="000000"/>
          <w:sz w:val="22"/>
          <w:szCs w:val="22"/>
        </w:rPr>
        <w:t> </w:t>
      </w:r>
      <w:r w:rsidRPr="00F64707">
        <w:rPr>
          <w:rFonts w:ascii="Times New Roman" w:hAnsi="Times New Roman"/>
          <w:color w:val="000000"/>
          <w:sz w:val="22"/>
          <w:szCs w:val="22"/>
        </w:rPr>
        <w:t>mesiaca v porovnaní s tamsulozínom.</w:t>
      </w:r>
      <w:r w:rsidRPr="00F64707">
        <w:rPr>
          <w:rFonts w:ascii="Times New Roman" w:hAnsi="Times New Roman"/>
          <w:sz w:val="22"/>
          <w:szCs w:val="22"/>
        </w:rPr>
        <w:t xml:space="preserve"> Pokiaľ ide </w:t>
      </w:r>
      <w:r w:rsidR="003E060F" w:rsidRPr="00F64707">
        <w:rPr>
          <w:rFonts w:ascii="Times New Roman" w:hAnsi="Times New Roman"/>
          <w:sz w:val="22"/>
          <w:szCs w:val="22"/>
        </w:rPr>
        <w:t>o </w:t>
      </w:r>
      <w:r w:rsidRPr="00F64707">
        <w:rPr>
          <w:rFonts w:ascii="Times New Roman" w:hAnsi="Times New Roman"/>
          <w:sz w:val="22"/>
          <w:szCs w:val="22"/>
        </w:rPr>
        <w:t>Q</w:t>
      </w:r>
      <w:r w:rsidRPr="00F64707">
        <w:rPr>
          <w:rFonts w:ascii="Times New Roman" w:hAnsi="Times New Roman"/>
          <w:sz w:val="22"/>
          <w:szCs w:val="22"/>
          <w:vertAlign w:val="subscript"/>
        </w:rPr>
        <w:t>max</w:t>
      </w:r>
      <w:r w:rsidRPr="00F64707">
        <w:rPr>
          <w:rFonts w:ascii="Times New Roman" w:hAnsi="Times New Roman"/>
          <w:sz w:val="22"/>
          <w:szCs w:val="22"/>
        </w:rPr>
        <w:t>, pri kombin</w:t>
      </w:r>
      <w:r w:rsidR="003E060F" w:rsidRPr="00F64707">
        <w:rPr>
          <w:rFonts w:ascii="Times New Roman" w:hAnsi="Times New Roman"/>
          <w:sz w:val="22"/>
          <w:szCs w:val="22"/>
        </w:rPr>
        <w:t>ácii</w:t>
      </w:r>
      <w:r w:rsidRPr="00F64707">
        <w:rPr>
          <w:rFonts w:ascii="Times New Roman" w:hAnsi="Times New Roman"/>
          <w:sz w:val="22"/>
          <w:szCs w:val="22"/>
        </w:rPr>
        <w:t xml:space="preserve"> sa dosiahlo významné zlepšenie od</w:t>
      </w:r>
      <w:r w:rsidR="00D52581" w:rsidRPr="00F64707">
        <w:rPr>
          <w:rFonts w:ascii="Times New Roman" w:hAnsi="Times New Roman"/>
          <w:sz w:val="22"/>
          <w:szCs w:val="22"/>
        </w:rPr>
        <w:t xml:space="preserve"> </w:t>
      </w:r>
      <w:r w:rsidRPr="00F64707">
        <w:rPr>
          <w:rFonts w:ascii="Times New Roman" w:hAnsi="Times New Roman"/>
          <w:sz w:val="22"/>
          <w:szCs w:val="22"/>
        </w:rPr>
        <w:t>6.</w:t>
      </w:r>
      <w:r w:rsidR="00ED3C21" w:rsidRPr="00F64707">
        <w:rPr>
          <w:rFonts w:ascii="Times New Roman" w:hAnsi="Times New Roman"/>
          <w:sz w:val="22"/>
          <w:szCs w:val="22"/>
        </w:rPr>
        <w:t> </w:t>
      </w:r>
      <w:r w:rsidRPr="00F64707">
        <w:rPr>
          <w:rFonts w:ascii="Times New Roman" w:hAnsi="Times New Roman"/>
          <w:sz w:val="22"/>
          <w:szCs w:val="22"/>
        </w:rPr>
        <w:t>mesiaca v porovnaní s </w:t>
      </w:r>
      <w:r w:rsidR="002A72FB" w:rsidRPr="00F64707">
        <w:rPr>
          <w:rFonts w:ascii="Times New Roman" w:hAnsi="Times New Roman"/>
          <w:sz w:val="22"/>
          <w:szCs w:val="22"/>
        </w:rPr>
        <w:t>dutasteridom</w:t>
      </w:r>
      <w:r w:rsidRPr="00F64707">
        <w:rPr>
          <w:rFonts w:ascii="Times New Roman" w:hAnsi="Times New Roman"/>
          <w:sz w:val="22"/>
          <w:szCs w:val="22"/>
        </w:rPr>
        <w:t xml:space="preserve"> aj tamsulozínom.</w:t>
      </w:r>
    </w:p>
    <w:p w:rsidR="00CB66E5" w:rsidRPr="00F64707" w:rsidRDefault="00CB66E5" w:rsidP="00F64707">
      <w:pPr>
        <w:rPr>
          <w:color w:val="000000"/>
          <w:sz w:val="22"/>
          <w:szCs w:val="22"/>
        </w:rPr>
      </w:pPr>
    </w:p>
    <w:p w:rsidR="00CB66E5" w:rsidRPr="00F64707" w:rsidRDefault="00CB66E5" w:rsidP="00F64707">
      <w:pPr>
        <w:keepLines/>
        <w:rPr>
          <w:sz w:val="22"/>
          <w:szCs w:val="22"/>
        </w:rPr>
      </w:pPr>
      <w:r w:rsidRPr="00F64707">
        <w:rPr>
          <w:sz w:val="22"/>
          <w:szCs w:val="22"/>
        </w:rPr>
        <w:t>Primárny</w:t>
      </w:r>
      <w:r w:rsidR="003E060F" w:rsidRPr="00F64707">
        <w:rPr>
          <w:sz w:val="22"/>
          <w:szCs w:val="22"/>
        </w:rPr>
        <w:t>m</w:t>
      </w:r>
      <w:r w:rsidRPr="00F64707">
        <w:rPr>
          <w:sz w:val="22"/>
          <w:szCs w:val="22"/>
        </w:rPr>
        <w:t xml:space="preserve"> koncový</w:t>
      </w:r>
      <w:r w:rsidR="003E060F" w:rsidRPr="00F64707">
        <w:rPr>
          <w:sz w:val="22"/>
          <w:szCs w:val="22"/>
        </w:rPr>
        <w:t>m</w:t>
      </w:r>
      <w:r w:rsidRPr="00F64707">
        <w:rPr>
          <w:sz w:val="22"/>
          <w:szCs w:val="22"/>
        </w:rPr>
        <w:t xml:space="preserve"> ukazovateľ</w:t>
      </w:r>
      <w:r w:rsidR="00D37310" w:rsidRPr="00F64707">
        <w:rPr>
          <w:sz w:val="22"/>
          <w:szCs w:val="22"/>
        </w:rPr>
        <w:t>om</w:t>
      </w:r>
      <w:r w:rsidRPr="00F64707">
        <w:rPr>
          <w:sz w:val="22"/>
          <w:szCs w:val="22"/>
        </w:rPr>
        <w:t xml:space="preserve"> účinnosti po 4 rokoch liečby bol</w:t>
      </w:r>
      <w:r w:rsidR="00356ABA" w:rsidRPr="00F64707">
        <w:rPr>
          <w:sz w:val="22"/>
          <w:szCs w:val="22"/>
        </w:rPr>
        <w:t xml:space="preserve"> čas</w:t>
      </w:r>
      <w:r w:rsidR="00907231" w:rsidRPr="00F64707">
        <w:rPr>
          <w:sz w:val="22"/>
          <w:szCs w:val="22"/>
        </w:rPr>
        <w:t xml:space="preserve"> </w:t>
      </w:r>
      <w:r w:rsidRPr="00F64707">
        <w:rPr>
          <w:sz w:val="22"/>
          <w:szCs w:val="22"/>
        </w:rPr>
        <w:t xml:space="preserve">do </w:t>
      </w:r>
      <w:r w:rsidR="002A72FB" w:rsidRPr="00F64707">
        <w:rPr>
          <w:sz w:val="22"/>
          <w:szCs w:val="22"/>
        </w:rPr>
        <w:t>výskytu</w:t>
      </w:r>
      <w:r w:rsidR="00C34367" w:rsidRPr="00F64707">
        <w:rPr>
          <w:sz w:val="22"/>
          <w:szCs w:val="22"/>
        </w:rPr>
        <w:t xml:space="preserve"> prvej </w:t>
      </w:r>
      <w:r w:rsidR="00907231" w:rsidRPr="00F64707">
        <w:rPr>
          <w:sz w:val="22"/>
          <w:szCs w:val="22"/>
        </w:rPr>
        <w:t>epizódy</w:t>
      </w:r>
      <w:r w:rsidR="00C34367" w:rsidRPr="00F64707">
        <w:rPr>
          <w:sz w:val="22"/>
          <w:szCs w:val="22"/>
        </w:rPr>
        <w:t xml:space="preserve"> AUR alebo do potreby chir</w:t>
      </w:r>
      <w:r w:rsidR="002A72FB" w:rsidRPr="00F64707">
        <w:rPr>
          <w:sz w:val="22"/>
          <w:szCs w:val="22"/>
        </w:rPr>
        <w:t>urgického zákroku súvisiaceho s </w:t>
      </w:r>
      <w:r w:rsidR="00C34367" w:rsidRPr="00F64707">
        <w:rPr>
          <w:sz w:val="22"/>
          <w:szCs w:val="22"/>
        </w:rPr>
        <w:t>BPH</w:t>
      </w:r>
      <w:r w:rsidRPr="00F64707">
        <w:rPr>
          <w:sz w:val="22"/>
          <w:szCs w:val="22"/>
        </w:rPr>
        <w:t xml:space="preserve">. </w:t>
      </w:r>
      <w:r w:rsidR="00C34367" w:rsidRPr="00F64707">
        <w:rPr>
          <w:sz w:val="22"/>
          <w:szCs w:val="22"/>
        </w:rPr>
        <w:t>Po 4 rokoch liečby sa pri</w:t>
      </w:r>
      <w:r w:rsidR="002A72FB" w:rsidRPr="00F64707">
        <w:rPr>
          <w:sz w:val="22"/>
          <w:szCs w:val="22"/>
        </w:rPr>
        <w:t xml:space="preserve"> </w:t>
      </w:r>
      <w:r w:rsidR="00C34367" w:rsidRPr="00F64707">
        <w:rPr>
          <w:sz w:val="22"/>
          <w:szCs w:val="22"/>
        </w:rPr>
        <w:t xml:space="preserve">kombinovanej liečbe štatisticky </w:t>
      </w:r>
      <w:r w:rsidR="002A72FB" w:rsidRPr="00F64707">
        <w:rPr>
          <w:sz w:val="22"/>
          <w:szCs w:val="22"/>
        </w:rPr>
        <w:t>signifikantne</w:t>
      </w:r>
      <w:r w:rsidR="00C34367" w:rsidRPr="00F64707">
        <w:rPr>
          <w:sz w:val="22"/>
          <w:szCs w:val="22"/>
        </w:rPr>
        <w:t xml:space="preserve"> znížilo riziko </w:t>
      </w:r>
      <w:r w:rsidRPr="00F64707">
        <w:rPr>
          <w:sz w:val="22"/>
          <w:szCs w:val="22"/>
        </w:rPr>
        <w:t xml:space="preserve">AUR </w:t>
      </w:r>
      <w:r w:rsidR="00C34367" w:rsidRPr="00F64707">
        <w:rPr>
          <w:sz w:val="22"/>
          <w:szCs w:val="22"/>
        </w:rPr>
        <w:t>alebo chir</w:t>
      </w:r>
      <w:r w:rsidR="002A72FB" w:rsidRPr="00F64707">
        <w:rPr>
          <w:sz w:val="22"/>
          <w:szCs w:val="22"/>
        </w:rPr>
        <w:t>urgického zákroku súvisiaceho s </w:t>
      </w:r>
      <w:r w:rsidR="00C34367" w:rsidRPr="00F64707">
        <w:rPr>
          <w:sz w:val="22"/>
          <w:szCs w:val="22"/>
        </w:rPr>
        <w:t xml:space="preserve">BPH </w:t>
      </w:r>
      <w:r w:rsidRPr="00F64707">
        <w:rPr>
          <w:sz w:val="22"/>
          <w:szCs w:val="22"/>
        </w:rPr>
        <w:t>(</w:t>
      </w:r>
      <w:r w:rsidRPr="00F64707">
        <w:rPr>
          <w:color w:val="000000"/>
          <w:sz w:val="22"/>
          <w:szCs w:val="22"/>
        </w:rPr>
        <w:t>65</w:t>
      </w:r>
      <w:r w:rsidR="00C34367" w:rsidRPr="00F64707">
        <w:rPr>
          <w:color w:val="000000"/>
          <w:sz w:val="22"/>
          <w:szCs w:val="22"/>
        </w:rPr>
        <w:t>,</w:t>
      </w:r>
      <w:r w:rsidRPr="00F64707">
        <w:rPr>
          <w:color w:val="000000"/>
          <w:sz w:val="22"/>
          <w:szCs w:val="22"/>
        </w:rPr>
        <w:t>8</w:t>
      </w:r>
      <w:r w:rsidR="00C34367" w:rsidRPr="00F64707">
        <w:rPr>
          <w:color w:val="000000"/>
          <w:sz w:val="22"/>
          <w:szCs w:val="22"/>
        </w:rPr>
        <w:t> </w:t>
      </w:r>
      <w:r w:rsidRPr="00F64707">
        <w:rPr>
          <w:color w:val="000000"/>
          <w:sz w:val="22"/>
          <w:szCs w:val="22"/>
        </w:rPr>
        <w:t xml:space="preserve">% </w:t>
      </w:r>
      <w:r w:rsidR="00C34367" w:rsidRPr="00F64707">
        <w:rPr>
          <w:color w:val="000000"/>
          <w:sz w:val="22"/>
          <w:szCs w:val="22"/>
        </w:rPr>
        <w:t>zníženie rizika,</w:t>
      </w:r>
      <w:r w:rsidRPr="00F64707">
        <w:rPr>
          <w:color w:val="000000"/>
          <w:sz w:val="22"/>
          <w:szCs w:val="22"/>
        </w:rPr>
        <w:t xml:space="preserve"> </w:t>
      </w:r>
      <w:r w:rsidRPr="00F64707">
        <w:rPr>
          <w:sz w:val="22"/>
          <w:szCs w:val="22"/>
        </w:rPr>
        <w:t>p</w:t>
      </w:r>
      <w:r w:rsidR="00785F11" w:rsidRPr="00F64707">
        <w:rPr>
          <w:sz w:val="22"/>
          <w:szCs w:val="22"/>
        </w:rPr>
        <w:t> </w:t>
      </w:r>
      <w:r w:rsidRPr="00F64707">
        <w:rPr>
          <w:sz w:val="22"/>
          <w:szCs w:val="22"/>
        </w:rPr>
        <w:t>&lt;</w:t>
      </w:r>
      <w:r w:rsidR="00785F11" w:rsidRPr="00F64707">
        <w:rPr>
          <w:sz w:val="22"/>
          <w:szCs w:val="22"/>
        </w:rPr>
        <w:t> </w:t>
      </w:r>
      <w:r w:rsidRPr="00F64707">
        <w:rPr>
          <w:sz w:val="22"/>
          <w:szCs w:val="22"/>
        </w:rPr>
        <w:t>0</w:t>
      </w:r>
      <w:r w:rsidR="00C34367" w:rsidRPr="00F64707">
        <w:rPr>
          <w:sz w:val="22"/>
          <w:szCs w:val="22"/>
        </w:rPr>
        <w:t>,</w:t>
      </w:r>
      <w:r w:rsidRPr="00F64707">
        <w:rPr>
          <w:sz w:val="22"/>
          <w:szCs w:val="22"/>
        </w:rPr>
        <w:t>001 [</w:t>
      </w:r>
      <w:r w:rsidRPr="00F64707">
        <w:rPr>
          <w:color w:val="000000"/>
          <w:sz w:val="22"/>
          <w:szCs w:val="22"/>
        </w:rPr>
        <w:t>95</w:t>
      </w:r>
      <w:r w:rsidR="00C34367" w:rsidRPr="00F64707">
        <w:rPr>
          <w:color w:val="000000"/>
          <w:sz w:val="22"/>
          <w:szCs w:val="22"/>
        </w:rPr>
        <w:t> </w:t>
      </w:r>
      <w:r w:rsidR="002A72FB" w:rsidRPr="00F64707">
        <w:rPr>
          <w:color w:val="000000"/>
          <w:sz w:val="22"/>
          <w:szCs w:val="22"/>
        </w:rPr>
        <w:t>% IS</w:t>
      </w:r>
      <w:r w:rsidRPr="00F64707">
        <w:rPr>
          <w:color w:val="000000"/>
          <w:sz w:val="22"/>
          <w:szCs w:val="22"/>
        </w:rPr>
        <w:t xml:space="preserve"> 54</w:t>
      </w:r>
      <w:r w:rsidR="00C34367" w:rsidRPr="00F64707">
        <w:rPr>
          <w:color w:val="000000"/>
          <w:sz w:val="22"/>
          <w:szCs w:val="22"/>
        </w:rPr>
        <w:t>,</w:t>
      </w:r>
      <w:r w:rsidRPr="00F64707">
        <w:rPr>
          <w:color w:val="000000"/>
          <w:sz w:val="22"/>
          <w:szCs w:val="22"/>
        </w:rPr>
        <w:t>7</w:t>
      </w:r>
      <w:r w:rsidR="00C34367" w:rsidRPr="00F64707">
        <w:rPr>
          <w:color w:val="000000"/>
          <w:sz w:val="22"/>
          <w:szCs w:val="22"/>
        </w:rPr>
        <w:t> </w:t>
      </w:r>
      <w:r w:rsidRPr="00F64707">
        <w:rPr>
          <w:color w:val="000000"/>
          <w:sz w:val="22"/>
          <w:szCs w:val="22"/>
        </w:rPr>
        <w:t xml:space="preserve">% </w:t>
      </w:r>
      <w:r w:rsidR="00C34367" w:rsidRPr="00F64707">
        <w:rPr>
          <w:color w:val="000000"/>
          <w:sz w:val="22"/>
          <w:szCs w:val="22"/>
        </w:rPr>
        <w:t>až</w:t>
      </w:r>
      <w:r w:rsidRPr="00F64707">
        <w:rPr>
          <w:color w:val="000000"/>
          <w:sz w:val="22"/>
          <w:szCs w:val="22"/>
        </w:rPr>
        <w:t xml:space="preserve"> 74</w:t>
      </w:r>
      <w:r w:rsidR="00C34367" w:rsidRPr="00F64707">
        <w:rPr>
          <w:color w:val="000000"/>
          <w:sz w:val="22"/>
          <w:szCs w:val="22"/>
        </w:rPr>
        <w:t>,</w:t>
      </w:r>
      <w:r w:rsidRPr="00F64707">
        <w:rPr>
          <w:color w:val="000000"/>
          <w:sz w:val="22"/>
          <w:szCs w:val="22"/>
        </w:rPr>
        <w:t>1</w:t>
      </w:r>
      <w:r w:rsidR="00C34367" w:rsidRPr="00F64707">
        <w:rPr>
          <w:color w:val="000000"/>
          <w:sz w:val="22"/>
          <w:szCs w:val="22"/>
        </w:rPr>
        <w:t> </w:t>
      </w:r>
      <w:r w:rsidRPr="00F64707">
        <w:rPr>
          <w:color w:val="000000"/>
          <w:sz w:val="22"/>
          <w:szCs w:val="22"/>
        </w:rPr>
        <w:t>%]</w:t>
      </w:r>
      <w:r w:rsidRPr="00F64707">
        <w:rPr>
          <w:sz w:val="22"/>
          <w:szCs w:val="22"/>
        </w:rPr>
        <w:t>)</w:t>
      </w:r>
      <w:r w:rsidR="00C34367" w:rsidRPr="00F64707">
        <w:rPr>
          <w:sz w:val="22"/>
          <w:szCs w:val="22"/>
        </w:rPr>
        <w:t xml:space="preserve"> v porovnaní s</w:t>
      </w:r>
      <w:r w:rsidR="006801AB" w:rsidRPr="00F64707">
        <w:rPr>
          <w:sz w:val="22"/>
          <w:szCs w:val="22"/>
        </w:rPr>
        <w:t xml:space="preserve"> monoterapiou </w:t>
      </w:r>
      <w:r w:rsidR="00C34367" w:rsidRPr="00F64707">
        <w:rPr>
          <w:sz w:val="22"/>
          <w:szCs w:val="22"/>
        </w:rPr>
        <w:t>tamsulozínom</w:t>
      </w:r>
      <w:r w:rsidRPr="00F64707">
        <w:rPr>
          <w:sz w:val="22"/>
          <w:szCs w:val="22"/>
        </w:rPr>
        <w:t xml:space="preserve">. </w:t>
      </w:r>
      <w:r w:rsidR="00C34367" w:rsidRPr="00F64707">
        <w:rPr>
          <w:sz w:val="22"/>
          <w:szCs w:val="22"/>
        </w:rPr>
        <w:t xml:space="preserve">Incidencia </w:t>
      </w:r>
      <w:r w:rsidRPr="00F64707">
        <w:rPr>
          <w:color w:val="000000"/>
          <w:sz w:val="22"/>
          <w:szCs w:val="22"/>
        </w:rPr>
        <w:t xml:space="preserve">AUR </w:t>
      </w:r>
      <w:r w:rsidR="00C34367" w:rsidRPr="00F64707">
        <w:rPr>
          <w:color w:val="000000"/>
          <w:sz w:val="22"/>
          <w:szCs w:val="22"/>
        </w:rPr>
        <w:t xml:space="preserve">alebo </w:t>
      </w:r>
      <w:r w:rsidR="00C34367" w:rsidRPr="00F64707">
        <w:rPr>
          <w:sz w:val="22"/>
          <w:szCs w:val="22"/>
        </w:rPr>
        <w:t>chirurgického zákroku súvisiaceho s</w:t>
      </w:r>
      <w:r w:rsidR="002A72FB" w:rsidRPr="00F64707">
        <w:rPr>
          <w:sz w:val="22"/>
          <w:szCs w:val="22"/>
        </w:rPr>
        <w:t> </w:t>
      </w:r>
      <w:r w:rsidR="00C34367" w:rsidRPr="00F64707">
        <w:rPr>
          <w:sz w:val="22"/>
          <w:szCs w:val="22"/>
        </w:rPr>
        <w:t>BPH</w:t>
      </w:r>
      <w:r w:rsidR="002A72FB" w:rsidRPr="00F64707">
        <w:rPr>
          <w:color w:val="000000"/>
          <w:sz w:val="22"/>
          <w:szCs w:val="22"/>
        </w:rPr>
        <w:t xml:space="preserve"> bola do </w:t>
      </w:r>
      <w:r w:rsidR="00C34367" w:rsidRPr="00F64707">
        <w:rPr>
          <w:color w:val="000000"/>
          <w:sz w:val="22"/>
          <w:szCs w:val="22"/>
        </w:rPr>
        <w:t>4</w:t>
      </w:r>
      <w:r w:rsidR="00356ABA" w:rsidRPr="00F64707">
        <w:rPr>
          <w:color w:val="000000"/>
          <w:sz w:val="22"/>
          <w:szCs w:val="22"/>
        </w:rPr>
        <w:t>.</w:t>
      </w:r>
      <w:r w:rsidR="002A72FB" w:rsidRPr="00F64707">
        <w:rPr>
          <w:color w:val="000000"/>
          <w:sz w:val="22"/>
          <w:szCs w:val="22"/>
        </w:rPr>
        <w:t> roku</w:t>
      </w:r>
      <w:r w:rsidR="00C34367" w:rsidRPr="00F64707">
        <w:rPr>
          <w:color w:val="000000"/>
          <w:sz w:val="22"/>
          <w:szCs w:val="22"/>
        </w:rPr>
        <w:t xml:space="preserve"> </w:t>
      </w:r>
      <w:r w:rsidRPr="00F64707">
        <w:rPr>
          <w:color w:val="000000"/>
          <w:sz w:val="22"/>
          <w:szCs w:val="22"/>
        </w:rPr>
        <w:t>4</w:t>
      </w:r>
      <w:r w:rsidR="00C34367" w:rsidRPr="00F64707">
        <w:rPr>
          <w:color w:val="000000"/>
          <w:sz w:val="22"/>
          <w:szCs w:val="22"/>
        </w:rPr>
        <w:t>,</w:t>
      </w:r>
      <w:r w:rsidRPr="00F64707">
        <w:rPr>
          <w:color w:val="000000"/>
          <w:sz w:val="22"/>
          <w:szCs w:val="22"/>
        </w:rPr>
        <w:t>2</w:t>
      </w:r>
      <w:r w:rsidR="00C34367" w:rsidRPr="00F64707">
        <w:rPr>
          <w:color w:val="000000"/>
          <w:sz w:val="22"/>
          <w:szCs w:val="22"/>
        </w:rPr>
        <w:t> </w:t>
      </w:r>
      <w:r w:rsidRPr="00F64707">
        <w:rPr>
          <w:color w:val="000000"/>
          <w:sz w:val="22"/>
          <w:szCs w:val="22"/>
        </w:rPr>
        <w:t xml:space="preserve">% </w:t>
      </w:r>
      <w:r w:rsidR="00C34367" w:rsidRPr="00F64707">
        <w:rPr>
          <w:color w:val="000000"/>
          <w:sz w:val="22"/>
          <w:szCs w:val="22"/>
        </w:rPr>
        <w:t>pri kombinovanej liečbe a </w:t>
      </w:r>
      <w:r w:rsidRPr="00F64707">
        <w:rPr>
          <w:color w:val="000000"/>
          <w:sz w:val="22"/>
          <w:szCs w:val="22"/>
        </w:rPr>
        <w:t>11</w:t>
      </w:r>
      <w:r w:rsidR="00C34367" w:rsidRPr="00F64707">
        <w:rPr>
          <w:color w:val="000000"/>
          <w:sz w:val="22"/>
          <w:szCs w:val="22"/>
        </w:rPr>
        <w:t>,</w:t>
      </w:r>
      <w:r w:rsidRPr="00F64707">
        <w:rPr>
          <w:color w:val="000000"/>
          <w:sz w:val="22"/>
          <w:szCs w:val="22"/>
        </w:rPr>
        <w:t>9</w:t>
      </w:r>
      <w:r w:rsidR="00C34367" w:rsidRPr="00F64707">
        <w:rPr>
          <w:color w:val="000000"/>
          <w:sz w:val="22"/>
          <w:szCs w:val="22"/>
        </w:rPr>
        <w:t> </w:t>
      </w:r>
      <w:r w:rsidRPr="00F64707">
        <w:rPr>
          <w:color w:val="000000"/>
          <w:sz w:val="22"/>
          <w:szCs w:val="22"/>
        </w:rPr>
        <w:t xml:space="preserve">% </w:t>
      </w:r>
      <w:r w:rsidR="00C34367" w:rsidRPr="00F64707">
        <w:rPr>
          <w:color w:val="000000"/>
          <w:sz w:val="22"/>
          <w:szCs w:val="22"/>
        </w:rPr>
        <w:t>pri</w:t>
      </w:r>
      <w:r w:rsidRPr="00F64707">
        <w:rPr>
          <w:color w:val="000000"/>
          <w:sz w:val="22"/>
          <w:szCs w:val="22"/>
        </w:rPr>
        <w:t xml:space="preserve"> tamsulo</w:t>
      </w:r>
      <w:r w:rsidR="00C34367" w:rsidRPr="00F64707">
        <w:rPr>
          <w:color w:val="000000"/>
          <w:sz w:val="22"/>
          <w:szCs w:val="22"/>
        </w:rPr>
        <w:t>zíne</w:t>
      </w:r>
      <w:r w:rsidRPr="00F64707">
        <w:rPr>
          <w:color w:val="000000"/>
          <w:sz w:val="22"/>
          <w:szCs w:val="22"/>
        </w:rPr>
        <w:t xml:space="preserve"> (p</w:t>
      </w:r>
      <w:r w:rsidR="00785F11" w:rsidRPr="00F64707">
        <w:rPr>
          <w:color w:val="000000"/>
          <w:sz w:val="22"/>
          <w:szCs w:val="22"/>
        </w:rPr>
        <w:t> </w:t>
      </w:r>
      <w:r w:rsidRPr="00F64707">
        <w:rPr>
          <w:color w:val="000000"/>
          <w:sz w:val="22"/>
          <w:szCs w:val="22"/>
        </w:rPr>
        <w:t>&lt;</w:t>
      </w:r>
      <w:r w:rsidR="00785F11" w:rsidRPr="00F64707">
        <w:rPr>
          <w:color w:val="000000"/>
          <w:sz w:val="22"/>
          <w:szCs w:val="22"/>
        </w:rPr>
        <w:t> </w:t>
      </w:r>
      <w:r w:rsidRPr="00F64707">
        <w:rPr>
          <w:color w:val="000000"/>
          <w:sz w:val="22"/>
          <w:szCs w:val="22"/>
        </w:rPr>
        <w:t>0</w:t>
      </w:r>
      <w:r w:rsidR="00C34367" w:rsidRPr="00F64707">
        <w:rPr>
          <w:color w:val="000000"/>
          <w:sz w:val="22"/>
          <w:szCs w:val="22"/>
        </w:rPr>
        <w:t>,</w:t>
      </w:r>
      <w:r w:rsidRPr="00F64707">
        <w:rPr>
          <w:color w:val="000000"/>
          <w:sz w:val="22"/>
          <w:szCs w:val="22"/>
        </w:rPr>
        <w:t xml:space="preserve">001). </w:t>
      </w:r>
      <w:r w:rsidR="00C34367" w:rsidRPr="00F64707">
        <w:rPr>
          <w:color w:val="000000"/>
          <w:sz w:val="22"/>
          <w:szCs w:val="22"/>
        </w:rPr>
        <w:t>V porovnaní s </w:t>
      </w:r>
      <w:r w:rsidR="006801AB" w:rsidRPr="00F64707">
        <w:rPr>
          <w:sz w:val="22"/>
          <w:szCs w:val="22"/>
        </w:rPr>
        <w:t>monoterapiou</w:t>
      </w:r>
      <w:r w:rsidR="006801AB" w:rsidRPr="00F64707">
        <w:rPr>
          <w:color w:val="000000"/>
          <w:sz w:val="22"/>
          <w:szCs w:val="22"/>
        </w:rPr>
        <w:t xml:space="preserve"> </w:t>
      </w:r>
      <w:r w:rsidR="002A72FB" w:rsidRPr="00F64707">
        <w:rPr>
          <w:color w:val="000000"/>
          <w:sz w:val="22"/>
          <w:szCs w:val="22"/>
        </w:rPr>
        <w:t>dutasteridom</w:t>
      </w:r>
      <w:r w:rsidR="00C34367" w:rsidRPr="00F64707">
        <w:rPr>
          <w:color w:val="000000"/>
          <w:sz w:val="22"/>
          <w:szCs w:val="22"/>
        </w:rPr>
        <w:t xml:space="preserve"> </w:t>
      </w:r>
      <w:r w:rsidR="00565278" w:rsidRPr="00F64707">
        <w:rPr>
          <w:color w:val="000000"/>
          <w:sz w:val="22"/>
          <w:szCs w:val="22"/>
        </w:rPr>
        <w:t xml:space="preserve">sa pri </w:t>
      </w:r>
      <w:r w:rsidR="00C34367" w:rsidRPr="00F64707">
        <w:rPr>
          <w:color w:val="000000"/>
          <w:sz w:val="22"/>
          <w:szCs w:val="22"/>
        </w:rPr>
        <w:t>kombinovan</w:t>
      </w:r>
      <w:r w:rsidR="00565278" w:rsidRPr="00F64707">
        <w:rPr>
          <w:color w:val="000000"/>
          <w:sz w:val="22"/>
          <w:szCs w:val="22"/>
        </w:rPr>
        <w:t>ej</w:t>
      </w:r>
      <w:r w:rsidR="00C34367" w:rsidRPr="00F64707">
        <w:rPr>
          <w:color w:val="000000"/>
          <w:sz w:val="22"/>
          <w:szCs w:val="22"/>
        </w:rPr>
        <w:t xml:space="preserve"> liečb</w:t>
      </w:r>
      <w:r w:rsidR="00565278" w:rsidRPr="00F64707">
        <w:rPr>
          <w:color w:val="000000"/>
          <w:sz w:val="22"/>
          <w:szCs w:val="22"/>
        </w:rPr>
        <w:t>e znížilo</w:t>
      </w:r>
      <w:r w:rsidR="00C34367" w:rsidRPr="00F64707">
        <w:rPr>
          <w:color w:val="000000"/>
          <w:sz w:val="22"/>
          <w:szCs w:val="22"/>
        </w:rPr>
        <w:t xml:space="preserve"> riziko </w:t>
      </w:r>
      <w:r w:rsidRPr="00F64707">
        <w:rPr>
          <w:sz w:val="22"/>
          <w:szCs w:val="22"/>
        </w:rPr>
        <w:t xml:space="preserve">AUR </w:t>
      </w:r>
      <w:r w:rsidR="00C34367" w:rsidRPr="00F64707">
        <w:rPr>
          <w:sz w:val="22"/>
          <w:szCs w:val="22"/>
        </w:rPr>
        <w:t>alebo chir</w:t>
      </w:r>
      <w:r w:rsidR="002A72FB" w:rsidRPr="00F64707">
        <w:rPr>
          <w:sz w:val="22"/>
          <w:szCs w:val="22"/>
        </w:rPr>
        <w:t>urgického zákroku súvisiaceho s </w:t>
      </w:r>
      <w:r w:rsidR="00C34367" w:rsidRPr="00F64707">
        <w:rPr>
          <w:sz w:val="22"/>
          <w:szCs w:val="22"/>
        </w:rPr>
        <w:t>BPH o </w:t>
      </w:r>
      <w:r w:rsidRPr="00F64707">
        <w:rPr>
          <w:sz w:val="22"/>
          <w:szCs w:val="22"/>
        </w:rPr>
        <w:t>19</w:t>
      </w:r>
      <w:r w:rsidR="00C34367" w:rsidRPr="00F64707">
        <w:rPr>
          <w:sz w:val="22"/>
          <w:szCs w:val="22"/>
        </w:rPr>
        <w:t>,</w:t>
      </w:r>
      <w:r w:rsidRPr="00F64707">
        <w:rPr>
          <w:sz w:val="22"/>
          <w:szCs w:val="22"/>
        </w:rPr>
        <w:t>6</w:t>
      </w:r>
      <w:r w:rsidR="00C34367" w:rsidRPr="00F64707">
        <w:rPr>
          <w:sz w:val="22"/>
          <w:szCs w:val="22"/>
        </w:rPr>
        <w:t> </w:t>
      </w:r>
      <w:r w:rsidRPr="00F64707">
        <w:rPr>
          <w:sz w:val="22"/>
          <w:szCs w:val="22"/>
        </w:rPr>
        <w:t>% (p</w:t>
      </w:r>
      <w:r w:rsidR="00785F11" w:rsidRPr="00F64707">
        <w:rPr>
          <w:sz w:val="22"/>
          <w:szCs w:val="22"/>
        </w:rPr>
        <w:t> </w:t>
      </w:r>
      <w:r w:rsidRPr="00F64707">
        <w:rPr>
          <w:sz w:val="22"/>
          <w:szCs w:val="22"/>
        </w:rPr>
        <w:t>=</w:t>
      </w:r>
      <w:r w:rsidR="00785F11" w:rsidRPr="00F64707">
        <w:rPr>
          <w:sz w:val="22"/>
          <w:szCs w:val="22"/>
        </w:rPr>
        <w:t> </w:t>
      </w:r>
      <w:r w:rsidRPr="00F64707">
        <w:rPr>
          <w:sz w:val="22"/>
          <w:szCs w:val="22"/>
        </w:rPr>
        <w:t>0</w:t>
      </w:r>
      <w:r w:rsidR="00C34367" w:rsidRPr="00F64707">
        <w:rPr>
          <w:sz w:val="22"/>
          <w:szCs w:val="22"/>
        </w:rPr>
        <w:t>,</w:t>
      </w:r>
      <w:r w:rsidRPr="00F64707">
        <w:rPr>
          <w:sz w:val="22"/>
          <w:szCs w:val="22"/>
        </w:rPr>
        <w:t>18</w:t>
      </w:r>
      <w:r w:rsidRPr="00F64707">
        <w:rPr>
          <w:color w:val="000000"/>
          <w:sz w:val="22"/>
          <w:szCs w:val="22"/>
        </w:rPr>
        <w:t xml:space="preserve"> [95</w:t>
      </w:r>
      <w:r w:rsidR="00C34367" w:rsidRPr="00F64707">
        <w:rPr>
          <w:color w:val="000000"/>
          <w:sz w:val="22"/>
          <w:szCs w:val="22"/>
        </w:rPr>
        <w:t> </w:t>
      </w:r>
      <w:r w:rsidR="002A72FB" w:rsidRPr="00F64707">
        <w:rPr>
          <w:color w:val="000000"/>
          <w:sz w:val="22"/>
          <w:szCs w:val="22"/>
        </w:rPr>
        <w:t>% IS</w:t>
      </w:r>
      <w:r w:rsidRPr="00F64707">
        <w:rPr>
          <w:color w:val="000000"/>
          <w:sz w:val="22"/>
          <w:szCs w:val="22"/>
        </w:rPr>
        <w:t xml:space="preserve"> </w:t>
      </w:r>
      <w:r w:rsidR="003D3AD6" w:rsidRPr="00F64707">
        <w:rPr>
          <w:color w:val="000000"/>
          <w:sz w:val="22"/>
          <w:szCs w:val="22"/>
        </w:rPr>
        <w:noBreakHyphen/>
      </w:r>
      <w:r w:rsidRPr="00F64707">
        <w:rPr>
          <w:color w:val="000000"/>
          <w:sz w:val="22"/>
          <w:szCs w:val="22"/>
        </w:rPr>
        <w:t>10</w:t>
      </w:r>
      <w:r w:rsidR="00C34367" w:rsidRPr="00F64707">
        <w:rPr>
          <w:color w:val="000000"/>
          <w:sz w:val="22"/>
          <w:szCs w:val="22"/>
        </w:rPr>
        <w:t>,</w:t>
      </w:r>
      <w:r w:rsidRPr="00F64707">
        <w:rPr>
          <w:color w:val="000000"/>
          <w:sz w:val="22"/>
          <w:szCs w:val="22"/>
        </w:rPr>
        <w:t>9</w:t>
      </w:r>
      <w:r w:rsidR="00C34367" w:rsidRPr="00F64707">
        <w:rPr>
          <w:color w:val="000000"/>
          <w:sz w:val="22"/>
          <w:szCs w:val="22"/>
        </w:rPr>
        <w:t> </w:t>
      </w:r>
      <w:r w:rsidRPr="00F64707">
        <w:rPr>
          <w:color w:val="000000"/>
          <w:sz w:val="22"/>
          <w:szCs w:val="22"/>
        </w:rPr>
        <w:t xml:space="preserve">% </w:t>
      </w:r>
      <w:r w:rsidR="00C34367" w:rsidRPr="00F64707">
        <w:rPr>
          <w:color w:val="000000"/>
          <w:sz w:val="22"/>
          <w:szCs w:val="22"/>
        </w:rPr>
        <w:t>až</w:t>
      </w:r>
      <w:r w:rsidRPr="00F64707">
        <w:rPr>
          <w:color w:val="000000"/>
          <w:sz w:val="22"/>
          <w:szCs w:val="22"/>
        </w:rPr>
        <w:t xml:space="preserve"> 41</w:t>
      </w:r>
      <w:r w:rsidR="00C34367" w:rsidRPr="00F64707">
        <w:rPr>
          <w:color w:val="000000"/>
          <w:sz w:val="22"/>
          <w:szCs w:val="22"/>
        </w:rPr>
        <w:t>,</w:t>
      </w:r>
      <w:r w:rsidRPr="00F64707">
        <w:rPr>
          <w:color w:val="000000"/>
          <w:sz w:val="22"/>
          <w:szCs w:val="22"/>
        </w:rPr>
        <w:t>7</w:t>
      </w:r>
      <w:r w:rsidR="00C34367" w:rsidRPr="00F64707">
        <w:rPr>
          <w:color w:val="000000"/>
          <w:sz w:val="22"/>
          <w:szCs w:val="22"/>
        </w:rPr>
        <w:t> </w:t>
      </w:r>
      <w:r w:rsidRPr="00F64707">
        <w:rPr>
          <w:color w:val="000000"/>
          <w:sz w:val="22"/>
          <w:szCs w:val="22"/>
        </w:rPr>
        <w:t>%]).</w:t>
      </w:r>
      <w:r w:rsidRPr="00F64707">
        <w:rPr>
          <w:sz w:val="22"/>
          <w:szCs w:val="22"/>
        </w:rPr>
        <w:t xml:space="preserve"> </w:t>
      </w:r>
      <w:r w:rsidR="00C34367" w:rsidRPr="00F64707">
        <w:rPr>
          <w:sz w:val="22"/>
          <w:szCs w:val="22"/>
        </w:rPr>
        <w:t xml:space="preserve">Incidencia </w:t>
      </w:r>
      <w:r w:rsidR="00C34367" w:rsidRPr="00F64707">
        <w:rPr>
          <w:color w:val="000000"/>
          <w:sz w:val="22"/>
          <w:szCs w:val="22"/>
        </w:rPr>
        <w:t xml:space="preserve">AUR alebo </w:t>
      </w:r>
      <w:r w:rsidR="00C34367" w:rsidRPr="00F64707">
        <w:rPr>
          <w:sz w:val="22"/>
          <w:szCs w:val="22"/>
        </w:rPr>
        <w:t>chir</w:t>
      </w:r>
      <w:r w:rsidR="002A72FB" w:rsidRPr="00F64707">
        <w:rPr>
          <w:sz w:val="22"/>
          <w:szCs w:val="22"/>
        </w:rPr>
        <w:t>urgického zákroku súvisiaceho s </w:t>
      </w:r>
      <w:r w:rsidR="00C34367" w:rsidRPr="00F64707">
        <w:rPr>
          <w:sz w:val="22"/>
          <w:szCs w:val="22"/>
        </w:rPr>
        <w:t>BPH</w:t>
      </w:r>
      <w:r w:rsidR="002A72FB" w:rsidRPr="00F64707">
        <w:rPr>
          <w:color w:val="000000"/>
          <w:sz w:val="22"/>
          <w:szCs w:val="22"/>
        </w:rPr>
        <w:t xml:space="preserve"> do </w:t>
      </w:r>
      <w:r w:rsidR="00C34367" w:rsidRPr="00F64707">
        <w:rPr>
          <w:color w:val="000000"/>
          <w:sz w:val="22"/>
          <w:szCs w:val="22"/>
        </w:rPr>
        <w:t>4</w:t>
      </w:r>
      <w:r w:rsidR="00356ABA" w:rsidRPr="00F64707">
        <w:rPr>
          <w:color w:val="000000"/>
          <w:sz w:val="22"/>
          <w:szCs w:val="22"/>
        </w:rPr>
        <w:t>.</w:t>
      </w:r>
      <w:r w:rsidR="00C34367" w:rsidRPr="00F64707">
        <w:rPr>
          <w:color w:val="000000"/>
          <w:sz w:val="22"/>
          <w:szCs w:val="22"/>
        </w:rPr>
        <w:t xml:space="preserve"> roka bola </w:t>
      </w:r>
      <w:r w:rsidRPr="00F64707">
        <w:rPr>
          <w:sz w:val="22"/>
          <w:szCs w:val="22"/>
        </w:rPr>
        <w:t>4</w:t>
      </w:r>
      <w:r w:rsidR="00C34367" w:rsidRPr="00F64707">
        <w:rPr>
          <w:sz w:val="22"/>
          <w:szCs w:val="22"/>
        </w:rPr>
        <w:t>,</w:t>
      </w:r>
      <w:r w:rsidRPr="00F64707">
        <w:rPr>
          <w:sz w:val="22"/>
          <w:szCs w:val="22"/>
        </w:rPr>
        <w:t>2</w:t>
      </w:r>
      <w:r w:rsidR="00C34367" w:rsidRPr="00F64707">
        <w:rPr>
          <w:sz w:val="22"/>
          <w:szCs w:val="22"/>
        </w:rPr>
        <w:t> </w:t>
      </w:r>
      <w:r w:rsidRPr="00F64707">
        <w:rPr>
          <w:sz w:val="22"/>
          <w:szCs w:val="22"/>
        </w:rPr>
        <w:t xml:space="preserve">% </w:t>
      </w:r>
      <w:r w:rsidR="00C34367" w:rsidRPr="00F64707">
        <w:rPr>
          <w:color w:val="000000"/>
          <w:sz w:val="22"/>
          <w:szCs w:val="22"/>
        </w:rPr>
        <w:t xml:space="preserve">pri kombinovanej liečbe </w:t>
      </w:r>
      <w:r w:rsidRPr="00F64707">
        <w:rPr>
          <w:sz w:val="22"/>
          <w:szCs w:val="22"/>
        </w:rPr>
        <w:t>a</w:t>
      </w:r>
      <w:r w:rsidR="00C34367" w:rsidRPr="00F64707">
        <w:rPr>
          <w:sz w:val="22"/>
          <w:szCs w:val="22"/>
        </w:rPr>
        <w:t> </w:t>
      </w:r>
      <w:r w:rsidRPr="00F64707">
        <w:rPr>
          <w:sz w:val="22"/>
          <w:szCs w:val="22"/>
        </w:rPr>
        <w:t>5</w:t>
      </w:r>
      <w:r w:rsidR="00C34367" w:rsidRPr="00F64707">
        <w:rPr>
          <w:sz w:val="22"/>
          <w:szCs w:val="22"/>
        </w:rPr>
        <w:t>,</w:t>
      </w:r>
      <w:r w:rsidRPr="00F64707">
        <w:rPr>
          <w:sz w:val="22"/>
          <w:szCs w:val="22"/>
        </w:rPr>
        <w:t>2</w:t>
      </w:r>
      <w:r w:rsidR="00C34367" w:rsidRPr="00F64707">
        <w:rPr>
          <w:sz w:val="22"/>
          <w:szCs w:val="22"/>
        </w:rPr>
        <w:t> </w:t>
      </w:r>
      <w:r w:rsidRPr="00F64707">
        <w:rPr>
          <w:sz w:val="22"/>
          <w:szCs w:val="22"/>
        </w:rPr>
        <w:t xml:space="preserve">% </w:t>
      </w:r>
      <w:r w:rsidR="00D52581" w:rsidRPr="00F64707">
        <w:rPr>
          <w:sz w:val="22"/>
          <w:szCs w:val="22"/>
        </w:rPr>
        <w:t xml:space="preserve">pri </w:t>
      </w:r>
      <w:r w:rsidR="002A72FB" w:rsidRPr="00F64707">
        <w:rPr>
          <w:sz w:val="22"/>
          <w:szCs w:val="22"/>
        </w:rPr>
        <w:t>dutasteride</w:t>
      </w:r>
      <w:r w:rsidRPr="00F64707">
        <w:rPr>
          <w:sz w:val="22"/>
          <w:szCs w:val="22"/>
        </w:rPr>
        <w:t>.</w:t>
      </w:r>
    </w:p>
    <w:p w:rsidR="00CB66E5" w:rsidRPr="00F64707" w:rsidRDefault="00CB66E5" w:rsidP="00F64707">
      <w:pPr>
        <w:rPr>
          <w:color w:val="000000"/>
          <w:sz w:val="22"/>
          <w:szCs w:val="22"/>
        </w:rPr>
      </w:pPr>
    </w:p>
    <w:p w:rsidR="00CB66E5" w:rsidRPr="00F64707" w:rsidRDefault="00CB66E5" w:rsidP="00F64707">
      <w:pPr>
        <w:keepLines/>
        <w:rPr>
          <w:color w:val="000000"/>
          <w:sz w:val="22"/>
          <w:szCs w:val="22"/>
        </w:rPr>
      </w:pPr>
      <w:r w:rsidRPr="00F64707">
        <w:rPr>
          <w:color w:val="000000"/>
          <w:sz w:val="22"/>
          <w:szCs w:val="22"/>
        </w:rPr>
        <w:lastRenderedPageBreak/>
        <w:t>Se</w:t>
      </w:r>
      <w:r w:rsidR="00C34367" w:rsidRPr="00F64707">
        <w:rPr>
          <w:color w:val="000000"/>
          <w:sz w:val="22"/>
          <w:szCs w:val="22"/>
        </w:rPr>
        <w:t>kundárne koncové ukazovatele účinnosti po</w:t>
      </w:r>
      <w:r w:rsidR="002A72FB" w:rsidRPr="00F64707">
        <w:rPr>
          <w:color w:val="000000"/>
          <w:sz w:val="22"/>
          <w:szCs w:val="22"/>
        </w:rPr>
        <w:t xml:space="preserve"> </w:t>
      </w:r>
      <w:r w:rsidR="00C34367" w:rsidRPr="00F64707">
        <w:rPr>
          <w:color w:val="000000"/>
          <w:sz w:val="22"/>
          <w:szCs w:val="22"/>
        </w:rPr>
        <w:t>4</w:t>
      </w:r>
      <w:r w:rsidR="003C3380" w:rsidRPr="00F64707">
        <w:rPr>
          <w:color w:val="000000"/>
          <w:sz w:val="22"/>
          <w:szCs w:val="22"/>
        </w:rPr>
        <w:t> </w:t>
      </w:r>
      <w:r w:rsidR="00C34367" w:rsidRPr="00F64707">
        <w:rPr>
          <w:color w:val="000000"/>
          <w:sz w:val="22"/>
          <w:szCs w:val="22"/>
        </w:rPr>
        <w:t xml:space="preserve">rokoch liečby zahŕňali </w:t>
      </w:r>
      <w:r w:rsidR="00356ABA" w:rsidRPr="00F64707">
        <w:rPr>
          <w:color w:val="000000"/>
          <w:sz w:val="22"/>
          <w:szCs w:val="22"/>
        </w:rPr>
        <w:t>čas</w:t>
      </w:r>
      <w:r w:rsidR="00C34367" w:rsidRPr="00F64707">
        <w:rPr>
          <w:color w:val="000000"/>
          <w:sz w:val="22"/>
          <w:szCs w:val="22"/>
        </w:rPr>
        <w:t xml:space="preserve"> do klinickej progresie </w:t>
      </w:r>
      <w:r w:rsidRPr="00F64707">
        <w:rPr>
          <w:sz w:val="22"/>
          <w:szCs w:val="22"/>
        </w:rPr>
        <w:t>(</w:t>
      </w:r>
      <w:r w:rsidR="003C3380" w:rsidRPr="00F64707">
        <w:rPr>
          <w:sz w:val="22"/>
          <w:szCs w:val="22"/>
        </w:rPr>
        <w:t xml:space="preserve">definovanej </w:t>
      </w:r>
      <w:r w:rsidR="00D52581" w:rsidRPr="00F64707">
        <w:rPr>
          <w:sz w:val="22"/>
          <w:szCs w:val="22"/>
        </w:rPr>
        <w:t xml:space="preserve">ako </w:t>
      </w:r>
      <w:r w:rsidR="003C3380" w:rsidRPr="00F64707">
        <w:rPr>
          <w:sz w:val="22"/>
          <w:szCs w:val="22"/>
        </w:rPr>
        <w:t>kom</w:t>
      </w:r>
      <w:r w:rsidR="00D52581" w:rsidRPr="00F64707">
        <w:rPr>
          <w:sz w:val="22"/>
          <w:szCs w:val="22"/>
        </w:rPr>
        <w:t>pozit</w:t>
      </w:r>
      <w:r w:rsidRPr="00F64707">
        <w:rPr>
          <w:sz w:val="22"/>
          <w:szCs w:val="22"/>
        </w:rPr>
        <w:t xml:space="preserve"> </w:t>
      </w:r>
      <w:r w:rsidR="00D52581" w:rsidRPr="00F64707">
        <w:rPr>
          <w:sz w:val="22"/>
          <w:szCs w:val="22"/>
        </w:rPr>
        <w:t>zhoršenia</w:t>
      </w:r>
      <w:r w:rsidR="003C3380" w:rsidRPr="00F64707">
        <w:rPr>
          <w:sz w:val="22"/>
          <w:szCs w:val="22"/>
        </w:rPr>
        <w:t xml:space="preserve"> skóre </w:t>
      </w:r>
      <w:r w:rsidRPr="00F64707">
        <w:rPr>
          <w:sz w:val="22"/>
          <w:szCs w:val="22"/>
        </w:rPr>
        <w:t>IPSS</w:t>
      </w:r>
      <w:r w:rsidR="003C3380" w:rsidRPr="00F64707">
        <w:rPr>
          <w:sz w:val="22"/>
          <w:szCs w:val="22"/>
        </w:rPr>
        <w:t xml:space="preserve"> o</w:t>
      </w:r>
      <w:r w:rsidR="003D3AD6" w:rsidRPr="00F64707">
        <w:rPr>
          <w:sz w:val="22"/>
          <w:szCs w:val="22"/>
        </w:rPr>
        <w:t> </w:t>
      </w:r>
      <w:r w:rsidRPr="00F64707">
        <w:rPr>
          <w:sz w:val="22"/>
          <w:szCs w:val="22"/>
        </w:rPr>
        <w:sym w:font="Symbol" w:char="F0B3"/>
      </w:r>
      <w:r w:rsidR="003C3380" w:rsidRPr="00F64707">
        <w:rPr>
          <w:sz w:val="22"/>
          <w:szCs w:val="22"/>
        </w:rPr>
        <w:t> </w:t>
      </w:r>
      <w:r w:rsidRPr="00F64707">
        <w:rPr>
          <w:sz w:val="22"/>
          <w:szCs w:val="22"/>
        </w:rPr>
        <w:t>4</w:t>
      </w:r>
      <w:r w:rsidR="003C3380" w:rsidRPr="00F64707">
        <w:rPr>
          <w:sz w:val="22"/>
          <w:szCs w:val="22"/>
        </w:rPr>
        <w:t> body</w:t>
      </w:r>
      <w:r w:rsidRPr="00F64707">
        <w:rPr>
          <w:sz w:val="22"/>
          <w:szCs w:val="22"/>
        </w:rPr>
        <w:t xml:space="preserve">, </w:t>
      </w:r>
      <w:r w:rsidR="00D52581" w:rsidRPr="00F64707">
        <w:rPr>
          <w:sz w:val="22"/>
          <w:szCs w:val="22"/>
        </w:rPr>
        <w:t>epizód</w:t>
      </w:r>
      <w:r w:rsidR="003C3380" w:rsidRPr="00F64707">
        <w:rPr>
          <w:sz w:val="22"/>
          <w:szCs w:val="22"/>
        </w:rPr>
        <w:t xml:space="preserve"> AUR súvisiac</w:t>
      </w:r>
      <w:r w:rsidR="00D52581" w:rsidRPr="00F64707">
        <w:rPr>
          <w:sz w:val="22"/>
          <w:szCs w:val="22"/>
        </w:rPr>
        <w:t>ich</w:t>
      </w:r>
      <w:r w:rsidR="003C3380" w:rsidRPr="00F64707">
        <w:rPr>
          <w:sz w:val="22"/>
          <w:szCs w:val="22"/>
        </w:rPr>
        <w:t xml:space="preserve"> s</w:t>
      </w:r>
      <w:r w:rsidR="002A72FB" w:rsidRPr="00F64707">
        <w:rPr>
          <w:sz w:val="22"/>
          <w:szCs w:val="22"/>
        </w:rPr>
        <w:t> </w:t>
      </w:r>
      <w:r w:rsidRPr="00F64707">
        <w:rPr>
          <w:sz w:val="22"/>
          <w:szCs w:val="22"/>
        </w:rPr>
        <w:t>BPH, in</w:t>
      </w:r>
      <w:r w:rsidR="003C3380" w:rsidRPr="00F64707">
        <w:rPr>
          <w:sz w:val="22"/>
          <w:szCs w:val="22"/>
        </w:rPr>
        <w:t>k</w:t>
      </w:r>
      <w:r w:rsidRPr="00F64707">
        <w:rPr>
          <w:sz w:val="22"/>
          <w:szCs w:val="22"/>
        </w:rPr>
        <w:t>ontinenc</w:t>
      </w:r>
      <w:r w:rsidR="00D52581" w:rsidRPr="00F64707">
        <w:rPr>
          <w:sz w:val="22"/>
          <w:szCs w:val="22"/>
        </w:rPr>
        <w:t>ie</w:t>
      </w:r>
      <w:r w:rsidRPr="00F64707">
        <w:rPr>
          <w:sz w:val="22"/>
          <w:szCs w:val="22"/>
        </w:rPr>
        <w:t xml:space="preserve">, </w:t>
      </w:r>
      <w:r w:rsidR="003C3380" w:rsidRPr="00F64707">
        <w:rPr>
          <w:sz w:val="22"/>
          <w:szCs w:val="22"/>
        </w:rPr>
        <w:t>infekci</w:t>
      </w:r>
      <w:r w:rsidR="00D52581" w:rsidRPr="00F64707">
        <w:rPr>
          <w:sz w:val="22"/>
          <w:szCs w:val="22"/>
        </w:rPr>
        <w:t>e</w:t>
      </w:r>
      <w:r w:rsidR="003C3380" w:rsidRPr="00F64707">
        <w:rPr>
          <w:sz w:val="22"/>
          <w:szCs w:val="22"/>
        </w:rPr>
        <w:t xml:space="preserve"> močových ciest </w:t>
      </w:r>
      <w:r w:rsidRPr="00F64707">
        <w:rPr>
          <w:sz w:val="22"/>
          <w:szCs w:val="22"/>
        </w:rPr>
        <w:t>(UTI) a</w:t>
      </w:r>
      <w:r w:rsidR="003C3380" w:rsidRPr="00F64707">
        <w:rPr>
          <w:sz w:val="22"/>
          <w:szCs w:val="22"/>
        </w:rPr>
        <w:t> renáln</w:t>
      </w:r>
      <w:r w:rsidR="00D52581" w:rsidRPr="00F64707">
        <w:rPr>
          <w:sz w:val="22"/>
          <w:szCs w:val="22"/>
        </w:rPr>
        <w:t>ej insuficiencie</w:t>
      </w:r>
      <w:r w:rsidRPr="00F64707">
        <w:rPr>
          <w:sz w:val="22"/>
          <w:szCs w:val="22"/>
        </w:rPr>
        <w:t>)</w:t>
      </w:r>
      <w:r w:rsidR="00907231" w:rsidRPr="00F64707">
        <w:rPr>
          <w:sz w:val="22"/>
          <w:szCs w:val="22"/>
        </w:rPr>
        <w:t xml:space="preserve">, zmenu medzinárodného skóre symptómov prostaty </w:t>
      </w:r>
      <w:r w:rsidRPr="00F64707">
        <w:rPr>
          <w:color w:val="000000"/>
          <w:sz w:val="22"/>
          <w:szCs w:val="22"/>
        </w:rPr>
        <w:t xml:space="preserve">(IPSS), </w:t>
      </w:r>
      <w:r w:rsidR="00907231" w:rsidRPr="00F64707">
        <w:rPr>
          <w:color w:val="000000"/>
          <w:sz w:val="22"/>
          <w:szCs w:val="22"/>
        </w:rPr>
        <w:t>maximálnu rýchlosť prietoku moču</w:t>
      </w:r>
      <w:r w:rsidRPr="00F64707">
        <w:rPr>
          <w:color w:val="000000"/>
          <w:sz w:val="22"/>
          <w:szCs w:val="22"/>
        </w:rPr>
        <w:t xml:space="preserve"> (Q</w:t>
      </w:r>
      <w:r w:rsidRPr="00F64707">
        <w:rPr>
          <w:color w:val="000000"/>
          <w:sz w:val="22"/>
          <w:szCs w:val="22"/>
          <w:vertAlign w:val="subscript"/>
        </w:rPr>
        <w:t>max</w:t>
      </w:r>
      <w:r w:rsidRPr="00F64707">
        <w:rPr>
          <w:color w:val="000000"/>
          <w:sz w:val="22"/>
          <w:szCs w:val="22"/>
        </w:rPr>
        <w:t>) a</w:t>
      </w:r>
      <w:r w:rsidR="00907231" w:rsidRPr="00F64707">
        <w:rPr>
          <w:color w:val="000000"/>
          <w:sz w:val="22"/>
          <w:szCs w:val="22"/>
        </w:rPr>
        <w:t> objem prostaty</w:t>
      </w:r>
      <w:r w:rsidRPr="00F64707">
        <w:rPr>
          <w:color w:val="000000"/>
          <w:sz w:val="22"/>
          <w:szCs w:val="22"/>
        </w:rPr>
        <w:t xml:space="preserve">. </w:t>
      </w:r>
      <w:r w:rsidR="00907231" w:rsidRPr="00F64707">
        <w:rPr>
          <w:color w:val="000000"/>
          <w:sz w:val="22"/>
          <w:szCs w:val="22"/>
        </w:rPr>
        <w:t>Výsledky po</w:t>
      </w:r>
      <w:r w:rsidR="002A72FB" w:rsidRPr="00F64707">
        <w:rPr>
          <w:color w:val="000000"/>
          <w:sz w:val="22"/>
          <w:szCs w:val="22"/>
        </w:rPr>
        <w:t xml:space="preserve"> </w:t>
      </w:r>
      <w:r w:rsidR="00907231" w:rsidRPr="00F64707">
        <w:rPr>
          <w:color w:val="000000"/>
          <w:sz w:val="22"/>
          <w:szCs w:val="22"/>
        </w:rPr>
        <w:t>4 rokoch liečby sú uvedené nižšie</w:t>
      </w:r>
      <w:r w:rsidRPr="00F64707">
        <w:rPr>
          <w:color w:val="000000"/>
          <w:sz w:val="22"/>
          <w:szCs w:val="22"/>
        </w:rPr>
        <w:t>:</w:t>
      </w:r>
    </w:p>
    <w:p w:rsidR="00F1304A" w:rsidRPr="00F64707" w:rsidRDefault="00F1304A" w:rsidP="00F64707">
      <w:pPr>
        <w:pStyle w:val="Zkladntext2"/>
        <w:jc w:val="left"/>
        <w:rPr>
          <w:rFonts w:ascii="Times New Roman" w:hAnsi="Times New Roman"/>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60"/>
        <w:gridCol w:w="1418"/>
        <w:gridCol w:w="1228"/>
        <w:gridCol w:w="1323"/>
      </w:tblGrid>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Parameter</w:t>
            </w:r>
          </w:p>
          <w:p w:rsidR="00F1304A" w:rsidRPr="00F64707" w:rsidRDefault="00F1304A" w:rsidP="00F64707">
            <w:pPr>
              <w:rPr>
                <w:color w:val="000000"/>
                <w:sz w:val="22"/>
                <w:szCs w:val="22"/>
              </w:rPr>
            </w:pPr>
          </w:p>
        </w:tc>
        <w:tc>
          <w:tcPr>
            <w:tcW w:w="3260" w:type="dxa"/>
          </w:tcPr>
          <w:p w:rsidR="00F1304A" w:rsidRPr="00F64707" w:rsidRDefault="00F1304A" w:rsidP="00F64707">
            <w:pPr>
              <w:rPr>
                <w:color w:val="000000"/>
                <w:sz w:val="22"/>
                <w:szCs w:val="22"/>
              </w:rPr>
            </w:pPr>
            <w:r w:rsidRPr="00F64707">
              <w:rPr>
                <w:color w:val="000000"/>
                <w:sz w:val="22"/>
                <w:szCs w:val="22"/>
              </w:rPr>
              <w:t xml:space="preserve">Časový ukazovateľ </w:t>
            </w:r>
          </w:p>
        </w:tc>
        <w:tc>
          <w:tcPr>
            <w:tcW w:w="1418" w:type="dxa"/>
          </w:tcPr>
          <w:p w:rsidR="00F1304A" w:rsidRPr="00F64707" w:rsidRDefault="00F1304A" w:rsidP="00F64707">
            <w:pPr>
              <w:rPr>
                <w:color w:val="000000"/>
                <w:sz w:val="22"/>
                <w:szCs w:val="22"/>
              </w:rPr>
            </w:pPr>
            <w:r w:rsidRPr="00F64707">
              <w:rPr>
                <w:color w:val="000000"/>
                <w:sz w:val="22"/>
                <w:szCs w:val="22"/>
              </w:rPr>
              <w:t xml:space="preserve">Kombinácia </w:t>
            </w:r>
          </w:p>
        </w:tc>
        <w:tc>
          <w:tcPr>
            <w:tcW w:w="1228" w:type="dxa"/>
          </w:tcPr>
          <w:p w:rsidR="00F1304A" w:rsidRPr="00F64707" w:rsidRDefault="002A72FB" w:rsidP="00F64707">
            <w:pPr>
              <w:rPr>
                <w:color w:val="000000"/>
                <w:sz w:val="22"/>
                <w:szCs w:val="22"/>
              </w:rPr>
            </w:pPr>
            <w:r w:rsidRPr="00F64707">
              <w:rPr>
                <w:color w:val="000000"/>
                <w:sz w:val="22"/>
                <w:szCs w:val="22"/>
              </w:rPr>
              <w:t>Dutasterid</w:t>
            </w:r>
          </w:p>
        </w:tc>
        <w:tc>
          <w:tcPr>
            <w:tcW w:w="1323" w:type="dxa"/>
          </w:tcPr>
          <w:p w:rsidR="00F1304A" w:rsidRPr="00F64707" w:rsidRDefault="00F1304A" w:rsidP="00F64707">
            <w:pPr>
              <w:rPr>
                <w:color w:val="000000"/>
                <w:sz w:val="22"/>
                <w:szCs w:val="22"/>
              </w:rPr>
            </w:pPr>
            <w:r w:rsidRPr="00F64707">
              <w:rPr>
                <w:color w:val="000000"/>
                <w:sz w:val="22"/>
                <w:szCs w:val="22"/>
              </w:rPr>
              <w:t>Tamsulozín</w:t>
            </w:r>
          </w:p>
        </w:tc>
      </w:tr>
      <w:tr w:rsidR="00AB3E7F" w:rsidRPr="00F64707" w:rsidTr="00D52581">
        <w:tc>
          <w:tcPr>
            <w:tcW w:w="1951" w:type="dxa"/>
          </w:tcPr>
          <w:p w:rsidR="00D52581" w:rsidRPr="00F64707" w:rsidRDefault="00AB3E7F" w:rsidP="00F64707">
            <w:pPr>
              <w:rPr>
                <w:color w:val="000000"/>
                <w:sz w:val="22"/>
                <w:szCs w:val="22"/>
              </w:rPr>
            </w:pPr>
            <w:r w:rsidRPr="00F64707">
              <w:rPr>
                <w:color w:val="000000"/>
                <w:sz w:val="22"/>
                <w:szCs w:val="22"/>
              </w:rPr>
              <w:t>AUR alebo chirurgický zákrok súvisiaci s</w:t>
            </w:r>
            <w:r w:rsidR="00D52581" w:rsidRPr="00F64707">
              <w:rPr>
                <w:color w:val="000000"/>
                <w:sz w:val="22"/>
                <w:szCs w:val="22"/>
              </w:rPr>
              <w:t> </w:t>
            </w:r>
            <w:r w:rsidRPr="00F64707">
              <w:rPr>
                <w:color w:val="000000"/>
                <w:sz w:val="22"/>
                <w:szCs w:val="22"/>
              </w:rPr>
              <w:t>BPH</w:t>
            </w:r>
            <w:r w:rsidR="00D52581" w:rsidRPr="00F64707">
              <w:rPr>
                <w:color w:val="000000"/>
                <w:sz w:val="22"/>
                <w:szCs w:val="22"/>
              </w:rPr>
              <w:t xml:space="preserve"> (%)</w:t>
            </w:r>
          </w:p>
        </w:tc>
        <w:tc>
          <w:tcPr>
            <w:tcW w:w="3260" w:type="dxa"/>
            <w:vAlign w:val="center"/>
          </w:tcPr>
          <w:p w:rsidR="00AB3E7F" w:rsidRPr="00F64707" w:rsidRDefault="00AB3E7F" w:rsidP="00F64707">
            <w:pPr>
              <w:rPr>
                <w:color w:val="000000"/>
                <w:sz w:val="22"/>
                <w:szCs w:val="22"/>
              </w:rPr>
            </w:pPr>
            <w:r w:rsidRPr="00F64707">
              <w:rPr>
                <w:color w:val="000000"/>
                <w:sz w:val="22"/>
                <w:szCs w:val="22"/>
              </w:rPr>
              <w:t>Incidencia v 48.</w:t>
            </w:r>
            <w:r w:rsidR="003D3AD6" w:rsidRPr="00F64707">
              <w:rPr>
                <w:color w:val="000000"/>
                <w:sz w:val="22"/>
                <w:szCs w:val="22"/>
              </w:rPr>
              <w:t> </w:t>
            </w:r>
            <w:r w:rsidRPr="00F64707">
              <w:rPr>
                <w:color w:val="000000"/>
                <w:sz w:val="22"/>
                <w:szCs w:val="22"/>
              </w:rPr>
              <w:t>mesiaci</w:t>
            </w:r>
          </w:p>
        </w:tc>
        <w:tc>
          <w:tcPr>
            <w:tcW w:w="1418" w:type="dxa"/>
            <w:vAlign w:val="center"/>
          </w:tcPr>
          <w:p w:rsidR="00AB3E7F" w:rsidRPr="00F64707" w:rsidRDefault="00AB3E7F" w:rsidP="00F64707">
            <w:pPr>
              <w:rPr>
                <w:color w:val="000000"/>
                <w:sz w:val="22"/>
                <w:szCs w:val="22"/>
              </w:rPr>
            </w:pPr>
            <w:r w:rsidRPr="00F64707">
              <w:rPr>
                <w:bCs/>
                <w:color w:val="000000"/>
                <w:sz w:val="22"/>
                <w:szCs w:val="22"/>
                <w:lang w:eastAsia="en-GB"/>
              </w:rPr>
              <w:t>4,2</w:t>
            </w:r>
          </w:p>
        </w:tc>
        <w:tc>
          <w:tcPr>
            <w:tcW w:w="1228" w:type="dxa"/>
            <w:vAlign w:val="center"/>
          </w:tcPr>
          <w:p w:rsidR="00AB3E7F" w:rsidRPr="00F64707" w:rsidRDefault="00AB3E7F" w:rsidP="00F64707">
            <w:pPr>
              <w:rPr>
                <w:color w:val="000000"/>
                <w:sz w:val="22"/>
                <w:szCs w:val="22"/>
              </w:rPr>
            </w:pPr>
            <w:r w:rsidRPr="00F64707">
              <w:rPr>
                <w:bCs/>
                <w:color w:val="000000"/>
                <w:sz w:val="22"/>
                <w:szCs w:val="22"/>
                <w:lang w:eastAsia="en-GB"/>
              </w:rPr>
              <w:t>5,2</w:t>
            </w:r>
          </w:p>
        </w:tc>
        <w:tc>
          <w:tcPr>
            <w:tcW w:w="1323" w:type="dxa"/>
            <w:vAlign w:val="center"/>
          </w:tcPr>
          <w:p w:rsidR="00AB3E7F" w:rsidRPr="00F64707" w:rsidRDefault="00AB3E7F" w:rsidP="00F64707">
            <w:pPr>
              <w:rPr>
                <w:color w:val="000000"/>
                <w:sz w:val="22"/>
                <w:szCs w:val="22"/>
              </w:rPr>
            </w:pPr>
            <w:r w:rsidRPr="00F64707">
              <w:rPr>
                <w:bCs/>
                <w:color w:val="000000"/>
                <w:sz w:val="22"/>
                <w:szCs w:val="22"/>
                <w:lang w:eastAsia="en-GB"/>
              </w:rPr>
              <w:t>11,9a</w:t>
            </w:r>
          </w:p>
        </w:tc>
      </w:tr>
      <w:tr w:rsidR="00AB3E7F" w:rsidRPr="00F64707" w:rsidTr="00D52581">
        <w:tc>
          <w:tcPr>
            <w:tcW w:w="1951" w:type="dxa"/>
          </w:tcPr>
          <w:p w:rsidR="00AB3E7F" w:rsidRPr="00F64707" w:rsidRDefault="00AB3E7F" w:rsidP="00F64707">
            <w:pPr>
              <w:rPr>
                <w:color w:val="000000"/>
                <w:sz w:val="22"/>
                <w:szCs w:val="22"/>
              </w:rPr>
            </w:pPr>
            <w:r w:rsidRPr="00F64707">
              <w:rPr>
                <w:color w:val="000000"/>
                <w:sz w:val="22"/>
                <w:szCs w:val="22"/>
              </w:rPr>
              <w:t>Klinická progresia* (%)</w:t>
            </w:r>
          </w:p>
        </w:tc>
        <w:tc>
          <w:tcPr>
            <w:tcW w:w="3260" w:type="dxa"/>
            <w:vAlign w:val="center"/>
          </w:tcPr>
          <w:p w:rsidR="00AB3E7F" w:rsidRPr="00F64707" w:rsidRDefault="00AB3E7F" w:rsidP="00F64707">
            <w:pPr>
              <w:rPr>
                <w:color w:val="000000"/>
                <w:sz w:val="22"/>
                <w:szCs w:val="22"/>
              </w:rPr>
            </w:pPr>
            <w:r w:rsidRPr="00F64707">
              <w:rPr>
                <w:color w:val="000000"/>
                <w:sz w:val="22"/>
                <w:szCs w:val="22"/>
              </w:rPr>
              <w:t>48.</w:t>
            </w:r>
            <w:r w:rsidR="003D3AD6" w:rsidRPr="00F64707">
              <w:rPr>
                <w:color w:val="000000"/>
                <w:sz w:val="22"/>
                <w:szCs w:val="22"/>
              </w:rPr>
              <w:t> </w:t>
            </w:r>
            <w:r w:rsidRPr="00F64707">
              <w:rPr>
                <w:color w:val="000000"/>
                <w:sz w:val="22"/>
                <w:szCs w:val="22"/>
              </w:rPr>
              <w:t>mesiac</w:t>
            </w:r>
          </w:p>
        </w:tc>
        <w:tc>
          <w:tcPr>
            <w:tcW w:w="1418" w:type="dxa"/>
            <w:vAlign w:val="center"/>
          </w:tcPr>
          <w:p w:rsidR="00AB3E7F" w:rsidRPr="00F64707" w:rsidRDefault="00AB3E7F" w:rsidP="00F64707">
            <w:pPr>
              <w:rPr>
                <w:color w:val="000000"/>
                <w:sz w:val="22"/>
                <w:szCs w:val="22"/>
              </w:rPr>
            </w:pPr>
            <w:r w:rsidRPr="00F64707">
              <w:rPr>
                <w:color w:val="000000"/>
                <w:sz w:val="22"/>
                <w:szCs w:val="22"/>
              </w:rPr>
              <w:t>12,6</w:t>
            </w:r>
          </w:p>
        </w:tc>
        <w:tc>
          <w:tcPr>
            <w:tcW w:w="1228" w:type="dxa"/>
            <w:vAlign w:val="center"/>
          </w:tcPr>
          <w:p w:rsidR="00AB3E7F" w:rsidRPr="00F64707" w:rsidRDefault="00AB3E7F" w:rsidP="00F64707">
            <w:pPr>
              <w:rPr>
                <w:color w:val="000000"/>
                <w:sz w:val="22"/>
                <w:szCs w:val="22"/>
              </w:rPr>
            </w:pPr>
            <w:r w:rsidRPr="00F64707">
              <w:rPr>
                <w:color w:val="000000"/>
                <w:sz w:val="22"/>
                <w:szCs w:val="22"/>
              </w:rPr>
              <w:t>17,8b</w:t>
            </w:r>
          </w:p>
        </w:tc>
        <w:tc>
          <w:tcPr>
            <w:tcW w:w="1323" w:type="dxa"/>
            <w:vAlign w:val="center"/>
          </w:tcPr>
          <w:p w:rsidR="00AB3E7F" w:rsidRPr="00F64707" w:rsidRDefault="00AB3E7F" w:rsidP="00F64707">
            <w:pPr>
              <w:rPr>
                <w:color w:val="000000"/>
                <w:sz w:val="22"/>
                <w:szCs w:val="22"/>
              </w:rPr>
            </w:pPr>
            <w:r w:rsidRPr="00F64707">
              <w:rPr>
                <w:color w:val="000000"/>
                <w:sz w:val="22"/>
                <w:szCs w:val="22"/>
              </w:rPr>
              <w:t>21,5a</w:t>
            </w:r>
          </w:p>
        </w:tc>
      </w:tr>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IPSS (jednotky)</w:t>
            </w: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F1304A" w:rsidRPr="00F64707">
              <w:rPr>
                <w:color w:val="000000"/>
                <w:sz w:val="22"/>
                <w:szCs w:val="22"/>
              </w:rPr>
              <w:t>.</w:t>
            </w:r>
            <w:r w:rsidR="003D3AD6" w:rsidRPr="00F64707">
              <w:rPr>
                <w:color w:val="000000"/>
                <w:sz w:val="22"/>
                <w:szCs w:val="22"/>
              </w:rPr>
              <w:t> </w:t>
            </w:r>
            <w:r w:rsidR="00F1304A" w:rsidRPr="00F64707">
              <w:rPr>
                <w:color w:val="000000"/>
                <w:sz w:val="22"/>
                <w:szCs w:val="22"/>
              </w:rPr>
              <w:t xml:space="preserve">mesiac (Zmena </w:t>
            </w:r>
            <w:r w:rsidR="008E712D" w:rsidRPr="00F64707">
              <w:rPr>
                <w:color w:val="000000"/>
                <w:sz w:val="22"/>
                <w:szCs w:val="22"/>
              </w:rPr>
              <w:t>oproti</w:t>
            </w:r>
            <w:r w:rsidR="00D52581" w:rsidRPr="00F64707">
              <w:rPr>
                <w:color w:val="000000"/>
                <w:sz w:val="22"/>
                <w:szCs w:val="22"/>
              </w:rPr>
              <w:t xml:space="preserve"> </w:t>
            </w:r>
            <w:r w:rsidR="00F1304A" w:rsidRPr="00F64707">
              <w:rPr>
                <w:color w:val="000000"/>
                <w:sz w:val="22"/>
                <w:szCs w:val="22"/>
              </w:rPr>
              <w:t>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[16,6]</w:t>
            </w:r>
          </w:p>
          <w:p w:rsidR="00F1304A" w:rsidRPr="00F64707" w:rsidRDefault="00F1304A" w:rsidP="00F64707">
            <w:pPr>
              <w:jc w:val="center"/>
              <w:rPr>
                <w:color w:val="000000"/>
                <w:sz w:val="22"/>
                <w:szCs w:val="22"/>
              </w:rPr>
            </w:pPr>
            <w:r w:rsidRPr="00F64707">
              <w:rPr>
                <w:color w:val="000000"/>
                <w:sz w:val="22"/>
                <w:szCs w:val="22"/>
              </w:rPr>
              <w:t>-6,</w:t>
            </w:r>
            <w:r w:rsidR="00AB3E7F" w:rsidRPr="00F64707">
              <w:rPr>
                <w:color w:val="000000"/>
                <w:sz w:val="22"/>
                <w:szCs w:val="22"/>
              </w:rPr>
              <w:t>3</w:t>
            </w:r>
          </w:p>
        </w:tc>
        <w:tc>
          <w:tcPr>
            <w:tcW w:w="1228" w:type="dxa"/>
          </w:tcPr>
          <w:p w:rsidR="00F1304A" w:rsidRPr="00F64707" w:rsidRDefault="00F1304A" w:rsidP="00F64707">
            <w:pPr>
              <w:jc w:val="center"/>
              <w:rPr>
                <w:color w:val="000000"/>
                <w:sz w:val="22"/>
                <w:szCs w:val="22"/>
              </w:rPr>
            </w:pPr>
            <w:r w:rsidRPr="00F64707">
              <w:rPr>
                <w:color w:val="000000"/>
                <w:sz w:val="22"/>
                <w:szCs w:val="22"/>
              </w:rPr>
              <w:t>[16,4]</w:t>
            </w:r>
          </w:p>
          <w:p w:rsidR="00F1304A" w:rsidRPr="00F64707" w:rsidRDefault="00F1304A" w:rsidP="00F64707">
            <w:pPr>
              <w:jc w:val="center"/>
              <w:rPr>
                <w:color w:val="000000"/>
                <w:sz w:val="22"/>
                <w:szCs w:val="22"/>
              </w:rPr>
            </w:pPr>
            <w:r w:rsidRPr="00F64707">
              <w:rPr>
                <w:color w:val="000000"/>
                <w:sz w:val="22"/>
                <w:szCs w:val="22"/>
              </w:rPr>
              <w:t>-</w:t>
            </w:r>
            <w:r w:rsidR="00AB3E7F" w:rsidRPr="00F64707">
              <w:rPr>
                <w:color w:val="000000"/>
                <w:sz w:val="22"/>
                <w:szCs w:val="22"/>
              </w:rPr>
              <w:t>5</w:t>
            </w:r>
            <w:r w:rsidRPr="00F64707">
              <w:rPr>
                <w:color w:val="000000"/>
                <w:sz w:val="22"/>
                <w:szCs w:val="22"/>
              </w:rPr>
              <w:t>,</w:t>
            </w:r>
            <w:r w:rsidR="00AB3E7F" w:rsidRPr="00F64707">
              <w:rPr>
                <w:color w:val="000000"/>
                <w:sz w:val="22"/>
                <w:szCs w:val="22"/>
              </w:rPr>
              <w:t>3b</w:t>
            </w:r>
          </w:p>
        </w:tc>
        <w:tc>
          <w:tcPr>
            <w:tcW w:w="1323" w:type="dxa"/>
          </w:tcPr>
          <w:p w:rsidR="00F1304A" w:rsidRPr="00F64707" w:rsidRDefault="00F1304A" w:rsidP="00F64707">
            <w:pPr>
              <w:jc w:val="center"/>
              <w:rPr>
                <w:color w:val="000000"/>
                <w:sz w:val="22"/>
                <w:szCs w:val="22"/>
              </w:rPr>
            </w:pPr>
            <w:r w:rsidRPr="00F64707">
              <w:rPr>
                <w:color w:val="000000"/>
                <w:sz w:val="22"/>
                <w:szCs w:val="22"/>
              </w:rPr>
              <w:t>[16,4]</w:t>
            </w:r>
          </w:p>
          <w:p w:rsidR="00F1304A" w:rsidRPr="00F64707" w:rsidRDefault="00F1304A" w:rsidP="00F64707">
            <w:pPr>
              <w:jc w:val="center"/>
              <w:rPr>
                <w:color w:val="000000"/>
                <w:sz w:val="22"/>
                <w:szCs w:val="22"/>
              </w:rPr>
            </w:pPr>
            <w:r w:rsidRPr="00F64707">
              <w:rPr>
                <w:color w:val="000000"/>
                <w:sz w:val="22"/>
                <w:szCs w:val="22"/>
              </w:rPr>
              <w:t>-</w:t>
            </w:r>
            <w:r w:rsidR="00AB3E7F" w:rsidRPr="00F64707">
              <w:rPr>
                <w:color w:val="000000"/>
                <w:sz w:val="22"/>
                <w:szCs w:val="22"/>
              </w:rPr>
              <w:t>3</w:t>
            </w:r>
            <w:r w:rsidRPr="00F64707">
              <w:rPr>
                <w:color w:val="000000"/>
                <w:sz w:val="22"/>
                <w:szCs w:val="22"/>
              </w:rPr>
              <w:t>,</w:t>
            </w:r>
            <w:r w:rsidR="00AB3E7F" w:rsidRPr="00F64707">
              <w:rPr>
                <w:color w:val="000000"/>
                <w:sz w:val="22"/>
                <w:szCs w:val="22"/>
              </w:rPr>
              <w:t>8a</w:t>
            </w:r>
          </w:p>
        </w:tc>
      </w:tr>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Q</w:t>
            </w:r>
            <w:r w:rsidRPr="00F64707">
              <w:rPr>
                <w:color w:val="000000"/>
                <w:sz w:val="22"/>
                <w:szCs w:val="22"/>
                <w:vertAlign w:val="subscript"/>
              </w:rPr>
              <w:t>max</w:t>
            </w:r>
            <w:r w:rsidRPr="00F64707">
              <w:rPr>
                <w:color w:val="000000"/>
                <w:sz w:val="22"/>
                <w:szCs w:val="22"/>
              </w:rPr>
              <w:t xml:space="preserve"> (ml/se</w:t>
            </w:r>
            <w:r w:rsidR="003D3AD6" w:rsidRPr="00F64707">
              <w:rPr>
                <w:color w:val="000000"/>
                <w:sz w:val="22"/>
                <w:szCs w:val="22"/>
              </w:rPr>
              <w:t>k.</w:t>
            </w:r>
            <w:r w:rsidRPr="00F64707">
              <w:rPr>
                <w:color w:val="000000"/>
                <w:sz w:val="22"/>
                <w:szCs w:val="22"/>
              </w:rPr>
              <w:t>)</w:t>
            </w: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F1304A" w:rsidRPr="00F64707">
              <w:rPr>
                <w:color w:val="000000"/>
                <w:sz w:val="22"/>
                <w:szCs w:val="22"/>
              </w:rPr>
              <w:t>.</w:t>
            </w:r>
            <w:r w:rsidR="003D3AD6" w:rsidRPr="00F64707">
              <w:rPr>
                <w:color w:val="000000"/>
                <w:sz w:val="22"/>
                <w:szCs w:val="22"/>
              </w:rPr>
              <w:t> </w:t>
            </w:r>
            <w:r w:rsidR="00F1304A" w:rsidRPr="00F64707">
              <w:rPr>
                <w:color w:val="000000"/>
                <w:sz w:val="22"/>
                <w:szCs w:val="22"/>
              </w:rPr>
              <w:t xml:space="preserve">mesiac (Zmena </w:t>
            </w:r>
            <w:r w:rsidR="008E712D" w:rsidRPr="00F64707">
              <w:rPr>
                <w:color w:val="000000"/>
                <w:sz w:val="22"/>
                <w:szCs w:val="22"/>
              </w:rPr>
              <w:t>oproti</w:t>
            </w:r>
            <w:r w:rsidR="00D52581" w:rsidRPr="00F64707">
              <w:rPr>
                <w:color w:val="000000"/>
                <w:sz w:val="22"/>
                <w:szCs w:val="22"/>
              </w:rPr>
              <w:t xml:space="preserve"> </w:t>
            </w:r>
            <w:r w:rsidR="00F1304A" w:rsidRPr="00F64707">
              <w:rPr>
                <w:color w:val="000000"/>
                <w:sz w:val="22"/>
                <w:szCs w:val="22"/>
              </w:rPr>
              <w:t>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[10,9]</w:t>
            </w:r>
          </w:p>
          <w:p w:rsidR="00F1304A" w:rsidRPr="00F64707" w:rsidRDefault="00F1304A" w:rsidP="00F64707">
            <w:pPr>
              <w:jc w:val="center"/>
              <w:rPr>
                <w:color w:val="000000"/>
                <w:sz w:val="22"/>
                <w:szCs w:val="22"/>
              </w:rPr>
            </w:pPr>
            <w:r w:rsidRPr="00F64707">
              <w:rPr>
                <w:color w:val="000000"/>
                <w:sz w:val="22"/>
                <w:szCs w:val="22"/>
              </w:rPr>
              <w:t>2,4</w:t>
            </w:r>
          </w:p>
        </w:tc>
        <w:tc>
          <w:tcPr>
            <w:tcW w:w="1228" w:type="dxa"/>
          </w:tcPr>
          <w:p w:rsidR="00F1304A" w:rsidRPr="00F64707" w:rsidRDefault="00F1304A" w:rsidP="00F64707">
            <w:pPr>
              <w:jc w:val="center"/>
              <w:rPr>
                <w:color w:val="000000"/>
                <w:sz w:val="22"/>
                <w:szCs w:val="22"/>
              </w:rPr>
            </w:pPr>
            <w:r w:rsidRPr="00F64707">
              <w:rPr>
                <w:color w:val="000000"/>
                <w:sz w:val="22"/>
                <w:szCs w:val="22"/>
              </w:rPr>
              <w:t>[10,6]</w:t>
            </w:r>
          </w:p>
          <w:p w:rsidR="00F1304A" w:rsidRPr="00F64707" w:rsidRDefault="00AB3E7F" w:rsidP="00F64707">
            <w:pPr>
              <w:jc w:val="center"/>
              <w:rPr>
                <w:color w:val="000000"/>
                <w:sz w:val="22"/>
                <w:szCs w:val="22"/>
              </w:rPr>
            </w:pPr>
            <w:r w:rsidRPr="00F64707">
              <w:rPr>
                <w:color w:val="000000"/>
                <w:sz w:val="22"/>
                <w:szCs w:val="22"/>
              </w:rPr>
              <w:t>2</w:t>
            </w:r>
            <w:r w:rsidR="00F1304A" w:rsidRPr="00F64707">
              <w:rPr>
                <w:color w:val="000000"/>
                <w:sz w:val="22"/>
                <w:szCs w:val="22"/>
              </w:rPr>
              <w:t>,</w:t>
            </w:r>
            <w:r w:rsidRPr="00F64707">
              <w:rPr>
                <w:color w:val="000000"/>
                <w:sz w:val="22"/>
                <w:szCs w:val="22"/>
              </w:rPr>
              <w:t>0</w:t>
            </w:r>
          </w:p>
        </w:tc>
        <w:tc>
          <w:tcPr>
            <w:tcW w:w="1323" w:type="dxa"/>
          </w:tcPr>
          <w:p w:rsidR="00F1304A" w:rsidRPr="00F64707" w:rsidRDefault="00F1304A" w:rsidP="00F64707">
            <w:pPr>
              <w:jc w:val="center"/>
              <w:rPr>
                <w:color w:val="000000"/>
                <w:sz w:val="22"/>
                <w:szCs w:val="22"/>
              </w:rPr>
            </w:pPr>
            <w:r w:rsidRPr="00F64707">
              <w:rPr>
                <w:color w:val="000000"/>
                <w:sz w:val="22"/>
                <w:szCs w:val="22"/>
              </w:rPr>
              <w:t>[10,7]</w:t>
            </w:r>
          </w:p>
          <w:p w:rsidR="00F1304A" w:rsidRPr="00F64707" w:rsidRDefault="00F1304A" w:rsidP="00F64707">
            <w:pPr>
              <w:jc w:val="center"/>
              <w:rPr>
                <w:color w:val="000000"/>
                <w:sz w:val="22"/>
                <w:szCs w:val="22"/>
              </w:rPr>
            </w:pPr>
            <w:r w:rsidRPr="00F64707">
              <w:rPr>
                <w:color w:val="000000"/>
                <w:sz w:val="22"/>
                <w:szCs w:val="22"/>
              </w:rPr>
              <w:t>0,</w:t>
            </w:r>
            <w:r w:rsidR="00AB3E7F" w:rsidRPr="00F64707">
              <w:rPr>
                <w:color w:val="000000"/>
                <w:sz w:val="22"/>
                <w:szCs w:val="22"/>
              </w:rPr>
              <w:t>7a</w:t>
            </w:r>
          </w:p>
        </w:tc>
      </w:tr>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 xml:space="preserve">Objem prostaty </w:t>
            </w:r>
            <w:r w:rsidR="00AB3E7F" w:rsidRPr="00F64707">
              <w:rPr>
                <w:color w:val="000000"/>
                <w:sz w:val="22"/>
                <w:szCs w:val="22"/>
              </w:rPr>
              <w:t>(ml)</w:t>
            </w: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F1304A" w:rsidRPr="00F64707">
              <w:rPr>
                <w:color w:val="000000"/>
                <w:sz w:val="22"/>
                <w:szCs w:val="22"/>
              </w:rPr>
              <w:t>.</w:t>
            </w:r>
            <w:r w:rsidR="003D3AD6" w:rsidRPr="00F64707">
              <w:rPr>
                <w:color w:val="000000"/>
                <w:sz w:val="22"/>
                <w:szCs w:val="22"/>
              </w:rPr>
              <w:t> </w:t>
            </w:r>
            <w:r w:rsidR="00D52581" w:rsidRPr="00F64707">
              <w:rPr>
                <w:color w:val="000000"/>
                <w:sz w:val="22"/>
                <w:szCs w:val="22"/>
              </w:rPr>
              <w:t>mesiac (% z</w:t>
            </w:r>
            <w:r w:rsidR="00F1304A" w:rsidRPr="00F64707">
              <w:rPr>
                <w:color w:val="000000"/>
                <w:sz w:val="22"/>
                <w:szCs w:val="22"/>
              </w:rPr>
              <w:t>men</w:t>
            </w:r>
            <w:r w:rsidR="008E712D" w:rsidRPr="00F64707">
              <w:rPr>
                <w:color w:val="000000"/>
                <w:sz w:val="22"/>
                <w:szCs w:val="22"/>
              </w:rPr>
              <w:t>y</w:t>
            </w:r>
            <w:r w:rsidR="00F1304A" w:rsidRPr="00F64707">
              <w:rPr>
                <w:color w:val="000000"/>
                <w:sz w:val="22"/>
                <w:szCs w:val="22"/>
              </w:rPr>
              <w:t xml:space="preserve"> </w:t>
            </w:r>
            <w:r w:rsidR="008E712D" w:rsidRPr="00F64707">
              <w:rPr>
                <w:color w:val="000000"/>
                <w:sz w:val="22"/>
                <w:szCs w:val="22"/>
              </w:rPr>
              <w:t>oproti</w:t>
            </w:r>
            <w:r w:rsidR="00D52581" w:rsidRPr="00F64707">
              <w:rPr>
                <w:color w:val="000000"/>
                <w:sz w:val="22"/>
                <w:szCs w:val="22"/>
              </w:rPr>
              <w:t xml:space="preserve"> </w:t>
            </w:r>
            <w:r w:rsidR="00F1304A" w:rsidRPr="00F64707">
              <w:rPr>
                <w:color w:val="000000"/>
                <w:sz w:val="22"/>
                <w:szCs w:val="22"/>
              </w:rPr>
              <w:t>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[54,7]</w:t>
            </w:r>
          </w:p>
          <w:p w:rsidR="00F1304A" w:rsidRPr="00F64707" w:rsidRDefault="00F1304A" w:rsidP="00F64707">
            <w:pPr>
              <w:jc w:val="center"/>
              <w:rPr>
                <w:color w:val="000000"/>
                <w:sz w:val="22"/>
                <w:szCs w:val="22"/>
              </w:rPr>
            </w:pPr>
            <w:r w:rsidRPr="00F64707">
              <w:rPr>
                <w:color w:val="000000"/>
                <w:sz w:val="22"/>
                <w:szCs w:val="22"/>
              </w:rPr>
              <w:t>-2</w:t>
            </w:r>
            <w:r w:rsidR="00AB3E7F" w:rsidRPr="00F64707">
              <w:rPr>
                <w:color w:val="000000"/>
                <w:sz w:val="22"/>
                <w:szCs w:val="22"/>
              </w:rPr>
              <w:t>7</w:t>
            </w:r>
            <w:r w:rsidRPr="00F64707">
              <w:rPr>
                <w:color w:val="000000"/>
                <w:sz w:val="22"/>
                <w:szCs w:val="22"/>
              </w:rPr>
              <w:t>,</w:t>
            </w:r>
            <w:r w:rsidR="00AB3E7F" w:rsidRPr="00F64707">
              <w:rPr>
                <w:color w:val="000000"/>
                <w:sz w:val="22"/>
                <w:szCs w:val="22"/>
              </w:rPr>
              <w:t>3</w:t>
            </w:r>
          </w:p>
        </w:tc>
        <w:tc>
          <w:tcPr>
            <w:tcW w:w="1228" w:type="dxa"/>
          </w:tcPr>
          <w:p w:rsidR="00F1304A" w:rsidRPr="00F64707" w:rsidRDefault="00F1304A" w:rsidP="00F64707">
            <w:pPr>
              <w:jc w:val="center"/>
              <w:rPr>
                <w:color w:val="000000"/>
                <w:sz w:val="22"/>
                <w:szCs w:val="22"/>
              </w:rPr>
            </w:pPr>
            <w:r w:rsidRPr="00F64707">
              <w:rPr>
                <w:color w:val="000000"/>
                <w:sz w:val="22"/>
                <w:szCs w:val="22"/>
              </w:rPr>
              <w:t>[54,6]</w:t>
            </w:r>
          </w:p>
          <w:p w:rsidR="00F1304A" w:rsidRPr="00F64707" w:rsidRDefault="00F1304A" w:rsidP="00F64707">
            <w:pPr>
              <w:jc w:val="center"/>
              <w:rPr>
                <w:color w:val="000000"/>
                <w:sz w:val="22"/>
                <w:szCs w:val="22"/>
              </w:rPr>
            </w:pPr>
            <w:r w:rsidRPr="00F64707">
              <w:rPr>
                <w:color w:val="000000"/>
                <w:sz w:val="22"/>
                <w:szCs w:val="22"/>
              </w:rPr>
              <w:t>-28,0</w:t>
            </w:r>
          </w:p>
        </w:tc>
        <w:tc>
          <w:tcPr>
            <w:tcW w:w="1323" w:type="dxa"/>
          </w:tcPr>
          <w:p w:rsidR="00F1304A" w:rsidRPr="00F64707" w:rsidRDefault="00F1304A" w:rsidP="00F64707">
            <w:pPr>
              <w:jc w:val="center"/>
              <w:rPr>
                <w:color w:val="000000"/>
                <w:sz w:val="22"/>
                <w:szCs w:val="22"/>
              </w:rPr>
            </w:pPr>
            <w:r w:rsidRPr="00F64707">
              <w:rPr>
                <w:color w:val="000000"/>
                <w:sz w:val="22"/>
                <w:szCs w:val="22"/>
              </w:rPr>
              <w:t>[55,8]</w:t>
            </w:r>
          </w:p>
          <w:p w:rsidR="00F1304A" w:rsidRPr="00F64707" w:rsidRDefault="00AB3E7F" w:rsidP="00F64707">
            <w:pPr>
              <w:jc w:val="center"/>
              <w:rPr>
                <w:color w:val="000000"/>
                <w:sz w:val="22"/>
                <w:szCs w:val="22"/>
              </w:rPr>
            </w:pPr>
            <w:r w:rsidRPr="00F64707">
              <w:rPr>
                <w:color w:val="000000"/>
                <w:sz w:val="22"/>
                <w:szCs w:val="22"/>
              </w:rPr>
              <w:t>+4,6a</w:t>
            </w:r>
          </w:p>
        </w:tc>
      </w:tr>
      <w:tr w:rsidR="00F1304A" w:rsidRPr="00F64707" w:rsidTr="002A72FB">
        <w:tc>
          <w:tcPr>
            <w:tcW w:w="1951" w:type="dxa"/>
          </w:tcPr>
          <w:p w:rsidR="00AB3E7F" w:rsidRPr="00F64707" w:rsidRDefault="00C27401" w:rsidP="00F64707">
            <w:pPr>
              <w:rPr>
                <w:color w:val="000000"/>
                <w:sz w:val="22"/>
                <w:szCs w:val="22"/>
              </w:rPr>
            </w:pPr>
            <w:r w:rsidRPr="00F64707">
              <w:rPr>
                <w:color w:val="000000"/>
                <w:sz w:val="22"/>
                <w:szCs w:val="22"/>
              </w:rPr>
              <w:t>P</w:t>
            </w:r>
            <w:r w:rsidR="00F1304A" w:rsidRPr="00F64707">
              <w:rPr>
                <w:color w:val="000000"/>
                <w:sz w:val="22"/>
                <w:szCs w:val="22"/>
              </w:rPr>
              <w:t>rechodn</w:t>
            </w:r>
            <w:r w:rsidRPr="00F64707">
              <w:rPr>
                <w:color w:val="000000"/>
                <w:sz w:val="22"/>
                <w:szCs w:val="22"/>
              </w:rPr>
              <w:t>á</w:t>
            </w:r>
            <w:r w:rsidR="00F1304A" w:rsidRPr="00F64707">
              <w:rPr>
                <w:color w:val="000000"/>
                <w:sz w:val="22"/>
                <w:szCs w:val="22"/>
              </w:rPr>
              <w:t xml:space="preserve"> </w:t>
            </w:r>
            <w:r w:rsidR="00F1304A" w:rsidRPr="00F64707">
              <w:rPr>
                <w:bCs/>
                <w:color w:val="000000"/>
                <w:sz w:val="22"/>
                <w:szCs w:val="22"/>
              </w:rPr>
              <w:t>zón</w:t>
            </w:r>
            <w:r w:rsidRPr="00F64707">
              <w:rPr>
                <w:bCs/>
                <w:color w:val="000000"/>
                <w:sz w:val="22"/>
                <w:szCs w:val="22"/>
              </w:rPr>
              <w:t>a</w:t>
            </w:r>
            <w:r w:rsidR="00F1304A" w:rsidRPr="00F64707">
              <w:rPr>
                <w:bCs/>
                <w:color w:val="000000"/>
                <w:sz w:val="22"/>
                <w:szCs w:val="22"/>
              </w:rPr>
              <w:t xml:space="preserve"> </w:t>
            </w:r>
            <w:r w:rsidRPr="00F64707">
              <w:rPr>
                <w:bCs/>
                <w:color w:val="000000"/>
                <w:sz w:val="22"/>
                <w:szCs w:val="22"/>
              </w:rPr>
              <w:t xml:space="preserve">objemu </w:t>
            </w:r>
            <w:r w:rsidR="00F1304A" w:rsidRPr="00F64707">
              <w:rPr>
                <w:bCs/>
                <w:color w:val="000000"/>
                <w:sz w:val="22"/>
                <w:szCs w:val="22"/>
              </w:rPr>
              <w:t>prostaty</w:t>
            </w:r>
            <w:r w:rsidR="00AB3E7F" w:rsidRPr="00F64707">
              <w:rPr>
                <w:bCs/>
                <w:color w:val="000000"/>
                <w:sz w:val="22"/>
                <w:szCs w:val="22"/>
              </w:rPr>
              <w:t xml:space="preserve"> </w:t>
            </w:r>
            <w:r w:rsidR="00AB3E7F" w:rsidRPr="00F64707">
              <w:rPr>
                <w:color w:val="000000"/>
                <w:sz w:val="22"/>
                <w:szCs w:val="22"/>
              </w:rPr>
              <w:t>(ml)</w:t>
            </w:r>
            <w:r w:rsidR="00AB3E7F" w:rsidRPr="00F64707">
              <w:rPr>
                <w:bCs/>
                <w:color w:val="000000"/>
                <w:sz w:val="22"/>
                <w:szCs w:val="22"/>
                <w:lang w:eastAsia="en-GB"/>
              </w:rPr>
              <w:t>#</w:t>
            </w:r>
          </w:p>
          <w:p w:rsidR="00F1304A" w:rsidRPr="00F64707" w:rsidRDefault="00F1304A" w:rsidP="00F64707">
            <w:pPr>
              <w:rPr>
                <w:color w:val="000000"/>
                <w:sz w:val="22"/>
                <w:szCs w:val="22"/>
              </w:rPr>
            </w:pP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F1304A" w:rsidRPr="00F64707">
              <w:rPr>
                <w:color w:val="000000"/>
                <w:sz w:val="22"/>
                <w:szCs w:val="22"/>
              </w:rPr>
              <w:t>.</w:t>
            </w:r>
            <w:r w:rsidR="003D3AD6" w:rsidRPr="00F64707">
              <w:rPr>
                <w:color w:val="000000"/>
                <w:sz w:val="22"/>
                <w:szCs w:val="22"/>
              </w:rPr>
              <w:t> </w:t>
            </w:r>
            <w:r w:rsidR="00F1304A" w:rsidRPr="00F64707">
              <w:rPr>
                <w:color w:val="000000"/>
                <w:sz w:val="22"/>
                <w:szCs w:val="22"/>
              </w:rPr>
              <w:t>mesiac (% zmen</w:t>
            </w:r>
            <w:r w:rsidR="008E712D" w:rsidRPr="00F64707">
              <w:rPr>
                <w:color w:val="000000"/>
                <w:sz w:val="22"/>
                <w:szCs w:val="22"/>
              </w:rPr>
              <w:t>y oproti</w:t>
            </w:r>
            <w:r w:rsidR="00F1304A" w:rsidRPr="00F64707">
              <w:rPr>
                <w:color w:val="000000"/>
                <w:sz w:val="22"/>
                <w:szCs w:val="22"/>
              </w:rPr>
              <w:t xml:space="preserve"> 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[27,7]</w:t>
            </w:r>
          </w:p>
          <w:p w:rsidR="00F1304A" w:rsidRPr="00F64707" w:rsidRDefault="00F1304A" w:rsidP="00F64707">
            <w:pPr>
              <w:jc w:val="center"/>
              <w:rPr>
                <w:color w:val="000000"/>
                <w:sz w:val="22"/>
                <w:szCs w:val="22"/>
              </w:rPr>
            </w:pPr>
            <w:r w:rsidRPr="00F64707">
              <w:rPr>
                <w:color w:val="000000"/>
                <w:sz w:val="22"/>
                <w:szCs w:val="22"/>
              </w:rPr>
              <w:t>-</w:t>
            </w:r>
            <w:r w:rsidR="00AB3E7F" w:rsidRPr="00F64707">
              <w:rPr>
                <w:color w:val="000000"/>
                <w:sz w:val="22"/>
                <w:szCs w:val="22"/>
              </w:rPr>
              <w:t>17</w:t>
            </w:r>
            <w:r w:rsidRPr="00F64707">
              <w:rPr>
                <w:color w:val="000000"/>
                <w:sz w:val="22"/>
                <w:szCs w:val="22"/>
              </w:rPr>
              <w:t>,</w:t>
            </w:r>
            <w:r w:rsidR="00AB3E7F" w:rsidRPr="00F64707">
              <w:rPr>
                <w:color w:val="000000"/>
                <w:sz w:val="22"/>
                <w:szCs w:val="22"/>
              </w:rPr>
              <w:t>9</w:t>
            </w:r>
          </w:p>
        </w:tc>
        <w:tc>
          <w:tcPr>
            <w:tcW w:w="1228" w:type="dxa"/>
          </w:tcPr>
          <w:p w:rsidR="00F1304A" w:rsidRPr="00F64707" w:rsidRDefault="00F1304A" w:rsidP="00F64707">
            <w:pPr>
              <w:jc w:val="center"/>
              <w:rPr>
                <w:color w:val="000000"/>
                <w:sz w:val="22"/>
                <w:szCs w:val="22"/>
              </w:rPr>
            </w:pPr>
            <w:r w:rsidRPr="00F64707">
              <w:rPr>
                <w:color w:val="000000"/>
                <w:sz w:val="22"/>
                <w:szCs w:val="22"/>
              </w:rPr>
              <w:t>[30,3]</w:t>
            </w:r>
          </w:p>
          <w:p w:rsidR="00F1304A" w:rsidRPr="00F64707" w:rsidRDefault="00F1304A" w:rsidP="00F64707">
            <w:pPr>
              <w:jc w:val="center"/>
              <w:rPr>
                <w:color w:val="000000"/>
                <w:sz w:val="22"/>
                <w:szCs w:val="22"/>
              </w:rPr>
            </w:pPr>
            <w:r w:rsidRPr="00F64707">
              <w:rPr>
                <w:color w:val="000000"/>
                <w:sz w:val="22"/>
                <w:szCs w:val="22"/>
              </w:rPr>
              <w:t>-</w:t>
            </w:r>
            <w:r w:rsidR="00AB3E7F" w:rsidRPr="00F64707">
              <w:rPr>
                <w:color w:val="000000"/>
                <w:sz w:val="22"/>
                <w:szCs w:val="22"/>
              </w:rPr>
              <w:t>26</w:t>
            </w:r>
            <w:r w:rsidRPr="00F64707">
              <w:rPr>
                <w:color w:val="000000"/>
                <w:sz w:val="22"/>
                <w:szCs w:val="22"/>
              </w:rPr>
              <w:t>,</w:t>
            </w:r>
            <w:r w:rsidR="00AB3E7F" w:rsidRPr="00F64707">
              <w:rPr>
                <w:color w:val="000000"/>
                <w:sz w:val="22"/>
                <w:szCs w:val="22"/>
              </w:rPr>
              <w:t>5</w:t>
            </w:r>
          </w:p>
        </w:tc>
        <w:tc>
          <w:tcPr>
            <w:tcW w:w="1323" w:type="dxa"/>
          </w:tcPr>
          <w:p w:rsidR="00F1304A" w:rsidRPr="00F64707" w:rsidRDefault="00F1304A" w:rsidP="00F64707">
            <w:pPr>
              <w:jc w:val="center"/>
              <w:rPr>
                <w:color w:val="000000"/>
                <w:sz w:val="22"/>
                <w:szCs w:val="22"/>
              </w:rPr>
            </w:pPr>
            <w:r w:rsidRPr="00F64707">
              <w:rPr>
                <w:color w:val="000000"/>
                <w:sz w:val="22"/>
                <w:szCs w:val="22"/>
              </w:rPr>
              <w:t>[30,5]</w:t>
            </w:r>
          </w:p>
          <w:p w:rsidR="00F1304A" w:rsidRPr="00F64707" w:rsidRDefault="00AB3E7F" w:rsidP="00F64707">
            <w:pPr>
              <w:jc w:val="center"/>
              <w:rPr>
                <w:color w:val="000000"/>
                <w:sz w:val="22"/>
                <w:szCs w:val="22"/>
              </w:rPr>
            </w:pPr>
            <w:r w:rsidRPr="00F64707">
              <w:rPr>
                <w:color w:val="000000"/>
                <w:sz w:val="22"/>
                <w:szCs w:val="22"/>
              </w:rPr>
              <w:t>18,2a</w:t>
            </w:r>
          </w:p>
        </w:tc>
      </w:tr>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BPH Index dopadu (BII) (jednotky)</w:t>
            </w: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3D3AD6" w:rsidRPr="00F64707">
              <w:rPr>
                <w:color w:val="000000"/>
                <w:sz w:val="22"/>
                <w:szCs w:val="22"/>
              </w:rPr>
              <w:t>. </w:t>
            </w:r>
            <w:r w:rsidR="00F1304A" w:rsidRPr="00F64707">
              <w:rPr>
                <w:color w:val="000000"/>
                <w:sz w:val="22"/>
                <w:szCs w:val="22"/>
              </w:rPr>
              <w:t xml:space="preserve">mesiac (Zmena </w:t>
            </w:r>
            <w:r w:rsidR="008E712D" w:rsidRPr="00F64707">
              <w:rPr>
                <w:color w:val="000000"/>
                <w:sz w:val="22"/>
                <w:szCs w:val="22"/>
              </w:rPr>
              <w:t>oproti</w:t>
            </w:r>
            <w:r w:rsidR="00D52581" w:rsidRPr="00F64707">
              <w:rPr>
                <w:color w:val="000000"/>
                <w:sz w:val="22"/>
                <w:szCs w:val="22"/>
              </w:rPr>
              <w:t xml:space="preserve"> </w:t>
            </w:r>
            <w:r w:rsidR="00F1304A" w:rsidRPr="00F64707">
              <w:rPr>
                <w:color w:val="000000"/>
                <w:sz w:val="22"/>
                <w:szCs w:val="22"/>
              </w:rPr>
              <w:t>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[5,3]</w:t>
            </w:r>
          </w:p>
          <w:p w:rsidR="00F1304A" w:rsidRPr="00F64707" w:rsidRDefault="00F1304A" w:rsidP="00F64707">
            <w:pPr>
              <w:jc w:val="center"/>
              <w:rPr>
                <w:color w:val="000000"/>
                <w:sz w:val="22"/>
                <w:szCs w:val="22"/>
              </w:rPr>
            </w:pPr>
            <w:r w:rsidRPr="00F64707">
              <w:rPr>
                <w:color w:val="000000"/>
                <w:sz w:val="22"/>
                <w:szCs w:val="22"/>
              </w:rPr>
              <w:t>-2,</w:t>
            </w:r>
            <w:r w:rsidR="00AB3E7F" w:rsidRPr="00F64707">
              <w:rPr>
                <w:color w:val="000000"/>
                <w:sz w:val="22"/>
                <w:szCs w:val="22"/>
              </w:rPr>
              <w:t>2</w:t>
            </w:r>
          </w:p>
        </w:tc>
        <w:tc>
          <w:tcPr>
            <w:tcW w:w="1228" w:type="dxa"/>
          </w:tcPr>
          <w:p w:rsidR="00F1304A" w:rsidRPr="00F64707" w:rsidRDefault="00F1304A" w:rsidP="00F64707">
            <w:pPr>
              <w:jc w:val="center"/>
              <w:rPr>
                <w:color w:val="000000"/>
                <w:sz w:val="22"/>
                <w:szCs w:val="22"/>
              </w:rPr>
            </w:pPr>
            <w:r w:rsidRPr="00F64707">
              <w:rPr>
                <w:color w:val="000000"/>
                <w:sz w:val="22"/>
                <w:szCs w:val="22"/>
              </w:rPr>
              <w:t>[5,3]</w:t>
            </w:r>
          </w:p>
          <w:p w:rsidR="00F1304A" w:rsidRPr="00F64707" w:rsidRDefault="00F1304A" w:rsidP="00F64707">
            <w:pPr>
              <w:jc w:val="center"/>
              <w:rPr>
                <w:color w:val="000000"/>
                <w:sz w:val="22"/>
                <w:szCs w:val="22"/>
              </w:rPr>
            </w:pPr>
            <w:r w:rsidRPr="00F64707">
              <w:rPr>
                <w:color w:val="000000"/>
                <w:sz w:val="22"/>
                <w:szCs w:val="22"/>
              </w:rPr>
              <w:t>-1,</w:t>
            </w:r>
            <w:r w:rsidR="00AB3E7F" w:rsidRPr="00F64707">
              <w:rPr>
                <w:color w:val="000000"/>
                <w:sz w:val="22"/>
                <w:szCs w:val="22"/>
              </w:rPr>
              <w:t>8b</w:t>
            </w:r>
          </w:p>
        </w:tc>
        <w:tc>
          <w:tcPr>
            <w:tcW w:w="1323" w:type="dxa"/>
          </w:tcPr>
          <w:p w:rsidR="00F1304A" w:rsidRPr="00F64707" w:rsidRDefault="00F1304A" w:rsidP="00F64707">
            <w:pPr>
              <w:jc w:val="center"/>
              <w:rPr>
                <w:color w:val="000000"/>
                <w:sz w:val="22"/>
                <w:szCs w:val="22"/>
              </w:rPr>
            </w:pPr>
            <w:r w:rsidRPr="00F64707">
              <w:rPr>
                <w:color w:val="000000"/>
                <w:sz w:val="22"/>
                <w:szCs w:val="22"/>
              </w:rPr>
              <w:t>[5,3]</w:t>
            </w:r>
          </w:p>
          <w:p w:rsidR="00F1304A" w:rsidRPr="00F64707" w:rsidRDefault="00F1304A" w:rsidP="00F64707">
            <w:pPr>
              <w:jc w:val="center"/>
              <w:rPr>
                <w:color w:val="000000"/>
                <w:sz w:val="22"/>
                <w:szCs w:val="22"/>
              </w:rPr>
            </w:pPr>
            <w:r w:rsidRPr="00F64707">
              <w:rPr>
                <w:color w:val="000000"/>
                <w:sz w:val="22"/>
                <w:szCs w:val="22"/>
              </w:rPr>
              <w:t>-1,</w:t>
            </w:r>
            <w:r w:rsidR="00AB3E7F" w:rsidRPr="00F64707">
              <w:rPr>
                <w:color w:val="000000"/>
                <w:sz w:val="22"/>
                <w:szCs w:val="22"/>
              </w:rPr>
              <w:t>2a</w:t>
            </w:r>
          </w:p>
        </w:tc>
      </w:tr>
      <w:tr w:rsidR="00F1304A" w:rsidRPr="00F64707" w:rsidTr="002A72FB">
        <w:tc>
          <w:tcPr>
            <w:tcW w:w="1951" w:type="dxa"/>
          </w:tcPr>
          <w:p w:rsidR="00F1304A" w:rsidRPr="00F64707" w:rsidRDefault="00F1304A" w:rsidP="00F64707">
            <w:pPr>
              <w:rPr>
                <w:color w:val="000000"/>
                <w:sz w:val="22"/>
                <w:szCs w:val="22"/>
              </w:rPr>
            </w:pPr>
            <w:r w:rsidRPr="00F64707">
              <w:rPr>
                <w:color w:val="000000"/>
                <w:sz w:val="22"/>
                <w:szCs w:val="22"/>
              </w:rPr>
              <w:t>IPSS otázka 8 (BPH - súvisiaca so zdravotným stavom)</w:t>
            </w:r>
            <w:r w:rsidR="00AB3E7F" w:rsidRPr="00F64707">
              <w:rPr>
                <w:color w:val="000000"/>
                <w:sz w:val="22"/>
                <w:szCs w:val="22"/>
              </w:rPr>
              <w:t xml:space="preserve"> (jednotky)</w:t>
            </w:r>
          </w:p>
        </w:tc>
        <w:tc>
          <w:tcPr>
            <w:tcW w:w="3260" w:type="dxa"/>
          </w:tcPr>
          <w:p w:rsidR="00F1304A" w:rsidRPr="00F64707" w:rsidRDefault="00F1304A" w:rsidP="00F64707">
            <w:pPr>
              <w:rPr>
                <w:color w:val="000000"/>
                <w:sz w:val="22"/>
                <w:szCs w:val="22"/>
              </w:rPr>
            </w:pPr>
            <w:r w:rsidRPr="00F64707">
              <w:rPr>
                <w:color w:val="000000"/>
                <w:sz w:val="22"/>
                <w:szCs w:val="22"/>
              </w:rPr>
              <w:t>[Východisková hodnota]</w:t>
            </w:r>
          </w:p>
          <w:p w:rsidR="00F1304A" w:rsidRPr="00F64707" w:rsidRDefault="00AB3E7F" w:rsidP="00F64707">
            <w:pPr>
              <w:rPr>
                <w:color w:val="000000"/>
                <w:sz w:val="22"/>
                <w:szCs w:val="22"/>
              </w:rPr>
            </w:pPr>
            <w:r w:rsidRPr="00F64707">
              <w:rPr>
                <w:color w:val="000000"/>
                <w:sz w:val="22"/>
                <w:szCs w:val="22"/>
              </w:rPr>
              <w:t>48</w:t>
            </w:r>
            <w:r w:rsidR="00F1304A" w:rsidRPr="00F64707">
              <w:rPr>
                <w:color w:val="000000"/>
                <w:sz w:val="22"/>
                <w:szCs w:val="22"/>
              </w:rPr>
              <w:t>.</w:t>
            </w:r>
            <w:r w:rsidR="003D3AD6" w:rsidRPr="00F64707">
              <w:rPr>
                <w:color w:val="000000"/>
                <w:sz w:val="22"/>
                <w:szCs w:val="22"/>
              </w:rPr>
              <w:t> </w:t>
            </w:r>
            <w:r w:rsidR="00F1304A" w:rsidRPr="00F64707">
              <w:rPr>
                <w:color w:val="000000"/>
                <w:sz w:val="22"/>
                <w:szCs w:val="22"/>
              </w:rPr>
              <w:t xml:space="preserve">mesiac (Zmena </w:t>
            </w:r>
            <w:r w:rsidR="008E712D" w:rsidRPr="00F64707">
              <w:rPr>
                <w:color w:val="000000"/>
                <w:sz w:val="22"/>
                <w:szCs w:val="22"/>
              </w:rPr>
              <w:t>oproti</w:t>
            </w:r>
            <w:r w:rsidR="00D52581" w:rsidRPr="00F64707">
              <w:rPr>
                <w:color w:val="000000"/>
                <w:sz w:val="22"/>
                <w:szCs w:val="22"/>
              </w:rPr>
              <w:t xml:space="preserve"> </w:t>
            </w:r>
            <w:r w:rsidR="00F1304A" w:rsidRPr="00F64707">
              <w:rPr>
                <w:color w:val="000000"/>
                <w:sz w:val="22"/>
                <w:szCs w:val="22"/>
              </w:rPr>
              <w:t>východiskovej hodnot</w:t>
            </w:r>
            <w:r w:rsidR="008E712D" w:rsidRPr="00F64707">
              <w:rPr>
                <w:color w:val="000000"/>
                <w:sz w:val="22"/>
                <w:szCs w:val="22"/>
              </w:rPr>
              <w:t>e</w:t>
            </w:r>
            <w:r w:rsidR="00F1304A" w:rsidRPr="00F64707">
              <w:rPr>
                <w:color w:val="000000"/>
                <w:sz w:val="22"/>
                <w:szCs w:val="22"/>
              </w:rPr>
              <w:t>)</w:t>
            </w:r>
          </w:p>
        </w:tc>
        <w:tc>
          <w:tcPr>
            <w:tcW w:w="1418" w:type="dxa"/>
          </w:tcPr>
          <w:p w:rsidR="00F1304A" w:rsidRPr="00F64707" w:rsidRDefault="00F1304A" w:rsidP="00F64707">
            <w:pPr>
              <w:jc w:val="center"/>
              <w:rPr>
                <w:color w:val="000000"/>
                <w:sz w:val="22"/>
                <w:szCs w:val="22"/>
              </w:rPr>
            </w:pPr>
            <w:r w:rsidRPr="00F64707">
              <w:rPr>
                <w:color w:val="000000"/>
                <w:sz w:val="22"/>
                <w:szCs w:val="22"/>
              </w:rPr>
              <w:t>[3,6]</w:t>
            </w:r>
          </w:p>
          <w:p w:rsidR="00F1304A" w:rsidRPr="00F64707" w:rsidRDefault="00F1304A" w:rsidP="00F64707">
            <w:pPr>
              <w:jc w:val="center"/>
              <w:rPr>
                <w:color w:val="000000"/>
                <w:sz w:val="22"/>
                <w:szCs w:val="22"/>
              </w:rPr>
            </w:pPr>
            <w:r w:rsidRPr="00F64707">
              <w:rPr>
                <w:color w:val="000000"/>
                <w:sz w:val="22"/>
                <w:szCs w:val="22"/>
              </w:rPr>
              <w:t>-1,</w:t>
            </w:r>
            <w:r w:rsidR="00AB3E7F" w:rsidRPr="00F64707">
              <w:rPr>
                <w:color w:val="000000"/>
                <w:sz w:val="22"/>
                <w:szCs w:val="22"/>
              </w:rPr>
              <w:t>5</w:t>
            </w:r>
          </w:p>
        </w:tc>
        <w:tc>
          <w:tcPr>
            <w:tcW w:w="1228" w:type="dxa"/>
          </w:tcPr>
          <w:p w:rsidR="00F1304A" w:rsidRPr="00F64707" w:rsidRDefault="00F1304A" w:rsidP="00F64707">
            <w:pPr>
              <w:jc w:val="center"/>
              <w:rPr>
                <w:color w:val="000000"/>
                <w:sz w:val="22"/>
                <w:szCs w:val="22"/>
              </w:rPr>
            </w:pPr>
            <w:r w:rsidRPr="00F64707">
              <w:rPr>
                <w:color w:val="000000"/>
                <w:sz w:val="22"/>
                <w:szCs w:val="22"/>
              </w:rPr>
              <w:t>[3,6]</w:t>
            </w:r>
          </w:p>
          <w:p w:rsidR="00F1304A" w:rsidRPr="00F64707" w:rsidRDefault="00F1304A" w:rsidP="00F64707">
            <w:pPr>
              <w:jc w:val="center"/>
              <w:rPr>
                <w:color w:val="000000"/>
                <w:sz w:val="22"/>
                <w:szCs w:val="22"/>
              </w:rPr>
            </w:pPr>
            <w:r w:rsidRPr="00F64707">
              <w:rPr>
                <w:color w:val="000000"/>
                <w:sz w:val="22"/>
                <w:szCs w:val="22"/>
              </w:rPr>
              <w:t>-1,</w:t>
            </w:r>
            <w:r w:rsidR="00AB3E7F" w:rsidRPr="00F64707">
              <w:rPr>
                <w:color w:val="000000"/>
                <w:sz w:val="22"/>
                <w:szCs w:val="22"/>
              </w:rPr>
              <w:t>3b</w:t>
            </w:r>
          </w:p>
        </w:tc>
        <w:tc>
          <w:tcPr>
            <w:tcW w:w="1323" w:type="dxa"/>
          </w:tcPr>
          <w:p w:rsidR="00F1304A" w:rsidRPr="00F64707" w:rsidRDefault="00F1304A" w:rsidP="00F64707">
            <w:pPr>
              <w:jc w:val="center"/>
              <w:rPr>
                <w:color w:val="000000"/>
                <w:sz w:val="22"/>
                <w:szCs w:val="22"/>
              </w:rPr>
            </w:pPr>
            <w:r w:rsidRPr="00F64707">
              <w:rPr>
                <w:color w:val="000000"/>
                <w:sz w:val="22"/>
                <w:szCs w:val="22"/>
              </w:rPr>
              <w:t>[3,6]</w:t>
            </w:r>
          </w:p>
          <w:p w:rsidR="00F1304A" w:rsidRPr="00F64707" w:rsidRDefault="00F1304A" w:rsidP="00F64707">
            <w:pPr>
              <w:jc w:val="center"/>
              <w:rPr>
                <w:color w:val="000000"/>
                <w:sz w:val="22"/>
                <w:szCs w:val="22"/>
              </w:rPr>
            </w:pPr>
            <w:r w:rsidRPr="00F64707">
              <w:rPr>
                <w:color w:val="000000"/>
                <w:sz w:val="22"/>
                <w:szCs w:val="22"/>
              </w:rPr>
              <w:t>-1,1</w:t>
            </w:r>
            <w:r w:rsidR="00AB3E7F" w:rsidRPr="00F64707">
              <w:rPr>
                <w:color w:val="000000"/>
                <w:sz w:val="22"/>
                <w:szCs w:val="22"/>
              </w:rPr>
              <w:t>a</w:t>
            </w:r>
          </w:p>
        </w:tc>
      </w:tr>
    </w:tbl>
    <w:p w:rsidR="00833867" w:rsidRPr="00F64707" w:rsidRDefault="00833867" w:rsidP="00F64707">
      <w:pPr>
        <w:rPr>
          <w:sz w:val="22"/>
          <w:szCs w:val="22"/>
        </w:rPr>
      </w:pPr>
      <w:r w:rsidRPr="00F64707">
        <w:rPr>
          <w:sz w:val="22"/>
          <w:szCs w:val="22"/>
        </w:rPr>
        <w:t>Východiskové hodnoty sú priemerné hodnoty a zmeny od východiskového stavu sú upravené priemerné zmeny.</w:t>
      </w:r>
    </w:p>
    <w:p w:rsidR="0067642F" w:rsidRPr="00F64707" w:rsidRDefault="0067642F" w:rsidP="00F64707">
      <w:pPr>
        <w:rPr>
          <w:sz w:val="22"/>
          <w:szCs w:val="22"/>
        </w:rPr>
      </w:pPr>
      <w:r w:rsidRPr="00F64707">
        <w:rPr>
          <w:sz w:val="22"/>
          <w:szCs w:val="22"/>
        </w:rPr>
        <w:t>*</w:t>
      </w:r>
      <w:r w:rsidRPr="00F64707">
        <w:rPr>
          <w:color w:val="000000"/>
          <w:sz w:val="22"/>
          <w:szCs w:val="22"/>
        </w:rPr>
        <w:t xml:space="preserve"> Klinická progresia bola definovaná </w:t>
      </w:r>
      <w:r w:rsidR="00C27401" w:rsidRPr="00F64707">
        <w:rPr>
          <w:color w:val="000000"/>
          <w:sz w:val="22"/>
          <w:szCs w:val="22"/>
        </w:rPr>
        <w:t xml:space="preserve">ako </w:t>
      </w:r>
      <w:r w:rsidRPr="00F64707">
        <w:rPr>
          <w:color w:val="000000"/>
          <w:sz w:val="22"/>
          <w:szCs w:val="22"/>
        </w:rPr>
        <w:t>kom</w:t>
      </w:r>
      <w:r w:rsidR="00C27401" w:rsidRPr="00F64707">
        <w:rPr>
          <w:color w:val="000000"/>
          <w:sz w:val="22"/>
          <w:szCs w:val="22"/>
        </w:rPr>
        <w:t>pozit</w:t>
      </w:r>
      <w:r w:rsidRPr="00F64707">
        <w:rPr>
          <w:sz w:val="22"/>
          <w:szCs w:val="22"/>
        </w:rPr>
        <w:t xml:space="preserve"> </w:t>
      </w:r>
      <w:r w:rsidR="00C27401" w:rsidRPr="00F64707">
        <w:rPr>
          <w:sz w:val="22"/>
          <w:szCs w:val="22"/>
        </w:rPr>
        <w:t>zhoršenia</w:t>
      </w:r>
      <w:r w:rsidRPr="00F64707">
        <w:rPr>
          <w:sz w:val="22"/>
          <w:szCs w:val="22"/>
        </w:rPr>
        <w:t xml:space="preserve"> skóre IPSS o</w:t>
      </w:r>
      <w:r w:rsidR="003D3AD6" w:rsidRPr="00F64707">
        <w:rPr>
          <w:sz w:val="22"/>
          <w:szCs w:val="22"/>
        </w:rPr>
        <w:t> </w:t>
      </w:r>
      <w:r w:rsidRPr="00F64707">
        <w:rPr>
          <w:sz w:val="22"/>
          <w:szCs w:val="22"/>
        </w:rPr>
        <w:sym w:font="Symbol" w:char="F0B3"/>
      </w:r>
      <w:r w:rsidRPr="00F64707">
        <w:rPr>
          <w:sz w:val="22"/>
          <w:szCs w:val="22"/>
        </w:rPr>
        <w:t> 4 body, epizód AUR súvisiac</w:t>
      </w:r>
      <w:r w:rsidR="00C27401" w:rsidRPr="00F64707">
        <w:rPr>
          <w:sz w:val="22"/>
          <w:szCs w:val="22"/>
        </w:rPr>
        <w:t>ich</w:t>
      </w:r>
      <w:r w:rsidRPr="00F64707">
        <w:rPr>
          <w:sz w:val="22"/>
          <w:szCs w:val="22"/>
        </w:rPr>
        <w:t xml:space="preserve"> s</w:t>
      </w:r>
      <w:r w:rsidR="002A72FB" w:rsidRPr="00F64707">
        <w:rPr>
          <w:sz w:val="22"/>
          <w:szCs w:val="22"/>
        </w:rPr>
        <w:t> </w:t>
      </w:r>
      <w:r w:rsidR="00C27401" w:rsidRPr="00F64707">
        <w:rPr>
          <w:sz w:val="22"/>
          <w:szCs w:val="22"/>
        </w:rPr>
        <w:t>BPH, inkontinencie, UTI a renálnej insuficiencie</w:t>
      </w:r>
      <w:r w:rsidRPr="00F64707">
        <w:rPr>
          <w:sz w:val="22"/>
          <w:szCs w:val="22"/>
        </w:rPr>
        <w:t>.</w:t>
      </w:r>
    </w:p>
    <w:p w:rsidR="0067642F" w:rsidRPr="00F64707" w:rsidRDefault="0067642F" w:rsidP="00F64707">
      <w:pPr>
        <w:rPr>
          <w:sz w:val="22"/>
          <w:szCs w:val="22"/>
        </w:rPr>
      </w:pPr>
      <w:r w:rsidRPr="00F64707">
        <w:rPr>
          <w:sz w:val="22"/>
          <w:szCs w:val="22"/>
        </w:rPr>
        <w:t xml:space="preserve"># Meraný </w:t>
      </w:r>
      <w:r w:rsidR="00833867" w:rsidRPr="00F64707">
        <w:rPr>
          <w:sz w:val="22"/>
          <w:szCs w:val="22"/>
        </w:rPr>
        <w:t>vo</w:t>
      </w:r>
      <w:r w:rsidRPr="00F64707">
        <w:rPr>
          <w:sz w:val="22"/>
          <w:szCs w:val="22"/>
        </w:rPr>
        <w:t xml:space="preserve"> vybra</w:t>
      </w:r>
      <w:r w:rsidR="00833867" w:rsidRPr="00F64707">
        <w:rPr>
          <w:sz w:val="22"/>
          <w:szCs w:val="22"/>
        </w:rPr>
        <w:t>n</w:t>
      </w:r>
      <w:r w:rsidRPr="00F64707">
        <w:rPr>
          <w:sz w:val="22"/>
          <w:szCs w:val="22"/>
        </w:rPr>
        <w:t xml:space="preserve">ých </w:t>
      </w:r>
      <w:r w:rsidR="00C27401" w:rsidRPr="00F64707">
        <w:rPr>
          <w:sz w:val="22"/>
          <w:szCs w:val="22"/>
        </w:rPr>
        <w:t>pracoviskách klinického skúšania</w:t>
      </w:r>
      <w:r w:rsidRPr="00F64707">
        <w:rPr>
          <w:sz w:val="22"/>
          <w:szCs w:val="22"/>
        </w:rPr>
        <w:t xml:space="preserve"> (13 % randomizovaných pacientov)</w:t>
      </w:r>
    </w:p>
    <w:p w:rsidR="0067642F" w:rsidRPr="00F64707" w:rsidRDefault="0067642F" w:rsidP="00F64707">
      <w:pPr>
        <w:rPr>
          <w:rFonts w:eastAsia="MS Mincho"/>
          <w:sz w:val="22"/>
          <w:szCs w:val="22"/>
          <w:lang w:eastAsia="ja-JP"/>
        </w:rPr>
      </w:pPr>
      <w:r w:rsidRPr="00F64707">
        <w:rPr>
          <w:sz w:val="22"/>
          <w:szCs w:val="22"/>
        </w:rPr>
        <w:t xml:space="preserve">a. Pri kombinácii sa dosiahlo </w:t>
      </w:r>
      <w:r w:rsidR="00414215" w:rsidRPr="00F64707">
        <w:rPr>
          <w:sz w:val="22"/>
          <w:szCs w:val="22"/>
        </w:rPr>
        <w:t>významné</w:t>
      </w:r>
      <w:r w:rsidRPr="00F64707">
        <w:rPr>
          <w:sz w:val="22"/>
          <w:szCs w:val="22"/>
        </w:rPr>
        <w:t xml:space="preserve"> zlepšenie </w:t>
      </w:r>
      <w:r w:rsidRPr="00F64707">
        <w:rPr>
          <w:rFonts w:eastAsia="MS Mincho"/>
          <w:sz w:val="22"/>
          <w:szCs w:val="22"/>
          <w:lang w:eastAsia="ja-JP"/>
        </w:rPr>
        <w:t>(p</w:t>
      </w:r>
      <w:r w:rsidR="00785F11" w:rsidRPr="00F64707">
        <w:rPr>
          <w:rFonts w:eastAsia="MS Mincho"/>
          <w:sz w:val="22"/>
          <w:szCs w:val="22"/>
          <w:lang w:eastAsia="ja-JP"/>
        </w:rPr>
        <w:t> </w:t>
      </w:r>
      <w:r w:rsidRPr="00F64707">
        <w:rPr>
          <w:rFonts w:eastAsia="MS Mincho"/>
          <w:sz w:val="22"/>
          <w:szCs w:val="22"/>
          <w:lang w:eastAsia="ja-JP"/>
        </w:rPr>
        <w:t>&lt;</w:t>
      </w:r>
      <w:r w:rsidR="00785F11" w:rsidRPr="00F64707">
        <w:rPr>
          <w:rFonts w:eastAsia="MS Mincho"/>
          <w:sz w:val="22"/>
          <w:szCs w:val="22"/>
          <w:lang w:eastAsia="ja-JP"/>
        </w:rPr>
        <w:t> </w:t>
      </w:r>
      <w:r w:rsidRPr="00F64707">
        <w:rPr>
          <w:rFonts w:eastAsia="MS Mincho"/>
          <w:sz w:val="22"/>
          <w:szCs w:val="22"/>
          <w:lang w:eastAsia="ja-JP"/>
        </w:rPr>
        <w:t>0,001) oproti tamsulozínu v 48.</w:t>
      </w:r>
      <w:r w:rsidR="005F6FFC" w:rsidRPr="00F64707">
        <w:rPr>
          <w:rFonts w:eastAsia="MS Mincho"/>
          <w:sz w:val="22"/>
          <w:szCs w:val="22"/>
          <w:lang w:eastAsia="ja-JP"/>
        </w:rPr>
        <w:t> </w:t>
      </w:r>
      <w:r w:rsidRPr="00F64707">
        <w:rPr>
          <w:rFonts w:eastAsia="MS Mincho"/>
          <w:sz w:val="22"/>
          <w:szCs w:val="22"/>
          <w:lang w:eastAsia="ja-JP"/>
        </w:rPr>
        <w:t>mesiaci</w:t>
      </w:r>
    </w:p>
    <w:p w:rsidR="0067642F" w:rsidRPr="00F64707" w:rsidRDefault="0067642F" w:rsidP="00F64707">
      <w:pPr>
        <w:rPr>
          <w:sz w:val="22"/>
          <w:szCs w:val="22"/>
        </w:rPr>
      </w:pPr>
      <w:r w:rsidRPr="00F64707">
        <w:rPr>
          <w:rFonts w:eastAsia="MS Mincho"/>
          <w:sz w:val="22"/>
          <w:szCs w:val="22"/>
          <w:lang w:eastAsia="ja-JP"/>
        </w:rPr>
        <w:t xml:space="preserve">b. </w:t>
      </w:r>
      <w:r w:rsidRPr="00F64707">
        <w:rPr>
          <w:sz w:val="22"/>
          <w:szCs w:val="22"/>
        </w:rPr>
        <w:t xml:space="preserve">Pri kombinácii sa dosiahlo významné </w:t>
      </w:r>
      <w:r w:rsidRPr="00AD3255">
        <w:rPr>
          <w:sz w:val="22"/>
          <w:szCs w:val="22"/>
        </w:rPr>
        <w:t xml:space="preserve">zlepšenie </w:t>
      </w:r>
      <w:r w:rsidRPr="00AD3255">
        <w:rPr>
          <w:rFonts w:eastAsia="MS Mincho"/>
          <w:sz w:val="22"/>
          <w:szCs w:val="22"/>
          <w:lang w:eastAsia="ja-JP"/>
        </w:rPr>
        <w:t>(p</w:t>
      </w:r>
      <w:r w:rsidR="00785F11" w:rsidRPr="00AD3255">
        <w:rPr>
          <w:rFonts w:eastAsia="MS Mincho"/>
          <w:sz w:val="22"/>
          <w:szCs w:val="22"/>
          <w:lang w:eastAsia="ja-JP"/>
        </w:rPr>
        <w:t> </w:t>
      </w:r>
      <w:r w:rsidR="00163B3E" w:rsidRPr="00AD3255">
        <w:rPr>
          <w:rFonts w:eastAsia="MS Mincho"/>
          <w:sz w:val="22"/>
          <w:szCs w:val="22"/>
          <w:lang w:eastAsia="ja-JP"/>
        </w:rPr>
        <w:t>≤</w:t>
      </w:r>
      <w:r w:rsidR="00785F11" w:rsidRPr="00AD3255">
        <w:rPr>
          <w:rFonts w:eastAsia="MS Mincho"/>
          <w:sz w:val="22"/>
          <w:szCs w:val="22"/>
          <w:lang w:eastAsia="ja-JP"/>
        </w:rPr>
        <w:t> </w:t>
      </w:r>
      <w:r w:rsidRPr="00AD3255">
        <w:rPr>
          <w:rFonts w:eastAsia="MS Mincho"/>
          <w:sz w:val="22"/>
          <w:szCs w:val="22"/>
          <w:lang w:eastAsia="ja-JP"/>
        </w:rPr>
        <w:t xml:space="preserve">0,001) oproti </w:t>
      </w:r>
      <w:r w:rsidR="000E51DB" w:rsidRPr="00AD3255">
        <w:rPr>
          <w:rFonts w:eastAsia="MS Mincho"/>
          <w:sz w:val="22"/>
          <w:szCs w:val="22"/>
          <w:lang w:eastAsia="ja-JP"/>
        </w:rPr>
        <w:t>dutasteridu</w:t>
      </w:r>
      <w:r w:rsidRPr="00AD3255">
        <w:rPr>
          <w:rFonts w:eastAsia="MS Mincho"/>
          <w:sz w:val="22"/>
          <w:szCs w:val="22"/>
          <w:lang w:eastAsia="ja-JP"/>
        </w:rPr>
        <w:t xml:space="preserve"> v 48.</w:t>
      </w:r>
      <w:r w:rsidR="005F6FFC" w:rsidRPr="00AD3255">
        <w:rPr>
          <w:rFonts w:eastAsia="MS Mincho"/>
          <w:sz w:val="22"/>
          <w:szCs w:val="22"/>
          <w:lang w:eastAsia="ja-JP"/>
        </w:rPr>
        <w:t> </w:t>
      </w:r>
      <w:r w:rsidRPr="00AD3255">
        <w:rPr>
          <w:rFonts w:eastAsia="MS Mincho"/>
          <w:sz w:val="22"/>
          <w:szCs w:val="22"/>
          <w:lang w:eastAsia="ja-JP"/>
        </w:rPr>
        <w:t>mesiaci</w:t>
      </w:r>
    </w:p>
    <w:p w:rsidR="00F1304A" w:rsidRPr="00F64707" w:rsidRDefault="00F1304A" w:rsidP="00F64707">
      <w:pPr>
        <w:rPr>
          <w:sz w:val="22"/>
          <w:szCs w:val="22"/>
        </w:rPr>
      </w:pPr>
    </w:p>
    <w:p w:rsidR="001817F0" w:rsidRPr="00F64707" w:rsidRDefault="000E51DB" w:rsidP="00F64707">
      <w:pPr>
        <w:keepNext/>
        <w:rPr>
          <w:iCs/>
          <w:caps/>
          <w:sz w:val="22"/>
          <w:szCs w:val="22"/>
        </w:rPr>
      </w:pPr>
      <w:r w:rsidRPr="00F64707">
        <w:rPr>
          <w:iCs/>
          <w:caps/>
          <w:sz w:val="22"/>
          <w:szCs w:val="22"/>
        </w:rPr>
        <w:t>Srdcové zlyhanie</w:t>
      </w:r>
    </w:p>
    <w:p w:rsidR="001817F0" w:rsidRPr="00F64707" w:rsidRDefault="001817F0" w:rsidP="00F64707">
      <w:pPr>
        <w:keepNext/>
        <w:rPr>
          <w:sz w:val="22"/>
          <w:szCs w:val="22"/>
        </w:rPr>
      </w:pPr>
    </w:p>
    <w:p w:rsidR="00C56E69" w:rsidRPr="00F64707" w:rsidRDefault="001817F0" w:rsidP="00F64707">
      <w:pPr>
        <w:rPr>
          <w:sz w:val="22"/>
          <w:szCs w:val="22"/>
        </w:rPr>
      </w:pPr>
      <w:r w:rsidRPr="00F64707">
        <w:rPr>
          <w:sz w:val="22"/>
          <w:szCs w:val="22"/>
        </w:rPr>
        <w:t xml:space="preserve">V štvorročnej štúdii BPH </w:t>
      </w:r>
      <w:r w:rsidR="00C56E69" w:rsidRPr="00F64707">
        <w:rPr>
          <w:sz w:val="22"/>
          <w:szCs w:val="22"/>
        </w:rPr>
        <w:t>s </w:t>
      </w:r>
      <w:r w:rsidR="000E51DB" w:rsidRPr="00F64707">
        <w:rPr>
          <w:sz w:val="22"/>
          <w:szCs w:val="22"/>
        </w:rPr>
        <w:t>dutasteridom</w:t>
      </w:r>
      <w:r w:rsidR="00C56E69" w:rsidRPr="00F64707">
        <w:rPr>
          <w:sz w:val="22"/>
          <w:szCs w:val="22"/>
        </w:rPr>
        <w:t xml:space="preserve"> v kombinácii s</w:t>
      </w:r>
      <w:r w:rsidR="000E51DB" w:rsidRPr="00F64707">
        <w:rPr>
          <w:sz w:val="22"/>
          <w:szCs w:val="22"/>
        </w:rPr>
        <w:t> </w:t>
      </w:r>
      <w:r w:rsidR="00C56E69" w:rsidRPr="00F64707">
        <w:rPr>
          <w:sz w:val="22"/>
          <w:szCs w:val="22"/>
        </w:rPr>
        <w:t xml:space="preserve">tamsulozínom, ktorá bola vykonaná </w:t>
      </w:r>
      <w:r w:rsidR="000E51DB" w:rsidRPr="00F64707">
        <w:rPr>
          <w:sz w:val="22"/>
          <w:szCs w:val="22"/>
        </w:rPr>
        <w:t>u </w:t>
      </w:r>
      <w:r w:rsidR="00C56E69" w:rsidRPr="00F64707">
        <w:rPr>
          <w:sz w:val="22"/>
          <w:szCs w:val="22"/>
        </w:rPr>
        <w:t>4 844 muž</w:t>
      </w:r>
      <w:r w:rsidR="000E51DB" w:rsidRPr="00F64707">
        <w:rPr>
          <w:sz w:val="22"/>
          <w:szCs w:val="22"/>
        </w:rPr>
        <w:t>ov</w:t>
      </w:r>
      <w:r w:rsidR="00C56E69" w:rsidRPr="00F64707">
        <w:rPr>
          <w:sz w:val="22"/>
          <w:szCs w:val="22"/>
        </w:rPr>
        <w:t xml:space="preserve"> (štúdia CombAT), </w:t>
      </w:r>
      <w:r w:rsidRPr="00F64707">
        <w:rPr>
          <w:sz w:val="22"/>
          <w:szCs w:val="22"/>
        </w:rPr>
        <w:t xml:space="preserve">bola </w:t>
      </w:r>
      <w:r w:rsidRPr="00F64707">
        <w:rPr>
          <w:bCs/>
          <w:iCs/>
          <w:sz w:val="22"/>
          <w:szCs w:val="22"/>
        </w:rPr>
        <w:t xml:space="preserve">incidencia srdcového zlyhania ako </w:t>
      </w:r>
      <w:r w:rsidR="00C27401" w:rsidRPr="00F64707">
        <w:rPr>
          <w:bCs/>
          <w:iCs/>
          <w:sz w:val="22"/>
          <w:szCs w:val="22"/>
        </w:rPr>
        <w:t>kompozitného</w:t>
      </w:r>
      <w:r w:rsidRPr="00F64707">
        <w:rPr>
          <w:bCs/>
          <w:iCs/>
          <w:sz w:val="22"/>
          <w:szCs w:val="22"/>
        </w:rPr>
        <w:t xml:space="preserve"> termínu v skupine </w:t>
      </w:r>
      <w:r w:rsidR="00C27401" w:rsidRPr="00F64707">
        <w:rPr>
          <w:bCs/>
          <w:iCs/>
          <w:sz w:val="22"/>
          <w:szCs w:val="22"/>
        </w:rPr>
        <w:t xml:space="preserve">s kombináciou </w:t>
      </w:r>
      <w:r w:rsidRPr="00F64707">
        <w:rPr>
          <w:sz w:val="22"/>
          <w:szCs w:val="22"/>
        </w:rPr>
        <w:t>(14/1</w:t>
      </w:r>
      <w:r w:rsidR="00C56E69" w:rsidRPr="00F64707">
        <w:rPr>
          <w:sz w:val="22"/>
          <w:szCs w:val="22"/>
        </w:rPr>
        <w:t> </w:t>
      </w:r>
      <w:r w:rsidRPr="00F64707">
        <w:rPr>
          <w:sz w:val="22"/>
          <w:szCs w:val="22"/>
        </w:rPr>
        <w:t xml:space="preserve">610; 0,9 %) vyššia </w:t>
      </w:r>
      <w:r w:rsidR="00C27401" w:rsidRPr="00F64707">
        <w:rPr>
          <w:sz w:val="22"/>
          <w:szCs w:val="22"/>
        </w:rPr>
        <w:t>ako</w:t>
      </w:r>
      <w:r w:rsidRPr="00F64707">
        <w:rPr>
          <w:sz w:val="22"/>
          <w:szCs w:val="22"/>
        </w:rPr>
        <w:t xml:space="preserve"> v skupine s monotera</w:t>
      </w:r>
      <w:smartTag w:uri="urn:schemas-microsoft-com:office:smarttags" w:element="PersonName">
        <w:r w:rsidRPr="00F64707">
          <w:rPr>
            <w:sz w:val="22"/>
            <w:szCs w:val="22"/>
          </w:rPr>
          <w:t>pio</w:t>
        </w:r>
      </w:smartTag>
      <w:r w:rsidRPr="00F64707">
        <w:rPr>
          <w:sz w:val="22"/>
          <w:szCs w:val="22"/>
        </w:rPr>
        <w:t xml:space="preserve">u: </w:t>
      </w:r>
      <w:r w:rsidR="000E51DB" w:rsidRPr="00F64707">
        <w:rPr>
          <w:sz w:val="22"/>
          <w:szCs w:val="22"/>
        </w:rPr>
        <w:t>dutasterid</w:t>
      </w:r>
      <w:r w:rsidRPr="00F64707">
        <w:rPr>
          <w:sz w:val="22"/>
          <w:szCs w:val="22"/>
        </w:rPr>
        <w:t xml:space="preserve"> (4/1</w:t>
      </w:r>
      <w:r w:rsidR="00C56E69" w:rsidRPr="00F64707">
        <w:rPr>
          <w:sz w:val="22"/>
          <w:szCs w:val="22"/>
        </w:rPr>
        <w:t> </w:t>
      </w:r>
      <w:r w:rsidRPr="00F64707">
        <w:rPr>
          <w:sz w:val="22"/>
          <w:szCs w:val="22"/>
        </w:rPr>
        <w:t>623; 0,2 %) a tamsulozín (10/1</w:t>
      </w:r>
      <w:r w:rsidR="00C56E69" w:rsidRPr="00F64707">
        <w:rPr>
          <w:sz w:val="22"/>
          <w:szCs w:val="22"/>
        </w:rPr>
        <w:t> </w:t>
      </w:r>
      <w:r w:rsidRPr="00F64707">
        <w:rPr>
          <w:sz w:val="22"/>
          <w:szCs w:val="22"/>
        </w:rPr>
        <w:t>611; 0,6 %)</w:t>
      </w:r>
      <w:r w:rsidR="00C56E69" w:rsidRPr="00F64707">
        <w:rPr>
          <w:sz w:val="22"/>
          <w:szCs w:val="22"/>
        </w:rPr>
        <w:t>.</w:t>
      </w:r>
    </w:p>
    <w:p w:rsidR="00C56E69" w:rsidRPr="00F64707" w:rsidRDefault="00C56E69" w:rsidP="00F64707">
      <w:pPr>
        <w:rPr>
          <w:sz w:val="22"/>
          <w:szCs w:val="22"/>
        </w:rPr>
      </w:pPr>
    </w:p>
    <w:p w:rsidR="001817F0" w:rsidRPr="00F64707" w:rsidRDefault="00C56E69" w:rsidP="00F64707">
      <w:pPr>
        <w:rPr>
          <w:sz w:val="22"/>
          <w:szCs w:val="22"/>
        </w:rPr>
      </w:pPr>
      <w:r w:rsidRPr="00F64707">
        <w:rPr>
          <w:sz w:val="22"/>
          <w:szCs w:val="22"/>
        </w:rPr>
        <w:t>V samostatn</w:t>
      </w:r>
      <w:r w:rsidR="000E51DB" w:rsidRPr="00F64707">
        <w:rPr>
          <w:sz w:val="22"/>
          <w:szCs w:val="22"/>
        </w:rPr>
        <w:t>ej 4-</w:t>
      </w:r>
      <w:r w:rsidRPr="00F64707">
        <w:rPr>
          <w:sz w:val="22"/>
          <w:szCs w:val="22"/>
        </w:rPr>
        <w:t xml:space="preserve">ročnej štúdii s 8 231 mužmi vo veku 50 až 75 rokov, s predchádzajúcou negatívnou biopsiou overujúcou </w:t>
      </w:r>
      <w:r w:rsidR="00C27401" w:rsidRPr="00F64707">
        <w:rPr>
          <w:sz w:val="22"/>
          <w:szCs w:val="22"/>
        </w:rPr>
        <w:t>karcinóm</w:t>
      </w:r>
      <w:r w:rsidRPr="00F64707">
        <w:rPr>
          <w:sz w:val="22"/>
          <w:szCs w:val="22"/>
        </w:rPr>
        <w:t xml:space="preserve"> prostaty a s </w:t>
      </w:r>
      <w:r w:rsidR="000E51DB" w:rsidRPr="00F64707">
        <w:rPr>
          <w:sz w:val="22"/>
          <w:szCs w:val="22"/>
        </w:rPr>
        <w:t>východiskovou</w:t>
      </w:r>
      <w:r w:rsidRPr="00F64707">
        <w:rPr>
          <w:sz w:val="22"/>
          <w:szCs w:val="22"/>
        </w:rPr>
        <w:t xml:space="preserve"> hodnotou PSA medzi 2,5 ng/ml a 10,0 ng/ml </w:t>
      </w:r>
      <w:r w:rsidR="000E51DB" w:rsidRPr="00F64707">
        <w:rPr>
          <w:sz w:val="22"/>
          <w:szCs w:val="22"/>
        </w:rPr>
        <w:t>u </w:t>
      </w:r>
      <w:r w:rsidRPr="00F64707">
        <w:rPr>
          <w:sz w:val="22"/>
          <w:szCs w:val="22"/>
        </w:rPr>
        <w:t>50</w:t>
      </w:r>
      <w:r w:rsidRPr="00F64707">
        <w:rPr>
          <w:sz w:val="22"/>
          <w:szCs w:val="22"/>
        </w:rPr>
        <w:noBreakHyphen/>
        <w:t> až 60</w:t>
      </w:r>
      <w:r w:rsidRPr="00F64707">
        <w:rPr>
          <w:sz w:val="22"/>
          <w:szCs w:val="22"/>
        </w:rPr>
        <w:noBreakHyphen/>
        <w:t xml:space="preserve">ročných mužov, alebo medzi 3 ng/ml a 10,0 ng/ml </w:t>
      </w:r>
      <w:r w:rsidR="000E51DB" w:rsidRPr="00F64707">
        <w:rPr>
          <w:sz w:val="22"/>
          <w:szCs w:val="22"/>
        </w:rPr>
        <w:t>u </w:t>
      </w:r>
      <w:r w:rsidRPr="00F64707">
        <w:rPr>
          <w:sz w:val="22"/>
          <w:szCs w:val="22"/>
        </w:rPr>
        <w:t>mužov starších ako 60 rokov (štúdia REDUCE)</w:t>
      </w:r>
      <w:r w:rsidR="000E51DB" w:rsidRPr="00F64707">
        <w:rPr>
          <w:sz w:val="22"/>
          <w:szCs w:val="22"/>
        </w:rPr>
        <w:t xml:space="preserve"> bola</w:t>
      </w:r>
      <w:r w:rsidRPr="00F64707">
        <w:rPr>
          <w:sz w:val="22"/>
          <w:szCs w:val="22"/>
        </w:rPr>
        <w:t xml:space="preserve"> vyššia incidencia srdcového zlyhania ako kom</w:t>
      </w:r>
      <w:r w:rsidR="00ED57B7" w:rsidRPr="00F64707">
        <w:rPr>
          <w:sz w:val="22"/>
          <w:szCs w:val="22"/>
        </w:rPr>
        <w:t>pozitného</w:t>
      </w:r>
      <w:r w:rsidRPr="00F64707">
        <w:rPr>
          <w:sz w:val="22"/>
          <w:szCs w:val="22"/>
        </w:rPr>
        <w:t xml:space="preserve"> termínu u jedincov, ktorí užívali </w:t>
      </w:r>
      <w:r w:rsidR="000E51DB" w:rsidRPr="00F64707">
        <w:rPr>
          <w:sz w:val="22"/>
          <w:szCs w:val="22"/>
        </w:rPr>
        <w:t xml:space="preserve">dutasterid </w:t>
      </w:r>
      <w:r w:rsidR="00E63C2C" w:rsidRPr="00F64707">
        <w:rPr>
          <w:sz w:val="22"/>
          <w:szCs w:val="22"/>
        </w:rPr>
        <w:t xml:space="preserve">v dávke </w:t>
      </w:r>
      <w:r w:rsidRPr="00F64707">
        <w:rPr>
          <w:sz w:val="22"/>
          <w:szCs w:val="22"/>
        </w:rPr>
        <w:t xml:space="preserve">0,5 mg jedenkrát denne (30/4 105, 0,7 %) v porovnaní s jedincami, ktorí </w:t>
      </w:r>
      <w:r w:rsidR="000E51DB" w:rsidRPr="00F64707">
        <w:rPr>
          <w:sz w:val="22"/>
          <w:szCs w:val="22"/>
        </w:rPr>
        <w:t>dostávali</w:t>
      </w:r>
      <w:r w:rsidRPr="00F64707">
        <w:rPr>
          <w:sz w:val="22"/>
          <w:szCs w:val="22"/>
        </w:rPr>
        <w:t xml:space="preserve"> placebo (16/4 126, 0,4 %). </w:t>
      </w:r>
      <w:r w:rsidR="00ED57B7" w:rsidRPr="00F64707">
        <w:rPr>
          <w:i/>
          <w:iCs/>
          <w:sz w:val="22"/>
          <w:szCs w:val="22"/>
        </w:rPr>
        <w:t xml:space="preserve">Post </w:t>
      </w:r>
      <w:r w:rsidRPr="00F64707">
        <w:rPr>
          <w:i/>
          <w:iCs/>
          <w:sz w:val="22"/>
          <w:szCs w:val="22"/>
        </w:rPr>
        <w:t>hoc</w:t>
      </w:r>
      <w:r w:rsidRPr="00F64707">
        <w:rPr>
          <w:sz w:val="22"/>
          <w:szCs w:val="22"/>
        </w:rPr>
        <w:t xml:space="preserve"> analýza tejto štúdie preukázala vyššiu incidenciu srdcového zlyhania ako kom</w:t>
      </w:r>
      <w:r w:rsidR="00ED57B7" w:rsidRPr="00F64707">
        <w:rPr>
          <w:sz w:val="22"/>
          <w:szCs w:val="22"/>
        </w:rPr>
        <w:t>pozitného</w:t>
      </w:r>
      <w:r w:rsidRPr="00F64707">
        <w:rPr>
          <w:sz w:val="22"/>
          <w:szCs w:val="22"/>
        </w:rPr>
        <w:t xml:space="preserve"> termínu u jedincov</w:t>
      </w:r>
      <w:r w:rsidR="000E51DB" w:rsidRPr="00F64707">
        <w:rPr>
          <w:sz w:val="22"/>
          <w:szCs w:val="22"/>
        </w:rPr>
        <w:t xml:space="preserve"> užívajúcich dutasterid</w:t>
      </w:r>
      <w:r w:rsidRPr="00F64707">
        <w:rPr>
          <w:bCs/>
          <w:iCs/>
          <w:snapToGrid w:val="0"/>
          <w:sz w:val="22"/>
          <w:szCs w:val="22"/>
        </w:rPr>
        <w:t xml:space="preserve"> </w:t>
      </w:r>
      <w:r w:rsidRPr="00F64707">
        <w:rPr>
          <w:sz w:val="22"/>
          <w:szCs w:val="22"/>
        </w:rPr>
        <w:lastRenderedPageBreak/>
        <w:t xml:space="preserve">a alfablokátor súbežne </w:t>
      </w:r>
      <w:r w:rsidRPr="00F64707">
        <w:rPr>
          <w:sz w:val="22"/>
          <w:szCs w:val="22"/>
          <w:lang w:eastAsia="en-GB"/>
        </w:rPr>
        <w:t>(12/1 152, 1,0 %)</w:t>
      </w:r>
      <w:r w:rsidRPr="00F64707">
        <w:rPr>
          <w:sz w:val="22"/>
          <w:szCs w:val="22"/>
        </w:rPr>
        <w:t>, v porovnaní s</w:t>
      </w:r>
      <w:r w:rsidR="000E51DB" w:rsidRPr="00F64707">
        <w:rPr>
          <w:sz w:val="22"/>
          <w:szCs w:val="22"/>
        </w:rPr>
        <w:t> </w:t>
      </w:r>
      <w:r w:rsidRPr="00F64707">
        <w:rPr>
          <w:sz w:val="22"/>
          <w:szCs w:val="22"/>
        </w:rPr>
        <w:t xml:space="preserve">jedincami, ktorí užívali </w:t>
      </w:r>
      <w:r w:rsidR="000E51DB" w:rsidRPr="00F64707">
        <w:rPr>
          <w:sz w:val="22"/>
          <w:szCs w:val="22"/>
        </w:rPr>
        <w:t>dutasterid a ne</w:t>
      </w:r>
      <w:r w:rsidRPr="00F64707">
        <w:rPr>
          <w:sz w:val="22"/>
          <w:szCs w:val="22"/>
        </w:rPr>
        <w:t xml:space="preserve">užívali alfablokátor </w:t>
      </w:r>
      <w:r w:rsidRPr="00F64707">
        <w:rPr>
          <w:sz w:val="22"/>
          <w:szCs w:val="22"/>
          <w:lang w:eastAsia="en-GB"/>
        </w:rPr>
        <w:t xml:space="preserve">(18/2 953, 0,6 %), ktorí </w:t>
      </w:r>
      <w:r w:rsidR="000E51DB" w:rsidRPr="00F64707">
        <w:rPr>
          <w:sz w:val="22"/>
          <w:szCs w:val="22"/>
          <w:lang w:eastAsia="en-GB"/>
        </w:rPr>
        <w:t>dostávali</w:t>
      </w:r>
      <w:r w:rsidRPr="00F64707">
        <w:rPr>
          <w:sz w:val="22"/>
          <w:szCs w:val="22"/>
          <w:lang w:eastAsia="en-GB"/>
        </w:rPr>
        <w:t xml:space="preserve"> placebo a </w:t>
      </w:r>
      <w:r w:rsidR="000E51DB" w:rsidRPr="00F64707">
        <w:rPr>
          <w:sz w:val="22"/>
          <w:szCs w:val="22"/>
          <w:lang w:eastAsia="en-GB"/>
        </w:rPr>
        <w:t xml:space="preserve">užívali </w:t>
      </w:r>
      <w:r w:rsidRPr="00F64707">
        <w:rPr>
          <w:sz w:val="22"/>
          <w:szCs w:val="22"/>
          <w:lang w:eastAsia="en-GB"/>
        </w:rPr>
        <w:t xml:space="preserve">alfablokátor (1/1 399, &lt; 0,1 %), alebo ktorí </w:t>
      </w:r>
      <w:r w:rsidR="000E51DB" w:rsidRPr="00F64707">
        <w:rPr>
          <w:sz w:val="22"/>
          <w:szCs w:val="22"/>
          <w:lang w:eastAsia="en-GB"/>
        </w:rPr>
        <w:t>dostávali</w:t>
      </w:r>
      <w:r w:rsidRPr="00F64707">
        <w:rPr>
          <w:sz w:val="22"/>
          <w:szCs w:val="22"/>
          <w:lang w:eastAsia="en-GB"/>
        </w:rPr>
        <w:t xml:space="preserve"> placebo a neužívali alfablokátor (15/2 727, 0,6 %) </w:t>
      </w:r>
      <w:r w:rsidR="001817F0" w:rsidRPr="00F64707">
        <w:rPr>
          <w:sz w:val="22"/>
          <w:szCs w:val="22"/>
        </w:rPr>
        <w:t>(pozri časť</w:t>
      </w:r>
      <w:r w:rsidR="000E51DB" w:rsidRPr="00F64707">
        <w:rPr>
          <w:sz w:val="22"/>
          <w:szCs w:val="22"/>
        </w:rPr>
        <w:t xml:space="preserve"> </w:t>
      </w:r>
      <w:r w:rsidR="001817F0" w:rsidRPr="00F64707">
        <w:rPr>
          <w:sz w:val="22"/>
          <w:szCs w:val="22"/>
        </w:rPr>
        <w:t>4.4).</w:t>
      </w:r>
    </w:p>
    <w:p w:rsidR="00E63C2C" w:rsidRPr="00F64707" w:rsidRDefault="00E63C2C" w:rsidP="00F64707">
      <w:pPr>
        <w:rPr>
          <w:sz w:val="22"/>
          <w:szCs w:val="22"/>
        </w:rPr>
      </w:pPr>
    </w:p>
    <w:p w:rsidR="00E63C2C" w:rsidRPr="00F64707" w:rsidRDefault="00ED57B7" w:rsidP="00F64707">
      <w:pPr>
        <w:keepNext/>
        <w:keepLines/>
        <w:rPr>
          <w:caps/>
          <w:sz w:val="22"/>
          <w:szCs w:val="22"/>
        </w:rPr>
      </w:pPr>
      <w:r w:rsidRPr="00F64707">
        <w:rPr>
          <w:caps/>
          <w:sz w:val="22"/>
          <w:szCs w:val="22"/>
        </w:rPr>
        <w:t>KARCINÓM</w:t>
      </w:r>
      <w:r w:rsidR="00E63C2C" w:rsidRPr="00F64707">
        <w:rPr>
          <w:caps/>
          <w:sz w:val="22"/>
          <w:szCs w:val="22"/>
        </w:rPr>
        <w:t xml:space="preserve"> prostaty a nádory vysokého stupňa</w:t>
      </w:r>
    </w:p>
    <w:p w:rsidR="00E63C2C" w:rsidRPr="00F64707" w:rsidRDefault="00E63C2C" w:rsidP="00F64707">
      <w:pPr>
        <w:keepNext/>
        <w:keepLines/>
        <w:rPr>
          <w:sz w:val="22"/>
          <w:szCs w:val="22"/>
        </w:rPr>
      </w:pPr>
    </w:p>
    <w:p w:rsidR="00E63C2C" w:rsidRPr="00F64707" w:rsidRDefault="00E63C2C" w:rsidP="00F64707">
      <w:pPr>
        <w:keepNext/>
        <w:keepLines/>
        <w:rPr>
          <w:sz w:val="22"/>
          <w:szCs w:val="22"/>
        </w:rPr>
      </w:pPr>
      <w:r w:rsidRPr="00F64707">
        <w:rPr>
          <w:sz w:val="22"/>
          <w:szCs w:val="22"/>
        </w:rPr>
        <w:t>V 4</w:t>
      </w:r>
      <w:r w:rsidRPr="00F64707">
        <w:rPr>
          <w:sz w:val="22"/>
          <w:szCs w:val="22"/>
        </w:rPr>
        <w:noBreakHyphen/>
        <w:t>ročnom porovnaní placeba a </w:t>
      </w:r>
      <w:r w:rsidR="00312384" w:rsidRPr="00F64707">
        <w:rPr>
          <w:sz w:val="22"/>
          <w:szCs w:val="22"/>
        </w:rPr>
        <w:t>dutaster</w:t>
      </w:r>
      <w:r w:rsidR="000E51DB" w:rsidRPr="00F64707">
        <w:rPr>
          <w:sz w:val="22"/>
          <w:szCs w:val="22"/>
        </w:rPr>
        <w:t>i</w:t>
      </w:r>
      <w:r w:rsidR="00312384" w:rsidRPr="00F64707">
        <w:rPr>
          <w:sz w:val="22"/>
          <w:szCs w:val="22"/>
        </w:rPr>
        <w:t>d</w:t>
      </w:r>
      <w:r w:rsidR="000E51DB" w:rsidRPr="00F64707">
        <w:rPr>
          <w:sz w:val="22"/>
          <w:szCs w:val="22"/>
        </w:rPr>
        <w:t xml:space="preserve">u </w:t>
      </w:r>
      <w:r w:rsidRPr="00F64707">
        <w:rPr>
          <w:sz w:val="22"/>
          <w:szCs w:val="22"/>
        </w:rPr>
        <w:t xml:space="preserve">u 8 231 mužov vo veku 50 až 75 rokov, s predchádzajúcou negatívnou biopsiou overujúcou </w:t>
      </w:r>
      <w:r w:rsidR="00ED57B7" w:rsidRPr="00F64707">
        <w:rPr>
          <w:sz w:val="22"/>
          <w:szCs w:val="22"/>
        </w:rPr>
        <w:t>karcinóm</w:t>
      </w:r>
      <w:r w:rsidRPr="00F64707">
        <w:rPr>
          <w:sz w:val="22"/>
          <w:szCs w:val="22"/>
        </w:rPr>
        <w:t xml:space="preserve"> prostaty a s </w:t>
      </w:r>
      <w:r w:rsidR="000E51DB" w:rsidRPr="00F64707">
        <w:rPr>
          <w:sz w:val="22"/>
          <w:szCs w:val="22"/>
        </w:rPr>
        <w:t>východiskovou</w:t>
      </w:r>
      <w:r w:rsidRPr="00F64707">
        <w:rPr>
          <w:sz w:val="22"/>
          <w:szCs w:val="22"/>
        </w:rPr>
        <w:t xml:space="preserve"> hodnotou PSA medzi 2,5 ng/ml a 10,0 ng/ml</w:t>
      </w:r>
      <w:r w:rsidR="000E51DB" w:rsidRPr="00F64707">
        <w:rPr>
          <w:sz w:val="22"/>
          <w:szCs w:val="22"/>
        </w:rPr>
        <w:t xml:space="preserve"> u </w:t>
      </w:r>
      <w:r w:rsidRPr="00F64707">
        <w:rPr>
          <w:sz w:val="22"/>
          <w:szCs w:val="22"/>
        </w:rPr>
        <w:t>50</w:t>
      </w:r>
      <w:r w:rsidRPr="00F64707">
        <w:rPr>
          <w:sz w:val="22"/>
          <w:szCs w:val="22"/>
        </w:rPr>
        <w:noBreakHyphen/>
        <w:t> až 60</w:t>
      </w:r>
      <w:r w:rsidRPr="00F64707">
        <w:rPr>
          <w:sz w:val="22"/>
          <w:szCs w:val="22"/>
        </w:rPr>
        <w:noBreakHyphen/>
        <w:t xml:space="preserve">ročných mužov, alebo medzi 3 ng/ml a 10,0 ng/ml </w:t>
      </w:r>
      <w:r w:rsidR="000E51DB" w:rsidRPr="00F64707">
        <w:rPr>
          <w:sz w:val="22"/>
          <w:szCs w:val="22"/>
        </w:rPr>
        <w:t>u </w:t>
      </w:r>
      <w:r w:rsidRPr="00F64707">
        <w:rPr>
          <w:sz w:val="22"/>
          <w:szCs w:val="22"/>
        </w:rPr>
        <w:t>mužov starších ako 60 rokov (štúdia REDUCE), boli u 6 706 jedincov k dispozícii údaje o ihlovej biopsii prostaty (</w:t>
      </w:r>
      <w:r w:rsidR="000E51DB" w:rsidRPr="00F64707">
        <w:rPr>
          <w:sz w:val="22"/>
          <w:szCs w:val="22"/>
        </w:rPr>
        <w:t>primárne</w:t>
      </w:r>
      <w:r w:rsidRPr="00F64707">
        <w:rPr>
          <w:sz w:val="22"/>
          <w:szCs w:val="22"/>
        </w:rPr>
        <w:t xml:space="preserve"> vyžiadanej pro</w:t>
      </w:r>
      <w:r w:rsidR="00FE3127" w:rsidRPr="00F64707">
        <w:rPr>
          <w:sz w:val="22"/>
          <w:szCs w:val="22"/>
        </w:rPr>
        <w:t>tokolom) na analýzu zameranú na </w:t>
      </w:r>
      <w:r w:rsidRPr="00F64707">
        <w:rPr>
          <w:sz w:val="22"/>
          <w:szCs w:val="22"/>
        </w:rPr>
        <w:t>určenie Gleason</w:t>
      </w:r>
      <w:r w:rsidR="00FE3127" w:rsidRPr="00F64707">
        <w:rPr>
          <w:sz w:val="22"/>
          <w:szCs w:val="22"/>
        </w:rPr>
        <w:t>ovho skóre. V tejto štúdii sa u </w:t>
      </w:r>
      <w:r w:rsidRPr="00F64707">
        <w:rPr>
          <w:sz w:val="22"/>
          <w:szCs w:val="22"/>
        </w:rPr>
        <w:t xml:space="preserve">1 517 jedincov stanovila diagnóza </w:t>
      </w:r>
      <w:r w:rsidR="00ED57B7" w:rsidRPr="00F64707">
        <w:rPr>
          <w:sz w:val="22"/>
          <w:szCs w:val="22"/>
        </w:rPr>
        <w:t>karcinóm</w:t>
      </w:r>
      <w:r w:rsidR="00EF4304" w:rsidRPr="00F64707">
        <w:rPr>
          <w:sz w:val="22"/>
          <w:szCs w:val="22"/>
        </w:rPr>
        <w:t>u</w:t>
      </w:r>
      <w:r w:rsidRPr="00F64707">
        <w:rPr>
          <w:sz w:val="22"/>
          <w:szCs w:val="22"/>
        </w:rPr>
        <w:t xml:space="preserve"> prostaty. Väčšina karcinómov prostaty detegovateľných biopsiou v oboch liečebných skupinách bola diagnostikovaná ako karcinómy nízkeho stupňa (Gleasonovo skóre 5 </w:t>
      </w:r>
      <w:r w:rsidRPr="00F64707">
        <w:rPr>
          <w:sz w:val="22"/>
          <w:szCs w:val="22"/>
        </w:rPr>
        <w:noBreakHyphen/>
        <w:t> 6, 70 %).</w:t>
      </w:r>
    </w:p>
    <w:p w:rsidR="00E63C2C" w:rsidRPr="00F64707" w:rsidRDefault="00E63C2C" w:rsidP="00F64707">
      <w:pPr>
        <w:rPr>
          <w:sz w:val="22"/>
          <w:szCs w:val="22"/>
        </w:rPr>
      </w:pPr>
      <w:r w:rsidRPr="00F64707">
        <w:rPr>
          <w:sz w:val="22"/>
          <w:szCs w:val="22"/>
        </w:rPr>
        <w:t>Zaznamenala sa vyššia incidencia karcinómov prostaty s Gleasonovým skóre 8 </w:t>
      </w:r>
      <w:r w:rsidRPr="00F64707">
        <w:rPr>
          <w:sz w:val="22"/>
          <w:szCs w:val="22"/>
        </w:rPr>
        <w:noBreakHyphen/>
        <w:t> 10 v skupine s</w:t>
      </w:r>
      <w:r w:rsidR="00FE3127" w:rsidRPr="00F64707">
        <w:rPr>
          <w:sz w:val="22"/>
          <w:szCs w:val="22"/>
        </w:rPr>
        <w:t xml:space="preserve"> dutasteridom </w:t>
      </w:r>
      <w:r w:rsidRPr="00F64707">
        <w:rPr>
          <w:sz w:val="22"/>
          <w:szCs w:val="22"/>
        </w:rPr>
        <w:t xml:space="preserve">(n = 29, 0,9 %) </w:t>
      </w:r>
      <w:r w:rsidR="00FE3127" w:rsidRPr="00F64707">
        <w:rPr>
          <w:sz w:val="22"/>
          <w:szCs w:val="22"/>
        </w:rPr>
        <w:t>v porovnaní so skupinou s </w:t>
      </w:r>
      <w:r w:rsidRPr="00F64707">
        <w:rPr>
          <w:sz w:val="22"/>
          <w:szCs w:val="22"/>
        </w:rPr>
        <w:t>placebom (n = 19, 0,6 %) (p = 0,15). V 1. </w:t>
      </w:r>
      <w:r w:rsidRPr="00F64707">
        <w:rPr>
          <w:sz w:val="22"/>
          <w:szCs w:val="22"/>
        </w:rPr>
        <w:noBreakHyphen/>
        <w:t> 2. roku liečby bol počet jedincov s karcinómami s Gleasonovým skóre 8 </w:t>
      </w:r>
      <w:r w:rsidRPr="00F64707">
        <w:rPr>
          <w:sz w:val="22"/>
          <w:szCs w:val="22"/>
        </w:rPr>
        <w:noBreakHyphen/>
        <w:t> 10 v skupine s </w:t>
      </w:r>
      <w:r w:rsidR="00FE3127" w:rsidRPr="00F64707">
        <w:rPr>
          <w:sz w:val="22"/>
          <w:szCs w:val="22"/>
        </w:rPr>
        <w:t>dutasteridom</w:t>
      </w:r>
      <w:r w:rsidRPr="00F64707">
        <w:rPr>
          <w:sz w:val="22"/>
          <w:szCs w:val="22"/>
        </w:rPr>
        <w:t xml:space="preserve"> (n = 17, 0,5 %) a v skupine s</w:t>
      </w:r>
      <w:r w:rsidR="00FE3127" w:rsidRPr="00F64707">
        <w:rPr>
          <w:sz w:val="22"/>
          <w:szCs w:val="22"/>
        </w:rPr>
        <w:t> </w:t>
      </w:r>
      <w:r w:rsidRPr="00F64707">
        <w:rPr>
          <w:sz w:val="22"/>
          <w:szCs w:val="22"/>
        </w:rPr>
        <w:t>placebom (n = 18, 0,5 %) podobný. V 3. </w:t>
      </w:r>
      <w:r w:rsidRPr="00F64707">
        <w:rPr>
          <w:sz w:val="22"/>
          <w:szCs w:val="22"/>
        </w:rPr>
        <w:noBreakHyphen/>
        <w:t> 4. roku liečby sa diagnost</w:t>
      </w:r>
      <w:r w:rsidR="00FE3127" w:rsidRPr="00F64707">
        <w:rPr>
          <w:sz w:val="22"/>
          <w:szCs w:val="22"/>
        </w:rPr>
        <w:t>ikoval vyšší počet karcinómov s </w:t>
      </w:r>
      <w:r w:rsidRPr="00F64707">
        <w:rPr>
          <w:sz w:val="22"/>
          <w:szCs w:val="22"/>
        </w:rPr>
        <w:t>Gleasonovým skóre 8 </w:t>
      </w:r>
      <w:r w:rsidRPr="00F64707">
        <w:rPr>
          <w:sz w:val="22"/>
          <w:szCs w:val="22"/>
        </w:rPr>
        <w:noBreakHyphen/>
        <w:t> 10 v skupine s </w:t>
      </w:r>
      <w:r w:rsidR="00FE3127" w:rsidRPr="00F64707">
        <w:rPr>
          <w:sz w:val="22"/>
          <w:szCs w:val="22"/>
        </w:rPr>
        <w:t>dutasteridom</w:t>
      </w:r>
      <w:r w:rsidRPr="00F64707">
        <w:rPr>
          <w:bCs/>
          <w:iCs/>
          <w:snapToGrid w:val="0"/>
          <w:sz w:val="22"/>
          <w:szCs w:val="22"/>
        </w:rPr>
        <w:t xml:space="preserve"> </w:t>
      </w:r>
      <w:r w:rsidRPr="00F64707">
        <w:rPr>
          <w:sz w:val="22"/>
          <w:szCs w:val="22"/>
        </w:rPr>
        <w:t>(n = 12, 0,5 %) v porovnaní so skupinou s</w:t>
      </w:r>
      <w:r w:rsidR="00FE3127" w:rsidRPr="00F64707">
        <w:rPr>
          <w:sz w:val="22"/>
          <w:szCs w:val="22"/>
        </w:rPr>
        <w:t> </w:t>
      </w:r>
      <w:r w:rsidRPr="00F64707">
        <w:rPr>
          <w:sz w:val="22"/>
          <w:szCs w:val="22"/>
        </w:rPr>
        <w:t xml:space="preserve">placebom (n = 1, &lt; 0,1 %) (p = 0,0035). K dispozícii nie sú údaje o vplyve </w:t>
      </w:r>
      <w:r w:rsidR="00FE3127" w:rsidRPr="00F64707">
        <w:rPr>
          <w:sz w:val="22"/>
          <w:szCs w:val="22"/>
        </w:rPr>
        <w:t>dutasteridu</w:t>
      </w:r>
      <w:r w:rsidRPr="00F64707">
        <w:rPr>
          <w:sz w:val="22"/>
          <w:szCs w:val="22"/>
        </w:rPr>
        <w:t xml:space="preserve"> po 4 rokoch liečby u mužov s rizikom vzniku </w:t>
      </w:r>
      <w:r w:rsidR="00ED57B7" w:rsidRPr="00F64707">
        <w:rPr>
          <w:sz w:val="22"/>
          <w:szCs w:val="22"/>
        </w:rPr>
        <w:t>karcinómu</w:t>
      </w:r>
      <w:r w:rsidRPr="00F64707">
        <w:rPr>
          <w:sz w:val="22"/>
          <w:szCs w:val="22"/>
        </w:rPr>
        <w:t xml:space="preserve"> prostaty. Percento jedincov</w:t>
      </w:r>
      <w:r w:rsidR="00FE3127" w:rsidRPr="00F64707">
        <w:rPr>
          <w:sz w:val="22"/>
          <w:szCs w:val="22"/>
        </w:rPr>
        <w:t xml:space="preserve"> s </w:t>
      </w:r>
      <w:r w:rsidRPr="00F64707">
        <w:rPr>
          <w:sz w:val="22"/>
          <w:szCs w:val="22"/>
        </w:rPr>
        <w:t>diagnostikovaný</w:t>
      </w:r>
      <w:r w:rsidR="00FE3127" w:rsidRPr="00F64707">
        <w:rPr>
          <w:sz w:val="22"/>
          <w:szCs w:val="22"/>
        </w:rPr>
        <w:t>m</w:t>
      </w:r>
      <w:r w:rsidRPr="00F64707">
        <w:rPr>
          <w:sz w:val="22"/>
          <w:szCs w:val="22"/>
        </w:rPr>
        <w:t xml:space="preserve"> karcinóm</w:t>
      </w:r>
      <w:r w:rsidR="00FE3127" w:rsidRPr="00F64707">
        <w:rPr>
          <w:sz w:val="22"/>
          <w:szCs w:val="22"/>
        </w:rPr>
        <w:t>om</w:t>
      </w:r>
      <w:r w:rsidRPr="00F64707">
        <w:rPr>
          <w:sz w:val="22"/>
          <w:szCs w:val="22"/>
        </w:rPr>
        <w:t xml:space="preserve"> s Gleasonovým skóre 8 </w:t>
      </w:r>
      <w:r w:rsidRPr="00F64707">
        <w:rPr>
          <w:sz w:val="22"/>
          <w:szCs w:val="22"/>
        </w:rPr>
        <w:noBreakHyphen/>
        <w:t> 10, bolo v rámci časových období štúdie (1. </w:t>
      </w:r>
      <w:r w:rsidRPr="00F64707">
        <w:rPr>
          <w:sz w:val="22"/>
          <w:szCs w:val="22"/>
        </w:rPr>
        <w:noBreakHyphen/>
        <w:t> 2. rok a 3. </w:t>
      </w:r>
      <w:r w:rsidRPr="00F64707">
        <w:rPr>
          <w:sz w:val="22"/>
          <w:szCs w:val="22"/>
        </w:rPr>
        <w:noBreakHyphen/>
        <w:t> 4. rok) zhodné v skupine s </w:t>
      </w:r>
      <w:r w:rsidR="00FE3127" w:rsidRPr="00F64707">
        <w:rPr>
          <w:sz w:val="22"/>
          <w:szCs w:val="22"/>
        </w:rPr>
        <w:t>dutasteridom</w:t>
      </w:r>
      <w:r w:rsidRPr="00F64707">
        <w:rPr>
          <w:sz w:val="22"/>
          <w:szCs w:val="22"/>
        </w:rPr>
        <w:t xml:space="preserve"> (0,5 % v každom časovom období), kým v skupine s placebom bolo percento jedincov</w:t>
      </w:r>
      <w:r w:rsidR="00FE3127" w:rsidRPr="00F64707">
        <w:rPr>
          <w:sz w:val="22"/>
          <w:szCs w:val="22"/>
        </w:rPr>
        <w:t xml:space="preserve"> s </w:t>
      </w:r>
      <w:r w:rsidRPr="00F64707">
        <w:rPr>
          <w:sz w:val="22"/>
          <w:szCs w:val="22"/>
        </w:rPr>
        <w:t>diagnostikovaný</w:t>
      </w:r>
      <w:r w:rsidR="00FE3127" w:rsidRPr="00F64707">
        <w:rPr>
          <w:sz w:val="22"/>
          <w:szCs w:val="22"/>
        </w:rPr>
        <w:t>m</w:t>
      </w:r>
      <w:r w:rsidRPr="00F64707">
        <w:rPr>
          <w:sz w:val="22"/>
          <w:szCs w:val="22"/>
        </w:rPr>
        <w:t xml:space="preserve"> karcinóm</w:t>
      </w:r>
      <w:r w:rsidR="00FE3127" w:rsidRPr="00F64707">
        <w:rPr>
          <w:sz w:val="22"/>
          <w:szCs w:val="22"/>
        </w:rPr>
        <w:t>om</w:t>
      </w:r>
      <w:r w:rsidRPr="00F64707">
        <w:rPr>
          <w:sz w:val="22"/>
          <w:szCs w:val="22"/>
        </w:rPr>
        <w:t xml:space="preserve"> s Gleasonovým skóre 8 </w:t>
      </w:r>
      <w:r w:rsidRPr="00F64707">
        <w:rPr>
          <w:sz w:val="22"/>
          <w:szCs w:val="22"/>
        </w:rPr>
        <w:noBreakHyphen/>
        <w:t> 10, nižšie v priebehu 3. - 4. roku ako v priebehu 1. </w:t>
      </w:r>
      <w:r w:rsidRPr="00F64707">
        <w:rPr>
          <w:sz w:val="22"/>
          <w:szCs w:val="22"/>
        </w:rPr>
        <w:noBreakHyphen/>
        <w:t> 2. roku (&lt; 0,1 % oproti 0,5 %, v uvedenom poradí) (pozri časť 4.4). V incidencii karcinómov s Gleasonovým skóre 7 </w:t>
      </w:r>
      <w:r w:rsidRPr="00F64707">
        <w:rPr>
          <w:sz w:val="22"/>
          <w:szCs w:val="22"/>
        </w:rPr>
        <w:noBreakHyphen/>
        <w:t> 10 sa nezistil žiaden rozdiel (p = 0,81).</w:t>
      </w:r>
    </w:p>
    <w:p w:rsidR="00E63C2C" w:rsidRPr="00F64707" w:rsidRDefault="00E63C2C" w:rsidP="00F64707">
      <w:pPr>
        <w:rPr>
          <w:sz w:val="22"/>
          <w:szCs w:val="22"/>
        </w:rPr>
      </w:pPr>
    </w:p>
    <w:p w:rsidR="00E63C2C" w:rsidRPr="00F64707" w:rsidRDefault="00E63C2C" w:rsidP="00F64707">
      <w:pPr>
        <w:rPr>
          <w:sz w:val="22"/>
          <w:szCs w:val="22"/>
        </w:rPr>
      </w:pPr>
      <w:r w:rsidRPr="00F64707">
        <w:rPr>
          <w:sz w:val="22"/>
          <w:szCs w:val="22"/>
        </w:rPr>
        <w:t>V 4</w:t>
      </w:r>
      <w:r w:rsidRPr="00F64707">
        <w:rPr>
          <w:sz w:val="22"/>
          <w:szCs w:val="22"/>
        </w:rPr>
        <w:noBreakHyphen/>
        <w:t xml:space="preserve">ročnej štúdii BPH (CombAT), v rámci ktorej sa nerobili žiadne protokolom vyžiadané biopsie a všetky diagnózy </w:t>
      </w:r>
      <w:r w:rsidR="00ED57B7" w:rsidRPr="00F64707">
        <w:rPr>
          <w:sz w:val="22"/>
          <w:szCs w:val="22"/>
        </w:rPr>
        <w:t>karcinómu</w:t>
      </w:r>
      <w:r w:rsidRPr="00F64707">
        <w:rPr>
          <w:sz w:val="22"/>
          <w:szCs w:val="22"/>
        </w:rPr>
        <w:t xml:space="preserve"> prostaty sa zakladali na </w:t>
      </w:r>
      <w:r w:rsidRPr="00F64707">
        <w:rPr>
          <w:i/>
          <w:iCs/>
          <w:sz w:val="22"/>
          <w:szCs w:val="22"/>
        </w:rPr>
        <w:t xml:space="preserve">for-cause </w:t>
      </w:r>
      <w:r w:rsidRPr="00F64707">
        <w:rPr>
          <w:sz w:val="22"/>
          <w:szCs w:val="22"/>
        </w:rPr>
        <w:t>(diagnostických) biopsiách, bol</w:t>
      </w:r>
      <w:r w:rsidR="00F3082A" w:rsidRPr="00F64707">
        <w:rPr>
          <w:sz w:val="22"/>
          <w:szCs w:val="22"/>
        </w:rPr>
        <w:t>a incidencia</w:t>
      </w:r>
      <w:r w:rsidRPr="00F64707">
        <w:rPr>
          <w:sz w:val="22"/>
          <w:szCs w:val="22"/>
        </w:rPr>
        <w:t xml:space="preserve"> karcinómu s Gleasonovým skóre 8 </w:t>
      </w:r>
      <w:r w:rsidRPr="00F64707">
        <w:rPr>
          <w:sz w:val="22"/>
          <w:szCs w:val="22"/>
        </w:rPr>
        <w:noBreakHyphen/>
        <w:t xml:space="preserve"> 10 pri </w:t>
      </w:r>
      <w:r w:rsidR="00FE3127" w:rsidRPr="00F64707">
        <w:rPr>
          <w:sz w:val="22"/>
          <w:szCs w:val="22"/>
        </w:rPr>
        <w:t>dutasteride</w:t>
      </w:r>
      <w:r w:rsidRPr="00F64707">
        <w:rPr>
          <w:sz w:val="22"/>
          <w:szCs w:val="22"/>
        </w:rPr>
        <w:t xml:space="preserve"> (n = 8, 0,5 %), pri tamsulo</w:t>
      </w:r>
      <w:r w:rsidR="00484FA0" w:rsidRPr="00F64707">
        <w:rPr>
          <w:sz w:val="22"/>
          <w:szCs w:val="22"/>
        </w:rPr>
        <w:t>z</w:t>
      </w:r>
      <w:r w:rsidRPr="00F64707">
        <w:rPr>
          <w:sz w:val="22"/>
          <w:szCs w:val="22"/>
        </w:rPr>
        <w:t>íne (n = 11, 0,7 %) a pri kombinovanej liečbe (n = 5, 0,3 %).</w:t>
      </w:r>
    </w:p>
    <w:p w:rsidR="00E63C2C" w:rsidRPr="00F64707" w:rsidRDefault="00E63C2C" w:rsidP="00F64707">
      <w:pPr>
        <w:rPr>
          <w:sz w:val="22"/>
          <w:szCs w:val="22"/>
        </w:rPr>
      </w:pPr>
    </w:p>
    <w:p w:rsidR="00E63C2C" w:rsidRPr="00F64707" w:rsidRDefault="00E63C2C" w:rsidP="00F64707">
      <w:pPr>
        <w:rPr>
          <w:sz w:val="22"/>
          <w:szCs w:val="22"/>
        </w:rPr>
      </w:pPr>
      <w:r w:rsidRPr="00F64707">
        <w:rPr>
          <w:sz w:val="22"/>
          <w:szCs w:val="22"/>
        </w:rPr>
        <w:t xml:space="preserve">Súvislosť medzi </w:t>
      </w:r>
      <w:r w:rsidR="00FE3127" w:rsidRPr="00F64707">
        <w:rPr>
          <w:sz w:val="22"/>
          <w:szCs w:val="22"/>
        </w:rPr>
        <w:t>dutasteridom</w:t>
      </w:r>
      <w:r w:rsidRPr="00F64707">
        <w:rPr>
          <w:sz w:val="22"/>
          <w:szCs w:val="22"/>
        </w:rPr>
        <w:t xml:space="preserve"> a </w:t>
      </w:r>
      <w:r w:rsidR="00ED57B7" w:rsidRPr="00F64707">
        <w:rPr>
          <w:sz w:val="22"/>
          <w:szCs w:val="22"/>
        </w:rPr>
        <w:t>karcinómom</w:t>
      </w:r>
      <w:r w:rsidRPr="00F64707">
        <w:rPr>
          <w:sz w:val="22"/>
          <w:szCs w:val="22"/>
        </w:rPr>
        <w:t xml:space="preserve"> prost</w:t>
      </w:r>
      <w:r w:rsidR="00484CD3" w:rsidRPr="00F64707">
        <w:rPr>
          <w:sz w:val="22"/>
          <w:szCs w:val="22"/>
        </w:rPr>
        <w:t>aty vysokého stupňa nie je jasná</w:t>
      </w:r>
      <w:r w:rsidRPr="00F64707">
        <w:rPr>
          <w:sz w:val="22"/>
          <w:szCs w:val="22"/>
        </w:rPr>
        <w:t>.</w:t>
      </w:r>
    </w:p>
    <w:p w:rsidR="001817F0" w:rsidRPr="00F64707" w:rsidRDefault="001817F0" w:rsidP="00F64707">
      <w:pPr>
        <w:rPr>
          <w:sz w:val="22"/>
          <w:szCs w:val="22"/>
        </w:rPr>
      </w:pPr>
    </w:p>
    <w:p w:rsidR="00F1304A" w:rsidRPr="00F64707" w:rsidRDefault="00F1304A" w:rsidP="00F64707">
      <w:pPr>
        <w:keepNext/>
        <w:ind w:left="567" w:hanging="567"/>
        <w:rPr>
          <w:sz w:val="22"/>
          <w:szCs w:val="22"/>
        </w:rPr>
      </w:pPr>
      <w:r w:rsidRPr="00F64707">
        <w:rPr>
          <w:b/>
          <w:sz w:val="22"/>
          <w:szCs w:val="22"/>
        </w:rPr>
        <w:t>5.2</w:t>
      </w:r>
      <w:r w:rsidRPr="00F64707">
        <w:rPr>
          <w:b/>
          <w:sz w:val="22"/>
          <w:szCs w:val="22"/>
        </w:rPr>
        <w:tab/>
        <w:t>Farmakokinetické vlastnosti</w:t>
      </w:r>
    </w:p>
    <w:p w:rsidR="00F1304A" w:rsidRPr="00F64707" w:rsidRDefault="00F1304A" w:rsidP="00F64707">
      <w:pPr>
        <w:keepNext/>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Absorpcia</w:t>
      </w: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Po perorálnom podaní jednorazovej dávky 0,5</w:t>
      </w:r>
      <w:r w:rsidR="00D03D8D" w:rsidRPr="00F64707">
        <w:rPr>
          <w:rFonts w:ascii="Times New Roman" w:hAnsi="Times New Roman"/>
          <w:sz w:val="22"/>
          <w:szCs w:val="22"/>
        </w:rPr>
        <w:t> </w:t>
      </w:r>
      <w:r w:rsidRPr="00F64707">
        <w:rPr>
          <w:rFonts w:ascii="Times New Roman" w:hAnsi="Times New Roman"/>
          <w:sz w:val="22"/>
          <w:szCs w:val="22"/>
        </w:rPr>
        <w:t>mg dutasteridu sú maximálne sérové koncentrácie dutasteridu dosiahnuté za</w:t>
      </w:r>
      <w:r w:rsidR="00D03D8D" w:rsidRPr="00F64707">
        <w:rPr>
          <w:rFonts w:ascii="Times New Roman" w:hAnsi="Times New Roman"/>
          <w:sz w:val="22"/>
          <w:szCs w:val="22"/>
        </w:rPr>
        <w:t> </w:t>
      </w:r>
      <w:r w:rsidRPr="00F64707">
        <w:rPr>
          <w:rFonts w:ascii="Times New Roman" w:hAnsi="Times New Roman"/>
          <w:sz w:val="22"/>
          <w:szCs w:val="22"/>
        </w:rPr>
        <w:t>1</w:t>
      </w:r>
      <w:r w:rsidR="00D03D8D" w:rsidRPr="00F64707">
        <w:rPr>
          <w:rFonts w:ascii="Times New Roman" w:hAnsi="Times New Roman"/>
          <w:sz w:val="22"/>
          <w:szCs w:val="22"/>
        </w:rPr>
        <w:t> </w:t>
      </w:r>
      <w:r w:rsidRPr="00F64707">
        <w:rPr>
          <w:rFonts w:ascii="Times New Roman" w:hAnsi="Times New Roman"/>
          <w:sz w:val="22"/>
          <w:szCs w:val="22"/>
        </w:rPr>
        <w:t>až</w:t>
      </w:r>
      <w:r w:rsidR="00D03D8D" w:rsidRPr="00F64707">
        <w:rPr>
          <w:rFonts w:ascii="Times New Roman" w:hAnsi="Times New Roman"/>
          <w:sz w:val="22"/>
          <w:szCs w:val="22"/>
        </w:rPr>
        <w:t> </w:t>
      </w:r>
      <w:r w:rsidRPr="00F64707">
        <w:rPr>
          <w:rFonts w:ascii="Times New Roman" w:hAnsi="Times New Roman"/>
          <w:sz w:val="22"/>
          <w:szCs w:val="22"/>
        </w:rPr>
        <w:t>3</w:t>
      </w:r>
      <w:r w:rsidR="00D03D8D" w:rsidRPr="00F64707">
        <w:rPr>
          <w:rFonts w:ascii="Times New Roman" w:hAnsi="Times New Roman"/>
          <w:sz w:val="22"/>
          <w:szCs w:val="22"/>
        </w:rPr>
        <w:t> </w:t>
      </w:r>
      <w:r w:rsidRPr="00F64707">
        <w:rPr>
          <w:rFonts w:ascii="Times New Roman" w:hAnsi="Times New Roman"/>
          <w:sz w:val="22"/>
          <w:szCs w:val="22"/>
        </w:rPr>
        <w:t>hodiny. Absolútna biologická dostupnosť je približne 60</w:t>
      </w:r>
      <w:r w:rsidR="00D03D8D" w:rsidRPr="00F64707">
        <w:rPr>
          <w:rFonts w:ascii="Times New Roman" w:hAnsi="Times New Roman"/>
          <w:sz w:val="22"/>
          <w:szCs w:val="22"/>
        </w:rPr>
        <w:t> </w:t>
      </w:r>
      <w:r w:rsidRPr="00F64707">
        <w:rPr>
          <w:rFonts w:ascii="Times New Roman" w:hAnsi="Times New Roman"/>
          <w:sz w:val="22"/>
          <w:szCs w:val="22"/>
        </w:rPr>
        <w:t>%. Biologická dostupnosť dutasteridu nie je ovplyvnená jedlom.</w:t>
      </w:r>
    </w:p>
    <w:p w:rsidR="00F1304A" w:rsidRPr="00F64707" w:rsidRDefault="00F1304A" w:rsidP="00F64707">
      <w:pPr>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Distribúcia</w:t>
      </w: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Dutasterid má veľký distribučný objem (300</w:t>
      </w:r>
      <w:r w:rsidR="00ED57B7" w:rsidRPr="00F64707">
        <w:rPr>
          <w:rFonts w:ascii="Times New Roman" w:hAnsi="Times New Roman"/>
          <w:sz w:val="22"/>
          <w:szCs w:val="22"/>
        </w:rPr>
        <w:t xml:space="preserve"> </w:t>
      </w:r>
      <w:r w:rsidRPr="00F64707">
        <w:rPr>
          <w:rFonts w:ascii="Times New Roman" w:hAnsi="Times New Roman"/>
          <w:sz w:val="22"/>
          <w:szCs w:val="22"/>
        </w:rPr>
        <w:t>až</w:t>
      </w:r>
      <w:r w:rsidR="00ED57B7" w:rsidRPr="00F64707">
        <w:rPr>
          <w:rFonts w:ascii="Times New Roman" w:hAnsi="Times New Roman"/>
          <w:sz w:val="22"/>
          <w:szCs w:val="22"/>
        </w:rPr>
        <w:t xml:space="preserve"> </w:t>
      </w:r>
      <w:r w:rsidRPr="00F64707">
        <w:rPr>
          <w:rFonts w:ascii="Times New Roman" w:hAnsi="Times New Roman"/>
          <w:sz w:val="22"/>
          <w:szCs w:val="22"/>
        </w:rPr>
        <w:t>500</w:t>
      </w:r>
      <w:r w:rsidR="00D03D8D" w:rsidRPr="00F64707">
        <w:rPr>
          <w:rFonts w:ascii="Times New Roman" w:hAnsi="Times New Roman"/>
          <w:sz w:val="22"/>
          <w:szCs w:val="22"/>
        </w:rPr>
        <w:t> </w:t>
      </w:r>
      <w:r w:rsidRPr="00F64707">
        <w:rPr>
          <w:rFonts w:ascii="Times New Roman" w:hAnsi="Times New Roman"/>
          <w:sz w:val="22"/>
          <w:szCs w:val="22"/>
        </w:rPr>
        <w:t>l) a</w:t>
      </w:r>
      <w:r w:rsidR="00A67A0F" w:rsidRPr="00F64707">
        <w:rPr>
          <w:rFonts w:ascii="Times New Roman" w:hAnsi="Times New Roman"/>
          <w:sz w:val="22"/>
          <w:szCs w:val="22"/>
        </w:rPr>
        <w:t> </w:t>
      </w:r>
      <w:r w:rsidRPr="00F64707">
        <w:rPr>
          <w:rFonts w:ascii="Times New Roman" w:hAnsi="Times New Roman"/>
          <w:sz w:val="22"/>
          <w:szCs w:val="22"/>
        </w:rPr>
        <w:t xml:space="preserve">je </w:t>
      </w:r>
      <w:r w:rsidR="00ED57B7" w:rsidRPr="00F64707">
        <w:rPr>
          <w:rFonts w:ascii="Times New Roman" w:hAnsi="Times New Roman"/>
          <w:sz w:val="22"/>
          <w:szCs w:val="22"/>
        </w:rPr>
        <w:t>silne</w:t>
      </w:r>
      <w:r w:rsidRPr="00F64707">
        <w:rPr>
          <w:rFonts w:ascii="Times New Roman" w:hAnsi="Times New Roman"/>
          <w:sz w:val="22"/>
          <w:szCs w:val="22"/>
        </w:rPr>
        <w:t xml:space="preserve"> viazaný na plazmatické proteíny (</w:t>
      </w:r>
      <w:r w:rsidR="00D03D8D" w:rsidRPr="00F64707">
        <w:rPr>
          <w:rFonts w:ascii="Times New Roman" w:hAnsi="Times New Roman"/>
          <w:sz w:val="22"/>
          <w:szCs w:val="22"/>
        </w:rPr>
        <w:t>&gt;</w:t>
      </w:r>
      <w:r w:rsidR="00EE4D98" w:rsidRPr="00F64707">
        <w:rPr>
          <w:rFonts w:ascii="Times New Roman" w:hAnsi="Times New Roman"/>
          <w:sz w:val="22"/>
          <w:szCs w:val="22"/>
        </w:rPr>
        <w:t> </w:t>
      </w:r>
      <w:r w:rsidRPr="00F64707">
        <w:rPr>
          <w:rFonts w:ascii="Times New Roman" w:hAnsi="Times New Roman"/>
          <w:sz w:val="22"/>
          <w:szCs w:val="22"/>
        </w:rPr>
        <w:t>99,5</w:t>
      </w:r>
      <w:r w:rsidR="00D03D8D" w:rsidRPr="00F64707">
        <w:rPr>
          <w:rFonts w:ascii="Times New Roman" w:hAnsi="Times New Roman"/>
          <w:sz w:val="22"/>
          <w:szCs w:val="22"/>
        </w:rPr>
        <w:t> </w:t>
      </w:r>
      <w:r w:rsidRPr="00F64707">
        <w:rPr>
          <w:rFonts w:ascii="Times New Roman" w:hAnsi="Times New Roman"/>
          <w:sz w:val="22"/>
          <w:szCs w:val="22"/>
        </w:rPr>
        <w:t>%). Po dennom dávkovaní dosiahnu sérové koncentrácie dutasteridu 65</w:t>
      </w:r>
      <w:r w:rsidR="003775A6" w:rsidRPr="00F64707">
        <w:rPr>
          <w:rFonts w:ascii="Times New Roman" w:hAnsi="Times New Roman"/>
          <w:sz w:val="22"/>
          <w:szCs w:val="22"/>
        </w:rPr>
        <w:t> </w:t>
      </w:r>
      <w:r w:rsidRPr="00F64707">
        <w:rPr>
          <w:rFonts w:ascii="Times New Roman" w:hAnsi="Times New Roman"/>
          <w:sz w:val="22"/>
          <w:szCs w:val="22"/>
        </w:rPr>
        <w:t xml:space="preserve">% </w:t>
      </w:r>
      <w:r w:rsidR="00EE4D98" w:rsidRPr="00F64707">
        <w:rPr>
          <w:rFonts w:ascii="Times New Roman" w:hAnsi="Times New Roman"/>
          <w:sz w:val="22"/>
          <w:szCs w:val="22"/>
        </w:rPr>
        <w:t xml:space="preserve">rovnovážnej </w:t>
      </w:r>
      <w:r w:rsidR="00ED57B7" w:rsidRPr="00F64707">
        <w:rPr>
          <w:rFonts w:ascii="Times New Roman" w:hAnsi="Times New Roman"/>
          <w:sz w:val="22"/>
          <w:szCs w:val="22"/>
        </w:rPr>
        <w:t>koncentrácie v </w:t>
      </w:r>
      <w:r w:rsidRPr="00F64707">
        <w:rPr>
          <w:rFonts w:ascii="Times New Roman" w:hAnsi="Times New Roman"/>
          <w:sz w:val="22"/>
          <w:szCs w:val="22"/>
        </w:rPr>
        <w:t>sér</w:t>
      </w:r>
      <w:r w:rsidR="00ED57B7" w:rsidRPr="00F64707">
        <w:rPr>
          <w:rFonts w:ascii="Times New Roman" w:hAnsi="Times New Roman"/>
          <w:sz w:val="22"/>
          <w:szCs w:val="22"/>
        </w:rPr>
        <w:t>e</w:t>
      </w:r>
      <w:r w:rsidRPr="00F64707">
        <w:rPr>
          <w:rFonts w:ascii="Times New Roman" w:hAnsi="Times New Roman"/>
          <w:sz w:val="22"/>
          <w:szCs w:val="22"/>
        </w:rPr>
        <w:t xml:space="preserve"> po</w:t>
      </w:r>
      <w:r w:rsidR="003775A6" w:rsidRPr="00F64707">
        <w:rPr>
          <w:rFonts w:ascii="Times New Roman" w:hAnsi="Times New Roman"/>
          <w:sz w:val="22"/>
          <w:szCs w:val="22"/>
        </w:rPr>
        <w:t> </w:t>
      </w:r>
      <w:r w:rsidRPr="00F64707">
        <w:rPr>
          <w:rFonts w:ascii="Times New Roman" w:hAnsi="Times New Roman"/>
          <w:sz w:val="22"/>
          <w:szCs w:val="22"/>
        </w:rPr>
        <w:t>1</w:t>
      </w:r>
      <w:r w:rsidR="003775A6" w:rsidRPr="00F64707">
        <w:rPr>
          <w:rFonts w:ascii="Times New Roman" w:hAnsi="Times New Roman"/>
          <w:sz w:val="22"/>
          <w:szCs w:val="22"/>
        </w:rPr>
        <w:t> </w:t>
      </w:r>
      <w:r w:rsidR="00EE4D98" w:rsidRPr="00F64707">
        <w:rPr>
          <w:rFonts w:ascii="Times New Roman" w:hAnsi="Times New Roman"/>
          <w:sz w:val="22"/>
          <w:szCs w:val="22"/>
        </w:rPr>
        <w:t>mesiaci a </w:t>
      </w:r>
      <w:r w:rsidRPr="00F64707">
        <w:rPr>
          <w:rFonts w:ascii="Times New Roman" w:hAnsi="Times New Roman"/>
          <w:sz w:val="22"/>
          <w:szCs w:val="22"/>
        </w:rPr>
        <w:t>približne 90</w:t>
      </w:r>
      <w:r w:rsidR="003775A6" w:rsidRPr="00F64707">
        <w:rPr>
          <w:rFonts w:ascii="Times New Roman" w:hAnsi="Times New Roman"/>
          <w:sz w:val="22"/>
          <w:szCs w:val="22"/>
        </w:rPr>
        <w:t> </w:t>
      </w:r>
      <w:r w:rsidRPr="00F64707">
        <w:rPr>
          <w:rFonts w:ascii="Times New Roman" w:hAnsi="Times New Roman"/>
          <w:sz w:val="22"/>
          <w:szCs w:val="22"/>
        </w:rPr>
        <w:t>% po</w:t>
      </w:r>
      <w:r w:rsidR="003775A6" w:rsidRPr="00F64707">
        <w:rPr>
          <w:rFonts w:ascii="Times New Roman" w:hAnsi="Times New Roman"/>
          <w:sz w:val="22"/>
          <w:szCs w:val="22"/>
        </w:rPr>
        <w:t> </w:t>
      </w:r>
      <w:r w:rsidRPr="00F64707">
        <w:rPr>
          <w:rFonts w:ascii="Times New Roman" w:hAnsi="Times New Roman"/>
          <w:sz w:val="22"/>
          <w:szCs w:val="22"/>
        </w:rPr>
        <w:t>3</w:t>
      </w:r>
      <w:r w:rsidR="003775A6" w:rsidRPr="00F64707">
        <w:rPr>
          <w:rFonts w:ascii="Times New Roman" w:hAnsi="Times New Roman"/>
          <w:sz w:val="22"/>
          <w:szCs w:val="22"/>
        </w:rPr>
        <w:t> </w:t>
      </w:r>
      <w:r w:rsidRPr="00F64707">
        <w:rPr>
          <w:rFonts w:ascii="Times New Roman" w:hAnsi="Times New Roman"/>
          <w:sz w:val="22"/>
          <w:szCs w:val="22"/>
        </w:rPr>
        <w:t>mesiacoch.</w:t>
      </w:r>
    </w:p>
    <w:p w:rsidR="00250C68" w:rsidRPr="00F64707" w:rsidRDefault="00250C68" w:rsidP="00F64707">
      <w:pPr>
        <w:rPr>
          <w:sz w:val="22"/>
          <w:szCs w:val="22"/>
        </w:rPr>
      </w:pPr>
    </w:p>
    <w:p w:rsidR="00F1304A" w:rsidRPr="00F64707" w:rsidRDefault="00236538" w:rsidP="00F64707">
      <w:pPr>
        <w:rPr>
          <w:sz w:val="22"/>
          <w:szCs w:val="22"/>
        </w:rPr>
      </w:pPr>
      <w:r w:rsidRPr="00F64707">
        <w:rPr>
          <w:sz w:val="22"/>
          <w:szCs w:val="22"/>
        </w:rPr>
        <w:t xml:space="preserve">Rovnovážne koncentrácie v sére </w:t>
      </w:r>
      <w:r w:rsidR="00F1304A" w:rsidRPr="00F64707">
        <w:rPr>
          <w:sz w:val="22"/>
          <w:szCs w:val="22"/>
        </w:rPr>
        <w:t>(C</w:t>
      </w:r>
      <w:r w:rsidR="00F1304A" w:rsidRPr="00F64707">
        <w:rPr>
          <w:sz w:val="22"/>
          <w:szCs w:val="22"/>
          <w:vertAlign w:val="subscript"/>
        </w:rPr>
        <w:t>SS</w:t>
      </w:r>
      <w:r w:rsidR="00F1304A" w:rsidRPr="00F64707">
        <w:rPr>
          <w:sz w:val="22"/>
          <w:szCs w:val="22"/>
        </w:rPr>
        <w:t>) v hodnote približne 40</w:t>
      </w:r>
      <w:r w:rsidR="003775A6" w:rsidRPr="00F64707">
        <w:rPr>
          <w:sz w:val="22"/>
          <w:szCs w:val="22"/>
        </w:rPr>
        <w:t> </w:t>
      </w:r>
      <w:r w:rsidR="00F1304A" w:rsidRPr="00F64707">
        <w:rPr>
          <w:sz w:val="22"/>
          <w:szCs w:val="22"/>
        </w:rPr>
        <w:t>ng/ml sa dosiahnu po</w:t>
      </w:r>
      <w:r w:rsidR="003775A6" w:rsidRPr="00F64707">
        <w:rPr>
          <w:sz w:val="22"/>
          <w:szCs w:val="22"/>
        </w:rPr>
        <w:t> </w:t>
      </w:r>
      <w:r w:rsidR="00F1304A" w:rsidRPr="00F64707">
        <w:rPr>
          <w:sz w:val="22"/>
          <w:szCs w:val="22"/>
        </w:rPr>
        <w:t>6</w:t>
      </w:r>
      <w:r w:rsidR="003775A6" w:rsidRPr="00F64707">
        <w:rPr>
          <w:sz w:val="22"/>
          <w:szCs w:val="22"/>
        </w:rPr>
        <w:t> </w:t>
      </w:r>
      <w:r w:rsidR="00F1304A" w:rsidRPr="00F64707">
        <w:rPr>
          <w:sz w:val="22"/>
          <w:szCs w:val="22"/>
        </w:rPr>
        <w:t>mesiacoch pri</w:t>
      </w:r>
      <w:r w:rsidR="00EE4D98" w:rsidRPr="00F64707">
        <w:rPr>
          <w:sz w:val="22"/>
          <w:szCs w:val="22"/>
        </w:rPr>
        <w:t xml:space="preserve"> </w:t>
      </w:r>
      <w:r w:rsidR="00F1304A" w:rsidRPr="00F64707">
        <w:rPr>
          <w:sz w:val="22"/>
          <w:szCs w:val="22"/>
        </w:rPr>
        <w:t>dávk</w:t>
      </w:r>
      <w:r w:rsidR="00EE4D98" w:rsidRPr="00F64707">
        <w:rPr>
          <w:sz w:val="22"/>
          <w:szCs w:val="22"/>
        </w:rPr>
        <w:t>ovaní</w:t>
      </w:r>
      <w:r w:rsidR="00F1304A" w:rsidRPr="00F64707">
        <w:rPr>
          <w:sz w:val="22"/>
          <w:szCs w:val="22"/>
        </w:rPr>
        <w:t xml:space="preserve"> 0,5</w:t>
      </w:r>
      <w:r w:rsidR="003775A6" w:rsidRPr="00F64707">
        <w:rPr>
          <w:sz w:val="22"/>
          <w:szCs w:val="22"/>
        </w:rPr>
        <w:t> </w:t>
      </w:r>
      <w:r w:rsidR="00F1304A" w:rsidRPr="00F64707">
        <w:rPr>
          <w:sz w:val="22"/>
          <w:szCs w:val="22"/>
        </w:rPr>
        <w:t>mg jedenkrát denne. Oddelenie dutasteridu zo séra do sperm</w:t>
      </w:r>
      <w:r w:rsidR="00EE4D98" w:rsidRPr="00F64707">
        <w:rPr>
          <w:sz w:val="22"/>
          <w:szCs w:val="22"/>
        </w:rPr>
        <w:t>y</w:t>
      </w:r>
      <w:r w:rsidR="00F1304A" w:rsidRPr="00F64707">
        <w:rPr>
          <w:sz w:val="22"/>
          <w:szCs w:val="22"/>
        </w:rPr>
        <w:t xml:space="preserve"> bolo v priemere 11,5</w:t>
      </w:r>
      <w:r w:rsidR="003775A6" w:rsidRPr="00F64707">
        <w:rPr>
          <w:sz w:val="22"/>
          <w:szCs w:val="22"/>
        </w:rPr>
        <w:t> </w:t>
      </w:r>
      <w:r w:rsidR="00F1304A" w:rsidRPr="00F64707">
        <w:rPr>
          <w:sz w:val="22"/>
          <w:szCs w:val="22"/>
        </w:rPr>
        <w:t>%.</w:t>
      </w:r>
    </w:p>
    <w:p w:rsidR="00F1304A" w:rsidRPr="00F64707" w:rsidRDefault="00F1304A" w:rsidP="00F64707">
      <w:pPr>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Eliminácia</w:t>
      </w:r>
    </w:p>
    <w:p w:rsidR="00F1304A" w:rsidRPr="00F64707" w:rsidRDefault="00F1304A" w:rsidP="00F64707">
      <w:pPr>
        <w:rPr>
          <w:sz w:val="22"/>
          <w:szCs w:val="22"/>
        </w:rPr>
      </w:pPr>
      <w:r w:rsidRPr="00F64707">
        <w:rPr>
          <w:sz w:val="22"/>
          <w:szCs w:val="22"/>
        </w:rPr>
        <w:t xml:space="preserve">Dutasterid je v rozsiahlej miere metabolizovaný </w:t>
      </w:r>
      <w:r w:rsidRPr="00F64707">
        <w:rPr>
          <w:i/>
          <w:sz w:val="22"/>
          <w:szCs w:val="22"/>
        </w:rPr>
        <w:t>in</w:t>
      </w:r>
      <w:r w:rsidR="003775A6" w:rsidRPr="00F64707">
        <w:rPr>
          <w:i/>
          <w:sz w:val="22"/>
          <w:szCs w:val="22"/>
        </w:rPr>
        <w:t> </w:t>
      </w:r>
      <w:r w:rsidRPr="00F64707">
        <w:rPr>
          <w:i/>
          <w:sz w:val="22"/>
          <w:szCs w:val="22"/>
        </w:rPr>
        <w:t>vivo. In</w:t>
      </w:r>
      <w:r w:rsidR="003775A6" w:rsidRPr="00F64707">
        <w:rPr>
          <w:i/>
          <w:sz w:val="22"/>
          <w:szCs w:val="22"/>
        </w:rPr>
        <w:t> </w:t>
      </w:r>
      <w:r w:rsidRPr="00F64707">
        <w:rPr>
          <w:i/>
          <w:sz w:val="22"/>
          <w:szCs w:val="22"/>
        </w:rPr>
        <w:t xml:space="preserve">vitro </w:t>
      </w:r>
      <w:r w:rsidRPr="00F64707">
        <w:rPr>
          <w:sz w:val="22"/>
          <w:szCs w:val="22"/>
        </w:rPr>
        <w:t>je dutasterid metabo</w:t>
      </w:r>
      <w:r w:rsidR="00EE4D98" w:rsidRPr="00F64707">
        <w:rPr>
          <w:sz w:val="22"/>
          <w:szCs w:val="22"/>
        </w:rPr>
        <w:t>lizovaný cytochrómom P450 3A4 a </w:t>
      </w:r>
      <w:r w:rsidRPr="00F64707">
        <w:rPr>
          <w:sz w:val="22"/>
          <w:szCs w:val="22"/>
        </w:rPr>
        <w:t>3A5 na t</w:t>
      </w:r>
      <w:r w:rsidR="00EE4D98" w:rsidRPr="00F64707">
        <w:rPr>
          <w:sz w:val="22"/>
          <w:szCs w:val="22"/>
        </w:rPr>
        <w:t>ri monohydroxylové metabolity a </w:t>
      </w:r>
      <w:r w:rsidRPr="00F64707">
        <w:rPr>
          <w:sz w:val="22"/>
          <w:szCs w:val="22"/>
        </w:rPr>
        <w:t>jeden dihydroxylový metabolit.</w:t>
      </w:r>
    </w:p>
    <w:p w:rsidR="00F1304A" w:rsidRPr="00F64707" w:rsidRDefault="00F1304A" w:rsidP="00F64707">
      <w:pPr>
        <w:rPr>
          <w:sz w:val="22"/>
          <w:szCs w:val="22"/>
        </w:rPr>
      </w:pPr>
    </w:p>
    <w:p w:rsidR="00F1304A" w:rsidRPr="00F64707" w:rsidRDefault="00F1304A" w:rsidP="00F64707">
      <w:pPr>
        <w:rPr>
          <w:sz w:val="22"/>
          <w:szCs w:val="22"/>
        </w:rPr>
      </w:pPr>
      <w:r w:rsidRPr="00F64707">
        <w:rPr>
          <w:sz w:val="22"/>
          <w:szCs w:val="22"/>
        </w:rPr>
        <w:t>Po perorálnej dávke dutasteridu 0,5</w:t>
      </w:r>
      <w:r w:rsidR="003775A6" w:rsidRPr="00F64707">
        <w:rPr>
          <w:sz w:val="22"/>
          <w:szCs w:val="22"/>
        </w:rPr>
        <w:t> </w:t>
      </w:r>
      <w:r w:rsidRPr="00F64707">
        <w:rPr>
          <w:sz w:val="22"/>
          <w:szCs w:val="22"/>
        </w:rPr>
        <w:t xml:space="preserve">mg/deň do </w:t>
      </w:r>
      <w:r w:rsidR="00EE4D98" w:rsidRPr="00F64707">
        <w:rPr>
          <w:sz w:val="22"/>
          <w:szCs w:val="22"/>
        </w:rPr>
        <w:t>rovnovážneho</w:t>
      </w:r>
      <w:r w:rsidRPr="00F64707">
        <w:rPr>
          <w:sz w:val="22"/>
          <w:szCs w:val="22"/>
        </w:rPr>
        <w:t xml:space="preserve"> stavu, sa 1,0</w:t>
      </w:r>
      <w:r w:rsidR="003775A6" w:rsidRPr="00F64707">
        <w:rPr>
          <w:sz w:val="22"/>
          <w:szCs w:val="22"/>
        </w:rPr>
        <w:t> </w:t>
      </w:r>
      <w:r w:rsidRPr="00F64707">
        <w:rPr>
          <w:sz w:val="22"/>
          <w:szCs w:val="22"/>
        </w:rPr>
        <w:t>% až 15,4</w:t>
      </w:r>
      <w:r w:rsidR="003775A6" w:rsidRPr="00F64707">
        <w:rPr>
          <w:sz w:val="22"/>
          <w:szCs w:val="22"/>
        </w:rPr>
        <w:t> </w:t>
      </w:r>
      <w:r w:rsidRPr="00F64707">
        <w:rPr>
          <w:sz w:val="22"/>
          <w:szCs w:val="22"/>
        </w:rPr>
        <w:t>% (</w:t>
      </w:r>
      <w:r w:rsidR="00EE4D98" w:rsidRPr="00F64707">
        <w:rPr>
          <w:sz w:val="22"/>
          <w:szCs w:val="22"/>
        </w:rPr>
        <w:t xml:space="preserve">priemer </w:t>
      </w:r>
      <w:r w:rsidRPr="00F64707">
        <w:rPr>
          <w:sz w:val="22"/>
          <w:szCs w:val="22"/>
        </w:rPr>
        <w:t>5,4</w:t>
      </w:r>
      <w:r w:rsidR="003775A6" w:rsidRPr="00F64707">
        <w:rPr>
          <w:sz w:val="22"/>
          <w:szCs w:val="22"/>
        </w:rPr>
        <w:t> </w:t>
      </w:r>
      <w:r w:rsidRPr="00F64707">
        <w:rPr>
          <w:sz w:val="22"/>
          <w:szCs w:val="22"/>
        </w:rPr>
        <w:t>%) podanej dávky vylučuje vo forme nezmeneného dutasteridu stolicou. Zvyšok sa vylučuje stolicou vo</w:t>
      </w:r>
      <w:r w:rsidR="00EE4D98" w:rsidRPr="00F64707">
        <w:rPr>
          <w:sz w:val="22"/>
          <w:szCs w:val="22"/>
        </w:rPr>
        <w:t xml:space="preserve"> </w:t>
      </w:r>
      <w:r w:rsidRPr="00F64707">
        <w:rPr>
          <w:sz w:val="22"/>
          <w:szCs w:val="22"/>
        </w:rPr>
        <w:t>forme 4</w:t>
      </w:r>
      <w:r w:rsidR="003775A6" w:rsidRPr="00F64707">
        <w:rPr>
          <w:sz w:val="22"/>
          <w:szCs w:val="22"/>
        </w:rPr>
        <w:t> </w:t>
      </w:r>
      <w:r w:rsidRPr="00F64707">
        <w:rPr>
          <w:sz w:val="22"/>
          <w:szCs w:val="22"/>
        </w:rPr>
        <w:t>hlavných metabolitov, z ktorých každý obsahuje 39</w:t>
      </w:r>
      <w:r w:rsidR="003775A6" w:rsidRPr="00F64707">
        <w:rPr>
          <w:sz w:val="22"/>
          <w:szCs w:val="22"/>
        </w:rPr>
        <w:t> </w:t>
      </w:r>
      <w:r w:rsidRPr="00F64707">
        <w:rPr>
          <w:sz w:val="22"/>
          <w:szCs w:val="22"/>
        </w:rPr>
        <w:t>%, 21</w:t>
      </w:r>
      <w:r w:rsidR="003775A6" w:rsidRPr="00F64707">
        <w:rPr>
          <w:sz w:val="22"/>
          <w:szCs w:val="22"/>
        </w:rPr>
        <w:t> </w:t>
      </w:r>
      <w:r w:rsidRPr="00F64707">
        <w:rPr>
          <w:sz w:val="22"/>
          <w:szCs w:val="22"/>
        </w:rPr>
        <w:t>%, 7</w:t>
      </w:r>
      <w:r w:rsidR="003775A6" w:rsidRPr="00F64707">
        <w:rPr>
          <w:sz w:val="22"/>
          <w:szCs w:val="22"/>
        </w:rPr>
        <w:t> </w:t>
      </w:r>
      <w:r w:rsidR="00236538" w:rsidRPr="00F64707">
        <w:rPr>
          <w:sz w:val="22"/>
          <w:szCs w:val="22"/>
        </w:rPr>
        <w:t>% a </w:t>
      </w:r>
      <w:r w:rsidRPr="00F64707">
        <w:rPr>
          <w:sz w:val="22"/>
          <w:szCs w:val="22"/>
        </w:rPr>
        <w:t>7</w:t>
      </w:r>
      <w:r w:rsidR="003775A6" w:rsidRPr="00F64707">
        <w:rPr>
          <w:sz w:val="22"/>
          <w:szCs w:val="22"/>
        </w:rPr>
        <w:t> </w:t>
      </w:r>
      <w:r w:rsidR="00EE4D98" w:rsidRPr="00F64707">
        <w:rPr>
          <w:sz w:val="22"/>
          <w:szCs w:val="22"/>
        </w:rPr>
        <w:t xml:space="preserve">% látok </w:t>
      </w:r>
      <w:r w:rsidR="00EE4D98" w:rsidRPr="00F64707">
        <w:rPr>
          <w:sz w:val="22"/>
          <w:szCs w:val="22"/>
        </w:rPr>
        <w:lastRenderedPageBreak/>
        <w:t>súvisiacich s liekom a </w:t>
      </w:r>
      <w:r w:rsidRPr="00F64707">
        <w:rPr>
          <w:sz w:val="22"/>
          <w:szCs w:val="22"/>
        </w:rPr>
        <w:t>6</w:t>
      </w:r>
      <w:r w:rsidR="003775A6" w:rsidRPr="00F64707">
        <w:rPr>
          <w:sz w:val="22"/>
          <w:szCs w:val="22"/>
        </w:rPr>
        <w:t> </w:t>
      </w:r>
      <w:r w:rsidRPr="00F64707">
        <w:rPr>
          <w:sz w:val="22"/>
          <w:szCs w:val="22"/>
        </w:rPr>
        <w:t>vedľajších metabolitov (menej ako 5</w:t>
      </w:r>
      <w:r w:rsidR="003775A6" w:rsidRPr="00F64707">
        <w:rPr>
          <w:sz w:val="22"/>
          <w:szCs w:val="22"/>
        </w:rPr>
        <w:t> </w:t>
      </w:r>
      <w:r w:rsidRPr="00F64707">
        <w:rPr>
          <w:sz w:val="22"/>
          <w:szCs w:val="22"/>
        </w:rPr>
        <w:t>%</w:t>
      </w:r>
      <w:r w:rsidR="00EE4D98" w:rsidRPr="00F64707">
        <w:rPr>
          <w:sz w:val="22"/>
          <w:szCs w:val="22"/>
        </w:rPr>
        <w:t xml:space="preserve"> každý</w:t>
      </w:r>
      <w:r w:rsidRPr="00F64707">
        <w:rPr>
          <w:sz w:val="22"/>
          <w:szCs w:val="22"/>
        </w:rPr>
        <w:t>). V ľudskom moči sú detegované len stopové množstvá nezmeneného dutasteridu (menej ako 0,1</w:t>
      </w:r>
      <w:r w:rsidR="003775A6" w:rsidRPr="00F64707">
        <w:rPr>
          <w:sz w:val="22"/>
          <w:szCs w:val="22"/>
        </w:rPr>
        <w:t> </w:t>
      </w:r>
      <w:r w:rsidRPr="00F64707">
        <w:rPr>
          <w:sz w:val="22"/>
          <w:szCs w:val="22"/>
        </w:rPr>
        <w:t>% dávky).</w:t>
      </w:r>
    </w:p>
    <w:p w:rsidR="00F1304A" w:rsidRPr="00F64707" w:rsidRDefault="00F1304A" w:rsidP="00F64707">
      <w:pPr>
        <w:rPr>
          <w:sz w:val="22"/>
          <w:szCs w:val="22"/>
        </w:rPr>
      </w:pPr>
    </w:p>
    <w:p w:rsidR="00EE4D98" w:rsidRPr="00F64707" w:rsidRDefault="00F1304A" w:rsidP="00F64707">
      <w:pPr>
        <w:rPr>
          <w:sz w:val="22"/>
          <w:szCs w:val="22"/>
        </w:rPr>
      </w:pPr>
      <w:r w:rsidRPr="00F64707">
        <w:rPr>
          <w:sz w:val="22"/>
          <w:szCs w:val="22"/>
        </w:rPr>
        <w:t>Eliminácia dutasteridu je dávkovo</w:t>
      </w:r>
      <w:r w:rsidR="00E84240" w:rsidRPr="00F64707">
        <w:rPr>
          <w:sz w:val="22"/>
          <w:szCs w:val="22"/>
        </w:rPr>
        <w:t xml:space="preserve"> </w:t>
      </w:r>
      <w:r w:rsidR="00EE4D98" w:rsidRPr="00F64707">
        <w:rPr>
          <w:sz w:val="22"/>
          <w:szCs w:val="22"/>
        </w:rPr>
        <w:t>závislá a </w:t>
      </w:r>
      <w:r w:rsidRPr="00F64707">
        <w:rPr>
          <w:sz w:val="22"/>
          <w:szCs w:val="22"/>
        </w:rPr>
        <w:t>zdá sa, že pre proces sú charakteri</w:t>
      </w:r>
      <w:r w:rsidR="00EE4D98" w:rsidRPr="00F64707">
        <w:rPr>
          <w:sz w:val="22"/>
          <w:szCs w:val="22"/>
        </w:rPr>
        <w:t xml:space="preserve">stické dve paralelné </w:t>
      </w:r>
      <w:r w:rsidRPr="00F64707">
        <w:rPr>
          <w:sz w:val="22"/>
          <w:szCs w:val="22"/>
        </w:rPr>
        <w:t>cesty</w:t>
      </w:r>
      <w:r w:rsidR="00EE4D98" w:rsidRPr="00F64707">
        <w:rPr>
          <w:sz w:val="22"/>
          <w:szCs w:val="22"/>
        </w:rPr>
        <w:t xml:space="preserve"> eliminácie</w:t>
      </w:r>
      <w:r w:rsidRPr="00F64707">
        <w:rPr>
          <w:sz w:val="22"/>
          <w:szCs w:val="22"/>
        </w:rPr>
        <w:t>, jedna je saturovateľná pri klinicky relevantných koncentráciách a</w:t>
      </w:r>
      <w:r w:rsidR="00EE4D98" w:rsidRPr="00F64707">
        <w:rPr>
          <w:sz w:val="22"/>
          <w:szCs w:val="22"/>
        </w:rPr>
        <w:t> </w:t>
      </w:r>
      <w:r w:rsidRPr="00F64707">
        <w:rPr>
          <w:sz w:val="22"/>
          <w:szCs w:val="22"/>
        </w:rPr>
        <w:t>jedna nie je saturovateľná.</w:t>
      </w:r>
    </w:p>
    <w:p w:rsidR="00250C68" w:rsidRPr="00F64707" w:rsidRDefault="00250C68" w:rsidP="00F64707">
      <w:pPr>
        <w:rPr>
          <w:sz w:val="22"/>
          <w:szCs w:val="22"/>
        </w:rPr>
      </w:pPr>
    </w:p>
    <w:p w:rsidR="00F1304A" w:rsidRPr="00F64707" w:rsidRDefault="00F1304A" w:rsidP="00F64707">
      <w:pPr>
        <w:rPr>
          <w:sz w:val="22"/>
          <w:szCs w:val="22"/>
        </w:rPr>
      </w:pPr>
      <w:r w:rsidRPr="00F64707">
        <w:rPr>
          <w:sz w:val="22"/>
          <w:szCs w:val="22"/>
        </w:rPr>
        <w:t>Pri nízkych sérových koncentráciách (menej ako 3</w:t>
      </w:r>
      <w:r w:rsidR="003775A6" w:rsidRPr="00F64707">
        <w:rPr>
          <w:sz w:val="22"/>
          <w:szCs w:val="22"/>
        </w:rPr>
        <w:t> </w:t>
      </w:r>
      <w:r w:rsidRPr="00F64707">
        <w:rPr>
          <w:sz w:val="22"/>
          <w:szCs w:val="22"/>
        </w:rPr>
        <w:t>ng/ml) je dutasterid rýchlo odstránený oboma cestami</w:t>
      </w:r>
      <w:r w:rsidR="00EE4D98" w:rsidRPr="00F64707">
        <w:rPr>
          <w:sz w:val="22"/>
          <w:szCs w:val="22"/>
        </w:rPr>
        <w:t xml:space="preserve"> eliminácie</w:t>
      </w:r>
      <w:r w:rsidRPr="00F64707">
        <w:rPr>
          <w:sz w:val="22"/>
          <w:szCs w:val="22"/>
        </w:rPr>
        <w:t>, cestou závislou od koncentrácie a</w:t>
      </w:r>
      <w:r w:rsidR="00EE4D98" w:rsidRPr="00F64707">
        <w:rPr>
          <w:sz w:val="22"/>
          <w:szCs w:val="22"/>
        </w:rPr>
        <w:t> </w:t>
      </w:r>
      <w:r w:rsidRPr="00F64707">
        <w:rPr>
          <w:sz w:val="22"/>
          <w:szCs w:val="22"/>
        </w:rPr>
        <w:t>aj cestou nezávislou od</w:t>
      </w:r>
      <w:r w:rsidR="00EE4D98" w:rsidRPr="00F64707">
        <w:rPr>
          <w:sz w:val="22"/>
          <w:szCs w:val="22"/>
        </w:rPr>
        <w:t xml:space="preserve"> </w:t>
      </w:r>
      <w:r w:rsidRPr="00F64707">
        <w:rPr>
          <w:sz w:val="22"/>
          <w:szCs w:val="22"/>
        </w:rPr>
        <w:t>koncentrácie. Pri jednorazových dávkach 5</w:t>
      </w:r>
      <w:r w:rsidR="003775A6" w:rsidRPr="00F64707">
        <w:rPr>
          <w:sz w:val="22"/>
          <w:szCs w:val="22"/>
        </w:rPr>
        <w:t> </w:t>
      </w:r>
      <w:r w:rsidRPr="00F64707">
        <w:rPr>
          <w:sz w:val="22"/>
          <w:szCs w:val="22"/>
        </w:rPr>
        <w:t>mg alebo mene</w:t>
      </w:r>
      <w:r w:rsidR="00EE4D98" w:rsidRPr="00F64707">
        <w:rPr>
          <w:sz w:val="22"/>
          <w:szCs w:val="22"/>
        </w:rPr>
        <w:t>j bol dokázaný rýchly klírens a </w:t>
      </w:r>
      <w:r w:rsidRPr="00F64707">
        <w:rPr>
          <w:sz w:val="22"/>
          <w:szCs w:val="22"/>
        </w:rPr>
        <w:t>krátky polčas 3</w:t>
      </w:r>
      <w:r w:rsidR="003775A6" w:rsidRPr="00F64707">
        <w:rPr>
          <w:sz w:val="22"/>
          <w:szCs w:val="22"/>
        </w:rPr>
        <w:t> </w:t>
      </w:r>
      <w:r w:rsidRPr="00F64707">
        <w:rPr>
          <w:sz w:val="22"/>
          <w:szCs w:val="22"/>
        </w:rPr>
        <w:t>až</w:t>
      </w:r>
      <w:r w:rsidR="00EE4D98" w:rsidRPr="00F64707">
        <w:rPr>
          <w:sz w:val="22"/>
          <w:szCs w:val="22"/>
        </w:rPr>
        <w:t xml:space="preserve"> </w:t>
      </w:r>
      <w:r w:rsidRPr="00F64707">
        <w:rPr>
          <w:sz w:val="22"/>
          <w:szCs w:val="22"/>
        </w:rPr>
        <w:t>9</w:t>
      </w:r>
      <w:r w:rsidR="003775A6" w:rsidRPr="00F64707">
        <w:rPr>
          <w:sz w:val="22"/>
          <w:szCs w:val="22"/>
        </w:rPr>
        <w:t> </w:t>
      </w:r>
      <w:r w:rsidRPr="00F64707">
        <w:rPr>
          <w:sz w:val="22"/>
          <w:szCs w:val="22"/>
        </w:rPr>
        <w:t>dní.</w:t>
      </w:r>
    </w:p>
    <w:p w:rsidR="00F1304A" w:rsidRPr="00F64707" w:rsidRDefault="00F1304A" w:rsidP="00F64707">
      <w:pPr>
        <w:rPr>
          <w:sz w:val="22"/>
          <w:szCs w:val="22"/>
        </w:rPr>
      </w:pPr>
    </w:p>
    <w:p w:rsidR="00F1304A" w:rsidRPr="00F64707" w:rsidRDefault="00F1304A" w:rsidP="00F64707">
      <w:pPr>
        <w:rPr>
          <w:sz w:val="22"/>
          <w:szCs w:val="22"/>
        </w:rPr>
      </w:pPr>
      <w:r w:rsidRPr="00F64707">
        <w:rPr>
          <w:sz w:val="22"/>
          <w:szCs w:val="22"/>
        </w:rPr>
        <w:t>Pri terapeutických koncentráciách, po opakovanej dávke 0,5</w:t>
      </w:r>
      <w:r w:rsidR="003775A6" w:rsidRPr="00F64707">
        <w:rPr>
          <w:sz w:val="22"/>
          <w:szCs w:val="22"/>
        </w:rPr>
        <w:t> </w:t>
      </w:r>
      <w:r w:rsidRPr="00F64707">
        <w:rPr>
          <w:sz w:val="22"/>
          <w:szCs w:val="22"/>
        </w:rPr>
        <w:t>mg/deň, prevláda pomalšia, lineárna cesta</w:t>
      </w:r>
      <w:r w:rsidR="00EE4D98" w:rsidRPr="00F64707">
        <w:rPr>
          <w:sz w:val="22"/>
          <w:szCs w:val="22"/>
        </w:rPr>
        <w:t xml:space="preserve"> eliminácie</w:t>
      </w:r>
      <w:r w:rsidRPr="00F64707">
        <w:rPr>
          <w:sz w:val="22"/>
          <w:szCs w:val="22"/>
        </w:rPr>
        <w:t xml:space="preserve"> a</w:t>
      </w:r>
      <w:r w:rsidR="00EE4D98" w:rsidRPr="00F64707">
        <w:rPr>
          <w:sz w:val="22"/>
          <w:szCs w:val="22"/>
        </w:rPr>
        <w:t> </w:t>
      </w:r>
      <w:r w:rsidRPr="00F64707">
        <w:rPr>
          <w:sz w:val="22"/>
          <w:szCs w:val="22"/>
        </w:rPr>
        <w:t>polčas je približne 3</w:t>
      </w:r>
      <w:r w:rsidR="003775A6" w:rsidRPr="00F64707">
        <w:rPr>
          <w:sz w:val="22"/>
          <w:szCs w:val="22"/>
        </w:rPr>
        <w:t> </w:t>
      </w:r>
      <w:r w:rsidR="003775A6" w:rsidRPr="00F64707">
        <w:rPr>
          <w:sz w:val="22"/>
          <w:szCs w:val="22"/>
        </w:rPr>
        <w:noBreakHyphen/>
        <w:t> </w:t>
      </w:r>
      <w:r w:rsidRPr="00F64707">
        <w:rPr>
          <w:sz w:val="22"/>
          <w:szCs w:val="22"/>
        </w:rPr>
        <w:t>5</w:t>
      </w:r>
      <w:r w:rsidR="003775A6" w:rsidRPr="00F64707">
        <w:rPr>
          <w:sz w:val="22"/>
          <w:szCs w:val="22"/>
        </w:rPr>
        <w:t> </w:t>
      </w:r>
      <w:r w:rsidR="00236538" w:rsidRPr="00F64707">
        <w:rPr>
          <w:sz w:val="22"/>
          <w:szCs w:val="22"/>
        </w:rPr>
        <w:t>týždňov.</w:t>
      </w:r>
    </w:p>
    <w:p w:rsidR="00F1304A" w:rsidRPr="00F64707" w:rsidRDefault="00F1304A" w:rsidP="00F64707">
      <w:pPr>
        <w:rPr>
          <w:sz w:val="22"/>
          <w:szCs w:val="22"/>
        </w:rPr>
      </w:pPr>
    </w:p>
    <w:p w:rsidR="00F1304A" w:rsidRPr="00F64707" w:rsidRDefault="00F1304A" w:rsidP="00F64707">
      <w:pPr>
        <w:keepNext/>
        <w:keepLines/>
        <w:rPr>
          <w:i/>
          <w:sz w:val="22"/>
          <w:szCs w:val="22"/>
        </w:rPr>
      </w:pPr>
      <w:r w:rsidRPr="00F64707">
        <w:rPr>
          <w:i/>
          <w:sz w:val="22"/>
          <w:szCs w:val="22"/>
        </w:rPr>
        <w:t>Staršie osoby</w:t>
      </w:r>
    </w:p>
    <w:p w:rsidR="00F1304A" w:rsidRPr="00F64707" w:rsidRDefault="00F1304A" w:rsidP="00F64707">
      <w:pPr>
        <w:pStyle w:val="Zkladntext2"/>
        <w:keepLines/>
        <w:jc w:val="left"/>
        <w:rPr>
          <w:rFonts w:ascii="Times New Roman" w:hAnsi="Times New Roman"/>
          <w:sz w:val="22"/>
          <w:szCs w:val="22"/>
        </w:rPr>
      </w:pPr>
      <w:r w:rsidRPr="00F64707">
        <w:rPr>
          <w:rFonts w:ascii="Times New Roman" w:hAnsi="Times New Roman"/>
          <w:sz w:val="22"/>
          <w:szCs w:val="22"/>
        </w:rPr>
        <w:t>Farmakokinetické vlastnosti dutasteridu boli hodnotené u</w:t>
      </w:r>
      <w:r w:rsidR="003775A6" w:rsidRPr="00F64707">
        <w:rPr>
          <w:rFonts w:ascii="Times New Roman" w:hAnsi="Times New Roman"/>
          <w:sz w:val="22"/>
          <w:szCs w:val="22"/>
        </w:rPr>
        <w:t> </w:t>
      </w:r>
      <w:r w:rsidRPr="00F64707">
        <w:rPr>
          <w:rFonts w:ascii="Times New Roman" w:hAnsi="Times New Roman"/>
          <w:sz w:val="22"/>
          <w:szCs w:val="22"/>
        </w:rPr>
        <w:t>36</w:t>
      </w:r>
      <w:r w:rsidR="003775A6" w:rsidRPr="00F64707">
        <w:rPr>
          <w:rFonts w:ascii="Times New Roman" w:hAnsi="Times New Roman"/>
          <w:sz w:val="22"/>
          <w:szCs w:val="22"/>
        </w:rPr>
        <w:t> </w:t>
      </w:r>
      <w:r w:rsidRPr="00F64707">
        <w:rPr>
          <w:rFonts w:ascii="Times New Roman" w:hAnsi="Times New Roman"/>
          <w:sz w:val="22"/>
          <w:szCs w:val="22"/>
        </w:rPr>
        <w:t>zdravých mužov vo veku medzi 24</w:t>
      </w:r>
      <w:r w:rsidR="003775A6" w:rsidRPr="00F64707">
        <w:rPr>
          <w:rFonts w:ascii="Times New Roman" w:hAnsi="Times New Roman"/>
          <w:sz w:val="22"/>
          <w:szCs w:val="22"/>
        </w:rPr>
        <w:t> </w:t>
      </w:r>
      <w:r w:rsidRPr="00F64707">
        <w:rPr>
          <w:rFonts w:ascii="Times New Roman" w:hAnsi="Times New Roman"/>
          <w:sz w:val="22"/>
          <w:szCs w:val="22"/>
        </w:rPr>
        <w:t>a</w:t>
      </w:r>
      <w:r w:rsidR="003775A6" w:rsidRPr="00F64707">
        <w:rPr>
          <w:rFonts w:ascii="Times New Roman" w:hAnsi="Times New Roman"/>
          <w:sz w:val="22"/>
          <w:szCs w:val="22"/>
        </w:rPr>
        <w:t> </w:t>
      </w:r>
      <w:r w:rsidRPr="00F64707">
        <w:rPr>
          <w:rFonts w:ascii="Times New Roman" w:hAnsi="Times New Roman"/>
          <w:sz w:val="22"/>
          <w:szCs w:val="22"/>
        </w:rPr>
        <w:t>87</w:t>
      </w:r>
      <w:r w:rsidR="003775A6" w:rsidRPr="00F64707">
        <w:rPr>
          <w:rFonts w:ascii="Times New Roman" w:hAnsi="Times New Roman"/>
          <w:sz w:val="22"/>
          <w:szCs w:val="22"/>
        </w:rPr>
        <w:t> </w:t>
      </w:r>
      <w:r w:rsidRPr="00F64707">
        <w:rPr>
          <w:rFonts w:ascii="Times New Roman" w:hAnsi="Times New Roman"/>
          <w:sz w:val="22"/>
          <w:szCs w:val="22"/>
        </w:rPr>
        <w:t>ro</w:t>
      </w:r>
      <w:r w:rsidR="00236538" w:rsidRPr="00F64707">
        <w:rPr>
          <w:rFonts w:ascii="Times New Roman" w:hAnsi="Times New Roman"/>
          <w:sz w:val="22"/>
          <w:szCs w:val="22"/>
        </w:rPr>
        <w:t>kov</w:t>
      </w:r>
      <w:r w:rsidRPr="00F64707">
        <w:rPr>
          <w:rFonts w:ascii="Times New Roman" w:hAnsi="Times New Roman"/>
          <w:sz w:val="22"/>
          <w:szCs w:val="22"/>
        </w:rPr>
        <w:t xml:space="preserve"> po podaní jednorazovej 5</w:t>
      </w:r>
      <w:r w:rsidR="003775A6" w:rsidRPr="00F64707">
        <w:rPr>
          <w:rFonts w:ascii="Times New Roman" w:hAnsi="Times New Roman"/>
          <w:sz w:val="22"/>
          <w:szCs w:val="22"/>
        </w:rPr>
        <w:t> </w:t>
      </w:r>
      <w:r w:rsidRPr="00F64707">
        <w:rPr>
          <w:rFonts w:ascii="Times New Roman" w:hAnsi="Times New Roman"/>
          <w:sz w:val="22"/>
          <w:szCs w:val="22"/>
        </w:rPr>
        <w:t>mg dávky dutasteridu. Nebol pozorovaný žiadny signifikantný vplyv veku na expozíciu dutasteridu, ale u</w:t>
      </w:r>
      <w:r w:rsidR="00EE4D98" w:rsidRPr="00F64707">
        <w:rPr>
          <w:rFonts w:ascii="Times New Roman" w:hAnsi="Times New Roman"/>
          <w:sz w:val="22"/>
          <w:szCs w:val="22"/>
        </w:rPr>
        <w:t> </w:t>
      </w:r>
      <w:r w:rsidRPr="00F64707">
        <w:rPr>
          <w:rFonts w:ascii="Times New Roman" w:hAnsi="Times New Roman"/>
          <w:sz w:val="22"/>
          <w:szCs w:val="22"/>
        </w:rPr>
        <w:t>mužov mladších ako 50</w:t>
      </w:r>
      <w:r w:rsidR="003775A6" w:rsidRPr="00F64707">
        <w:rPr>
          <w:rFonts w:ascii="Times New Roman" w:hAnsi="Times New Roman"/>
          <w:sz w:val="22"/>
          <w:szCs w:val="22"/>
        </w:rPr>
        <w:t> </w:t>
      </w:r>
      <w:r w:rsidRPr="00F64707">
        <w:rPr>
          <w:rFonts w:ascii="Times New Roman" w:hAnsi="Times New Roman"/>
          <w:sz w:val="22"/>
          <w:szCs w:val="22"/>
        </w:rPr>
        <w:t>rokov bol polčas kratší. Polčas nebol štatisticky rozdielny pri porovnaní skupiny 50</w:t>
      </w:r>
      <w:r w:rsidR="003775A6" w:rsidRPr="00F64707">
        <w:rPr>
          <w:rFonts w:ascii="Times New Roman" w:hAnsi="Times New Roman"/>
          <w:sz w:val="22"/>
          <w:szCs w:val="22"/>
        </w:rPr>
        <w:noBreakHyphen/>
        <w:t> až </w:t>
      </w:r>
      <w:r w:rsidRPr="00F64707">
        <w:rPr>
          <w:rFonts w:ascii="Times New Roman" w:hAnsi="Times New Roman"/>
          <w:sz w:val="22"/>
          <w:szCs w:val="22"/>
        </w:rPr>
        <w:t>69</w:t>
      </w:r>
      <w:r w:rsidR="003775A6" w:rsidRPr="00F64707">
        <w:rPr>
          <w:rFonts w:ascii="Times New Roman" w:hAnsi="Times New Roman"/>
          <w:sz w:val="22"/>
          <w:szCs w:val="22"/>
        </w:rPr>
        <w:noBreakHyphen/>
      </w:r>
      <w:r w:rsidRPr="00F64707">
        <w:rPr>
          <w:rFonts w:ascii="Times New Roman" w:hAnsi="Times New Roman"/>
          <w:sz w:val="22"/>
          <w:szCs w:val="22"/>
        </w:rPr>
        <w:t>ročných so skupinou starších ako 70</w:t>
      </w:r>
      <w:r w:rsidR="003775A6" w:rsidRPr="00F64707">
        <w:rPr>
          <w:rFonts w:ascii="Times New Roman" w:hAnsi="Times New Roman"/>
          <w:sz w:val="22"/>
          <w:szCs w:val="22"/>
        </w:rPr>
        <w:noBreakHyphen/>
      </w:r>
      <w:r w:rsidRPr="00F64707">
        <w:rPr>
          <w:rFonts w:ascii="Times New Roman" w:hAnsi="Times New Roman"/>
          <w:sz w:val="22"/>
          <w:szCs w:val="22"/>
        </w:rPr>
        <w:t>ročných.</w:t>
      </w:r>
    </w:p>
    <w:p w:rsidR="00F1304A" w:rsidRPr="00F64707" w:rsidRDefault="00F1304A" w:rsidP="00F64707">
      <w:pPr>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Porucha funkcie obličiek</w:t>
      </w:r>
    </w:p>
    <w:p w:rsidR="00F1304A" w:rsidRPr="00F64707" w:rsidRDefault="00F1304A" w:rsidP="00F64707">
      <w:pPr>
        <w:rPr>
          <w:sz w:val="22"/>
          <w:szCs w:val="22"/>
        </w:rPr>
      </w:pPr>
      <w:r w:rsidRPr="00F64707">
        <w:rPr>
          <w:sz w:val="22"/>
          <w:szCs w:val="22"/>
        </w:rPr>
        <w:t>Vplyv poruchy funkcie obličiek na farmakokinetiku dutasteridu sa neskúmal. Menej ako 0,1</w:t>
      </w:r>
      <w:r w:rsidR="003775A6" w:rsidRPr="00F64707">
        <w:rPr>
          <w:sz w:val="22"/>
          <w:szCs w:val="22"/>
        </w:rPr>
        <w:t> </w:t>
      </w:r>
      <w:r w:rsidRPr="00F64707">
        <w:rPr>
          <w:sz w:val="22"/>
          <w:szCs w:val="22"/>
        </w:rPr>
        <w:t>% ustálenej 0,5</w:t>
      </w:r>
      <w:r w:rsidR="003775A6" w:rsidRPr="00F64707">
        <w:rPr>
          <w:sz w:val="22"/>
          <w:szCs w:val="22"/>
        </w:rPr>
        <w:t> </w:t>
      </w:r>
      <w:r w:rsidRPr="00F64707">
        <w:rPr>
          <w:sz w:val="22"/>
          <w:szCs w:val="22"/>
        </w:rPr>
        <w:t>mg dávky dutasteridu je však izolované v</w:t>
      </w:r>
      <w:r w:rsidR="00EE4D98" w:rsidRPr="00F64707">
        <w:rPr>
          <w:sz w:val="22"/>
          <w:szCs w:val="22"/>
        </w:rPr>
        <w:t> ľudskom moči, a </w:t>
      </w:r>
      <w:r w:rsidRPr="00F64707">
        <w:rPr>
          <w:sz w:val="22"/>
          <w:szCs w:val="22"/>
        </w:rPr>
        <w:t>tak sa u pacientov s poruchou funkcie obličiek nepredpokladá žiadne klinicky signifikantné zvýšenie plazmatických koncentrácií dutasteridu (pozri časť</w:t>
      </w:r>
      <w:r w:rsidR="00EE4D98" w:rsidRPr="00F64707">
        <w:rPr>
          <w:sz w:val="22"/>
          <w:szCs w:val="22"/>
        </w:rPr>
        <w:t xml:space="preserve"> </w:t>
      </w:r>
      <w:r w:rsidRPr="00F64707">
        <w:rPr>
          <w:sz w:val="22"/>
          <w:szCs w:val="22"/>
        </w:rPr>
        <w:t>4.2).</w:t>
      </w:r>
    </w:p>
    <w:p w:rsidR="00F1304A" w:rsidRPr="00F64707" w:rsidRDefault="00F1304A" w:rsidP="00F64707">
      <w:pPr>
        <w:rPr>
          <w:sz w:val="22"/>
          <w:szCs w:val="22"/>
        </w:rPr>
      </w:pPr>
    </w:p>
    <w:p w:rsidR="00F1304A" w:rsidRPr="00F64707" w:rsidRDefault="00F1304A" w:rsidP="00F64707">
      <w:pPr>
        <w:pStyle w:val="Nadpis5"/>
        <w:jc w:val="left"/>
        <w:rPr>
          <w:rFonts w:ascii="Times New Roman" w:hAnsi="Times New Roman"/>
          <w:sz w:val="22"/>
          <w:szCs w:val="22"/>
        </w:rPr>
      </w:pPr>
      <w:r w:rsidRPr="00F64707">
        <w:rPr>
          <w:rFonts w:ascii="Times New Roman" w:hAnsi="Times New Roman"/>
          <w:sz w:val="22"/>
          <w:szCs w:val="22"/>
        </w:rPr>
        <w:t>Porucha funkcie pečene</w:t>
      </w: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Vplyv poruchy funkcie pečene na farmakokinetiku dutasteridu sa neskúmal (pozri časť</w:t>
      </w:r>
      <w:r w:rsidR="00EE4D98" w:rsidRPr="00F64707">
        <w:rPr>
          <w:rFonts w:ascii="Times New Roman" w:hAnsi="Times New Roman"/>
          <w:sz w:val="22"/>
          <w:szCs w:val="22"/>
        </w:rPr>
        <w:t xml:space="preserve"> </w:t>
      </w:r>
      <w:r w:rsidRPr="00F64707">
        <w:rPr>
          <w:rFonts w:ascii="Times New Roman" w:hAnsi="Times New Roman"/>
          <w:sz w:val="22"/>
          <w:szCs w:val="22"/>
        </w:rPr>
        <w:t xml:space="preserve">4.3). Keďže </w:t>
      </w:r>
      <w:r w:rsidR="00EE4D98" w:rsidRPr="00F64707">
        <w:rPr>
          <w:rFonts w:ascii="Times New Roman" w:hAnsi="Times New Roman"/>
          <w:sz w:val="22"/>
          <w:szCs w:val="22"/>
        </w:rPr>
        <w:t xml:space="preserve">sa </w:t>
      </w:r>
      <w:r w:rsidRPr="00F64707">
        <w:rPr>
          <w:rFonts w:ascii="Times New Roman" w:hAnsi="Times New Roman"/>
          <w:sz w:val="22"/>
          <w:szCs w:val="22"/>
        </w:rPr>
        <w:t>dutasterid vylučuje hlavne cez metabolizmus, očakáva sa, že u</w:t>
      </w:r>
      <w:r w:rsidR="00EE4D98" w:rsidRPr="00F64707">
        <w:rPr>
          <w:rFonts w:ascii="Times New Roman" w:hAnsi="Times New Roman"/>
          <w:sz w:val="22"/>
          <w:szCs w:val="22"/>
        </w:rPr>
        <w:t> </w:t>
      </w:r>
      <w:r w:rsidRPr="00F64707">
        <w:rPr>
          <w:rFonts w:ascii="Times New Roman" w:hAnsi="Times New Roman"/>
          <w:sz w:val="22"/>
          <w:szCs w:val="22"/>
        </w:rPr>
        <w:t>týchto pacientov sú zvýšené plazmatické hladiny dutasteridu a</w:t>
      </w:r>
      <w:r w:rsidR="00EE4D98" w:rsidRPr="00F64707">
        <w:rPr>
          <w:rFonts w:ascii="Times New Roman" w:hAnsi="Times New Roman"/>
          <w:sz w:val="22"/>
          <w:szCs w:val="22"/>
        </w:rPr>
        <w:t> </w:t>
      </w:r>
      <w:r w:rsidRPr="00F64707">
        <w:rPr>
          <w:rFonts w:ascii="Times New Roman" w:hAnsi="Times New Roman"/>
          <w:sz w:val="22"/>
          <w:szCs w:val="22"/>
        </w:rPr>
        <w:t>predĺžený polčas dutasteridu (pozri časť</w:t>
      </w:r>
      <w:r w:rsidR="00EE4D98" w:rsidRPr="00F64707">
        <w:rPr>
          <w:rFonts w:ascii="Times New Roman" w:hAnsi="Times New Roman"/>
          <w:sz w:val="22"/>
          <w:szCs w:val="22"/>
        </w:rPr>
        <w:t xml:space="preserve"> </w:t>
      </w:r>
      <w:r w:rsidRPr="00F64707">
        <w:rPr>
          <w:rFonts w:ascii="Times New Roman" w:hAnsi="Times New Roman"/>
          <w:sz w:val="22"/>
          <w:szCs w:val="22"/>
        </w:rPr>
        <w:t>4.2 a</w:t>
      </w:r>
      <w:r w:rsidR="00EE4D98" w:rsidRPr="00F64707">
        <w:rPr>
          <w:rFonts w:ascii="Times New Roman" w:hAnsi="Times New Roman"/>
          <w:sz w:val="22"/>
          <w:szCs w:val="22"/>
        </w:rPr>
        <w:t> </w:t>
      </w:r>
      <w:r w:rsidRPr="00F64707">
        <w:rPr>
          <w:rFonts w:ascii="Times New Roman" w:hAnsi="Times New Roman"/>
          <w:sz w:val="22"/>
          <w:szCs w:val="22"/>
        </w:rPr>
        <w:t>časť</w:t>
      </w:r>
      <w:r w:rsidR="00EE4D98" w:rsidRPr="00F64707">
        <w:rPr>
          <w:rFonts w:ascii="Times New Roman" w:hAnsi="Times New Roman"/>
          <w:sz w:val="22"/>
          <w:szCs w:val="22"/>
        </w:rPr>
        <w:t xml:space="preserve"> </w:t>
      </w:r>
      <w:r w:rsidRPr="00F64707">
        <w:rPr>
          <w:rFonts w:ascii="Times New Roman" w:hAnsi="Times New Roman"/>
          <w:sz w:val="22"/>
          <w:szCs w:val="22"/>
        </w:rPr>
        <w:t>4.4).</w:t>
      </w:r>
    </w:p>
    <w:p w:rsidR="00F1304A" w:rsidRPr="00F64707" w:rsidRDefault="00F1304A" w:rsidP="00F64707">
      <w:pPr>
        <w:rPr>
          <w:sz w:val="22"/>
          <w:szCs w:val="22"/>
        </w:rPr>
      </w:pPr>
    </w:p>
    <w:p w:rsidR="00F1304A" w:rsidRPr="00F64707" w:rsidRDefault="00F1304A" w:rsidP="00F64707">
      <w:pPr>
        <w:keepNext/>
        <w:ind w:left="567" w:hanging="567"/>
        <w:rPr>
          <w:sz w:val="22"/>
          <w:szCs w:val="22"/>
        </w:rPr>
      </w:pPr>
      <w:r w:rsidRPr="00F64707">
        <w:rPr>
          <w:b/>
          <w:sz w:val="22"/>
          <w:szCs w:val="22"/>
        </w:rPr>
        <w:t>5.3</w:t>
      </w:r>
      <w:r w:rsidRPr="00F64707">
        <w:rPr>
          <w:b/>
          <w:sz w:val="22"/>
          <w:szCs w:val="22"/>
        </w:rPr>
        <w:tab/>
        <w:t>Predklinické údaje o</w:t>
      </w:r>
      <w:r w:rsidR="00874339" w:rsidRPr="00F64707">
        <w:rPr>
          <w:b/>
          <w:sz w:val="22"/>
          <w:szCs w:val="22"/>
        </w:rPr>
        <w:t> </w:t>
      </w:r>
      <w:r w:rsidRPr="00F64707">
        <w:rPr>
          <w:b/>
          <w:sz w:val="22"/>
          <w:szCs w:val="22"/>
        </w:rPr>
        <w:t>bezpečnosti</w:t>
      </w:r>
    </w:p>
    <w:p w:rsidR="00F1304A" w:rsidRPr="00F64707" w:rsidRDefault="00F1304A" w:rsidP="00F64707">
      <w:pPr>
        <w:pStyle w:val="Zkladntext2"/>
        <w:keepNext/>
        <w:jc w:val="left"/>
        <w:rPr>
          <w:rFonts w:ascii="Times New Roman" w:hAnsi="Times New Roman"/>
          <w:sz w:val="22"/>
          <w:szCs w:val="22"/>
        </w:rPr>
      </w:pPr>
    </w:p>
    <w:p w:rsidR="00F1304A" w:rsidRPr="00F64707" w:rsidRDefault="00F1304A" w:rsidP="00F64707">
      <w:pPr>
        <w:pStyle w:val="Zkladntext2"/>
        <w:jc w:val="left"/>
        <w:rPr>
          <w:rFonts w:ascii="Times New Roman" w:hAnsi="Times New Roman"/>
          <w:sz w:val="22"/>
          <w:szCs w:val="22"/>
        </w:rPr>
      </w:pPr>
      <w:r w:rsidRPr="00F64707">
        <w:rPr>
          <w:rFonts w:ascii="Times New Roman" w:hAnsi="Times New Roman"/>
          <w:sz w:val="22"/>
          <w:szCs w:val="22"/>
        </w:rPr>
        <w:t>Súčasné štúdie všeo</w:t>
      </w:r>
      <w:r w:rsidR="00E667B4" w:rsidRPr="00F64707">
        <w:rPr>
          <w:rFonts w:ascii="Times New Roman" w:hAnsi="Times New Roman"/>
          <w:sz w:val="22"/>
          <w:szCs w:val="22"/>
        </w:rPr>
        <w:t>becnej toxicity, genotoxicity a </w:t>
      </w:r>
      <w:r w:rsidRPr="00F64707">
        <w:rPr>
          <w:rFonts w:ascii="Times New Roman" w:hAnsi="Times New Roman"/>
          <w:sz w:val="22"/>
          <w:szCs w:val="22"/>
        </w:rPr>
        <w:t xml:space="preserve">karcinogenity nepreukázali žiadne konkrétne </w:t>
      </w:r>
      <w:r w:rsidR="00E667B4" w:rsidRPr="00F64707">
        <w:rPr>
          <w:rFonts w:ascii="Times New Roman" w:hAnsi="Times New Roman"/>
          <w:sz w:val="22"/>
          <w:szCs w:val="22"/>
        </w:rPr>
        <w:t>riziko</w:t>
      </w:r>
      <w:r w:rsidRPr="00F64707">
        <w:rPr>
          <w:rFonts w:ascii="Times New Roman" w:hAnsi="Times New Roman"/>
          <w:sz w:val="22"/>
          <w:szCs w:val="22"/>
        </w:rPr>
        <w:t xml:space="preserve"> pre </w:t>
      </w:r>
      <w:r w:rsidR="00E667B4" w:rsidRPr="00F64707">
        <w:rPr>
          <w:rFonts w:ascii="Times New Roman" w:hAnsi="Times New Roman"/>
          <w:sz w:val="22"/>
          <w:szCs w:val="22"/>
        </w:rPr>
        <w:t>ľudí</w:t>
      </w:r>
      <w:r w:rsidRPr="00F64707">
        <w:rPr>
          <w:rFonts w:ascii="Times New Roman" w:hAnsi="Times New Roman"/>
          <w:sz w:val="22"/>
          <w:szCs w:val="22"/>
        </w:rPr>
        <w:t>.</w:t>
      </w:r>
    </w:p>
    <w:p w:rsidR="00F1304A" w:rsidRPr="00F64707" w:rsidRDefault="00F1304A" w:rsidP="00F64707">
      <w:pPr>
        <w:rPr>
          <w:sz w:val="22"/>
          <w:szCs w:val="22"/>
        </w:rPr>
      </w:pPr>
    </w:p>
    <w:p w:rsidR="00F1304A" w:rsidRPr="00F64707" w:rsidRDefault="00E667B4" w:rsidP="00F64707">
      <w:pPr>
        <w:pStyle w:val="Zkladntext2"/>
        <w:jc w:val="left"/>
        <w:rPr>
          <w:rFonts w:ascii="Times New Roman" w:hAnsi="Times New Roman"/>
          <w:sz w:val="22"/>
          <w:szCs w:val="22"/>
        </w:rPr>
      </w:pPr>
      <w:r w:rsidRPr="00F64707">
        <w:rPr>
          <w:rFonts w:ascii="Times New Roman" w:hAnsi="Times New Roman"/>
          <w:sz w:val="22"/>
          <w:szCs w:val="22"/>
        </w:rPr>
        <w:t>Štúdie reprodukčnej toxicity u </w:t>
      </w:r>
      <w:r w:rsidR="00F1304A" w:rsidRPr="00F64707">
        <w:rPr>
          <w:rFonts w:ascii="Times New Roman" w:hAnsi="Times New Roman"/>
          <w:sz w:val="22"/>
          <w:szCs w:val="22"/>
        </w:rPr>
        <w:t>sam</w:t>
      </w:r>
      <w:r w:rsidRPr="00F64707">
        <w:rPr>
          <w:rFonts w:ascii="Times New Roman" w:hAnsi="Times New Roman"/>
          <w:sz w:val="22"/>
          <w:szCs w:val="22"/>
        </w:rPr>
        <w:t>cov</w:t>
      </w:r>
      <w:r w:rsidR="00F1304A" w:rsidRPr="00F64707">
        <w:rPr>
          <w:rFonts w:ascii="Times New Roman" w:hAnsi="Times New Roman"/>
          <w:sz w:val="22"/>
          <w:szCs w:val="22"/>
        </w:rPr>
        <w:t xml:space="preserve"> potkanov ukázali zníženú hmotnosť prostaty a</w:t>
      </w:r>
      <w:r w:rsidRPr="00F64707">
        <w:rPr>
          <w:rFonts w:ascii="Times New Roman" w:hAnsi="Times New Roman"/>
          <w:sz w:val="22"/>
          <w:szCs w:val="22"/>
        </w:rPr>
        <w:t> </w:t>
      </w:r>
      <w:r w:rsidR="00F1304A" w:rsidRPr="00F64707">
        <w:rPr>
          <w:rFonts w:ascii="Times New Roman" w:hAnsi="Times New Roman"/>
          <w:sz w:val="22"/>
          <w:szCs w:val="22"/>
        </w:rPr>
        <w:t xml:space="preserve">semenných mechúrikov, zníženú sekréciu </w:t>
      </w:r>
      <w:r w:rsidRPr="00F64707">
        <w:rPr>
          <w:rFonts w:ascii="Times New Roman" w:hAnsi="Times New Roman"/>
          <w:sz w:val="22"/>
          <w:szCs w:val="22"/>
        </w:rPr>
        <w:t>z vedľajších genitálnych žliaz a </w:t>
      </w:r>
      <w:r w:rsidR="00F1304A" w:rsidRPr="00F64707">
        <w:rPr>
          <w:rFonts w:ascii="Times New Roman" w:hAnsi="Times New Roman"/>
          <w:sz w:val="22"/>
          <w:szCs w:val="22"/>
        </w:rPr>
        <w:t>redukciu v</w:t>
      </w:r>
      <w:r w:rsidRPr="00F64707">
        <w:rPr>
          <w:rFonts w:ascii="Times New Roman" w:hAnsi="Times New Roman"/>
          <w:sz w:val="22"/>
          <w:szCs w:val="22"/>
        </w:rPr>
        <w:t> </w:t>
      </w:r>
      <w:r w:rsidR="00F1304A" w:rsidRPr="00F64707">
        <w:rPr>
          <w:rFonts w:ascii="Times New Roman" w:hAnsi="Times New Roman"/>
          <w:sz w:val="22"/>
          <w:szCs w:val="22"/>
        </w:rPr>
        <w:t>indexoch fertility (spôsobenú farmakologický</w:t>
      </w:r>
      <w:r w:rsidRPr="00F64707">
        <w:rPr>
          <w:rFonts w:ascii="Times New Roman" w:hAnsi="Times New Roman"/>
          <w:sz w:val="22"/>
          <w:szCs w:val="22"/>
        </w:rPr>
        <w:t>m účinkom dutasteridu). Klinický</w:t>
      </w:r>
      <w:r w:rsidR="00F1304A" w:rsidRPr="00F64707">
        <w:rPr>
          <w:rFonts w:ascii="Times New Roman" w:hAnsi="Times New Roman"/>
          <w:sz w:val="22"/>
          <w:szCs w:val="22"/>
        </w:rPr>
        <w:t xml:space="preserve"> </w:t>
      </w:r>
      <w:r w:rsidRPr="00F64707">
        <w:rPr>
          <w:rFonts w:ascii="Times New Roman" w:hAnsi="Times New Roman"/>
          <w:sz w:val="22"/>
          <w:szCs w:val="22"/>
        </w:rPr>
        <w:t>význam</w:t>
      </w:r>
      <w:r w:rsidR="00F1304A" w:rsidRPr="00F64707">
        <w:rPr>
          <w:rFonts w:ascii="Times New Roman" w:hAnsi="Times New Roman"/>
          <w:sz w:val="22"/>
          <w:szCs w:val="22"/>
        </w:rPr>
        <w:t xml:space="preserve"> týchto zistení nie je znám</w:t>
      </w:r>
      <w:r w:rsidRPr="00F64707">
        <w:rPr>
          <w:rFonts w:ascii="Times New Roman" w:hAnsi="Times New Roman"/>
          <w:sz w:val="22"/>
          <w:szCs w:val="22"/>
        </w:rPr>
        <w:t>y</w:t>
      </w:r>
      <w:r w:rsidR="00F1304A" w:rsidRPr="00F64707">
        <w:rPr>
          <w:rFonts w:ascii="Times New Roman" w:hAnsi="Times New Roman"/>
          <w:sz w:val="22"/>
          <w:szCs w:val="22"/>
        </w:rPr>
        <w:t>.</w:t>
      </w:r>
    </w:p>
    <w:p w:rsidR="00F1304A" w:rsidRPr="00F64707" w:rsidRDefault="00F1304A" w:rsidP="00F64707">
      <w:pPr>
        <w:rPr>
          <w:sz w:val="22"/>
          <w:szCs w:val="22"/>
        </w:rPr>
      </w:pPr>
    </w:p>
    <w:p w:rsidR="00F1304A" w:rsidRPr="00F64707" w:rsidRDefault="00E667B4" w:rsidP="00F64707">
      <w:pPr>
        <w:pStyle w:val="Zkladntext2"/>
        <w:keepLines/>
        <w:jc w:val="left"/>
        <w:rPr>
          <w:rFonts w:ascii="Times New Roman" w:hAnsi="Times New Roman"/>
          <w:sz w:val="22"/>
          <w:szCs w:val="22"/>
        </w:rPr>
      </w:pPr>
      <w:r w:rsidRPr="00F64707">
        <w:rPr>
          <w:rFonts w:ascii="Times New Roman" w:hAnsi="Times New Roman"/>
          <w:sz w:val="22"/>
          <w:szCs w:val="22"/>
        </w:rPr>
        <w:t xml:space="preserve">Tak ako pri </w:t>
      </w:r>
      <w:r w:rsidR="00F1304A" w:rsidRPr="00F64707">
        <w:rPr>
          <w:rFonts w:ascii="Times New Roman" w:hAnsi="Times New Roman"/>
          <w:sz w:val="22"/>
          <w:szCs w:val="22"/>
        </w:rPr>
        <w:t>iných inhibítoro</w:t>
      </w:r>
      <w:r w:rsidRPr="00F64707">
        <w:rPr>
          <w:rFonts w:ascii="Times New Roman" w:hAnsi="Times New Roman"/>
          <w:sz w:val="22"/>
          <w:szCs w:val="22"/>
        </w:rPr>
        <w:t>ch</w:t>
      </w:r>
      <w:r w:rsidR="00F1304A" w:rsidRPr="00F64707">
        <w:rPr>
          <w:rFonts w:ascii="Times New Roman" w:hAnsi="Times New Roman"/>
          <w:sz w:val="22"/>
          <w:szCs w:val="22"/>
        </w:rPr>
        <w:t xml:space="preserve"> </w:t>
      </w:r>
      <w:r w:rsidR="006D712F" w:rsidRPr="00F64707">
        <w:rPr>
          <w:rFonts w:ascii="Times New Roman" w:hAnsi="Times New Roman"/>
          <w:sz w:val="22"/>
          <w:szCs w:val="22"/>
        </w:rPr>
        <w:t>5-alfa-reduktázy</w:t>
      </w:r>
      <w:r w:rsidR="00F1304A" w:rsidRPr="00F64707">
        <w:rPr>
          <w:rFonts w:ascii="Times New Roman" w:hAnsi="Times New Roman"/>
          <w:sz w:val="22"/>
          <w:szCs w:val="22"/>
        </w:rPr>
        <w:t xml:space="preserve"> bola zaznamenaná feminizácia samčích plodov u</w:t>
      </w:r>
      <w:r w:rsidR="00201671" w:rsidRPr="00F64707">
        <w:rPr>
          <w:rFonts w:ascii="Times New Roman" w:hAnsi="Times New Roman"/>
          <w:sz w:val="22"/>
          <w:szCs w:val="22"/>
        </w:rPr>
        <w:t> </w:t>
      </w:r>
      <w:r w:rsidRPr="00F64707">
        <w:rPr>
          <w:rFonts w:ascii="Times New Roman" w:hAnsi="Times New Roman"/>
          <w:sz w:val="22"/>
          <w:szCs w:val="22"/>
        </w:rPr>
        <w:t>potkanov a </w:t>
      </w:r>
      <w:r w:rsidR="00F1304A" w:rsidRPr="00F64707">
        <w:rPr>
          <w:rFonts w:ascii="Times New Roman" w:hAnsi="Times New Roman"/>
          <w:sz w:val="22"/>
          <w:szCs w:val="22"/>
        </w:rPr>
        <w:t xml:space="preserve">králikov, keď bol dutasterid podávaný počas gestácie. Dutasterid bol zistený v krvi </w:t>
      </w:r>
      <w:r w:rsidRPr="00F64707">
        <w:rPr>
          <w:rFonts w:ascii="Times New Roman" w:hAnsi="Times New Roman"/>
          <w:sz w:val="22"/>
          <w:szCs w:val="22"/>
        </w:rPr>
        <w:t xml:space="preserve">samíc potkanov </w:t>
      </w:r>
      <w:r w:rsidR="00F1304A" w:rsidRPr="00F64707">
        <w:rPr>
          <w:rFonts w:ascii="Times New Roman" w:hAnsi="Times New Roman"/>
          <w:sz w:val="22"/>
          <w:szCs w:val="22"/>
        </w:rPr>
        <w:t>po párení so samcami liečenými dutasteridom. Keď bol dutasterid podávaný počas gestácie primátom, nebola pozorovaná žiadna feminizácia samčích plodov pri krvných expozíciách, ktoré značne prevyšovali tie, ktorých výskyt je pravdepodobný v</w:t>
      </w:r>
      <w:r w:rsidRPr="00F64707">
        <w:rPr>
          <w:rFonts w:ascii="Times New Roman" w:hAnsi="Times New Roman"/>
          <w:sz w:val="22"/>
          <w:szCs w:val="22"/>
        </w:rPr>
        <w:t xml:space="preserve"> ľudských </w:t>
      </w:r>
      <w:r w:rsidR="00F1304A" w:rsidRPr="00F64707">
        <w:rPr>
          <w:rFonts w:ascii="Times New Roman" w:hAnsi="Times New Roman"/>
          <w:sz w:val="22"/>
          <w:szCs w:val="22"/>
        </w:rPr>
        <w:t>spermiách. Nie je pravdepodobné, že mužský plod bude nepriaznivo postihnutý po transfere dutasteridu spermiami.</w:t>
      </w:r>
    </w:p>
    <w:p w:rsidR="00F1304A" w:rsidRPr="00F64707" w:rsidRDefault="00F1304A" w:rsidP="00F64707">
      <w:pPr>
        <w:rPr>
          <w:sz w:val="22"/>
          <w:szCs w:val="22"/>
        </w:rPr>
      </w:pPr>
    </w:p>
    <w:p w:rsidR="00F1304A" w:rsidRPr="00F64707" w:rsidRDefault="00F1304A" w:rsidP="00F64707">
      <w:pPr>
        <w:rPr>
          <w:sz w:val="22"/>
          <w:szCs w:val="22"/>
        </w:rPr>
      </w:pPr>
    </w:p>
    <w:p w:rsidR="00F1304A" w:rsidRPr="00F64707" w:rsidRDefault="00F1304A" w:rsidP="00F64707">
      <w:pPr>
        <w:keepNext/>
        <w:keepLines/>
        <w:ind w:left="567" w:hanging="567"/>
        <w:rPr>
          <w:b/>
          <w:caps/>
          <w:sz w:val="22"/>
          <w:szCs w:val="22"/>
        </w:rPr>
      </w:pPr>
      <w:r w:rsidRPr="00F64707">
        <w:rPr>
          <w:b/>
          <w:sz w:val="22"/>
          <w:szCs w:val="22"/>
        </w:rPr>
        <w:t>6.</w:t>
      </w:r>
      <w:r w:rsidRPr="00F64707">
        <w:rPr>
          <w:b/>
          <w:sz w:val="22"/>
          <w:szCs w:val="22"/>
        </w:rPr>
        <w:tab/>
        <w:t xml:space="preserve">FARMACEUTICKÉ </w:t>
      </w:r>
      <w:r w:rsidRPr="00F64707">
        <w:rPr>
          <w:b/>
          <w:caps/>
          <w:sz w:val="22"/>
          <w:szCs w:val="22"/>
        </w:rPr>
        <w:t>informácie</w:t>
      </w:r>
    </w:p>
    <w:p w:rsidR="00F1304A" w:rsidRPr="00F64707" w:rsidRDefault="00F1304A" w:rsidP="00F64707">
      <w:pPr>
        <w:keepNext/>
        <w:keepLines/>
        <w:ind w:left="567" w:hanging="567"/>
        <w:rPr>
          <w:b/>
          <w:sz w:val="22"/>
          <w:szCs w:val="22"/>
        </w:rPr>
      </w:pPr>
    </w:p>
    <w:p w:rsidR="00F1304A" w:rsidRPr="00F64707" w:rsidRDefault="00F1304A" w:rsidP="00F64707">
      <w:pPr>
        <w:keepNext/>
        <w:keepLines/>
        <w:ind w:left="567" w:hanging="567"/>
        <w:rPr>
          <w:b/>
          <w:sz w:val="22"/>
          <w:szCs w:val="22"/>
        </w:rPr>
      </w:pPr>
      <w:r w:rsidRPr="00F64707">
        <w:rPr>
          <w:b/>
          <w:sz w:val="22"/>
          <w:szCs w:val="22"/>
        </w:rPr>
        <w:t>6.1</w:t>
      </w:r>
      <w:r w:rsidRPr="00F64707">
        <w:rPr>
          <w:b/>
          <w:sz w:val="22"/>
          <w:szCs w:val="22"/>
        </w:rPr>
        <w:tab/>
        <w:t>Zoznam pomocných látok</w:t>
      </w:r>
    </w:p>
    <w:p w:rsidR="00F1304A" w:rsidRPr="00F64707" w:rsidRDefault="00F1304A" w:rsidP="00F64707">
      <w:pPr>
        <w:keepNext/>
        <w:keepLines/>
        <w:rPr>
          <w:i/>
          <w:sz w:val="22"/>
          <w:szCs w:val="22"/>
        </w:rPr>
      </w:pPr>
    </w:p>
    <w:p w:rsidR="00F1304A" w:rsidRPr="00F64707" w:rsidRDefault="00F1304A" w:rsidP="00F64707">
      <w:pPr>
        <w:keepLines/>
        <w:rPr>
          <w:i/>
          <w:sz w:val="22"/>
          <w:szCs w:val="22"/>
        </w:rPr>
      </w:pPr>
      <w:r w:rsidRPr="00F64707">
        <w:rPr>
          <w:i/>
          <w:sz w:val="22"/>
          <w:szCs w:val="22"/>
        </w:rPr>
        <w:t>Obsah kapsuly:</w:t>
      </w:r>
    </w:p>
    <w:p w:rsidR="0085724F" w:rsidRPr="00F64707" w:rsidRDefault="00250C68" w:rsidP="00F64707">
      <w:pPr>
        <w:keepLines/>
        <w:rPr>
          <w:sz w:val="22"/>
          <w:szCs w:val="22"/>
        </w:rPr>
      </w:pPr>
      <w:r w:rsidRPr="00F64707">
        <w:rPr>
          <w:sz w:val="22"/>
          <w:szCs w:val="22"/>
        </w:rPr>
        <w:t>B</w:t>
      </w:r>
      <w:r w:rsidR="0085724F" w:rsidRPr="00F64707">
        <w:rPr>
          <w:sz w:val="22"/>
          <w:szCs w:val="22"/>
        </w:rPr>
        <w:t>utylhydroxytoluén (E321)</w:t>
      </w:r>
    </w:p>
    <w:p w:rsidR="0085724F" w:rsidRPr="00F64707" w:rsidRDefault="00250C68" w:rsidP="00F64707">
      <w:pPr>
        <w:keepLines/>
        <w:rPr>
          <w:sz w:val="22"/>
          <w:szCs w:val="22"/>
        </w:rPr>
      </w:pPr>
      <w:r w:rsidRPr="00F64707">
        <w:rPr>
          <w:sz w:val="22"/>
          <w:szCs w:val="22"/>
        </w:rPr>
        <w:t>G</w:t>
      </w:r>
      <w:r w:rsidR="00E667B4" w:rsidRPr="00F64707">
        <w:rPr>
          <w:sz w:val="22"/>
          <w:szCs w:val="22"/>
        </w:rPr>
        <w:t>lycerolmonokaprylokaprát (typ I)</w:t>
      </w:r>
    </w:p>
    <w:p w:rsidR="00F1304A" w:rsidRPr="00F64707" w:rsidRDefault="00F1304A" w:rsidP="00F64707">
      <w:pPr>
        <w:keepLines/>
        <w:rPr>
          <w:sz w:val="22"/>
          <w:szCs w:val="22"/>
        </w:rPr>
      </w:pPr>
    </w:p>
    <w:p w:rsidR="00F1304A" w:rsidRPr="00F64707" w:rsidRDefault="00F1304A" w:rsidP="00F64707">
      <w:pPr>
        <w:pStyle w:val="Nadpis5"/>
        <w:keepLines/>
        <w:jc w:val="left"/>
        <w:rPr>
          <w:rFonts w:ascii="Times New Roman" w:hAnsi="Times New Roman"/>
          <w:sz w:val="22"/>
          <w:szCs w:val="22"/>
        </w:rPr>
      </w:pPr>
      <w:r w:rsidRPr="00F64707">
        <w:rPr>
          <w:rFonts w:ascii="Times New Roman" w:hAnsi="Times New Roman"/>
          <w:sz w:val="22"/>
          <w:szCs w:val="22"/>
        </w:rPr>
        <w:lastRenderedPageBreak/>
        <w:t>Obal kapsuly:</w:t>
      </w:r>
    </w:p>
    <w:p w:rsidR="00F1304A" w:rsidRPr="00F64707" w:rsidRDefault="00250C68" w:rsidP="00F64707">
      <w:pPr>
        <w:pStyle w:val="Zkladntext2"/>
        <w:keepLines/>
        <w:jc w:val="left"/>
        <w:rPr>
          <w:rFonts w:ascii="Times New Roman" w:hAnsi="Times New Roman"/>
          <w:sz w:val="22"/>
          <w:szCs w:val="22"/>
        </w:rPr>
      </w:pPr>
      <w:r w:rsidRPr="00F64707">
        <w:rPr>
          <w:rFonts w:ascii="Times New Roman" w:hAnsi="Times New Roman"/>
          <w:sz w:val="22"/>
          <w:szCs w:val="22"/>
        </w:rPr>
        <w:t>Ž</w:t>
      </w:r>
      <w:r w:rsidR="00ED55B5" w:rsidRPr="00F64707">
        <w:rPr>
          <w:rFonts w:ascii="Times New Roman" w:hAnsi="Times New Roman"/>
          <w:sz w:val="22"/>
          <w:szCs w:val="22"/>
        </w:rPr>
        <w:t>elatína</w:t>
      </w:r>
    </w:p>
    <w:p w:rsidR="00F1304A" w:rsidRPr="00F64707" w:rsidRDefault="00250C68" w:rsidP="00F64707">
      <w:pPr>
        <w:pStyle w:val="Zkladntext2"/>
        <w:jc w:val="left"/>
        <w:rPr>
          <w:rFonts w:ascii="Times New Roman" w:hAnsi="Times New Roman"/>
          <w:sz w:val="22"/>
          <w:szCs w:val="22"/>
        </w:rPr>
      </w:pPr>
      <w:r w:rsidRPr="00F64707">
        <w:rPr>
          <w:rFonts w:ascii="Times New Roman" w:hAnsi="Times New Roman"/>
          <w:sz w:val="22"/>
          <w:szCs w:val="22"/>
        </w:rPr>
        <w:t>G</w:t>
      </w:r>
      <w:r w:rsidR="00F1304A" w:rsidRPr="00F64707">
        <w:rPr>
          <w:rFonts w:ascii="Times New Roman" w:hAnsi="Times New Roman"/>
          <w:sz w:val="22"/>
          <w:szCs w:val="22"/>
        </w:rPr>
        <w:t>lycerol</w:t>
      </w:r>
    </w:p>
    <w:p w:rsidR="00F1304A" w:rsidRPr="00F64707" w:rsidRDefault="00250C68" w:rsidP="00F64707">
      <w:pPr>
        <w:pStyle w:val="Zkladntext2"/>
        <w:jc w:val="left"/>
        <w:rPr>
          <w:rFonts w:ascii="Times New Roman" w:hAnsi="Times New Roman"/>
          <w:sz w:val="22"/>
          <w:szCs w:val="22"/>
        </w:rPr>
      </w:pPr>
      <w:r w:rsidRPr="00F64707">
        <w:rPr>
          <w:rFonts w:ascii="Times New Roman" w:hAnsi="Times New Roman"/>
          <w:sz w:val="22"/>
          <w:szCs w:val="22"/>
        </w:rPr>
        <w:t>O</w:t>
      </w:r>
      <w:r w:rsidR="00F1304A" w:rsidRPr="00F64707">
        <w:rPr>
          <w:rFonts w:ascii="Times New Roman" w:hAnsi="Times New Roman"/>
          <w:sz w:val="22"/>
          <w:szCs w:val="22"/>
        </w:rPr>
        <w:t>xid titaničitý (E171)</w:t>
      </w:r>
    </w:p>
    <w:p w:rsidR="00F1304A" w:rsidRPr="00F64707" w:rsidRDefault="00250C68" w:rsidP="00F64707">
      <w:pPr>
        <w:pStyle w:val="Zkladntext2"/>
        <w:jc w:val="left"/>
        <w:rPr>
          <w:rFonts w:ascii="Times New Roman" w:hAnsi="Times New Roman"/>
          <w:sz w:val="22"/>
          <w:szCs w:val="22"/>
        </w:rPr>
      </w:pPr>
      <w:r w:rsidRPr="00F64707">
        <w:rPr>
          <w:rFonts w:ascii="Times New Roman" w:hAnsi="Times New Roman"/>
          <w:sz w:val="22"/>
          <w:szCs w:val="22"/>
        </w:rPr>
        <w:t>Ž</w:t>
      </w:r>
      <w:r w:rsidR="00F1304A" w:rsidRPr="00F64707">
        <w:rPr>
          <w:rFonts w:ascii="Times New Roman" w:hAnsi="Times New Roman"/>
          <w:sz w:val="22"/>
          <w:szCs w:val="22"/>
        </w:rPr>
        <w:t>ltý oxid železitý (E172)</w:t>
      </w:r>
    </w:p>
    <w:p w:rsidR="00197AC6" w:rsidRPr="00F64707" w:rsidRDefault="00197AC6" w:rsidP="00F64707">
      <w:pPr>
        <w:pStyle w:val="Zkladntext2"/>
        <w:jc w:val="left"/>
        <w:rPr>
          <w:rFonts w:ascii="Times New Roman" w:hAnsi="Times New Roman"/>
          <w:sz w:val="22"/>
          <w:szCs w:val="22"/>
        </w:rPr>
      </w:pPr>
    </w:p>
    <w:p w:rsidR="0085724F" w:rsidRPr="00F64707" w:rsidRDefault="0085724F" w:rsidP="00F64707">
      <w:pPr>
        <w:pStyle w:val="Zkladntext2"/>
        <w:keepNext/>
        <w:jc w:val="left"/>
        <w:rPr>
          <w:rFonts w:ascii="Times New Roman" w:hAnsi="Times New Roman"/>
          <w:i/>
          <w:sz w:val="22"/>
          <w:szCs w:val="22"/>
        </w:rPr>
      </w:pPr>
      <w:r w:rsidRPr="00F64707">
        <w:rPr>
          <w:rFonts w:ascii="Times New Roman" w:hAnsi="Times New Roman"/>
          <w:i/>
          <w:sz w:val="22"/>
          <w:szCs w:val="22"/>
        </w:rPr>
        <w:t>Ďalšie zložky:</w:t>
      </w:r>
    </w:p>
    <w:p w:rsidR="00F1304A" w:rsidRPr="00F64707" w:rsidRDefault="005063B5" w:rsidP="00F64707">
      <w:pPr>
        <w:rPr>
          <w:sz w:val="22"/>
          <w:szCs w:val="22"/>
        </w:rPr>
      </w:pPr>
      <w:r w:rsidRPr="00F64707">
        <w:rPr>
          <w:sz w:val="22"/>
          <w:szCs w:val="22"/>
        </w:rPr>
        <w:t>T</w:t>
      </w:r>
      <w:r w:rsidR="00F3082A" w:rsidRPr="00F64707">
        <w:rPr>
          <w:sz w:val="22"/>
          <w:szCs w:val="22"/>
        </w:rPr>
        <w:t>riglyceridy so stredne dlhým reťazcom</w:t>
      </w:r>
    </w:p>
    <w:p w:rsidR="00197AC6" w:rsidRPr="00F64707" w:rsidRDefault="005063B5" w:rsidP="00F64707">
      <w:pPr>
        <w:rPr>
          <w:sz w:val="22"/>
          <w:szCs w:val="22"/>
        </w:rPr>
      </w:pPr>
      <w:r w:rsidRPr="00F64707">
        <w:rPr>
          <w:sz w:val="22"/>
          <w:szCs w:val="22"/>
        </w:rPr>
        <w:t>L</w:t>
      </w:r>
      <w:r w:rsidR="00F1304A" w:rsidRPr="00F64707">
        <w:rPr>
          <w:sz w:val="22"/>
          <w:szCs w:val="22"/>
        </w:rPr>
        <w:t>ecitín</w:t>
      </w:r>
      <w:r w:rsidR="009D0313" w:rsidRPr="00F64707">
        <w:rPr>
          <w:sz w:val="22"/>
          <w:szCs w:val="22"/>
        </w:rPr>
        <w:t xml:space="preserve"> (môže obsahovať sójový olej)</w:t>
      </w:r>
      <w:r w:rsidR="00197AC6" w:rsidRPr="00F64707">
        <w:rPr>
          <w:sz w:val="22"/>
          <w:szCs w:val="22"/>
        </w:rPr>
        <w:t xml:space="preserve"> (E322)</w:t>
      </w:r>
    </w:p>
    <w:p w:rsidR="00F1304A" w:rsidRPr="00F64707" w:rsidRDefault="005063B5" w:rsidP="00F64707">
      <w:pPr>
        <w:rPr>
          <w:sz w:val="22"/>
          <w:szCs w:val="22"/>
        </w:rPr>
      </w:pPr>
      <w:r w:rsidRPr="00F64707">
        <w:rPr>
          <w:sz w:val="22"/>
          <w:szCs w:val="22"/>
        </w:rPr>
        <w:t>Č</w:t>
      </w:r>
      <w:r w:rsidR="00197AC6" w:rsidRPr="00F64707">
        <w:rPr>
          <w:sz w:val="22"/>
          <w:szCs w:val="22"/>
        </w:rPr>
        <w:t>istená voda</w:t>
      </w:r>
    </w:p>
    <w:p w:rsidR="00F1304A" w:rsidRPr="00F64707" w:rsidRDefault="00F1304A" w:rsidP="00F64707">
      <w:pPr>
        <w:rPr>
          <w:sz w:val="22"/>
          <w:szCs w:val="22"/>
        </w:rPr>
      </w:pPr>
    </w:p>
    <w:p w:rsidR="00F1304A" w:rsidRPr="00F64707" w:rsidRDefault="00F1304A" w:rsidP="00F64707">
      <w:pPr>
        <w:keepNext/>
        <w:ind w:left="567" w:hanging="567"/>
        <w:rPr>
          <w:sz w:val="22"/>
          <w:szCs w:val="22"/>
        </w:rPr>
      </w:pPr>
      <w:r w:rsidRPr="00F64707">
        <w:rPr>
          <w:b/>
          <w:sz w:val="22"/>
          <w:szCs w:val="22"/>
        </w:rPr>
        <w:t>6.2</w:t>
      </w:r>
      <w:r w:rsidRPr="00F64707">
        <w:rPr>
          <w:b/>
          <w:sz w:val="22"/>
          <w:szCs w:val="22"/>
        </w:rPr>
        <w:tab/>
        <w:t>Inkompatibility</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Neaplikovateľné.</w:t>
      </w:r>
    </w:p>
    <w:p w:rsidR="00F1304A" w:rsidRPr="00F64707" w:rsidRDefault="00F1304A" w:rsidP="00F64707">
      <w:pPr>
        <w:rPr>
          <w:sz w:val="22"/>
          <w:szCs w:val="22"/>
        </w:rPr>
      </w:pPr>
    </w:p>
    <w:p w:rsidR="00F1304A" w:rsidRPr="00F64707" w:rsidRDefault="00F1304A" w:rsidP="00F64707">
      <w:pPr>
        <w:keepNext/>
        <w:ind w:left="567" w:hanging="567"/>
        <w:rPr>
          <w:b/>
          <w:sz w:val="22"/>
          <w:szCs w:val="22"/>
        </w:rPr>
      </w:pPr>
      <w:r w:rsidRPr="00F64707">
        <w:rPr>
          <w:b/>
          <w:sz w:val="22"/>
          <w:szCs w:val="22"/>
        </w:rPr>
        <w:t>6.3</w:t>
      </w:r>
      <w:r w:rsidRPr="00F64707">
        <w:rPr>
          <w:b/>
          <w:sz w:val="22"/>
          <w:szCs w:val="22"/>
        </w:rPr>
        <w:tab/>
        <w:t>Čas použiteľnosti</w:t>
      </w:r>
    </w:p>
    <w:p w:rsidR="00F1304A" w:rsidRPr="00F64707" w:rsidRDefault="00F1304A" w:rsidP="00F64707">
      <w:pPr>
        <w:keepNext/>
        <w:rPr>
          <w:sz w:val="22"/>
          <w:szCs w:val="22"/>
        </w:rPr>
      </w:pPr>
    </w:p>
    <w:p w:rsidR="00F1304A" w:rsidRPr="00F64707" w:rsidRDefault="00CF3208" w:rsidP="00F64707">
      <w:pPr>
        <w:rPr>
          <w:sz w:val="22"/>
          <w:szCs w:val="22"/>
        </w:rPr>
      </w:pPr>
      <w:r>
        <w:rPr>
          <w:sz w:val="22"/>
          <w:szCs w:val="22"/>
        </w:rPr>
        <w:t>4</w:t>
      </w:r>
      <w:r w:rsidR="005063B5" w:rsidRPr="00F64707">
        <w:rPr>
          <w:sz w:val="22"/>
          <w:szCs w:val="22"/>
        </w:rPr>
        <w:t xml:space="preserve"> roky</w:t>
      </w:r>
    </w:p>
    <w:p w:rsidR="00F1304A" w:rsidRPr="00F64707" w:rsidRDefault="00F1304A" w:rsidP="00F64707">
      <w:pPr>
        <w:rPr>
          <w:sz w:val="22"/>
          <w:szCs w:val="22"/>
        </w:rPr>
      </w:pPr>
    </w:p>
    <w:p w:rsidR="00F1304A" w:rsidRPr="00F64707" w:rsidRDefault="00F1304A" w:rsidP="00F64707">
      <w:pPr>
        <w:keepNext/>
        <w:ind w:left="567" w:hanging="567"/>
        <w:rPr>
          <w:sz w:val="22"/>
          <w:szCs w:val="22"/>
        </w:rPr>
      </w:pPr>
      <w:r w:rsidRPr="00F64707">
        <w:rPr>
          <w:b/>
          <w:sz w:val="22"/>
          <w:szCs w:val="22"/>
        </w:rPr>
        <w:t>6.4</w:t>
      </w:r>
      <w:r w:rsidRPr="00F64707">
        <w:rPr>
          <w:b/>
          <w:sz w:val="22"/>
          <w:szCs w:val="22"/>
        </w:rPr>
        <w:tab/>
        <w:t>Špeciálne upozornenia na uchovávanie</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Uchovávajte pri teplote neprevyšujúcej 30</w:t>
      </w:r>
      <w:r w:rsidR="00197AC6" w:rsidRPr="00F64707">
        <w:rPr>
          <w:sz w:val="22"/>
          <w:szCs w:val="22"/>
        </w:rPr>
        <w:t> </w:t>
      </w:r>
      <w:r w:rsidRPr="00F64707">
        <w:rPr>
          <w:sz w:val="22"/>
          <w:szCs w:val="22"/>
        </w:rPr>
        <w:t>°C.</w:t>
      </w:r>
    </w:p>
    <w:p w:rsidR="00197AC6" w:rsidRPr="00F64707" w:rsidRDefault="00197AC6" w:rsidP="00F64707">
      <w:pPr>
        <w:rPr>
          <w:sz w:val="22"/>
          <w:szCs w:val="22"/>
        </w:rPr>
      </w:pPr>
      <w:r w:rsidRPr="00F64707">
        <w:rPr>
          <w:sz w:val="22"/>
          <w:szCs w:val="22"/>
        </w:rPr>
        <w:t>Uchovávajte v pôvodnom obale na ochranu pred vlhkosťou.</w:t>
      </w:r>
    </w:p>
    <w:p w:rsidR="00F1304A" w:rsidRPr="00F64707" w:rsidRDefault="00F1304A" w:rsidP="00F64707">
      <w:pPr>
        <w:rPr>
          <w:sz w:val="22"/>
          <w:szCs w:val="22"/>
        </w:rPr>
      </w:pPr>
    </w:p>
    <w:p w:rsidR="00F1304A" w:rsidRPr="00F64707" w:rsidRDefault="00197AC6" w:rsidP="00F64707">
      <w:pPr>
        <w:keepNext/>
        <w:ind w:left="567" w:hanging="567"/>
        <w:rPr>
          <w:sz w:val="22"/>
          <w:szCs w:val="22"/>
        </w:rPr>
      </w:pPr>
      <w:r w:rsidRPr="00F64707">
        <w:rPr>
          <w:b/>
          <w:sz w:val="22"/>
          <w:szCs w:val="22"/>
        </w:rPr>
        <w:t>6.5</w:t>
      </w:r>
      <w:r w:rsidRPr="00F64707">
        <w:rPr>
          <w:b/>
          <w:sz w:val="22"/>
          <w:szCs w:val="22"/>
        </w:rPr>
        <w:tab/>
        <w:t>Druh obalu a </w:t>
      </w:r>
      <w:r w:rsidR="00F1304A" w:rsidRPr="00F64707">
        <w:rPr>
          <w:b/>
          <w:sz w:val="22"/>
          <w:szCs w:val="22"/>
        </w:rPr>
        <w:t>obsah balenia</w:t>
      </w:r>
    </w:p>
    <w:p w:rsidR="00F1304A" w:rsidRPr="00F64707" w:rsidRDefault="00F1304A" w:rsidP="00F64707">
      <w:pPr>
        <w:keepNext/>
        <w:rPr>
          <w:sz w:val="22"/>
          <w:szCs w:val="22"/>
        </w:rPr>
      </w:pPr>
    </w:p>
    <w:p w:rsidR="00197AC6" w:rsidRPr="00F64707" w:rsidRDefault="00197AC6"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 xml:space="preserve">Biele </w:t>
      </w:r>
      <w:r w:rsidR="002132A7" w:rsidRPr="00F64707">
        <w:rPr>
          <w:rFonts w:ascii="Times New Roman" w:hAnsi="Times New Roman"/>
          <w:sz w:val="22"/>
          <w:szCs w:val="22"/>
        </w:rPr>
        <w:t>nepriehľadné</w:t>
      </w:r>
      <w:r w:rsidR="002132A7" w:rsidRPr="00F64707">
        <w:rPr>
          <w:rFonts w:ascii="Times New Roman" w:hAnsi="Times New Roman"/>
          <w:sz w:val="22"/>
          <w:szCs w:val="22"/>
          <w:lang w:val="sk-SK"/>
        </w:rPr>
        <w:t xml:space="preserve"> PVC/PVDC/Al </w:t>
      </w:r>
      <w:r w:rsidRPr="00F64707">
        <w:rPr>
          <w:rFonts w:ascii="Times New Roman" w:hAnsi="Times New Roman"/>
          <w:sz w:val="22"/>
          <w:szCs w:val="22"/>
          <w:lang w:val="sk-SK"/>
        </w:rPr>
        <w:t>b</w:t>
      </w:r>
      <w:r w:rsidR="00F1304A" w:rsidRPr="00F64707">
        <w:rPr>
          <w:rFonts w:ascii="Times New Roman" w:hAnsi="Times New Roman"/>
          <w:sz w:val="22"/>
          <w:szCs w:val="22"/>
          <w:lang w:val="sk-SK"/>
        </w:rPr>
        <w:t>listre obsahujú 10</w:t>
      </w:r>
      <w:r w:rsidRPr="00F64707">
        <w:rPr>
          <w:rFonts w:ascii="Times New Roman" w:hAnsi="Times New Roman"/>
          <w:sz w:val="22"/>
          <w:szCs w:val="22"/>
          <w:lang w:val="sk-SK"/>
        </w:rPr>
        <w:t xml:space="preserve">, 30, </w:t>
      </w:r>
      <w:r w:rsidR="005063B5" w:rsidRPr="00F64707">
        <w:rPr>
          <w:rFonts w:ascii="Times New Roman" w:hAnsi="Times New Roman"/>
          <w:sz w:val="22"/>
          <w:szCs w:val="22"/>
          <w:lang w:val="sk-SK"/>
        </w:rPr>
        <w:t xml:space="preserve">40, </w:t>
      </w:r>
      <w:r w:rsidRPr="00F64707">
        <w:rPr>
          <w:rFonts w:ascii="Times New Roman" w:hAnsi="Times New Roman"/>
          <w:sz w:val="22"/>
          <w:szCs w:val="22"/>
          <w:lang w:val="sk-SK"/>
        </w:rPr>
        <w:t>50, 60</w:t>
      </w:r>
      <w:r w:rsidR="005063B5" w:rsidRPr="00F64707">
        <w:rPr>
          <w:rFonts w:ascii="Times New Roman" w:hAnsi="Times New Roman"/>
          <w:sz w:val="22"/>
          <w:szCs w:val="22"/>
          <w:lang w:val="sk-SK"/>
        </w:rPr>
        <w:t>, 80,</w:t>
      </w:r>
      <w:r w:rsidRPr="00F64707">
        <w:rPr>
          <w:rFonts w:ascii="Times New Roman" w:hAnsi="Times New Roman"/>
          <w:sz w:val="22"/>
          <w:szCs w:val="22"/>
          <w:lang w:val="sk-SK"/>
        </w:rPr>
        <w:t> 90</w:t>
      </w:r>
      <w:r w:rsidR="005063B5" w:rsidRPr="00F64707">
        <w:rPr>
          <w:rFonts w:ascii="Times New Roman" w:hAnsi="Times New Roman"/>
          <w:sz w:val="22"/>
          <w:szCs w:val="22"/>
          <w:lang w:val="sk-SK"/>
        </w:rPr>
        <w:t>, 100 alebo 120</w:t>
      </w:r>
      <w:r w:rsidRPr="00F64707">
        <w:rPr>
          <w:rFonts w:ascii="Times New Roman" w:hAnsi="Times New Roman"/>
          <w:sz w:val="22"/>
          <w:szCs w:val="22"/>
          <w:lang w:val="sk-SK"/>
        </w:rPr>
        <w:t xml:space="preserve"> </w:t>
      </w:r>
      <w:r w:rsidR="00F1304A" w:rsidRPr="00F64707">
        <w:rPr>
          <w:rFonts w:ascii="Times New Roman" w:hAnsi="Times New Roman"/>
          <w:sz w:val="22"/>
          <w:szCs w:val="22"/>
          <w:lang w:val="sk-SK"/>
        </w:rPr>
        <w:t>kapsúl.</w:t>
      </w:r>
    </w:p>
    <w:p w:rsidR="00F1304A" w:rsidRPr="00F64707" w:rsidRDefault="00201671" w:rsidP="00F64707">
      <w:pPr>
        <w:pStyle w:val="Pta"/>
        <w:tabs>
          <w:tab w:val="clear" w:pos="4320"/>
          <w:tab w:val="clear" w:pos="8640"/>
        </w:tabs>
        <w:rPr>
          <w:rFonts w:ascii="Times New Roman" w:hAnsi="Times New Roman"/>
          <w:sz w:val="22"/>
          <w:szCs w:val="22"/>
          <w:lang w:val="sk-SK"/>
        </w:rPr>
      </w:pPr>
      <w:r w:rsidRPr="00F64707">
        <w:rPr>
          <w:rFonts w:ascii="Times New Roman" w:hAnsi="Times New Roman"/>
          <w:sz w:val="22"/>
          <w:szCs w:val="22"/>
          <w:lang w:val="sk-SK"/>
        </w:rPr>
        <w:t xml:space="preserve">Na trh nemusia byť uvedené </w:t>
      </w:r>
      <w:r w:rsidR="00F1304A" w:rsidRPr="00F64707">
        <w:rPr>
          <w:rFonts w:ascii="Times New Roman" w:hAnsi="Times New Roman"/>
          <w:sz w:val="22"/>
          <w:szCs w:val="22"/>
          <w:lang w:val="sk-SK"/>
        </w:rPr>
        <w:t>všetky veľkosti balenia.</w:t>
      </w:r>
    </w:p>
    <w:p w:rsidR="00F1304A" w:rsidRPr="00F64707" w:rsidRDefault="00F1304A" w:rsidP="00F64707">
      <w:pPr>
        <w:pStyle w:val="Pta"/>
        <w:tabs>
          <w:tab w:val="clear" w:pos="4320"/>
          <w:tab w:val="clear" w:pos="8640"/>
        </w:tabs>
        <w:rPr>
          <w:rFonts w:ascii="Times New Roman" w:hAnsi="Times New Roman"/>
          <w:sz w:val="22"/>
          <w:szCs w:val="22"/>
          <w:lang w:val="sk-SK"/>
        </w:rPr>
      </w:pPr>
    </w:p>
    <w:p w:rsidR="00F1304A" w:rsidRPr="00F64707" w:rsidRDefault="00F1304A" w:rsidP="00F64707">
      <w:pPr>
        <w:keepNext/>
        <w:ind w:left="567" w:hanging="567"/>
        <w:rPr>
          <w:b/>
          <w:sz w:val="22"/>
          <w:szCs w:val="22"/>
        </w:rPr>
      </w:pPr>
      <w:r w:rsidRPr="00F64707">
        <w:rPr>
          <w:b/>
          <w:sz w:val="22"/>
          <w:szCs w:val="22"/>
        </w:rPr>
        <w:t>6.6</w:t>
      </w:r>
      <w:r w:rsidRPr="00F64707">
        <w:rPr>
          <w:b/>
          <w:sz w:val="22"/>
          <w:szCs w:val="22"/>
        </w:rPr>
        <w:tab/>
        <w:t xml:space="preserve">Špeciálne opatrenia na likvidáciu </w:t>
      </w:r>
      <w:r w:rsidR="002222FA" w:rsidRPr="00F64707">
        <w:rPr>
          <w:b/>
          <w:sz w:val="22"/>
          <w:szCs w:val="22"/>
        </w:rPr>
        <w:t>a iné zaobchádzanie s liekom</w:t>
      </w:r>
    </w:p>
    <w:p w:rsidR="00F1304A" w:rsidRPr="00F64707" w:rsidRDefault="00F1304A" w:rsidP="00F64707">
      <w:pPr>
        <w:keepNext/>
        <w:rPr>
          <w:sz w:val="22"/>
          <w:szCs w:val="22"/>
        </w:rPr>
      </w:pPr>
    </w:p>
    <w:p w:rsidR="00F1304A" w:rsidRPr="00F64707" w:rsidRDefault="00F1304A" w:rsidP="00F64707">
      <w:pPr>
        <w:rPr>
          <w:sz w:val="22"/>
          <w:szCs w:val="22"/>
        </w:rPr>
      </w:pPr>
      <w:r w:rsidRPr="00F64707">
        <w:rPr>
          <w:sz w:val="22"/>
          <w:szCs w:val="22"/>
        </w:rPr>
        <w:t xml:space="preserve">Dutasterid sa </w:t>
      </w:r>
      <w:r w:rsidR="00197AC6" w:rsidRPr="00F64707">
        <w:rPr>
          <w:sz w:val="22"/>
          <w:szCs w:val="22"/>
        </w:rPr>
        <w:t>absorbuje</w:t>
      </w:r>
      <w:r w:rsidRPr="00F64707">
        <w:rPr>
          <w:sz w:val="22"/>
          <w:szCs w:val="22"/>
        </w:rPr>
        <w:t xml:space="preserve"> cez kožu, a</w:t>
      </w:r>
      <w:r w:rsidR="00F3082A" w:rsidRPr="00F64707">
        <w:rPr>
          <w:sz w:val="22"/>
          <w:szCs w:val="22"/>
        </w:rPr>
        <w:t> </w:t>
      </w:r>
      <w:r w:rsidRPr="00F64707">
        <w:rPr>
          <w:sz w:val="22"/>
          <w:szCs w:val="22"/>
        </w:rPr>
        <w:t>preto sa musí zabrániť kontaktu s</w:t>
      </w:r>
      <w:r w:rsidR="00197AC6" w:rsidRPr="00F64707">
        <w:rPr>
          <w:sz w:val="22"/>
          <w:szCs w:val="22"/>
        </w:rPr>
        <w:t> </w:t>
      </w:r>
      <w:r w:rsidRPr="00F64707">
        <w:rPr>
          <w:sz w:val="22"/>
          <w:szCs w:val="22"/>
        </w:rPr>
        <w:t>kapsulami</w:t>
      </w:r>
      <w:r w:rsidR="00163653" w:rsidRPr="00F64707">
        <w:rPr>
          <w:sz w:val="22"/>
          <w:szCs w:val="22"/>
        </w:rPr>
        <w:t xml:space="preserve"> s vytekajúcim obsahom</w:t>
      </w:r>
      <w:r w:rsidRPr="00F64707">
        <w:rPr>
          <w:sz w:val="22"/>
          <w:szCs w:val="22"/>
        </w:rPr>
        <w:t>. Ak</w:t>
      </w:r>
      <w:r w:rsidR="00F3082A" w:rsidRPr="00F64707">
        <w:rPr>
          <w:sz w:val="22"/>
          <w:szCs w:val="22"/>
        </w:rPr>
        <w:t xml:space="preserve"> </w:t>
      </w:r>
      <w:r w:rsidRPr="00F64707">
        <w:rPr>
          <w:sz w:val="22"/>
          <w:szCs w:val="22"/>
        </w:rPr>
        <w:t>došlo ku kontaktu s kapsulami</w:t>
      </w:r>
      <w:r w:rsidR="00834CA9" w:rsidRPr="00F64707">
        <w:rPr>
          <w:sz w:val="22"/>
          <w:szCs w:val="22"/>
        </w:rPr>
        <w:t xml:space="preserve"> s vytekajúcim obsahom</w:t>
      </w:r>
      <w:r w:rsidRPr="00F64707">
        <w:rPr>
          <w:sz w:val="22"/>
          <w:szCs w:val="22"/>
        </w:rPr>
        <w:t xml:space="preserve">, </w:t>
      </w:r>
      <w:r w:rsidR="00197AC6" w:rsidRPr="00F64707">
        <w:rPr>
          <w:sz w:val="22"/>
          <w:szCs w:val="22"/>
        </w:rPr>
        <w:t xml:space="preserve">postihnutá oblasť </w:t>
      </w:r>
      <w:r w:rsidRPr="00F64707">
        <w:rPr>
          <w:sz w:val="22"/>
          <w:szCs w:val="22"/>
        </w:rPr>
        <w:t>sa musí okamžite umyť mydlom a</w:t>
      </w:r>
      <w:r w:rsidR="00201671" w:rsidRPr="00F64707">
        <w:rPr>
          <w:sz w:val="22"/>
          <w:szCs w:val="22"/>
        </w:rPr>
        <w:t> </w:t>
      </w:r>
      <w:r w:rsidRPr="00F64707">
        <w:rPr>
          <w:sz w:val="22"/>
          <w:szCs w:val="22"/>
        </w:rPr>
        <w:t>vodou (pozri časť</w:t>
      </w:r>
      <w:r w:rsidR="00197AC6" w:rsidRPr="00F64707">
        <w:rPr>
          <w:sz w:val="22"/>
          <w:szCs w:val="22"/>
        </w:rPr>
        <w:t xml:space="preserve"> </w:t>
      </w:r>
      <w:r w:rsidRPr="00F64707">
        <w:rPr>
          <w:sz w:val="22"/>
          <w:szCs w:val="22"/>
        </w:rPr>
        <w:t>4.4).</w:t>
      </w:r>
    </w:p>
    <w:p w:rsidR="00F1304A" w:rsidRPr="00F64707" w:rsidRDefault="00F1304A" w:rsidP="00F64707">
      <w:pPr>
        <w:rPr>
          <w:sz w:val="22"/>
          <w:szCs w:val="22"/>
        </w:rPr>
      </w:pPr>
    </w:p>
    <w:p w:rsidR="00F1304A" w:rsidRPr="00F64707" w:rsidRDefault="009D1CA0" w:rsidP="00F64707">
      <w:pPr>
        <w:rPr>
          <w:sz w:val="22"/>
          <w:szCs w:val="22"/>
        </w:rPr>
      </w:pPr>
      <w:r w:rsidRPr="009D1CA0">
        <w:rPr>
          <w:sz w:val="22"/>
          <w:szCs w:val="22"/>
        </w:rPr>
        <w:t>Všetok nepoužitý liek alebo odpad vzniknutý z lieku sa má zlikvidovať v súlade s národnými požiadavkami</w:t>
      </w:r>
      <w:r w:rsidRPr="009D1CA0" w:rsidDel="009D1CA0">
        <w:rPr>
          <w:sz w:val="22"/>
          <w:szCs w:val="22"/>
        </w:rPr>
        <w:t xml:space="preserve"> </w:t>
      </w:r>
    </w:p>
    <w:p w:rsidR="00F1304A" w:rsidRDefault="00F1304A" w:rsidP="00F64707">
      <w:pPr>
        <w:rPr>
          <w:sz w:val="22"/>
          <w:szCs w:val="22"/>
        </w:rPr>
      </w:pPr>
    </w:p>
    <w:p w:rsidR="00EB12AF" w:rsidRPr="00F64707" w:rsidRDefault="00EB12AF" w:rsidP="00F64707">
      <w:pPr>
        <w:rPr>
          <w:sz w:val="22"/>
          <w:szCs w:val="22"/>
        </w:rPr>
      </w:pPr>
      <w:bookmarkStart w:id="1" w:name="_GoBack"/>
      <w:bookmarkEnd w:id="1"/>
    </w:p>
    <w:p w:rsidR="00F1304A" w:rsidRPr="00F64707" w:rsidRDefault="00F1304A" w:rsidP="00F64707">
      <w:pPr>
        <w:keepNext/>
        <w:ind w:left="567" w:hanging="567"/>
        <w:rPr>
          <w:sz w:val="22"/>
          <w:szCs w:val="22"/>
        </w:rPr>
      </w:pPr>
      <w:r w:rsidRPr="00F64707">
        <w:rPr>
          <w:b/>
          <w:sz w:val="22"/>
          <w:szCs w:val="22"/>
        </w:rPr>
        <w:t>7.</w:t>
      </w:r>
      <w:r w:rsidRPr="00F64707">
        <w:rPr>
          <w:b/>
          <w:sz w:val="22"/>
          <w:szCs w:val="22"/>
        </w:rPr>
        <w:tab/>
        <w:t xml:space="preserve">DRŽITEĽ </w:t>
      </w:r>
      <w:r w:rsidRPr="00F64707">
        <w:rPr>
          <w:b/>
          <w:caps/>
          <w:sz w:val="22"/>
          <w:szCs w:val="22"/>
        </w:rPr>
        <w:t>Rozhodnutia o registrácii</w:t>
      </w:r>
    </w:p>
    <w:p w:rsidR="00F1304A" w:rsidRPr="00F64707" w:rsidRDefault="00F1304A" w:rsidP="00F64707">
      <w:pPr>
        <w:keepNext/>
        <w:rPr>
          <w:sz w:val="22"/>
          <w:szCs w:val="22"/>
        </w:rPr>
      </w:pPr>
    </w:p>
    <w:p w:rsidR="00197AC6" w:rsidRPr="00F64707" w:rsidRDefault="005063B5" w:rsidP="00F64707">
      <w:pPr>
        <w:pStyle w:val="Default"/>
        <w:rPr>
          <w:rFonts w:ascii="Times New Roman" w:hAnsi="Times New Roman" w:cs="Times New Roman"/>
          <w:sz w:val="22"/>
          <w:szCs w:val="22"/>
          <w:lang w:val="sk-SK"/>
        </w:rPr>
      </w:pPr>
      <w:r w:rsidRPr="00F64707">
        <w:rPr>
          <w:rFonts w:ascii="Times New Roman" w:hAnsi="Times New Roman" w:cs="Times New Roman"/>
          <w:sz w:val="22"/>
          <w:szCs w:val="22"/>
          <w:lang w:val="sk-SK"/>
        </w:rPr>
        <w:t>G.L. Pharma GmbH</w:t>
      </w:r>
    </w:p>
    <w:p w:rsidR="005063B5" w:rsidRPr="00F64707" w:rsidRDefault="005063B5" w:rsidP="00F64707">
      <w:pPr>
        <w:pStyle w:val="Default"/>
        <w:rPr>
          <w:rFonts w:ascii="Times New Roman" w:hAnsi="Times New Roman" w:cs="Times New Roman"/>
          <w:sz w:val="22"/>
          <w:szCs w:val="22"/>
          <w:lang w:val="sk-SK"/>
        </w:rPr>
      </w:pPr>
      <w:r w:rsidRPr="00F64707">
        <w:rPr>
          <w:rFonts w:ascii="Times New Roman" w:hAnsi="Times New Roman" w:cs="Times New Roman"/>
          <w:sz w:val="22"/>
          <w:szCs w:val="22"/>
          <w:lang w:val="sk-SK"/>
        </w:rPr>
        <w:t>Schlossplatz 1</w:t>
      </w:r>
    </w:p>
    <w:p w:rsidR="005063B5" w:rsidRPr="00F64707" w:rsidRDefault="005063B5" w:rsidP="00F64707">
      <w:pPr>
        <w:pStyle w:val="Default"/>
        <w:rPr>
          <w:rFonts w:ascii="Times New Roman" w:hAnsi="Times New Roman" w:cs="Times New Roman"/>
          <w:sz w:val="22"/>
          <w:szCs w:val="22"/>
          <w:lang w:val="sk-SK"/>
        </w:rPr>
      </w:pPr>
      <w:r w:rsidRPr="00F64707">
        <w:rPr>
          <w:rFonts w:ascii="Times New Roman" w:hAnsi="Times New Roman" w:cs="Times New Roman"/>
          <w:sz w:val="22"/>
          <w:szCs w:val="22"/>
          <w:lang w:val="sk-SK"/>
        </w:rPr>
        <w:t>8502 Lannach</w:t>
      </w:r>
    </w:p>
    <w:p w:rsidR="005063B5" w:rsidRPr="00F64707" w:rsidRDefault="005063B5" w:rsidP="00F64707">
      <w:pPr>
        <w:pStyle w:val="Default"/>
        <w:rPr>
          <w:rFonts w:ascii="Times New Roman" w:hAnsi="Times New Roman" w:cs="Times New Roman"/>
          <w:sz w:val="22"/>
          <w:szCs w:val="22"/>
          <w:lang w:val="sk-SK"/>
        </w:rPr>
      </w:pPr>
      <w:r w:rsidRPr="00F64707">
        <w:rPr>
          <w:rFonts w:ascii="Times New Roman" w:hAnsi="Times New Roman" w:cs="Times New Roman"/>
          <w:sz w:val="22"/>
          <w:szCs w:val="22"/>
          <w:lang w:val="sk-SK"/>
        </w:rPr>
        <w:t>Rakúsko</w:t>
      </w:r>
    </w:p>
    <w:p w:rsidR="00F1304A" w:rsidRPr="00F64707" w:rsidRDefault="00F1304A" w:rsidP="00F64707">
      <w:pPr>
        <w:rPr>
          <w:sz w:val="22"/>
          <w:szCs w:val="22"/>
        </w:rPr>
      </w:pPr>
    </w:p>
    <w:p w:rsidR="00E121F6" w:rsidRPr="00F64707" w:rsidRDefault="00E121F6" w:rsidP="00F64707">
      <w:pPr>
        <w:rPr>
          <w:sz w:val="22"/>
          <w:szCs w:val="22"/>
        </w:rPr>
      </w:pPr>
    </w:p>
    <w:p w:rsidR="00F1304A" w:rsidRPr="00F64707" w:rsidRDefault="00F1304A" w:rsidP="00F64707">
      <w:pPr>
        <w:ind w:left="567" w:hanging="567"/>
        <w:rPr>
          <w:b/>
          <w:sz w:val="22"/>
          <w:szCs w:val="22"/>
        </w:rPr>
      </w:pPr>
      <w:r w:rsidRPr="00F64707">
        <w:rPr>
          <w:b/>
          <w:sz w:val="22"/>
          <w:szCs w:val="22"/>
        </w:rPr>
        <w:t>8.</w:t>
      </w:r>
      <w:r w:rsidRPr="00F64707">
        <w:rPr>
          <w:b/>
          <w:sz w:val="22"/>
          <w:szCs w:val="22"/>
        </w:rPr>
        <w:tab/>
        <w:t>REGISTRAČNÉ ČÍSLO</w:t>
      </w:r>
    </w:p>
    <w:p w:rsidR="00F1304A" w:rsidRPr="00F64707" w:rsidRDefault="00F1304A" w:rsidP="00F64707">
      <w:pPr>
        <w:rPr>
          <w:sz w:val="22"/>
          <w:szCs w:val="22"/>
        </w:rPr>
      </w:pPr>
    </w:p>
    <w:p w:rsidR="002132A7" w:rsidRPr="00EB12AF" w:rsidRDefault="00C70CD1" w:rsidP="00F64707">
      <w:pPr>
        <w:rPr>
          <w:bCs/>
          <w:sz w:val="22"/>
          <w:szCs w:val="22"/>
        </w:rPr>
      </w:pPr>
      <w:r w:rsidRPr="00EB12AF">
        <w:rPr>
          <w:bCs/>
          <w:sz w:val="22"/>
          <w:szCs w:val="22"/>
        </w:rPr>
        <w:t>87/0432/16-S</w:t>
      </w:r>
    </w:p>
    <w:p w:rsidR="002132A7" w:rsidRDefault="002132A7" w:rsidP="00F64707">
      <w:pPr>
        <w:rPr>
          <w:b/>
          <w:sz w:val="22"/>
          <w:szCs w:val="22"/>
        </w:rPr>
      </w:pPr>
    </w:p>
    <w:p w:rsidR="00EB12AF" w:rsidRPr="00F64707" w:rsidRDefault="00EB12AF" w:rsidP="00F64707">
      <w:pPr>
        <w:rPr>
          <w:b/>
          <w:sz w:val="22"/>
          <w:szCs w:val="22"/>
        </w:rPr>
      </w:pPr>
    </w:p>
    <w:p w:rsidR="00F1304A" w:rsidRPr="00F64707" w:rsidRDefault="00F1304A" w:rsidP="00F64707">
      <w:pPr>
        <w:keepNext/>
        <w:ind w:left="567" w:hanging="567"/>
        <w:rPr>
          <w:b/>
          <w:sz w:val="22"/>
          <w:szCs w:val="22"/>
        </w:rPr>
      </w:pPr>
      <w:r w:rsidRPr="00F64707">
        <w:rPr>
          <w:b/>
          <w:sz w:val="22"/>
          <w:szCs w:val="22"/>
        </w:rPr>
        <w:t>9.</w:t>
      </w:r>
      <w:r w:rsidRPr="00F64707">
        <w:rPr>
          <w:b/>
          <w:sz w:val="22"/>
          <w:szCs w:val="22"/>
        </w:rPr>
        <w:tab/>
        <w:t>DÁTUM PRVEJ REGISTRÁCIE/PREDĹŽENIA REGISTRÁCIE</w:t>
      </w:r>
    </w:p>
    <w:p w:rsidR="00F1304A" w:rsidRPr="00F64707" w:rsidRDefault="00F1304A" w:rsidP="00F64707">
      <w:pPr>
        <w:keepNext/>
        <w:rPr>
          <w:sz w:val="22"/>
          <w:szCs w:val="22"/>
        </w:rPr>
      </w:pPr>
    </w:p>
    <w:p w:rsidR="00E84240" w:rsidRPr="00F64707" w:rsidRDefault="0023491B" w:rsidP="00F64707">
      <w:pPr>
        <w:rPr>
          <w:sz w:val="22"/>
          <w:szCs w:val="22"/>
        </w:rPr>
      </w:pPr>
      <w:r w:rsidRPr="00F64707">
        <w:rPr>
          <w:sz w:val="22"/>
          <w:szCs w:val="22"/>
        </w:rPr>
        <w:t>Dátum prvej registrácie:</w:t>
      </w:r>
      <w:r w:rsidR="00CF3208">
        <w:rPr>
          <w:sz w:val="22"/>
          <w:szCs w:val="22"/>
        </w:rPr>
        <w:t xml:space="preserve"> 26. september 2016</w:t>
      </w:r>
    </w:p>
    <w:p w:rsidR="00F1304A" w:rsidRPr="00F64707" w:rsidRDefault="00F1304A" w:rsidP="00F64707">
      <w:pPr>
        <w:rPr>
          <w:sz w:val="22"/>
          <w:szCs w:val="22"/>
        </w:rPr>
      </w:pPr>
    </w:p>
    <w:p w:rsidR="00F1304A" w:rsidRPr="00F64707" w:rsidRDefault="00F1304A" w:rsidP="00F64707">
      <w:pPr>
        <w:rPr>
          <w:sz w:val="22"/>
          <w:szCs w:val="22"/>
        </w:rPr>
      </w:pPr>
    </w:p>
    <w:p w:rsidR="00F1304A" w:rsidRPr="00F64707" w:rsidRDefault="00F1304A" w:rsidP="00F64707">
      <w:pPr>
        <w:numPr>
          <w:ilvl w:val="0"/>
          <w:numId w:val="5"/>
        </w:numPr>
        <w:tabs>
          <w:tab w:val="clear" w:pos="510"/>
          <w:tab w:val="num" w:pos="567"/>
        </w:tabs>
        <w:ind w:left="567" w:hanging="567"/>
        <w:rPr>
          <w:b/>
          <w:sz w:val="22"/>
          <w:szCs w:val="22"/>
        </w:rPr>
      </w:pPr>
      <w:r w:rsidRPr="00F64707">
        <w:rPr>
          <w:b/>
          <w:sz w:val="22"/>
          <w:szCs w:val="22"/>
        </w:rPr>
        <w:lastRenderedPageBreak/>
        <w:t>DÁTUM REVÍZIE TEXTU</w:t>
      </w:r>
    </w:p>
    <w:p w:rsidR="00F1304A" w:rsidRPr="00F64707" w:rsidRDefault="00F1304A" w:rsidP="00F64707">
      <w:pPr>
        <w:rPr>
          <w:sz w:val="22"/>
          <w:szCs w:val="22"/>
        </w:rPr>
      </w:pPr>
    </w:p>
    <w:p w:rsidR="002132A7" w:rsidRPr="00F64707" w:rsidRDefault="00DC23AA" w:rsidP="00F64707">
      <w:pPr>
        <w:rPr>
          <w:sz w:val="22"/>
          <w:szCs w:val="22"/>
        </w:rPr>
      </w:pPr>
      <w:r>
        <w:rPr>
          <w:sz w:val="22"/>
          <w:szCs w:val="22"/>
        </w:rPr>
        <w:t>11/</w:t>
      </w:r>
      <w:r w:rsidR="002132A7" w:rsidRPr="00F64707">
        <w:rPr>
          <w:sz w:val="22"/>
          <w:szCs w:val="22"/>
        </w:rPr>
        <w:t>201</w:t>
      </w:r>
      <w:r w:rsidR="00CF3208">
        <w:rPr>
          <w:sz w:val="22"/>
          <w:szCs w:val="22"/>
        </w:rPr>
        <w:t>9</w:t>
      </w:r>
    </w:p>
    <w:sectPr w:rsidR="002132A7" w:rsidRPr="00F64707" w:rsidSect="00EB12AF">
      <w:headerReference w:type="default" r:id="rId9"/>
      <w:footerReference w:type="even" r:id="rId10"/>
      <w:footerReference w:type="default" r:id="rId11"/>
      <w:headerReference w:type="first" r:id="rId12"/>
      <w:footerReference w:type="first" r:id="rId13"/>
      <w:pgSz w:w="11907" w:h="16840" w:code="9"/>
      <w:pgMar w:top="1134" w:right="1418" w:bottom="1134" w:left="1418" w:header="737" w:footer="73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B9" w:rsidRDefault="002E12B9">
      <w:r>
        <w:separator/>
      </w:r>
    </w:p>
  </w:endnote>
  <w:endnote w:type="continuationSeparator" w:id="0">
    <w:p w:rsidR="002E12B9" w:rsidRDefault="002E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4" w:rsidRDefault="00D9318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D93184" w:rsidRDefault="00D9318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4" w:rsidRPr="00957434" w:rsidRDefault="00D93184">
    <w:pPr>
      <w:pStyle w:val="Pta"/>
      <w:framePr w:wrap="around" w:vAnchor="text" w:hAnchor="margin" w:xAlign="center" w:y="1"/>
      <w:rPr>
        <w:rStyle w:val="slostrany"/>
        <w:rFonts w:ascii="Times New Roman" w:hAnsi="Times New Roman"/>
        <w:sz w:val="18"/>
        <w:szCs w:val="18"/>
      </w:rPr>
    </w:pPr>
    <w:r w:rsidRPr="00957434">
      <w:rPr>
        <w:rStyle w:val="slostrany"/>
        <w:rFonts w:ascii="Times New Roman" w:hAnsi="Times New Roman"/>
        <w:sz w:val="18"/>
        <w:szCs w:val="18"/>
      </w:rPr>
      <w:fldChar w:fldCharType="begin"/>
    </w:r>
    <w:r w:rsidRPr="00957434">
      <w:rPr>
        <w:rStyle w:val="slostrany"/>
        <w:rFonts w:ascii="Times New Roman" w:hAnsi="Times New Roman"/>
        <w:sz w:val="18"/>
        <w:szCs w:val="18"/>
      </w:rPr>
      <w:instrText xml:space="preserve">PAGE  </w:instrText>
    </w:r>
    <w:r w:rsidRPr="00957434">
      <w:rPr>
        <w:rStyle w:val="slostrany"/>
        <w:rFonts w:ascii="Times New Roman" w:hAnsi="Times New Roman"/>
        <w:sz w:val="18"/>
        <w:szCs w:val="18"/>
      </w:rPr>
      <w:fldChar w:fldCharType="separate"/>
    </w:r>
    <w:r w:rsidR="00EB12AF">
      <w:rPr>
        <w:rStyle w:val="slostrany"/>
        <w:rFonts w:ascii="Times New Roman" w:hAnsi="Times New Roman"/>
        <w:noProof/>
        <w:sz w:val="18"/>
        <w:szCs w:val="18"/>
      </w:rPr>
      <w:t>12</w:t>
    </w:r>
    <w:r w:rsidRPr="00957434">
      <w:rPr>
        <w:rStyle w:val="slostrany"/>
        <w:rFonts w:ascii="Times New Roman" w:hAnsi="Times New Roman"/>
        <w:sz w:val="18"/>
        <w:szCs w:val="18"/>
      </w:rPr>
      <w:fldChar w:fldCharType="end"/>
    </w:r>
  </w:p>
  <w:p w:rsidR="00D93184" w:rsidRDefault="00D93184">
    <w:pPr>
      <w:pStyle w:val="Pta"/>
      <w:framePr w:wrap="around" w:vAnchor="text" w:hAnchor="margin" w:xAlign="right" w:y="1"/>
      <w:rPr>
        <w:rStyle w:val="slostrany"/>
      </w:rPr>
    </w:pPr>
  </w:p>
  <w:p w:rsidR="00D93184" w:rsidRDefault="00D93184" w:rsidP="00957434">
    <w:pPr>
      <w:pStyle w:val="Pta"/>
      <w:tabs>
        <w:tab w:val="center" w:pos="4355"/>
        <w:tab w:val="left" w:pos="496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4" w:rsidRPr="00957434" w:rsidRDefault="00D93184">
    <w:pPr>
      <w:pStyle w:val="Pta"/>
      <w:jc w:val="center"/>
      <w:rPr>
        <w:sz w:val="18"/>
        <w:szCs w:val="18"/>
      </w:rPr>
    </w:pPr>
    <w:r w:rsidRPr="00957434">
      <w:rPr>
        <w:sz w:val="18"/>
        <w:szCs w:val="18"/>
      </w:rPr>
      <w:fldChar w:fldCharType="begin"/>
    </w:r>
    <w:r w:rsidRPr="00957434">
      <w:rPr>
        <w:sz w:val="18"/>
        <w:szCs w:val="18"/>
      </w:rPr>
      <w:instrText>PAGE   \* MERGEFORMAT</w:instrText>
    </w:r>
    <w:r w:rsidRPr="00957434">
      <w:rPr>
        <w:sz w:val="18"/>
        <w:szCs w:val="18"/>
      </w:rPr>
      <w:fldChar w:fldCharType="separate"/>
    </w:r>
    <w:r w:rsidR="00E0232E">
      <w:rPr>
        <w:noProof/>
        <w:sz w:val="18"/>
        <w:szCs w:val="18"/>
      </w:rPr>
      <w:t>1</w:t>
    </w:r>
    <w:r w:rsidRPr="00957434">
      <w:rPr>
        <w:sz w:val="18"/>
        <w:szCs w:val="18"/>
      </w:rPr>
      <w:fldChar w:fldCharType="end"/>
    </w:r>
  </w:p>
  <w:p w:rsidR="00D93184" w:rsidRDefault="00D931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B9" w:rsidRDefault="002E12B9">
      <w:r>
        <w:separator/>
      </w:r>
    </w:p>
  </w:footnote>
  <w:footnote w:type="continuationSeparator" w:id="0">
    <w:p w:rsidR="002E12B9" w:rsidRDefault="002E1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4" w:rsidRPr="00EB12AF" w:rsidRDefault="00CF3208">
    <w:pPr>
      <w:pStyle w:val="Hlavika"/>
      <w:rPr>
        <w:sz w:val="18"/>
        <w:szCs w:val="18"/>
        <w:lang w:val="sk-SK"/>
      </w:rPr>
    </w:pPr>
    <w:r w:rsidRPr="00EB12AF">
      <w:rPr>
        <w:sz w:val="18"/>
        <w:szCs w:val="18"/>
        <w:lang w:val="sk-SK"/>
      </w:rPr>
      <w:t xml:space="preserve">Príloha č. 1 k rozhodnutiu o zmene: ev. č.: </w:t>
    </w:r>
    <w:r w:rsidR="00DC23AA" w:rsidRPr="00EB12AF">
      <w:rPr>
        <w:sz w:val="18"/>
        <w:szCs w:val="18"/>
        <w:lang w:val="sk-SK"/>
      </w:rPr>
      <w:t>2019/05488-ZIB</w:t>
    </w:r>
  </w:p>
  <w:p w:rsidR="00D93184" w:rsidRDefault="00D9318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4" w:rsidRDefault="00D9318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9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31430"/>
    <w:multiLevelType w:val="multilevel"/>
    <w:tmpl w:val="927AE186"/>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4B08E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B3CC3"/>
    <w:multiLevelType w:val="hybridMultilevel"/>
    <w:tmpl w:val="02327852"/>
    <w:lvl w:ilvl="0" w:tplc="337432AA">
      <w:start w:val="6"/>
      <w:numFmt w:val="bullet"/>
      <w:lvlText w:val="-"/>
      <w:lvlJc w:val="left"/>
      <w:pPr>
        <w:tabs>
          <w:tab w:val="num" w:pos="930"/>
        </w:tabs>
        <w:ind w:left="930" w:hanging="360"/>
      </w:pPr>
      <w:rPr>
        <w:rFonts w:ascii="Times New Roman" w:eastAsia="Times New Roman" w:hAnsi="Times New Roman" w:cs="Times New Roman" w:hint="default"/>
      </w:rPr>
    </w:lvl>
    <w:lvl w:ilvl="1" w:tplc="041B0003" w:tentative="1">
      <w:start w:val="1"/>
      <w:numFmt w:val="bullet"/>
      <w:lvlText w:val="o"/>
      <w:lvlJc w:val="left"/>
      <w:pPr>
        <w:tabs>
          <w:tab w:val="num" w:pos="1650"/>
        </w:tabs>
        <w:ind w:left="1650" w:hanging="360"/>
      </w:pPr>
      <w:rPr>
        <w:rFonts w:ascii="Courier New" w:hAnsi="Courier New" w:cs="Courier New" w:hint="default"/>
      </w:rPr>
    </w:lvl>
    <w:lvl w:ilvl="2" w:tplc="041B0005" w:tentative="1">
      <w:start w:val="1"/>
      <w:numFmt w:val="bullet"/>
      <w:lvlText w:val=""/>
      <w:lvlJc w:val="left"/>
      <w:pPr>
        <w:tabs>
          <w:tab w:val="num" w:pos="2370"/>
        </w:tabs>
        <w:ind w:left="2370" w:hanging="360"/>
      </w:pPr>
      <w:rPr>
        <w:rFonts w:ascii="Wingdings" w:hAnsi="Wingdings" w:hint="default"/>
      </w:rPr>
    </w:lvl>
    <w:lvl w:ilvl="3" w:tplc="041B0001" w:tentative="1">
      <w:start w:val="1"/>
      <w:numFmt w:val="bullet"/>
      <w:lvlText w:val=""/>
      <w:lvlJc w:val="left"/>
      <w:pPr>
        <w:tabs>
          <w:tab w:val="num" w:pos="3090"/>
        </w:tabs>
        <w:ind w:left="3090" w:hanging="360"/>
      </w:pPr>
      <w:rPr>
        <w:rFonts w:ascii="Symbol" w:hAnsi="Symbol" w:hint="default"/>
      </w:rPr>
    </w:lvl>
    <w:lvl w:ilvl="4" w:tplc="041B0003" w:tentative="1">
      <w:start w:val="1"/>
      <w:numFmt w:val="bullet"/>
      <w:lvlText w:val="o"/>
      <w:lvlJc w:val="left"/>
      <w:pPr>
        <w:tabs>
          <w:tab w:val="num" w:pos="3810"/>
        </w:tabs>
        <w:ind w:left="3810" w:hanging="360"/>
      </w:pPr>
      <w:rPr>
        <w:rFonts w:ascii="Courier New" w:hAnsi="Courier New" w:cs="Courier New" w:hint="default"/>
      </w:rPr>
    </w:lvl>
    <w:lvl w:ilvl="5" w:tplc="041B0005" w:tentative="1">
      <w:start w:val="1"/>
      <w:numFmt w:val="bullet"/>
      <w:lvlText w:val=""/>
      <w:lvlJc w:val="left"/>
      <w:pPr>
        <w:tabs>
          <w:tab w:val="num" w:pos="4530"/>
        </w:tabs>
        <w:ind w:left="4530" w:hanging="360"/>
      </w:pPr>
      <w:rPr>
        <w:rFonts w:ascii="Wingdings" w:hAnsi="Wingdings" w:hint="default"/>
      </w:rPr>
    </w:lvl>
    <w:lvl w:ilvl="6" w:tplc="041B0001" w:tentative="1">
      <w:start w:val="1"/>
      <w:numFmt w:val="bullet"/>
      <w:lvlText w:val=""/>
      <w:lvlJc w:val="left"/>
      <w:pPr>
        <w:tabs>
          <w:tab w:val="num" w:pos="5250"/>
        </w:tabs>
        <w:ind w:left="5250" w:hanging="360"/>
      </w:pPr>
      <w:rPr>
        <w:rFonts w:ascii="Symbol" w:hAnsi="Symbol" w:hint="default"/>
      </w:rPr>
    </w:lvl>
    <w:lvl w:ilvl="7" w:tplc="041B0003" w:tentative="1">
      <w:start w:val="1"/>
      <w:numFmt w:val="bullet"/>
      <w:lvlText w:val="o"/>
      <w:lvlJc w:val="left"/>
      <w:pPr>
        <w:tabs>
          <w:tab w:val="num" w:pos="5970"/>
        </w:tabs>
        <w:ind w:left="5970" w:hanging="360"/>
      </w:pPr>
      <w:rPr>
        <w:rFonts w:ascii="Courier New" w:hAnsi="Courier New" w:cs="Courier New" w:hint="default"/>
      </w:rPr>
    </w:lvl>
    <w:lvl w:ilvl="8" w:tplc="041B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24306E5C"/>
    <w:multiLevelType w:val="multilevel"/>
    <w:tmpl w:val="FD786ED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DA5A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0C3151"/>
    <w:multiLevelType w:val="multilevel"/>
    <w:tmpl w:val="787EFA2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79737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AC122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7B471C"/>
    <w:multiLevelType w:val="hybridMultilevel"/>
    <w:tmpl w:val="1BFA998E"/>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64877BC"/>
    <w:multiLevelType w:val="multilevel"/>
    <w:tmpl w:val="61F2159A"/>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7E11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1257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2E09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AE45B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876BB1"/>
    <w:multiLevelType w:val="singleLevel"/>
    <w:tmpl w:val="5C7ECCB2"/>
    <w:lvl w:ilvl="0">
      <w:start w:val="10"/>
      <w:numFmt w:val="decimal"/>
      <w:lvlText w:val="%1."/>
      <w:lvlJc w:val="left"/>
      <w:pPr>
        <w:tabs>
          <w:tab w:val="num" w:pos="510"/>
        </w:tabs>
        <w:ind w:left="510" w:hanging="510"/>
      </w:pPr>
      <w:rPr>
        <w:rFonts w:hint="default"/>
      </w:rPr>
    </w:lvl>
  </w:abstractNum>
  <w:num w:numId="1">
    <w:abstractNumId w:val="4"/>
  </w:num>
  <w:num w:numId="2">
    <w:abstractNumId w:val="6"/>
  </w:num>
  <w:num w:numId="3">
    <w:abstractNumId w:val="1"/>
  </w:num>
  <w:num w:numId="4">
    <w:abstractNumId w:val="10"/>
  </w:num>
  <w:num w:numId="5">
    <w:abstractNumId w:val="15"/>
  </w:num>
  <w:num w:numId="6">
    <w:abstractNumId w:val="2"/>
  </w:num>
  <w:num w:numId="7">
    <w:abstractNumId w:val="0"/>
  </w:num>
  <w:num w:numId="8">
    <w:abstractNumId w:val="13"/>
  </w:num>
  <w:num w:numId="9">
    <w:abstractNumId w:val="8"/>
  </w:num>
  <w:num w:numId="10">
    <w:abstractNumId w:val="12"/>
  </w:num>
  <w:num w:numId="11">
    <w:abstractNumId w:val="14"/>
  </w:num>
  <w:num w:numId="12">
    <w:abstractNumId w:val="5"/>
  </w:num>
  <w:num w:numId="13">
    <w:abstractNumId w:val="7"/>
  </w:num>
  <w:num w:numId="14">
    <w:abstractNumId w:val="1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2D"/>
    <w:rsid w:val="000001E8"/>
    <w:rsid w:val="00001A5F"/>
    <w:rsid w:val="000039AE"/>
    <w:rsid w:val="00036BA7"/>
    <w:rsid w:val="00040751"/>
    <w:rsid w:val="00052CD1"/>
    <w:rsid w:val="00053B25"/>
    <w:rsid w:val="00056CD7"/>
    <w:rsid w:val="0005718B"/>
    <w:rsid w:val="0006757D"/>
    <w:rsid w:val="00077ED1"/>
    <w:rsid w:val="000849A5"/>
    <w:rsid w:val="000B185D"/>
    <w:rsid w:val="000D013D"/>
    <w:rsid w:val="000E035F"/>
    <w:rsid w:val="000E2DF9"/>
    <w:rsid w:val="000E51DB"/>
    <w:rsid w:val="000E7DA1"/>
    <w:rsid w:val="000F0002"/>
    <w:rsid w:val="000F7A1D"/>
    <w:rsid w:val="00103BBA"/>
    <w:rsid w:val="00104E68"/>
    <w:rsid w:val="00126759"/>
    <w:rsid w:val="0014134F"/>
    <w:rsid w:val="0015620C"/>
    <w:rsid w:val="00163653"/>
    <w:rsid w:val="00163B3E"/>
    <w:rsid w:val="001817F0"/>
    <w:rsid w:val="00184A61"/>
    <w:rsid w:val="001873BE"/>
    <w:rsid w:val="0019342B"/>
    <w:rsid w:val="00197AC6"/>
    <w:rsid w:val="001A22C2"/>
    <w:rsid w:val="001A389A"/>
    <w:rsid w:val="001A56AE"/>
    <w:rsid w:val="001B2D39"/>
    <w:rsid w:val="001E1537"/>
    <w:rsid w:val="001E20EC"/>
    <w:rsid w:val="001E2824"/>
    <w:rsid w:val="001E6EDD"/>
    <w:rsid w:val="001E79C5"/>
    <w:rsid w:val="00201671"/>
    <w:rsid w:val="002129A8"/>
    <w:rsid w:val="002132A7"/>
    <w:rsid w:val="002222FA"/>
    <w:rsid w:val="00222CE3"/>
    <w:rsid w:val="002241FB"/>
    <w:rsid w:val="00227438"/>
    <w:rsid w:val="002317D8"/>
    <w:rsid w:val="00231DDC"/>
    <w:rsid w:val="00231FFB"/>
    <w:rsid w:val="0023491B"/>
    <w:rsid w:val="0023651C"/>
    <w:rsid w:val="00236538"/>
    <w:rsid w:val="00243015"/>
    <w:rsid w:val="00250C68"/>
    <w:rsid w:val="00253CEB"/>
    <w:rsid w:val="0025789A"/>
    <w:rsid w:val="00263FC3"/>
    <w:rsid w:val="002806BC"/>
    <w:rsid w:val="0028453A"/>
    <w:rsid w:val="00297B72"/>
    <w:rsid w:val="002A14C0"/>
    <w:rsid w:val="002A3BAD"/>
    <w:rsid w:val="002A72FB"/>
    <w:rsid w:val="002B11C4"/>
    <w:rsid w:val="002B26C1"/>
    <w:rsid w:val="002C26F4"/>
    <w:rsid w:val="002C5ADB"/>
    <w:rsid w:val="002C718F"/>
    <w:rsid w:val="002E12B9"/>
    <w:rsid w:val="002E1461"/>
    <w:rsid w:val="002E181B"/>
    <w:rsid w:val="002E67FB"/>
    <w:rsid w:val="002F3D10"/>
    <w:rsid w:val="00310A7C"/>
    <w:rsid w:val="00312384"/>
    <w:rsid w:val="00323702"/>
    <w:rsid w:val="00323A4F"/>
    <w:rsid w:val="00334FDB"/>
    <w:rsid w:val="003449EB"/>
    <w:rsid w:val="00356ABA"/>
    <w:rsid w:val="00367486"/>
    <w:rsid w:val="003775A6"/>
    <w:rsid w:val="003776F8"/>
    <w:rsid w:val="003A0834"/>
    <w:rsid w:val="003B3D12"/>
    <w:rsid w:val="003C3380"/>
    <w:rsid w:val="003C6031"/>
    <w:rsid w:val="003D3AD6"/>
    <w:rsid w:val="003D4680"/>
    <w:rsid w:val="003E060F"/>
    <w:rsid w:val="003E0B34"/>
    <w:rsid w:val="003F33FD"/>
    <w:rsid w:val="00400023"/>
    <w:rsid w:val="004003DC"/>
    <w:rsid w:val="00414215"/>
    <w:rsid w:val="0044207D"/>
    <w:rsid w:val="004612A5"/>
    <w:rsid w:val="00471C07"/>
    <w:rsid w:val="00482F33"/>
    <w:rsid w:val="00484CD3"/>
    <w:rsid w:val="00484FA0"/>
    <w:rsid w:val="00496441"/>
    <w:rsid w:val="004A7870"/>
    <w:rsid w:val="004B3C55"/>
    <w:rsid w:val="004C7163"/>
    <w:rsid w:val="004D19A8"/>
    <w:rsid w:val="004E1317"/>
    <w:rsid w:val="004F0C22"/>
    <w:rsid w:val="004F3F3A"/>
    <w:rsid w:val="00505804"/>
    <w:rsid w:val="005063B5"/>
    <w:rsid w:val="00530212"/>
    <w:rsid w:val="005305FE"/>
    <w:rsid w:val="005370AC"/>
    <w:rsid w:val="00537429"/>
    <w:rsid w:val="00543012"/>
    <w:rsid w:val="005434EC"/>
    <w:rsid w:val="00553F10"/>
    <w:rsid w:val="005579BE"/>
    <w:rsid w:val="00565278"/>
    <w:rsid w:val="00567E85"/>
    <w:rsid w:val="00573508"/>
    <w:rsid w:val="0058330F"/>
    <w:rsid w:val="005A7ADC"/>
    <w:rsid w:val="005B0199"/>
    <w:rsid w:val="005B5B3A"/>
    <w:rsid w:val="005D0CB2"/>
    <w:rsid w:val="005D528D"/>
    <w:rsid w:val="005E6716"/>
    <w:rsid w:val="005F5BA9"/>
    <w:rsid w:val="005F6FFC"/>
    <w:rsid w:val="006159E9"/>
    <w:rsid w:val="0061658B"/>
    <w:rsid w:val="00617C57"/>
    <w:rsid w:val="00620E2E"/>
    <w:rsid w:val="00661F0D"/>
    <w:rsid w:val="00673FB0"/>
    <w:rsid w:val="0067642F"/>
    <w:rsid w:val="006801AB"/>
    <w:rsid w:val="006933DA"/>
    <w:rsid w:val="006A14EB"/>
    <w:rsid w:val="006C2131"/>
    <w:rsid w:val="006D5156"/>
    <w:rsid w:val="006D712F"/>
    <w:rsid w:val="006E066F"/>
    <w:rsid w:val="006E0F1A"/>
    <w:rsid w:val="006E5F09"/>
    <w:rsid w:val="006F58DC"/>
    <w:rsid w:val="006F5984"/>
    <w:rsid w:val="006F7836"/>
    <w:rsid w:val="0070268D"/>
    <w:rsid w:val="007426EB"/>
    <w:rsid w:val="00743617"/>
    <w:rsid w:val="00755A08"/>
    <w:rsid w:val="00762F2F"/>
    <w:rsid w:val="007651E4"/>
    <w:rsid w:val="007678D2"/>
    <w:rsid w:val="0077169E"/>
    <w:rsid w:val="00785F11"/>
    <w:rsid w:val="007A591B"/>
    <w:rsid w:val="007B292F"/>
    <w:rsid w:val="007B5BCE"/>
    <w:rsid w:val="007B6663"/>
    <w:rsid w:val="007C1149"/>
    <w:rsid w:val="007C2E9A"/>
    <w:rsid w:val="007D20D8"/>
    <w:rsid w:val="007E0988"/>
    <w:rsid w:val="007E3399"/>
    <w:rsid w:val="007E6F41"/>
    <w:rsid w:val="007F1F86"/>
    <w:rsid w:val="007F764E"/>
    <w:rsid w:val="0080692B"/>
    <w:rsid w:val="00821B57"/>
    <w:rsid w:val="008239F3"/>
    <w:rsid w:val="00833867"/>
    <w:rsid w:val="00834CA9"/>
    <w:rsid w:val="00847FD5"/>
    <w:rsid w:val="0085724F"/>
    <w:rsid w:val="00874339"/>
    <w:rsid w:val="008867CB"/>
    <w:rsid w:val="008A6279"/>
    <w:rsid w:val="008A6BBB"/>
    <w:rsid w:val="008B37E8"/>
    <w:rsid w:val="008D4F7D"/>
    <w:rsid w:val="008E712D"/>
    <w:rsid w:val="008F403C"/>
    <w:rsid w:val="0090033C"/>
    <w:rsid w:val="00902174"/>
    <w:rsid w:val="00904FD4"/>
    <w:rsid w:val="00907231"/>
    <w:rsid w:val="00917240"/>
    <w:rsid w:val="0094592C"/>
    <w:rsid w:val="00955098"/>
    <w:rsid w:val="00957434"/>
    <w:rsid w:val="009832ED"/>
    <w:rsid w:val="009A6C8A"/>
    <w:rsid w:val="009B0CBD"/>
    <w:rsid w:val="009B27CA"/>
    <w:rsid w:val="009C0996"/>
    <w:rsid w:val="009C44EF"/>
    <w:rsid w:val="009C715E"/>
    <w:rsid w:val="009D0313"/>
    <w:rsid w:val="009D1CA0"/>
    <w:rsid w:val="009E5378"/>
    <w:rsid w:val="009E587F"/>
    <w:rsid w:val="009F0E43"/>
    <w:rsid w:val="009F2D4A"/>
    <w:rsid w:val="00A11C47"/>
    <w:rsid w:val="00A13B90"/>
    <w:rsid w:val="00A13F63"/>
    <w:rsid w:val="00A16A02"/>
    <w:rsid w:val="00A33200"/>
    <w:rsid w:val="00A3538B"/>
    <w:rsid w:val="00A36736"/>
    <w:rsid w:val="00A37694"/>
    <w:rsid w:val="00A62B5A"/>
    <w:rsid w:val="00A6512C"/>
    <w:rsid w:val="00A67A0F"/>
    <w:rsid w:val="00A67B2E"/>
    <w:rsid w:val="00A7252D"/>
    <w:rsid w:val="00A74276"/>
    <w:rsid w:val="00AB3E7F"/>
    <w:rsid w:val="00AD19BE"/>
    <w:rsid w:val="00AD3255"/>
    <w:rsid w:val="00AF16E5"/>
    <w:rsid w:val="00AF2024"/>
    <w:rsid w:val="00B12F97"/>
    <w:rsid w:val="00B13C10"/>
    <w:rsid w:val="00B64C1D"/>
    <w:rsid w:val="00B97C05"/>
    <w:rsid w:val="00BA12EE"/>
    <w:rsid w:val="00BA53F1"/>
    <w:rsid w:val="00BA7478"/>
    <w:rsid w:val="00BB1F28"/>
    <w:rsid w:val="00BB219E"/>
    <w:rsid w:val="00BB2C52"/>
    <w:rsid w:val="00BD038B"/>
    <w:rsid w:val="00BD1144"/>
    <w:rsid w:val="00BE51D6"/>
    <w:rsid w:val="00BE6F89"/>
    <w:rsid w:val="00BF133B"/>
    <w:rsid w:val="00BF36E6"/>
    <w:rsid w:val="00C04529"/>
    <w:rsid w:val="00C27401"/>
    <w:rsid w:val="00C3417D"/>
    <w:rsid w:val="00C34367"/>
    <w:rsid w:val="00C42310"/>
    <w:rsid w:val="00C46044"/>
    <w:rsid w:val="00C56AFE"/>
    <w:rsid w:val="00C56E69"/>
    <w:rsid w:val="00C70CD1"/>
    <w:rsid w:val="00C94A4B"/>
    <w:rsid w:val="00CA6A3D"/>
    <w:rsid w:val="00CB3389"/>
    <w:rsid w:val="00CB66E5"/>
    <w:rsid w:val="00CC5469"/>
    <w:rsid w:val="00CC5A1A"/>
    <w:rsid w:val="00CD05D0"/>
    <w:rsid w:val="00CD7A6D"/>
    <w:rsid w:val="00CE3E2A"/>
    <w:rsid w:val="00CF3208"/>
    <w:rsid w:val="00D03D8D"/>
    <w:rsid w:val="00D06B00"/>
    <w:rsid w:val="00D13428"/>
    <w:rsid w:val="00D23CB7"/>
    <w:rsid w:val="00D322B7"/>
    <w:rsid w:val="00D37310"/>
    <w:rsid w:val="00D40BAC"/>
    <w:rsid w:val="00D4495E"/>
    <w:rsid w:val="00D52581"/>
    <w:rsid w:val="00D532A5"/>
    <w:rsid w:val="00D718A4"/>
    <w:rsid w:val="00D754C5"/>
    <w:rsid w:val="00D758DE"/>
    <w:rsid w:val="00D7694B"/>
    <w:rsid w:val="00D8773C"/>
    <w:rsid w:val="00D93184"/>
    <w:rsid w:val="00D93E76"/>
    <w:rsid w:val="00D93F03"/>
    <w:rsid w:val="00D96496"/>
    <w:rsid w:val="00D96B28"/>
    <w:rsid w:val="00DA5AA0"/>
    <w:rsid w:val="00DC1DA9"/>
    <w:rsid w:val="00DC23AA"/>
    <w:rsid w:val="00DC5A9C"/>
    <w:rsid w:val="00DD1C43"/>
    <w:rsid w:val="00DE4022"/>
    <w:rsid w:val="00E00C3D"/>
    <w:rsid w:val="00E0232E"/>
    <w:rsid w:val="00E03AE9"/>
    <w:rsid w:val="00E121F6"/>
    <w:rsid w:val="00E12A40"/>
    <w:rsid w:val="00E15127"/>
    <w:rsid w:val="00E42BB4"/>
    <w:rsid w:val="00E44322"/>
    <w:rsid w:val="00E46EC3"/>
    <w:rsid w:val="00E63C2C"/>
    <w:rsid w:val="00E667B4"/>
    <w:rsid w:val="00E821EE"/>
    <w:rsid w:val="00E84240"/>
    <w:rsid w:val="00E84B77"/>
    <w:rsid w:val="00E91D44"/>
    <w:rsid w:val="00E94CEF"/>
    <w:rsid w:val="00EA670A"/>
    <w:rsid w:val="00EB12AF"/>
    <w:rsid w:val="00EC0990"/>
    <w:rsid w:val="00EC7C12"/>
    <w:rsid w:val="00ED3C21"/>
    <w:rsid w:val="00ED55B5"/>
    <w:rsid w:val="00ED57B7"/>
    <w:rsid w:val="00EE4D98"/>
    <w:rsid w:val="00EE69DA"/>
    <w:rsid w:val="00EF4217"/>
    <w:rsid w:val="00EF4304"/>
    <w:rsid w:val="00F0155A"/>
    <w:rsid w:val="00F1304A"/>
    <w:rsid w:val="00F3082A"/>
    <w:rsid w:val="00F64707"/>
    <w:rsid w:val="00F77C06"/>
    <w:rsid w:val="00F84630"/>
    <w:rsid w:val="00F8786F"/>
    <w:rsid w:val="00FB463C"/>
    <w:rsid w:val="00FB6B47"/>
    <w:rsid w:val="00FC5EC4"/>
    <w:rsid w:val="00FD05EC"/>
    <w:rsid w:val="00FD488D"/>
    <w:rsid w:val="00FE2DD4"/>
    <w:rsid w:val="00FE31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54056FA-6F63-475B-86E1-EF47D1DA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F41"/>
  </w:style>
  <w:style w:type="paragraph" w:styleId="Nadpis1">
    <w:name w:val="heading 1"/>
    <w:basedOn w:val="Normlny"/>
    <w:next w:val="Normlny"/>
    <w:qFormat/>
    <w:rsid w:val="007E6F41"/>
    <w:pPr>
      <w:keepNext/>
      <w:jc w:val="center"/>
      <w:outlineLvl w:val="0"/>
    </w:pPr>
    <w:rPr>
      <w:rFonts w:ascii="Arial" w:hAnsi="Arial"/>
      <w:b/>
      <w:sz w:val="28"/>
    </w:rPr>
  </w:style>
  <w:style w:type="paragraph" w:styleId="Nadpis2">
    <w:name w:val="heading 2"/>
    <w:basedOn w:val="Normlny"/>
    <w:next w:val="Normlny"/>
    <w:qFormat/>
    <w:rsid w:val="007E6F41"/>
    <w:pPr>
      <w:keepNext/>
      <w:outlineLvl w:val="1"/>
    </w:pPr>
    <w:rPr>
      <w:rFonts w:ascii="Arial" w:hAnsi="Arial"/>
      <w:i/>
    </w:rPr>
  </w:style>
  <w:style w:type="paragraph" w:styleId="Nadpis3">
    <w:name w:val="heading 3"/>
    <w:basedOn w:val="Normlny"/>
    <w:next w:val="Normlny"/>
    <w:qFormat/>
    <w:rsid w:val="007E6F41"/>
    <w:pPr>
      <w:keepNext/>
      <w:outlineLvl w:val="2"/>
    </w:pPr>
    <w:rPr>
      <w:rFonts w:ascii="Arial" w:hAnsi="Arial"/>
      <w:sz w:val="24"/>
    </w:rPr>
  </w:style>
  <w:style w:type="paragraph" w:styleId="Nadpis4">
    <w:name w:val="heading 4"/>
    <w:basedOn w:val="Normlny"/>
    <w:next w:val="Normlny"/>
    <w:qFormat/>
    <w:rsid w:val="007E6F41"/>
    <w:pPr>
      <w:keepNext/>
      <w:jc w:val="both"/>
      <w:outlineLvl w:val="3"/>
    </w:pPr>
    <w:rPr>
      <w:rFonts w:ascii="Arial" w:hAnsi="Arial"/>
      <w:b/>
    </w:rPr>
  </w:style>
  <w:style w:type="paragraph" w:styleId="Nadpis5">
    <w:name w:val="heading 5"/>
    <w:basedOn w:val="Normlny"/>
    <w:next w:val="Normlny"/>
    <w:qFormat/>
    <w:rsid w:val="007E6F41"/>
    <w:pPr>
      <w:keepNext/>
      <w:jc w:val="both"/>
      <w:outlineLvl w:val="4"/>
    </w:pPr>
    <w:rPr>
      <w:rFonts w:ascii="Arial" w:hAnsi="Arial"/>
      <w:i/>
    </w:rPr>
  </w:style>
  <w:style w:type="paragraph" w:styleId="Nadpis6">
    <w:name w:val="heading 6"/>
    <w:basedOn w:val="Normlny"/>
    <w:next w:val="Normlny"/>
    <w:qFormat/>
    <w:rsid w:val="007E6F41"/>
    <w:pPr>
      <w:keepNext/>
      <w:outlineLvl w:val="5"/>
    </w:pPr>
    <w:rPr>
      <w:rFonts w:ascii="Arial" w:hAnsi="Arial"/>
      <w:b/>
      <w:color w:val="FF0000"/>
    </w:rPr>
  </w:style>
  <w:style w:type="paragraph" w:styleId="Nadpis7">
    <w:name w:val="heading 7"/>
    <w:basedOn w:val="Normlny"/>
    <w:next w:val="Normlny"/>
    <w:qFormat/>
    <w:rsid w:val="007E6F41"/>
    <w:pPr>
      <w:keepNext/>
      <w:outlineLvl w:val="6"/>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7E6F41"/>
    <w:pPr>
      <w:shd w:val="clear" w:color="auto" w:fill="000080"/>
    </w:pPr>
    <w:rPr>
      <w:rFonts w:ascii="Tahoma" w:hAnsi="Tahoma"/>
    </w:rPr>
  </w:style>
  <w:style w:type="paragraph" w:styleId="Pta">
    <w:name w:val="footer"/>
    <w:basedOn w:val="Normlny"/>
    <w:link w:val="PtaChar"/>
    <w:uiPriority w:val="99"/>
    <w:rsid w:val="007E6F41"/>
    <w:pPr>
      <w:tabs>
        <w:tab w:val="center" w:pos="4320"/>
        <w:tab w:val="right" w:pos="8640"/>
      </w:tabs>
    </w:pPr>
    <w:rPr>
      <w:rFonts w:ascii="Times" w:hAnsi="Times"/>
      <w:lang w:val="cs-CZ"/>
    </w:rPr>
  </w:style>
  <w:style w:type="paragraph" w:styleId="Zkladntext">
    <w:name w:val="Body Text"/>
    <w:basedOn w:val="Normlny"/>
    <w:rsid w:val="007E6F41"/>
    <w:rPr>
      <w:rFonts w:ascii="Arial" w:hAnsi="Arial"/>
      <w:u w:val="double"/>
    </w:rPr>
  </w:style>
  <w:style w:type="paragraph" w:styleId="Nzov">
    <w:name w:val="Title"/>
    <w:basedOn w:val="Normlny"/>
    <w:qFormat/>
    <w:rsid w:val="007E6F41"/>
    <w:pPr>
      <w:jc w:val="center"/>
    </w:pPr>
    <w:rPr>
      <w:rFonts w:ascii="Arial" w:hAnsi="Arial"/>
      <w:b/>
      <w:sz w:val="22"/>
    </w:rPr>
  </w:style>
  <w:style w:type="character" w:styleId="slostrany">
    <w:name w:val="page number"/>
    <w:basedOn w:val="Predvolenpsmoodseku"/>
    <w:rsid w:val="007E6F41"/>
  </w:style>
  <w:style w:type="paragraph" w:styleId="Hlavika">
    <w:name w:val="header"/>
    <w:basedOn w:val="Normlny"/>
    <w:link w:val="HlavikaChar"/>
    <w:uiPriority w:val="99"/>
    <w:rsid w:val="007E6F41"/>
    <w:pPr>
      <w:tabs>
        <w:tab w:val="center" w:pos="4536"/>
        <w:tab w:val="right" w:pos="9072"/>
      </w:tabs>
    </w:pPr>
    <w:rPr>
      <w:lang w:val="cs-CZ"/>
    </w:rPr>
  </w:style>
  <w:style w:type="paragraph" w:styleId="Zkladntext2">
    <w:name w:val="Body Text 2"/>
    <w:basedOn w:val="Normlny"/>
    <w:rsid w:val="007E6F41"/>
    <w:pPr>
      <w:jc w:val="both"/>
    </w:pPr>
    <w:rPr>
      <w:rFonts w:ascii="Arial" w:hAnsi="Arial"/>
    </w:rPr>
  </w:style>
  <w:style w:type="paragraph" w:styleId="Zkladntext3">
    <w:name w:val="Body Text 3"/>
    <w:basedOn w:val="Normlny"/>
    <w:rsid w:val="007E6F41"/>
    <w:rPr>
      <w:rFonts w:ascii="Arial" w:hAnsi="Arial"/>
      <w:color w:val="00FF00"/>
    </w:rPr>
  </w:style>
  <w:style w:type="paragraph" w:customStyle="1" w:styleId="Textbubliny1">
    <w:name w:val="Text bubliny1"/>
    <w:basedOn w:val="Normlny"/>
    <w:semiHidden/>
    <w:rsid w:val="007E6F41"/>
    <w:rPr>
      <w:rFonts w:ascii="Tahoma" w:hAnsi="Tahoma" w:cs="Tahoma"/>
      <w:sz w:val="16"/>
      <w:szCs w:val="16"/>
    </w:rPr>
  </w:style>
  <w:style w:type="character" w:styleId="Odkaznakomentr">
    <w:name w:val="annotation reference"/>
    <w:semiHidden/>
    <w:rsid w:val="007E6F41"/>
    <w:rPr>
      <w:sz w:val="16"/>
      <w:szCs w:val="16"/>
    </w:rPr>
  </w:style>
  <w:style w:type="paragraph" w:styleId="Textkomentra">
    <w:name w:val="annotation text"/>
    <w:basedOn w:val="Normlny"/>
    <w:link w:val="TextkomentraChar"/>
    <w:semiHidden/>
    <w:rsid w:val="007E6F41"/>
  </w:style>
  <w:style w:type="paragraph" w:customStyle="1" w:styleId="Predmetkomentra1">
    <w:name w:val="Predmet komentára1"/>
    <w:basedOn w:val="Textkomentra"/>
    <w:next w:val="Textkomentra"/>
    <w:semiHidden/>
    <w:rsid w:val="007E6F41"/>
    <w:rPr>
      <w:b/>
      <w:bCs/>
    </w:rPr>
  </w:style>
  <w:style w:type="paragraph" w:customStyle="1" w:styleId="Textbubliny2">
    <w:name w:val="Text bubliny2"/>
    <w:basedOn w:val="Normlny"/>
    <w:semiHidden/>
    <w:rsid w:val="007E6F41"/>
    <w:rPr>
      <w:rFonts w:ascii="Tahoma" w:hAnsi="Tahoma" w:cs="Tahoma"/>
      <w:sz w:val="16"/>
      <w:szCs w:val="16"/>
    </w:rPr>
  </w:style>
  <w:style w:type="paragraph" w:styleId="Textbubliny">
    <w:name w:val="Balloon Text"/>
    <w:basedOn w:val="Normlny"/>
    <w:semiHidden/>
    <w:rsid w:val="008E712D"/>
    <w:rPr>
      <w:rFonts w:ascii="Tahoma" w:hAnsi="Tahoma" w:cs="Tahoma"/>
      <w:sz w:val="16"/>
      <w:szCs w:val="16"/>
    </w:rPr>
  </w:style>
  <w:style w:type="paragraph" w:styleId="Revzia">
    <w:name w:val="Revision"/>
    <w:hidden/>
    <w:uiPriority w:val="99"/>
    <w:semiHidden/>
    <w:rsid w:val="00471C07"/>
    <w:rPr>
      <w:lang w:val="cs-CZ"/>
    </w:rPr>
  </w:style>
  <w:style w:type="table" w:styleId="Mriekatabuky">
    <w:name w:val="Table Grid"/>
    <w:basedOn w:val="Normlnatabuka"/>
    <w:rsid w:val="00A6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482F33"/>
    <w:rPr>
      <w:color w:val="0000FF"/>
      <w:u w:val="single"/>
    </w:rPr>
  </w:style>
  <w:style w:type="character" w:customStyle="1" w:styleId="HlavikaChar">
    <w:name w:val="Hlavička Char"/>
    <w:link w:val="Hlavika"/>
    <w:uiPriority w:val="99"/>
    <w:rsid w:val="00E84240"/>
    <w:rPr>
      <w:lang w:val="cs-CZ"/>
    </w:rPr>
  </w:style>
  <w:style w:type="character" w:customStyle="1" w:styleId="PtaChar">
    <w:name w:val="Päta Char"/>
    <w:link w:val="Pta"/>
    <w:uiPriority w:val="99"/>
    <w:rsid w:val="00BA12EE"/>
    <w:rPr>
      <w:rFonts w:ascii="Times" w:hAnsi="Times"/>
      <w:lang w:val="cs-CZ"/>
    </w:rPr>
  </w:style>
  <w:style w:type="paragraph" w:customStyle="1" w:styleId="Default">
    <w:name w:val="Default"/>
    <w:uiPriority w:val="99"/>
    <w:rsid w:val="00197AC6"/>
    <w:pPr>
      <w:widowControl w:val="0"/>
      <w:autoSpaceDE w:val="0"/>
      <w:autoSpaceDN w:val="0"/>
      <w:adjustRightInd w:val="0"/>
    </w:pPr>
    <w:rPr>
      <w:rFonts w:ascii="Calibri" w:hAnsi="Calibri" w:cs="Calibri"/>
      <w:color w:val="000000"/>
      <w:sz w:val="24"/>
      <w:szCs w:val="24"/>
      <w:lang w:val="en-US" w:eastAsia="en-US"/>
    </w:rPr>
  </w:style>
  <w:style w:type="character" w:customStyle="1" w:styleId="apple-converted-space">
    <w:name w:val="apple-converted-space"/>
    <w:rsid w:val="00E667B4"/>
  </w:style>
  <w:style w:type="character" w:styleId="Zvraznenie">
    <w:name w:val="Emphasis"/>
    <w:uiPriority w:val="20"/>
    <w:qFormat/>
    <w:rsid w:val="00F3082A"/>
    <w:rPr>
      <w:i/>
      <w:iCs/>
    </w:rPr>
  </w:style>
  <w:style w:type="paragraph" w:styleId="Predmetkomentra">
    <w:name w:val="annotation subject"/>
    <w:basedOn w:val="Textkomentra"/>
    <w:next w:val="Textkomentra"/>
    <w:link w:val="PredmetkomentraChar"/>
    <w:rsid w:val="002A3BAD"/>
    <w:rPr>
      <w:b/>
      <w:bCs/>
    </w:rPr>
  </w:style>
  <w:style w:type="character" w:customStyle="1" w:styleId="TextkomentraChar">
    <w:name w:val="Text komentára Char"/>
    <w:basedOn w:val="Predvolenpsmoodseku"/>
    <w:link w:val="Textkomentra"/>
    <w:semiHidden/>
    <w:rsid w:val="002A3BAD"/>
  </w:style>
  <w:style w:type="character" w:customStyle="1" w:styleId="PredmetkomentraChar">
    <w:name w:val="Predmet komentára Char"/>
    <w:basedOn w:val="TextkomentraChar"/>
    <w:link w:val="Predmetkomentra"/>
    <w:rsid w:val="002A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399">
      <w:bodyDiv w:val="1"/>
      <w:marLeft w:val="0"/>
      <w:marRight w:val="0"/>
      <w:marTop w:val="0"/>
      <w:marBottom w:val="0"/>
      <w:divBdr>
        <w:top w:val="none" w:sz="0" w:space="0" w:color="auto"/>
        <w:left w:val="none" w:sz="0" w:space="0" w:color="auto"/>
        <w:bottom w:val="none" w:sz="0" w:space="0" w:color="auto"/>
        <w:right w:val="none" w:sz="0" w:space="0" w:color="auto"/>
      </w:divBdr>
    </w:div>
    <w:div w:id="15864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8E7B-FD5C-4A30-B8A6-C1E4E4D4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31741</Characters>
  <Application>Microsoft Office Word</Application>
  <DocSecurity>0</DocSecurity>
  <Lines>264</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Příloha č</vt:lpstr>
      <vt:lpstr>Příloha č</vt:lpstr>
    </vt:vector>
  </TitlesOfParts>
  <Company>GlaxoSmithKline</Company>
  <LinksUpToDate>false</LinksUpToDate>
  <CharactersWithSpaces>37235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Windows 98</dc:creator>
  <cp:keywords/>
  <cp:lastModifiedBy>zuzana molnarova</cp:lastModifiedBy>
  <cp:revision>3</cp:revision>
  <cp:lastPrinted>2009-01-28T07:22:00Z</cp:lastPrinted>
  <dcterms:created xsi:type="dcterms:W3CDTF">2019-11-21T07:21:00Z</dcterms:created>
  <dcterms:modified xsi:type="dcterms:W3CDTF">2019-11-21T07:21:00Z</dcterms:modified>
</cp:coreProperties>
</file>