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3F274" w14:textId="77777777" w:rsidR="0011060D" w:rsidRPr="00502EF9" w:rsidRDefault="0011060D" w:rsidP="0011060D">
      <w:pPr>
        <w:widowControl w:val="0"/>
        <w:jc w:val="center"/>
        <w:rPr>
          <w:b/>
          <w:bCs/>
          <w:iCs/>
          <w:noProof/>
          <w:color w:val="000000"/>
          <w:szCs w:val="20"/>
          <w:lang w:val="sk-SK"/>
        </w:rPr>
      </w:pPr>
      <w:r w:rsidRPr="00502EF9">
        <w:rPr>
          <w:b/>
          <w:bCs/>
          <w:iCs/>
          <w:noProof/>
          <w:color w:val="000000"/>
          <w:szCs w:val="20"/>
          <w:lang w:val="sk-SK"/>
        </w:rPr>
        <w:t>SÚHRN CHARAKTERISTICKÝCH VLASTNOSTÍ LIEKU</w:t>
      </w:r>
    </w:p>
    <w:p w14:paraId="5F391A24" w14:textId="77777777" w:rsidR="006C27DB" w:rsidRPr="00502EF9" w:rsidRDefault="006C27DB" w:rsidP="00651AE8">
      <w:pPr>
        <w:widowControl w:val="0"/>
        <w:spacing w:line="360" w:lineRule="auto"/>
        <w:rPr>
          <w:noProof/>
          <w:lang w:val="sk-SK"/>
        </w:rPr>
      </w:pPr>
    </w:p>
    <w:p w14:paraId="4FB1955D" w14:textId="77777777" w:rsidR="000B75DD" w:rsidRPr="00502EF9" w:rsidRDefault="000B75DD" w:rsidP="00651AE8">
      <w:pPr>
        <w:widowControl w:val="0"/>
        <w:spacing w:line="360" w:lineRule="auto"/>
        <w:rPr>
          <w:noProof/>
          <w:lang w:val="sk-SK"/>
        </w:rPr>
      </w:pPr>
    </w:p>
    <w:p w14:paraId="2CACB44A" w14:textId="17C29D0A" w:rsidR="00281402" w:rsidRDefault="00281402" w:rsidP="00E57B03">
      <w:pPr>
        <w:autoSpaceDE w:val="0"/>
        <w:autoSpaceDN w:val="0"/>
        <w:adjustRightInd w:val="0"/>
        <w:spacing w:line="240" w:lineRule="auto"/>
        <w:rPr>
          <w:b/>
          <w:bCs/>
          <w:lang w:val="sk-SK"/>
        </w:rPr>
      </w:pPr>
      <w:r w:rsidRPr="00502EF9">
        <w:rPr>
          <w:b/>
          <w:bCs/>
          <w:lang w:val="sk-SK"/>
        </w:rPr>
        <w:t xml:space="preserve">1. </w:t>
      </w:r>
      <w:r w:rsidR="00E57B03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NÁZOV LIEKU</w:t>
      </w:r>
    </w:p>
    <w:p w14:paraId="776ED252" w14:textId="77777777" w:rsidR="00E57B03" w:rsidRPr="00502EF9" w:rsidRDefault="00E57B03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0FA70CAF" w14:textId="77777777" w:rsidR="00327043" w:rsidRDefault="00A23788" w:rsidP="00E57B03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>
        <w:rPr>
          <w:noProof/>
          <w:lang w:val="sk-SK"/>
        </w:rPr>
        <w:t>Ampres</w:t>
      </w:r>
      <w:r w:rsidR="00A8656F" w:rsidRPr="00502EF9">
        <w:rPr>
          <w:noProof/>
          <w:lang w:val="sk-SK"/>
        </w:rPr>
        <w:t xml:space="preserve"> 10 mg/ml </w:t>
      </w:r>
    </w:p>
    <w:p w14:paraId="788D5338" w14:textId="169E53B1" w:rsidR="00281402" w:rsidRPr="00502EF9" w:rsidRDefault="00A8656F" w:rsidP="00E57B03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502EF9">
        <w:rPr>
          <w:noProof/>
          <w:lang w:val="sk-SK"/>
        </w:rPr>
        <w:t>injekčný roztok</w:t>
      </w:r>
      <w:bookmarkStart w:id="0" w:name="_GoBack"/>
      <w:bookmarkEnd w:id="0"/>
    </w:p>
    <w:p w14:paraId="60BE9177" w14:textId="77777777" w:rsidR="00FB3E14" w:rsidRPr="00502EF9" w:rsidRDefault="00FB3E14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654523E7" w14:textId="77777777" w:rsidR="000B75DD" w:rsidRPr="00502EF9" w:rsidRDefault="000B75DD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09DF6178" w14:textId="7BF29656" w:rsidR="00281402" w:rsidRDefault="00281402" w:rsidP="00E57B03">
      <w:pPr>
        <w:autoSpaceDE w:val="0"/>
        <w:autoSpaceDN w:val="0"/>
        <w:adjustRightInd w:val="0"/>
        <w:spacing w:line="240" w:lineRule="auto"/>
        <w:rPr>
          <w:b/>
          <w:bCs/>
          <w:lang w:val="sk-SK"/>
        </w:rPr>
      </w:pPr>
      <w:r w:rsidRPr="00502EF9">
        <w:rPr>
          <w:b/>
          <w:bCs/>
          <w:lang w:val="sk-SK"/>
        </w:rPr>
        <w:t xml:space="preserve">2. </w:t>
      </w:r>
      <w:r w:rsidR="00E57B03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KVALITATÍVNE A KVANTITATÍVNE ZLOŽENIE</w:t>
      </w:r>
    </w:p>
    <w:p w14:paraId="247E6D23" w14:textId="77777777" w:rsidR="00E57B03" w:rsidRPr="00502EF9" w:rsidRDefault="00E57B03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59AAE6E6" w14:textId="676A6C05" w:rsidR="00281402" w:rsidRPr="00502EF9" w:rsidRDefault="00281402" w:rsidP="00E57B03">
      <w:pPr>
        <w:tabs>
          <w:tab w:val="left" w:pos="9639"/>
        </w:tabs>
        <w:spacing w:line="240" w:lineRule="auto"/>
        <w:jc w:val="both"/>
        <w:rPr>
          <w:lang w:val="sk-SK"/>
        </w:rPr>
      </w:pPr>
      <w:r w:rsidRPr="00502EF9">
        <w:rPr>
          <w:lang w:val="sk-SK"/>
        </w:rPr>
        <w:t xml:space="preserve">1 ml injekčného roztoku obsahuje 10 mg </w:t>
      </w:r>
      <w:proofErr w:type="spellStart"/>
      <w:r w:rsidRPr="00502EF9">
        <w:rPr>
          <w:lang w:val="sk-SK"/>
        </w:rPr>
        <w:t>chlórprokaín</w:t>
      </w:r>
      <w:r w:rsidR="00E57B03">
        <w:rPr>
          <w:lang w:val="sk-SK"/>
        </w:rPr>
        <w:t>ium</w:t>
      </w:r>
      <w:proofErr w:type="spellEnd"/>
      <w:r w:rsidR="00E57B03">
        <w:rPr>
          <w:lang w:val="sk-SK"/>
        </w:rPr>
        <w:t>-</w:t>
      </w:r>
      <w:r w:rsidRPr="00502EF9">
        <w:rPr>
          <w:lang w:val="sk-SK"/>
        </w:rPr>
        <w:t>chloridu</w:t>
      </w:r>
      <w:r w:rsidR="00FC514C">
        <w:rPr>
          <w:lang w:val="sk-SK"/>
        </w:rPr>
        <w:t xml:space="preserve"> (</w:t>
      </w:r>
      <w:proofErr w:type="spellStart"/>
      <w:r w:rsidR="00FC514C">
        <w:rPr>
          <w:lang w:val="sk-SK"/>
        </w:rPr>
        <w:t>chlorprocaini</w:t>
      </w:r>
      <w:proofErr w:type="spellEnd"/>
      <w:r w:rsidR="00FC514C">
        <w:rPr>
          <w:lang w:val="sk-SK"/>
        </w:rPr>
        <w:t xml:space="preserve"> </w:t>
      </w:r>
      <w:proofErr w:type="spellStart"/>
      <w:r w:rsidR="00FC514C">
        <w:rPr>
          <w:lang w:val="sk-SK"/>
        </w:rPr>
        <w:t>hydrochloridum</w:t>
      </w:r>
      <w:proofErr w:type="spellEnd"/>
      <w:r w:rsidR="00FC514C">
        <w:rPr>
          <w:lang w:val="sk-SK"/>
        </w:rPr>
        <w:t>)</w:t>
      </w:r>
      <w:r w:rsidR="002C240E">
        <w:rPr>
          <w:lang w:val="sk-SK"/>
        </w:rPr>
        <w:t>.</w:t>
      </w:r>
    </w:p>
    <w:p w14:paraId="0C68E923" w14:textId="78BEDEA5" w:rsidR="00281402" w:rsidRPr="00502EF9" w:rsidRDefault="00281402" w:rsidP="00E57B03">
      <w:pPr>
        <w:tabs>
          <w:tab w:val="left" w:pos="9639"/>
        </w:tabs>
        <w:spacing w:line="240" w:lineRule="auto"/>
        <w:jc w:val="both"/>
        <w:rPr>
          <w:lang w:val="sk-SK"/>
        </w:rPr>
      </w:pPr>
      <w:r w:rsidRPr="00502EF9">
        <w:rPr>
          <w:lang w:val="sk-SK"/>
        </w:rPr>
        <w:t xml:space="preserve">1 ampulka s 5 ml roztoku obsahuje 50 mg </w:t>
      </w:r>
      <w:proofErr w:type="spellStart"/>
      <w:r w:rsidRPr="00502EF9">
        <w:rPr>
          <w:lang w:val="sk-SK"/>
        </w:rPr>
        <w:t>chlórprokaín</w:t>
      </w:r>
      <w:r w:rsidR="00E57B03">
        <w:rPr>
          <w:lang w:val="sk-SK"/>
        </w:rPr>
        <w:t>ium</w:t>
      </w:r>
      <w:proofErr w:type="spellEnd"/>
      <w:r w:rsidR="00E57B03">
        <w:rPr>
          <w:lang w:val="sk-SK"/>
        </w:rPr>
        <w:t>-</w:t>
      </w:r>
      <w:r w:rsidRPr="00502EF9">
        <w:rPr>
          <w:lang w:val="sk-SK"/>
        </w:rPr>
        <w:t>chloridu</w:t>
      </w:r>
      <w:r w:rsidR="00FC514C">
        <w:rPr>
          <w:lang w:val="sk-SK"/>
        </w:rPr>
        <w:t xml:space="preserve"> (</w:t>
      </w:r>
      <w:proofErr w:type="spellStart"/>
      <w:r w:rsidR="00FC514C">
        <w:rPr>
          <w:lang w:val="sk-SK"/>
        </w:rPr>
        <w:t>chlorprocaini</w:t>
      </w:r>
      <w:proofErr w:type="spellEnd"/>
      <w:r w:rsidR="00FC514C">
        <w:rPr>
          <w:lang w:val="sk-SK"/>
        </w:rPr>
        <w:t xml:space="preserve"> </w:t>
      </w:r>
      <w:proofErr w:type="spellStart"/>
      <w:r w:rsidR="00FC514C">
        <w:rPr>
          <w:lang w:val="sk-SK"/>
        </w:rPr>
        <w:t>hydrochloridum</w:t>
      </w:r>
      <w:proofErr w:type="spellEnd"/>
      <w:r w:rsidR="00FC514C">
        <w:rPr>
          <w:lang w:val="sk-SK"/>
        </w:rPr>
        <w:t>)</w:t>
      </w:r>
      <w:r w:rsidR="002C240E">
        <w:rPr>
          <w:lang w:val="sk-SK"/>
        </w:rPr>
        <w:t>.</w:t>
      </w:r>
    </w:p>
    <w:p w14:paraId="77EF860C" w14:textId="77777777" w:rsidR="00E57B03" w:rsidRDefault="00E57B03" w:rsidP="00E57B03">
      <w:pPr>
        <w:tabs>
          <w:tab w:val="left" w:pos="9639"/>
        </w:tabs>
        <w:spacing w:line="240" w:lineRule="auto"/>
        <w:jc w:val="both"/>
        <w:rPr>
          <w:lang w:val="sk-SK"/>
        </w:rPr>
      </w:pPr>
    </w:p>
    <w:p w14:paraId="2FC4A68D" w14:textId="4E4D08DF" w:rsidR="00281402" w:rsidRPr="00502EF9" w:rsidRDefault="00E57B03" w:rsidP="00E57B03">
      <w:pPr>
        <w:tabs>
          <w:tab w:val="left" w:pos="9639"/>
        </w:tabs>
        <w:spacing w:line="240" w:lineRule="auto"/>
        <w:jc w:val="both"/>
        <w:rPr>
          <w:lang w:val="sk-SK"/>
        </w:rPr>
      </w:pPr>
      <w:r>
        <w:rPr>
          <w:lang w:val="sk-SK"/>
        </w:rPr>
        <w:t>Pomocná látka</w:t>
      </w:r>
      <w:r w:rsidR="00281402" w:rsidRPr="00502EF9">
        <w:rPr>
          <w:lang w:val="sk-SK"/>
        </w:rPr>
        <w:t xml:space="preserve"> so známym účinkom:</w:t>
      </w:r>
    </w:p>
    <w:p w14:paraId="263649F6" w14:textId="4CFB11F7" w:rsidR="00281402" w:rsidRPr="00502EF9" w:rsidRDefault="00860556" w:rsidP="00E57B03">
      <w:pPr>
        <w:tabs>
          <w:tab w:val="left" w:pos="9639"/>
        </w:tabs>
        <w:spacing w:line="240" w:lineRule="auto"/>
        <w:jc w:val="both"/>
        <w:rPr>
          <w:lang w:val="sk-SK"/>
        </w:rPr>
      </w:pPr>
      <w:r w:rsidRPr="00502EF9">
        <w:rPr>
          <w:lang w:val="sk-SK"/>
        </w:rPr>
        <w:t>1 ml roztoku obsahuje 2,8 mg sodíka</w:t>
      </w:r>
      <w:r w:rsidR="002C240E">
        <w:rPr>
          <w:lang w:val="sk-SK"/>
        </w:rPr>
        <w:t>.</w:t>
      </w:r>
    </w:p>
    <w:p w14:paraId="7C5A414E" w14:textId="77777777" w:rsidR="00E57B03" w:rsidRDefault="00E57B03" w:rsidP="00E57B03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</w:p>
    <w:p w14:paraId="0BC03AF0" w14:textId="77777777" w:rsidR="00281402" w:rsidRPr="00502EF9" w:rsidRDefault="00C54C0C" w:rsidP="00E57B03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502EF9">
        <w:rPr>
          <w:noProof/>
          <w:lang w:val="sk-SK"/>
        </w:rPr>
        <w:t>Úplný zoznam pomocných látok, pozri časť 6.1.</w:t>
      </w:r>
    </w:p>
    <w:p w14:paraId="68A1B11F" w14:textId="77777777" w:rsidR="00FB3E14" w:rsidRPr="00502EF9" w:rsidRDefault="00FB3E14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287F2F5C" w14:textId="77777777" w:rsidR="000B75DD" w:rsidRPr="00502EF9" w:rsidRDefault="000B75DD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1E14EB59" w14:textId="2D883590" w:rsidR="00281402" w:rsidRPr="00502EF9" w:rsidRDefault="000B75DD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3. </w:t>
      </w:r>
      <w:r w:rsidR="00E57B03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LIEKOVÁ FORMA</w:t>
      </w:r>
    </w:p>
    <w:p w14:paraId="5D7BA243" w14:textId="77777777" w:rsidR="00E57B03" w:rsidRDefault="00E57B03" w:rsidP="00E57B03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</w:p>
    <w:p w14:paraId="23957D31" w14:textId="31B2E078" w:rsidR="0049626B" w:rsidRPr="00502EF9" w:rsidRDefault="000B75DD" w:rsidP="00E57B03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502EF9">
        <w:rPr>
          <w:noProof/>
          <w:lang w:val="sk-SK"/>
        </w:rPr>
        <w:t>Injekčný roztok.</w:t>
      </w:r>
    </w:p>
    <w:p w14:paraId="38F07BB2" w14:textId="77777777" w:rsidR="00281402" w:rsidRPr="00502EF9" w:rsidRDefault="00281402" w:rsidP="00E57B03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502EF9">
        <w:rPr>
          <w:noProof/>
          <w:lang w:val="sk-SK"/>
        </w:rPr>
        <w:t>Číry, bezfarebný roztok.</w:t>
      </w:r>
    </w:p>
    <w:p w14:paraId="7CC62CA8" w14:textId="77777777" w:rsidR="00FB3E14" w:rsidRPr="00502EF9" w:rsidRDefault="00FB3E14" w:rsidP="00E57B03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</w:p>
    <w:p w14:paraId="59AC36CB" w14:textId="1C2D7160" w:rsidR="008242E7" w:rsidRPr="00502EF9" w:rsidRDefault="008242E7" w:rsidP="00E57B03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 w:rsidRPr="00502EF9">
        <w:rPr>
          <w:noProof/>
          <w:lang w:val="sk-SK"/>
        </w:rPr>
        <w:t>pH roztoku je medzi 3,0 a 4,0.</w:t>
      </w:r>
    </w:p>
    <w:p w14:paraId="3EBEFD10" w14:textId="453DB74E" w:rsidR="008242E7" w:rsidRPr="00502EF9" w:rsidRDefault="00E57B03" w:rsidP="00E57B03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  <w:r>
        <w:rPr>
          <w:noProof/>
          <w:lang w:val="sk-SK"/>
        </w:rPr>
        <w:t>Osmolalita</w:t>
      </w:r>
      <w:r w:rsidR="00750357" w:rsidRPr="00502EF9">
        <w:rPr>
          <w:noProof/>
          <w:lang w:val="sk-SK"/>
        </w:rPr>
        <w:t xml:space="preserve"> roztoku je </w:t>
      </w:r>
      <w:r>
        <w:rPr>
          <w:noProof/>
          <w:lang w:val="sk-SK"/>
        </w:rPr>
        <w:t>v rozmedzí</w:t>
      </w:r>
      <w:r w:rsidR="00750357" w:rsidRPr="00502EF9">
        <w:rPr>
          <w:noProof/>
          <w:lang w:val="sk-SK"/>
        </w:rPr>
        <w:t xml:space="preserve"> 270 – 300 mOsm/kg.</w:t>
      </w:r>
    </w:p>
    <w:p w14:paraId="3FFF1732" w14:textId="77777777" w:rsidR="008242E7" w:rsidRPr="00502EF9" w:rsidRDefault="008242E7" w:rsidP="00E57B03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</w:p>
    <w:p w14:paraId="3248991D" w14:textId="77777777" w:rsidR="000B75DD" w:rsidRPr="00502EF9" w:rsidRDefault="000B75DD" w:rsidP="00E57B03">
      <w:pPr>
        <w:autoSpaceDE w:val="0"/>
        <w:autoSpaceDN w:val="0"/>
        <w:adjustRightInd w:val="0"/>
        <w:spacing w:line="240" w:lineRule="auto"/>
        <w:rPr>
          <w:noProof/>
          <w:lang w:val="sk-SK"/>
        </w:rPr>
      </w:pPr>
    </w:p>
    <w:p w14:paraId="38299E79" w14:textId="6BADFCDB" w:rsidR="00281402" w:rsidRDefault="000B75DD" w:rsidP="00E57B03">
      <w:pPr>
        <w:autoSpaceDE w:val="0"/>
        <w:autoSpaceDN w:val="0"/>
        <w:adjustRightInd w:val="0"/>
        <w:spacing w:line="240" w:lineRule="auto"/>
        <w:rPr>
          <w:b/>
          <w:bCs/>
          <w:lang w:val="sk-SK"/>
        </w:rPr>
      </w:pPr>
      <w:r w:rsidRPr="00502EF9">
        <w:rPr>
          <w:b/>
          <w:bCs/>
          <w:lang w:val="sk-SK"/>
        </w:rPr>
        <w:t xml:space="preserve">4. </w:t>
      </w:r>
      <w:r w:rsidR="00E57B03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KLINICKÉ ÚDAJE</w:t>
      </w:r>
    </w:p>
    <w:p w14:paraId="4853EC6B" w14:textId="77777777" w:rsidR="00E57B03" w:rsidRPr="00502EF9" w:rsidRDefault="00E57B03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2FB16279" w14:textId="0CCA4F61" w:rsidR="00281402" w:rsidRPr="00502EF9" w:rsidRDefault="000B75DD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4.1 </w:t>
      </w:r>
      <w:r w:rsidR="00E57B03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Terapeutické indikácie</w:t>
      </w:r>
    </w:p>
    <w:p w14:paraId="56A196D7" w14:textId="77777777" w:rsidR="00E57B03" w:rsidRDefault="00E57B03" w:rsidP="00E57B03">
      <w:pPr>
        <w:spacing w:line="240" w:lineRule="auto"/>
        <w:jc w:val="both"/>
        <w:rPr>
          <w:lang w:val="sk-SK"/>
        </w:rPr>
      </w:pPr>
    </w:p>
    <w:p w14:paraId="431B7F9E" w14:textId="7304364D" w:rsidR="00F84C88" w:rsidRPr="00502EF9" w:rsidRDefault="00C90085" w:rsidP="00137E40">
      <w:pPr>
        <w:spacing w:line="240" w:lineRule="auto"/>
        <w:rPr>
          <w:lang w:val="sk-SK"/>
        </w:rPr>
      </w:pPr>
      <w:proofErr w:type="spellStart"/>
      <w:r w:rsidRPr="00502EF9">
        <w:rPr>
          <w:lang w:val="sk-SK"/>
        </w:rPr>
        <w:t>Spinálna</w:t>
      </w:r>
      <w:proofErr w:type="spellEnd"/>
      <w:r w:rsidRPr="00502EF9">
        <w:rPr>
          <w:lang w:val="sk-SK"/>
        </w:rPr>
        <w:t xml:space="preserve"> anestézia u dospelých, kedy plánovaný chirurgický zákrok nem</w:t>
      </w:r>
      <w:r w:rsidR="002C240E">
        <w:rPr>
          <w:lang w:val="sk-SK"/>
        </w:rPr>
        <w:t>á</w:t>
      </w:r>
      <w:r w:rsidRPr="00502EF9">
        <w:rPr>
          <w:lang w:val="sk-SK"/>
        </w:rPr>
        <w:t xml:space="preserve"> trvať dlhšie ako 40 minút.</w:t>
      </w:r>
    </w:p>
    <w:p w14:paraId="10FBAB11" w14:textId="77777777" w:rsidR="00A16DB0" w:rsidRPr="00502EF9" w:rsidRDefault="00A16DB0" w:rsidP="00E57B03">
      <w:pPr>
        <w:spacing w:line="240" w:lineRule="auto"/>
        <w:jc w:val="both"/>
        <w:rPr>
          <w:lang w:val="sk-SK"/>
        </w:rPr>
      </w:pPr>
    </w:p>
    <w:p w14:paraId="21DE5669" w14:textId="4364DFD4" w:rsidR="00281402" w:rsidRPr="00502EF9" w:rsidRDefault="00281402" w:rsidP="00137E40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4.2 </w:t>
      </w:r>
      <w:r w:rsidR="00137E40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Dávkovanie a spôsob podávania</w:t>
      </w:r>
    </w:p>
    <w:p w14:paraId="17F22067" w14:textId="77777777" w:rsidR="00137E40" w:rsidRDefault="00137E40" w:rsidP="00E57B03">
      <w:pPr>
        <w:spacing w:line="240" w:lineRule="auto"/>
        <w:jc w:val="both"/>
        <w:rPr>
          <w:lang w:val="sk-SK"/>
        </w:rPr>
      </w:pPr>
    </w:p>
    <w:p w14:paraId="64D405B4" w14:textId="3EBFE454" w:rsidR="00ED419E" w:rsidRPr="00502EF9" w:rsidRDefault="00A8656F" w:rsidP="00137E40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Vybavenie, lieky a personál schopný zvládnuť núdzové situácie, napr. udržanie priechodnosti dýchacích ciest a podávanie kyslíka, musia byť okamžite k dispozícii, pretože v zriedkavých prípadoch boli po použití lokálnych anestetík hlásené závažné reakcie, niekedy s fatálnym dôsledkom, a to aj v prípade, že v anamnéze pacienta nebola uvedená individuálna precitlivenosť. Ošetrujúci lekár je zodpovedný za prijatie potrebných opatrení, aby sa zabránilo </w:t>
      </w:r>
      <w:proofErr w:type="spellStart"/>
      <w:r w:rsidRPr="00502EF9">
        <w:rPr>
          <w:lang w:val="sk-SK"/>
        </w:rPr>
        <w:t>intravaskulárnej</w:t>
      </w:r>
      <w:proofErr w:type="spellEnd"/>
      <w:r w:rsidRPr="00502EF9">
        <w:rPr>
          <w:lang w:val="sk-SK"/>
        </w:rPr>
        <w:t xml:space="preserve"> injekcii, pričom m</w:t>
      </w:r>
      <w:r w:rsidR="002C240E">
        <w:rPr>
          <w:lang w:val="sk-SK"/>
        </w:rPr>
        <w:t>á</w:t>
      </w:r>
      <w:r w:rsidRPr="00502EF9">
        <w:rPr>
          <w:lang w:val="sk-SK"/>
        </w:rPr>
        <w:t xml:space="preserve"> byť riadne vyškolený v </w:t>
      </w:r>
      <w:r w:rsidR="003E6010">
        <w:rPr>
          <w:lang w:val="sk-SK"/>
        </w:rPr>
        <w:t>urgentnej</w:t>
      </w:r>
      <w:r w:rsidRPr="00502EF9">
        <w:rPr>
          <w:lang w:val="sk-SK"/>
        </w:rPr>
        <w:t xml:space="preserve"> medicíne a resuscitácii, aby bol pripravený zabrániť a liečiť vedľajšie účinky a komplikácie zákroku.</w:t>
      </w:r>
    </w:p>
    <w:p w14:paraId="063A9E18" w14:textId="77777777" w:rsidR="00A8656F" w:rsidRPr="00502EF9" w:rsidRDefault="00A8656F" w:rsidP="00E57B03">
      <w:pPr>
        <w:autoSpaceDE w:val="0"/>
        <w:autoSpaceDN w:val="0"/>
        <w:adjustRightInd w:val="0"/>
        <w:spacing w:line="240" w:lineRule="auto"/>
        <w:rPr>
          <w:u w:val="single"/>
          <w:lang w:val="sk-SK"/>
        </w:rPr>
      </w:pPr>
    </w:p>
    <w:p w14:paraId="69A5CC90" w14:textId="3C6BE1B3" w:rsidR="00281402" w:rsidRPr="00502EF9" w:rsidRDefault="000B75DD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u w:val="single"/>
          <w:lang w:val="sk-SK"/>
        </w:rPr>
        <w:t>Dávkovanie</w:t>
      </w:r>
    </w:p>
    <w:p w14:paraId="3ED1DB05" w14:textId="77777777" w:rsidR="00137E40" w:rsidRDefault="00137E40" w:rsidP="00E57B03">
      <w:pPr>
        <w:spacing w:line="240" w:lineRule="auto"/>
        <w:jc w:val="both"/>
        <w:rPr>
          <w:lang w:val="sk-SK"/>
        </w:rPr>
      </w:pPr>
    </w:p>
    <w:p w14:paraId="18A5A906" w14:textId="30EDC04C" w:rsidR="00281402" w:rsidRPr="00502EF9" w:rsidRDefault="00281402" w:rsidP="00137E40">
      <w:pPr>
        <w:spacing w:line="240" w:lineRule="auto"/>
        <w:rPr>
          <w:lang w:val="sk-SK"/>
        </w:rPr>
      </w:pPr>
      <w:r w:rsidRPr="00502EF9">
        <w:rPr>
          <w:lang w:val="sk-SK"/>
        </w:rPr>
        <w:t>Dávkovanie musí byť stanovené individuálne na základe charakteristík špecifického prípadu. Pri stanovení dávky je potrebné vziať do úvahy fyzický stav pacienta a súčasné podávanie iných liekov.</w:t>
      </w:r>
    </w:p>
    <w:p w14:paraId="2652168F" w14:textId="124B9E99" w:rsidR="00281402" w:rsidRPr="00502EF9" w:rsidRDefault="00281402" w:rsidP="00E57B03">
      <w:pPr>
        <w:spacing w:line="240" w:lineRule="auto"/>
        <w:jc w:val="both"/>
        <w:rPr>
          <w:lang w:val="sk-SK"/>
        </w:rPr>
      </w:pPr>
    </w:p>
    <w:p w14:paraId="36383B73" w14:textId="71BA7173" w:rsidR="00281402" w:rsidRPr="00502EF9" w:rsidRDefault="00281402" w:rsidP="00137E40">
      <w:pPr>
        <w:spacing w:line="240" w:lineRule="auto"/>
        <w:rPr>
          <w:i/>
          <w:iCs/>
          <w:lang w:val="sk-SK"/>
        </w:rPr>
      </w:pPr>
      <w:r w:rsidRPr="00502EF9">
        <w:rPr>
          <w:lang w:val="sk-SK"/>
        </w:rPr>
        <w:t>Indikácie týkajúce sa odporúčaných dávok platia u dospelých s priemernou výškou a telesnou hmotnosťou (približne 70 kg) pre vyvolanie účinnej blokády pri jednorazovom podaní. S ohľadom na rozsah a dĺžku trvania účinku existujú veľké individuálne rozdiely. Skúsenosti anestéziológa a znalosť celkového zdravotného stavu pacienta sú podstatné pre stanovenie dávky.</w:t>
      </w:r>
    </w:p>
    <w:p w14:paraId="7549E652" w14:textId="77777777" w:rsidR="00137E40" w:rsidRDefault="00137E40" w:rsidP="00E57B03">
      <w:pPr>
        <w:spacing w:line="240" w:lineRule="auto"/>
        <w:jc w:val="both"/>
        <w:rPr>
          <w:lang w:val="sk-SK"/>
        </w:rPr>
      </w:pPr>
    </w:p>
    <w:p w14:paraId="264D79E7" w14:textId="2DD23BB9" w:rsidR="00281402" w:rsidRPr="00502EF9" w:rsidRDefault="00281402" w:rsidP="00E57B03">
      <w:pPr>
        <w:spacing w:line="240" w:lineRule="auto"/>
        <w:jc w:val="both"/>
        <w:rPr>
          <w:lang w:val="sk-SK"/>
        </w:rPr>
      </w:pPr>
      <w:r w:rsidRPr="00502EF9">
        <w:rPr>
          <w:lang w:val="sk-SK"/>
        </w:rPr>
        <w:t>Pr</w:t>
      </w:r>
      <w:r w:rsidR="00137E40">
        <w:rPr>
          <w:lang w:val="sk-SK"/>
        </w:rPr>
        <w:t>e dávkovanie</w:t>
      </w:r>
      <w:r w:rsidRPr="00502EF9">
        <w:rPr>
          <w:lang w:val="sk-SK"/>
        </w:rPr>
        <w:t xml:space="preserve"> </w:t>
      </w:r>
      <w:r w:rsidR="00137E40">
        <w:rPr>
          <w:lang w:val="sk-SK"/>
        </w:rPr>
        <w:t>platia</w:t>
      </w:r>
      <w:r w:rsidRPr="00502EF9">
        <w:rPr>
          <w:lang w:val="sk-SK"/>
        </w:rPr>
        <w:t xml:space="preserve"> nasledujúce pravidlá:</w:t>
      </w:r>
    </w:p>
    <w:p w14:paraId="054A6591" w14:textId="77777777" w:rsidR="00FB3E14" w:rsidRPr="00502EF9" w:rsidRDefault="00FB3E14" w:rsidP="00E57B03">
      <w:pPr>
        <w:spacing w:line="240" w:lineRule="auto"/>
        <w:jc w:val="both"/>
        <w:rPr>
          <w:i/>
          <w:noProof/>
          <w:lang w:val="sk-SK"/>
        </w:rPr>
      </w:pPr>
    </w:p>
    <w:p w14:paraId="12272C91" w14:textId="77777777" w:rsidR="00281402" w:rsidRPr="00502EF9" w:rsidRDefault="00281402" w:rsidP="00E57B03">
      <w:pPr>
        <w:spacing w:line="240" w:lineRule="auto"/>
        <w:jc w:val="both"/>
        <w:rPr>
          <w:i/>
          <w:noProof/>
          <w:lang w:val="sk-SK"/>
        </w:rPr>
      </w:pPr>
      <w:r w:rsidRPr="00502EF9">
        <w:rPr>
          <w:i/>
          <w:noProof/>
          <w:lang w:val="sk-SK"/>
        </w:rPr>
        <w:t>Dávkovanie pre dospelých</w:t>
      </w: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717"/>
        <w:gridCol w:w="1680"/>
        <w:gridCol w:w="2273"/>
      </w:tblGrid>
      <w:tr w:rsidR="00281402" w:rsidRPr="00DE61B3" w14:paraId="1977385E" w14:textId="77777777">
        <w:trPr>
          <w:cantSplit/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575B2" w14:textId="507C1A5D" w:rsidR="00281402" w:rsidRPr="00502EF9" w:rsidRDefault="00137E40" w:rsidP="00E57B03">
            <w:pPr>
              <w:spacing w:line="240" w:lineRule="auto"/>
              <w:ind w:left="80"/>
              <w:jc w:val="center"/>
              <w:rPr>
                <w:i/>
                <w:iCs/>
                <w:lang w:val="sk-SK"/>
              </w:rPr>
            </w:pPr>
            <w:r>
              <w:rPr>
                <w:i/>
                <w:iCs/>
                <w:lang w:val="sk-SK"/>
              </w:rPr>
              <w:t>P</w:t>
            </w:r>
            <w:r w:rsidR="00281402" w:rsidRPr="00502EF9">
              <w:rPr>
                <w:i/>
                <w:iCs/>
                <w:lang w:val="sk-SK"/>
              </w:rPr>
              <w:t xml:space="preserve">redĺženie </w:t>
            </w:r>
            <w:r>
              <w:rPr>
                <w:i/>
                <w:iCs/>
                <w:lang w:val="sk-SK"/>
              </w:rPr>
              <w:t xml:space="preserve">potrebnej </w:t>
            </w:r>
            <w:r w:rsidR="00281402" w:rsidRPr="00502EF9">
              <w:rPr>
                <w:i/>
                <w:iCs/>
                <w:lang w:val="sk-SK"/>
              </w:rPr>
              <w:t>senzorickej blokády T10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D7ED" w14:textId="77777777" w:rsidR="00281402" w:rsidRPr="00502EF9" w:rsidRDefault="00281402" w:rsidP="00E57B03">
            <w:pPr>
              <w:spacing w:line="240" w:lineRule="auto"/>
              <w:ind w:left="80"/>
              <w:jc w:val="center"/>
              <w:rPr>
                <w:i/>
                <w:iCs/>
                <w:lang w:val="sk-SK"/>
              </w:rPr>
            </w:pPr>
            <w:r w:rsidRPr="00502EF9">
              <w:rPr>
                <w:i/>
                <w:iCs/>
                <w:lang w:val="sk-SK"/>
              </w:rPr>
              <w:t>ml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63A9" w14:textId="77777777" w:rsidR="00281402" w:rsidRPr="00502EF9" w:rsidRDefault="00281402" w:rsidP="00E57B03">
            <w:pPr>
              <w:spacing w:line="240" w:lineRule="auto"/>
              <w:ind w:left="106"/>
              <w:jc w:val="center"/>
              <w:rPr>
                <w:i/>
                <w:iCs/>
                <w:lang w:val="sk-SK"/>
              </w:rPr>
            </w:pPr>
            <w:r w:rsidRPr="00502EF9">
              <w:rPr>
                <w:i/>
                <w:iCs/>
                <w:lang w:val="sk-SK"/>
              </w:rPr>
              <w:t>mg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0596" w14:textId="77777777" w:rsidR="00281402" w:rsidRPr="00502EF9" w:rsidRDefault="00281402" w:rsidP="00E57B03">
            <w:pPr>
              <w:spacing w:line="240" w:lineRule="auto"/>
              <w:ind w:left="106"/>
              <w:jc w:val="center"/>
              <w:rPr>
                <w:i/>
                <w:iCs/>
                <w:lang w:val="sk-SK"/>
              </w:rPr>
            </w:pPr>
            <w:r w:rsidRPr="00502EF9">
              <w:rPr>
                <w:i/>
                <w:iCs/>
                <w:lang w:val="sk-SK"/>
              </w:rPr>
              <w:t>Priemerná dĺžka trvania účinku (minúty)</w:t>
            </w:r>
          </w:p>
        </w:tc>
      </w:tr>
      <w:tr w:rsidR="00281402" w:rsidRPr="00502EF9" w14:paraId="3641A487" w14:textId="77777777" w:rsidTr="00137E40">
        <w:trPr>
          <w:cantSplit/>
          <w:trHeight w:val="749"/>
        </w:trPr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BA1EC8" w14:textId="77777777" w:rsidR="00281402" w:rsidRPr="00502EF9" w:rsidRDefault="00281402" w:rsidP="00E57B03">
            <w:pPr>
              <w:spacing w:line="240" w:lineRule="auto"/>
              <w:ind w:left="80"/>
              <w:jc w:val="center"/>
              <w:rPr>
                <w:lang w:val="sk-SK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3B8DB6" w14:textId="77777777" w:rsidR="00281402" w:rsidRPr="00502EF9" w:rsidRDefault="00281402" w:rsidP="00E57B03">
            <w:pPr>
              <w:spacing w:line="240" w:lineRule="auto"/>
              <w:ind w:left="80"/>
              <w:jc w:val="center"/>
              <w:rPr>
                <w:lang w:val="sk-SK"/>
              </w:rPr>
            </w:pPr>
            <w:r w:rsidRPr="00502EF9">
              <w:rPr>
                <w:lang w:val="sk-SK"/>
              </w:rPr>
              <w:t>4</w:t>
            </w:r>
          </w:p>
          <w:p w14:paraId="5FB85BA7" w14:textId="77777777" w:rsidR="00281402" w:rsidRPr="00502EF9" w:rsidRDefault="00281402" w:rsidP="00E57B03">
            <w:pPr>
              <w:spacing w:line="240" w:lineRule="auto"/>
              <w:ind w:left="80"/>
              <w:jc w:val="center"/>
              <w:rPr>
                <w:lang w:val="sk-SK"/>
              </w:rPr>
            </w:pPr>
            <w:r w:rsidRPr="00502EF9">
              <w:rPr>
                <w:lang w:val="sk-SK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A0FC05" w14:textId="77777777" w:rsidR="00281402" w:rsidRPr="00502EF9" w:rsidRDefault="00281402" w:rsidP="00E57B03">
            <w:pPr>
              <w:spacing w:line="240" w:lineRule="auto"/>
              <w:jc w:val="center"/>
              <w:rPr>
                <w:lang w:val="sk-SK"/>
              </w:rPr>
            </w:pPr>
            <w:r w:rsidRPr="00502EF9">
              <w:rPr>
                <w:lang w:val="sk-SK"/>
              </w:rPr>
              <w:t>40</w:t>
            </w:r>
          </w:p>
          <w:p w14:paraId="40F12A4D" w14:textId="77777777" w:rsidR="00281402" w:rsidRPr="00502EF9" w:rsidRDefault="00281402" w:rsidP="00E57B03">
            <w:pPr>
              <w:spacing w:line="240" w:lineRule="auto"/>
              <w:jc w:val="center"/>
              <w:rPr>
                <w:lang w:val="sk-SK"/>
              </w:rPr>
            </w:pPr>
            <w:r w:rsidRPr="00502EF9">
              <w:rPr>
                <w:lang w:val="sk-SK"/>
              </w:rPr>
              <w:t>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F0A7AE" w14:textId="77777777" w:rsidR="00281402" w:rsidRPr="00502EF9" w:rsidRDefault="006F31A7" w:rsidP="00137E40">
            <w:pPr>
              <w:spacing w:line="240" w:lineRule="auto"/>
              <w:jc w:val="center"/>
              <w:rPr>
                <w:lang w:val="sk-SK"/>
              </w:rPr>
            </w:pPr>
            <w:r w:rsidRPr="00502EF9">
              <w:rPr>
                <w:lang w:val="sk-SK"/>
              </w:rPr>
              <w:t>80</w:t>
            </w:r>
          </w:p>
          <w:p w14:paraId="715DCB00" w14:textId="77777777" w:rsidR="00281402" w:rsidRPr="00502EF9" w:rsidRDefault="006F31A7" w:rsidP="00137E40">
            <w:pPr>
              <w:spacing w:line="240" w:lineRule="auto"/>
              <w:jc w:val="center"/>
              <w:rPr>
                <w:lang w:val="sk-SK"/>
              </w:rPr>
            </w:pPr>
            <w:r w:rsidRPr="00502EF9">
              <w:rPr>
                <w:lang w:val="sk-SK"/>
              </w:rPr>
              <w:t>100</w:t>
            </w:r>
          </w:p>
        </w:tc>
      </w:tr>
    </w:tbl>
    <w:p w14:paraId="0F51ADAE" w14:textId="77777777" w:rsidR="00030650" w:rsidRPr="00502EF9" w:rsidRDefault="00030650" w:rsidP="00E57B03">
      <w:pPr>
        <w:spacing w:line="240" w:lineRule="auto"/>
        <w:jc w:val="both"/>
        <w:rPr>
          <w:lang w:val="sk-SK"/>
        </w:rPr>
      </w:pPr>
    </w:p>
    <w:p w14:paraId="4B80AF7F" w14:textId="55738805" w:rsidR="00030650" w:rsidRPr="00502EF9" w:rsidRDefault="00030650" w:rsidP="00137E40">
      <w:pPr>
        <w:spacing w:line="240" w:lineRule="auto"/>
        <w:rPr>
          <w:lang w:val="sk-SK"/>
        </w:rPr>
      </w:pPr>
      <w:r w:rsidRPr="00502EF9">
        <w:rPr>
          <w:lang w:val="sk-SK"/>
        </w:rPr>
        <w:t>Maximálna odporúčaná dávka je 50 mg (=</w:t>
      </w:r>
      <w:r w:rsidR="00137E40">
        <w:rPr>
          <w:lang w:val="sk-SK"/>
        </w:rPr>
        <w:t xml:space="preserve"> </w:t>
      </w:r>
      <w:r w:rsidRPr="00502EF9">
        <w:rPr>
          <w:lang w:val="sk-SK"/>
        </w:rPr>
        <w:t xml:space="preserve">5 ml) </w:t>
      </w:r>
      <w:proofErr w:type="spellStart"/>
      <w:r w:rsidRPr="00502EF9">
        <w:rPr>
          <w:lang w:val="sk-SK"/>
        </w:rPr>
        <w:t>chlórprokaín</w:t>
      </w:r>
      <w:r w:rsidR="00137E40">
        <w:rPr>
          <w:lang w:val="sk-SK"/>
        </w:rPr>
        <w:t>ium</w:t>
      </w:r>
      <w:proofErr w:type="spellEnd"/>
      <w:r w:rsidR="00137E40">
        <w:rPr>
          <w:lang w:val="sk-SK"/>
        </w:rPr>
        <w:t>-</w:t>
      </w:r>
      <w:r w:rsidRPr="00502EF9">
        <w:rPr>
          <w:lang w:val="sk-SK"/>
        </w:rPr>
        <w:t>chloridu.</w:t>
      </w:r>
    </w:p>
    <w:p w14:paraId="21BC265C" w14:textId="4A185FA7" w:rsidR="00A8656F" w:rsidRPr="00502EF9" w:rsidRDefault="00A8656F" w:rsidP="00137E40">
      <w:pPr>
        <w:spacing w:line="240" w:lineRule="auto"/>
        <w:rPr>
          <w:lang w:val="sk-SK"/>
        </w:rPr>
      </w:pPr>
      <w:r w:rsidRPr="00502EF9">
        <w:rPr>
          <w:lang w:val="sk-SK"/>
        </w:rPr>
        <w:t>Dĺžka trvania účinku závisí od použitej dávky.</w:t>
      </w:r>
    </w:p>
    <w:p w14:paraId="22D97953" w14:textId="77777777" w:rsidR="00030650" w:rsidRPr="00502EF9" w:rsidRDefault="00030650" w:rsidP="00E57B03">
      <w:pPr>
        <w:spacing w:line="240" w:lineRule="auto"/>
        <w:jc w:val="both"/>
        <w:rPr>
          <w:lang w:val="sk-SK"/>
        </w:rPr>
      </w:pPr>
    </w:p>
    <w:p w14:paraId="0C1024FF" w14:textId="1C406BD6" w:rsidR="00030650" w:rsidRPr="00502EF9" w:rsidRDefault="00137E40" w:rsidP="00E57B03">
      <w:pPr>
        <w:spacing w:line="240" w:lineRule="auto"/>
        <w:jc w:val="both"/>
        <w:rPr>
          <w:i/>
          <w:noProof/>
          <w:lang w:val="sk-SK"/>
        </w:rPr>
      </w:pPr>
      <w:r>
        <w:rPr>
          <w:i/>
          <w:noProof/>
          <w:lang w:val="sk-SK"/>
        </w:rPr>
        <w:t>Osobitné</w:t>
      </w:r>
      <w:r w:rsidR="00030650" w:rsidRPr="00502EF9">
        <w:rPr>
          <w:i/>
          <w:noProof/>
          <w:lang w:val="sk-SK"/>
        </w:rPr>
        <w:t xml:space="preserve"> </w:t>
      </w:r>
      <w:r w:rsidR="002C240E">
        <w:rPr>
          <w:i/>
          <w:noProof/>
          <w:lang w:val="sk-SK"/>
        </w:rPr>
        <w:t>populácie</w:t>
      </w:r>
    </w:p>
    <w:p w14:paraId="6267F4D2" w14:textId="246F8873" w:rsidR="00030650" w:rsidRPr="00502EF9" w:rsidRDefault="00137E40" w:rsidP="00137E40">
      <w:pPr>
        <w:spacing w:line="240" w:lineRule="auto"/>
        <w:rPr>
          <w:lang w:val="sk-SK"/>
        </w:rPr>
      </w:pPr>
      <w:r>
        <w:rPr>
          <w:lang w:val="sk-SK"/>
        </w:rPr>
        <w:t xml:space="preserve">Pri stanovení dávkovania </w:t>
      </w:r>
      <w:r w:rsidR="002C240E">
        <w:rPr>
          <w:lang w:val="sk-SK"/>
        </w:rPr>
        <w:t>je</w:t>
      </w:r>
      <w:r>
        <w:rPr>
          <w:lang w:val="sk-SK"/>
        </w:rPr>
        <w:t xml:space="preserve"> dôležit</w:t>
      </w:r>
      <w:r w:rsidR="002C240E">
        <w:rPr>
          <w:lang w:val="sk-SK"/>
        </w:rPr>
        <w:t>á</w:t>
      </w:r>
      <w:r>
        <w:rPr>
          <w:lang w:val="sk-SK"/>
        </w:rPr>
        <w:t xml:space="preserve"> </w:t>
      </w:r>
      <w:r w:rsidR="002C240E">
        <w:rPr>
          <w:lang w:val="sk-SK"/>
        </w:rPr>
        <w:t xml:space="preserve">klinická </w:t>
      </w:r>
      <w:r>
        <w:rPr>
          <w:lang w:val="sk-SK"/>
        </w:rPr>
        <w:t>skúsenos</w:t>
      </w:r>
      <w:r w:rsidR="002C240E">
        <w:rPr>
          <w:lang w:val="sk-SK"/>
        </w:rPr>
        <w:t>ť</w:t>
      </w:r>
      <w:r>
        <w:rPr>
          <w:lang w:val="sk-SK"/>
        </w:rPr>
        <w:t xml:space="preserve"> </w:t>
      </w:r>
      <w:r w:rsidR="002C240E">
        <w:rPr>
          <w:lang w:val="sk-SK"/>
        </w:rPr>
        <w:t>lekára</w:t>
      </w:r>
      <w:r>
        <w:rPr>
          <w:lang w:val="sk-SK"/>
        </w:rPr>
        <w:t xml:space="preserve"> a oboznámenie sa s celkovým zdravotným stavom pacienta. </w:t>
      </w:r>
      <w:r w:rsidR="00030650" w:rsidRPr="00502EF9">
        <w:rPr>
          <w:lang w:val="sk-SK"/>
        </w:rPr>
        <w:t>U pacientov so zhoršeným celkovým zdravotným stavom sa odporúča znížiť dávku.</w:t>
      </w:r>
    </w:p>
    <w:p w14:paraId="4928003E" w14:textId="6450500E" w:rsidR="00030650" w:rsidRPr="00502EF9" w:rsidRDefault="00030650" w:rsidP="00137E40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Okrem toho </w:t>
      </w:r>
      <w:r w:rsidR="002C240E">
        <w:rPr>
          <w:lang w:val="sk-SK"/>
        </w:rPr>
        <w:t xml:space="preserve">je </w:t>
      </w:r>
      <w:r w:rsidRPr="00502EF9">
        <w:rPr>
          <w:lang w:val="sk-SK"/>
        </w:rPr>
        <w:t xml:space="preserve">u pacientov s </w:t>
      </w:r>
      <w:r w:rsidR="00137E40">
        <w:rPr>
          <w:lang w:val="sk-SK"/>
        </w:rPr>
        <w:t>diagnostikovanými</w:t>
      </w:r>
      <w:r w:rsidRPr="00502EF9">
        <w:rPr>
          <w:lang w:val="sk-SK"/>
        </w:rPr>
        <w:t xml:space="preserve"> sprievodnými poruchami (napr. </w:t>
      </w:r>
      <w:proofErr w:type="spellStart"/>
      <w:r w:rsidRPr="00502EF9">
        <w:rPr>
          <w:lang w:val="sk-SK"/>
        </w:rPr>
        <w:t>vaskulárna</w:t>
      </w:r>
      <w:proofErr w:type="spellEnd"/>
      <w:r w:rsidRPr="00502EF9">
        <w:rPr>
          <w:lang w:val="sk-SK"/>
        </w:rPr>
        <w:t xml:space="preserve"> </w:t>
      </w:r>
      <w:proofErr w:type="spellStart"/>
      <w:r w:rsidRPr="00502EF9">
        <w:rPr>
          <w:lang w:val="sk-SK"/>
        </w:rPr>
        <w:t>oklúzia</w:t>
      </w:r>
      <w:proofErr w:type="spellEnd"/>
      <w:r w:rsidRPr="00502EF9">
        <w:rPr>
          <w:lang w:val="sk-SK"/>
        </w:rPr>
        <w:t xml:space="preserve">, artérioskleróza, diabetická </w:t>
      </w:r>
      <w:proofErr w:type="spellStart"/>
      <w:r w:rsidRPr="00502EF9">
        <w:rPr>
          <w:lang w:val="sk-SK"/>
        </w:rPr>
        <w:t>polyneuropatia</w:t>
      </w:r>
      <w:proofErr w:type="spellEnd"/>
      <w:r w:rsidRPr="00502EF9">
        <w:rPr>
          <w:lang w:val="sk-SK"/>
        </w:rPr>
        <w:t>)</w:t>
      </w:r>
      <w:r w:rsidR="002C240E">
        <w:rPr>
          <w:lang w:val="sk-SK"/>
        </w:rPr>
        <w:t xml:space="preserve"> indikovaná znížená dávka</w:t>
      </w:r>
      <w:r w:rsidRPr="00502EF9">
        <w:rPr>
          <w:lang w:val="sk-SK"/>
        </w:rPr>
        <w:t>.</w:t>
      </w:r>
    </w:p>
    <w:p w14:paraId="1E9E3034" w14:textId="77777777" w:rsidR="00524993" w:rsidRPr="00502EF9" w:rsidRDefault="00524993" w:rsidP="00E57B03">
      <w:pPr>
        <w:spacing w:line="240" w:lineRule="auto"/>
        <w:jc w:val="both"/>
        <w:rPr>
          <w:lang w:val="sk-SK"/>
        </w:rPr>
      </w:pPr>
    </w:p>
    <w:p w14:paraId="35AC0106" w14:textId="77777777" w:rsidR="00281402" w:rsidRPr="00502EF9" w:rsidRDefault="00281402" w:rsidP="00E57B03">
      <w:pPr>
        <w:spacing w:line="240" w:lineRule="auto"/>
        <w:jc w:val="both"/>
        <w:rPr>
          <w:noProof/>
          <w:lang w:val="sk-SK"/>
        </w:rPr>
      </w:pPr>
      <w:r w:rsidRPr="00502EF9">
        <w:rPr>
          <w:i/>
          <w:iCs/>
          <w:lang w:val="sk-SK"/>
        </w:rPr>
        <w:t>Pediatrická populácia</w:t>
      </w:r>
    </w:p>
    <w:p w14:paraId="22B01D9F" w14:textId="2D490DFE" w:rsidR="00281402" w:rsidRPr="00502EF9" w:rsidRDefault="00A8656F" w:rsidP="00137E40">
      <w:pPr>
        <w:spacing w:line="240" w:lineRule="auto"/>
        <w:rPr>
          <w:noProof/>
          <w:lang w:val="sk-SK"/>
        </w:rPr>
      </w:pPr>
      <w:r w:rsidRPr="00502EF9">
        <w:rPr>
          <w:noProof/>
          <w:lang w:val="sk-SK"/>
        </w:rPr>
        <w:t xml:space="preserve">Bezpečnosť a účinnosť </w:t>
      </w:r>
      <w:r w:rsidR="002C240E">
        <w:rPr>
          <w:noProof/>
          <w:lang w:val="sk-SK"/>
        </w:rPr>
        <w:t>Ampresu 10 mg/ml</w:t>
      </w:r>
      <w:r w:rsidRPr="00502EF9">
        <w:rPr>
          <w:noProof/>
          <w:lang w:val="sk-SK"/>
        </w:rPr>
        <w:t xml:space="preserve"> u detí a dospievajúcich neboli stanovené. K dispozícii nie sú žiadne údaje (pozri časť 5.1).</w:t>
      </w:r>
    </w:p>
    <w:p w14:paraId="596D1974" w14:textId="77777777" w:rsidR="00281402" w:rsidRPr="00502EF9" w:rsidRDefault="00281402" w:rsidP="00E57B03">
      <w:pPr>
        <w:autoSpaceDE w:val="0"/>
        <w:autoSpaceDN w:val="0"/>
        <w:adjustRightInd w:val="0"/>
        <w:spacing w:line="240" w:lineRule="auto"/>
        <w:rPr>
          <w:u w:val="single"/>
          <w:lang w:val="sk-SK"/>
        </w:rPr>
      </w:pPr>
    </w:p>
    <w:p w14:paraId="497655ED" w14:textId="77777777" w:rsidR="00281402" w:rsidRPr="00502EF9" w:rsidRDefault="00281402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u w:val="single"/>
          <w:lang w:val="sk-SK"/>
        </w:rPr>
        <w:t>Spôsob podávania</w:t>
      </w:r>
    </w:p>
    <w:p w14:paraId="5BCB3652" w14:textId="77777777" w:rsidR="00321C0F" w:rsidRPr="00502EF9" w:rsidRDefault="00321C0F" w:rsidP="00E57B03">
      <w:pPr>
        <w:pStyle w:val="Normlnywebov"/>
        <w:spacing w:before="0" w:beforeAutospacing="0" w:after="0" w:afterAutospacing="0"/>
        <w:jc w:val="both"/>
        <w:rPr>
          <w:i/>
          <w:iCs/>
          <w:sz w:val="22"/>
          <w:szCs w:val="22"/>
          <w:lang w:val="sk-SK"/>
        </w:rPr>
      </w:pPr>
      <w:r w:rsidRPr="00502EF9">
        <w:rPr>
          <w:i/>
          <w:iCs/>
          <w:sz w:val="22"/>
          <w:szCs w:val="22"/>
          <w:lang w:val="sk-SK"/>
        </w:rPr>
        <w:t xml:space="preserve">Na </w:t>
      </w:r>
      <w:proofErr w:type="spellStart"/>
      <w:r w:rsidRPr="00502EF9">
        <w:rPr>
          <w:i/>
          <w:iCs/>
          <w:sz w:val="22"/>
          <w:szCs w:val="22"/>
          <w:lang w:val="sk-SK"/>
        </w:rPr>
        <w:t>intratekálne</w:t>
      </w:r>
      <w:proofErr w:type="spellEnd"/>
      <w:r w:rsidRPr="00502EF9">
        <w:rPr>
          <w:i/>
          <w:iCs/>
          <w:sz w:val="22"/>
          <w:szCs w:val="22"/>
          <w:lang w:val="sk-SK"/>
        </w:rPr>
        <w:t xml:space="preserve"> použitie.</w:t>
      </w:r>
    </w:p>
    <w:p w14:paraId="114E95E3" w14:textId="47C2F766" w:rsidR="00281402" w:rsidRPr="00502EF9" w:rsidRDefault="00281402" w:rsidP="00E57B03">
      <w:pPr>
        <w:pStyle w:val="Normlnywebov"/>
        <w:spacing w:before="0" w:beforeAutospacing="0" w:after="0" w:afterAutospacing="0"/>
        <w:jc w:val="both"/>
        <w:rPr>
          <w:sz w:val="22"/>
          <w:szCs w:val="22"/>
          <w:lang w:val="sk-SK"/>
        </w:rPr>
      </w:pPr>
    </w:p>
    <w:p w14:paraId="0ED8EEF9" w14:textId="1BB08C41" w:rsidR="00281402" w:rsidRPr="00502EF9" w:rsidRDefault="002C240E" w:rsidP="0036584A">
      <w:pPr>
        <w:spacing w:line="240" w:lineRule="auto"/>
        <w:rPr>
          <w:lang w:val="sk-SK"/>
        </w:rPr>
      </w:pPr>
      <w:proofErr w:type="spellStart"/>
      <w:r>
        <w:rPr>
          <w:lang w:val="sk-SK"/>
        </w:rPr>
        <w:t>Ampres</w:t>
      </w:r>
      <w:proofErr w:type="spellEnd"/>
      <w:r>
        <w:rPr>
          <w:lang w:val="sk-SK"/>
        </w:rPr>
        <w:t xml:space="preserve"> 10 mg/ml</w:t>
      </w:r>
      <w:r w:rsidR="00A8656F" w:rsidRPr="00502EF9">
        <w:rPr>
          <w:lang w:val="sk-SK"/>
        </w:rPr>
        <w:t xml:space="preserve"> sa m</w:t>
      </w:r>
      <w:r w:rsidR="0036584A">
        <w:rPr>
          <w:lang w:val="sk-SK"/>
        </w:rPr>
        <w:t>á</w:t>
      </w:r>
      <w:r w:rsidR="00A8656F" w:rsidRPr="00502EF9">
        <w:rPr>
          <w:lang w:val="sk-SK"/>
        </w:rPr>
        <w:t xml:space="preserve"> </w:t>
      </w:r>
      <w:proofErr w:type="spellStart"/>
      <w:r w:rsidR="00A8656F" w:rsidRPr="00502EF9">
        <w:rPr>
          <w:lang w:val="sk-SK"/>
        </w:rPr>
        <w:t>intratekálnou</w:t>
      </w:r>
      <w:proofErr w:type="spellEnd"/>
      <w:r w:rsidR="00A8656F" w:rsidRPr="00502EF9">
        <w:rPr>
          <w:lang w:val="sk-SK"/>
        </w:rPr>
        <w:t xml:space="preserve"> cestou injekčne podať do medzistavcového priestoru L2/L3, L3/L4 a L4/L5.</w:t>
      </w:r>
    </w:p>
    <w:p w14:paraId="33548134" w14:textId="6A86D7C0" w:rsidR="00281402" w:rsidRPr="00502EF9" w:rsidRDefault="00A8656F" w:rsidP="0036584A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Celá dávka sa má podať ako pomalá injekcia po aspirácii minimálneho množstva mozgovomiechového moku na potvrdenie správnej polohy. Vitálne funkcie pacienta je potrebné mimoriadne starostlivo kontrolovať </w:t>
      </w:r>
      <w:r w:rsidR="0036584A">
        <w:rPr>
          <w:lang w:val="sk-SK"/>
        </w:rPr>
        <w:t>prostredníctvom</w:t>
      </w:r>
      <w:r w:rsidRPr="00502EF9">
        <w:rPr>
          <w:lang w:val="sk-SK"/>
        </w:rPr>
        <w:t xml:space="preserve"> ne</w:t>
      </w:r>
      <w:r w:rsidR="0036584A">
        <w:rPr>
          <w:lang w:val="sk-SK"/>
        </w:rPr>
        <w:t>pretržitého</w:t>
      </w:r>
      <w:r w:rsidRPr="00502EF9">
        <w:rPr>
          <w:lang w:val="sk-SK"/>
        </w:rPr>
        <w:t xml:space="preserve"> verbáln</w:t>
      </w:r>
      <w:r w:rsidR="0036584A">
        <w:rPr>
          <w:lang w:val="sk-SK"/>
        </w:rPr>
        <w:t>eho</w:t>
      </w:r>
      <w:r w:rsidRPr="00502EF9">
        <w:rPr>
          <w:lang w:val="sk-SK"/>
        </w:rPr>
        <w:t xml:space="preserve"> kontakt</w:t>
      </w:r>
      <w:r w:rsidR="0036584A">
        <w:rPr>
          <w:lang w:val="sk-SK"/>
        </w:rPr>
        <w:t>u</w:t>
      </w:r>
      <w:r w:rsidRPr="00502EF9">
        <w:rPr>
          <w:lang w:val="sk-SK"/>
        </w:rPr>
        <w:t>.</w:t>
      </w:r>
    </w:p>
    <w:p w14:paraId="30735976" w14:textId="77777777" w:rsidR="001F0A43" w:rsidRPr="00502EF9" w:rsidRDefault="001F0A43" w:rsidP="00E57B03">
      <w:pPr>
        <w:spacing w:line="240" w:lineRule="auto"/>
        <w:jc w:val="both"/>
        <w:rPr>
          <w:lang w:val="sk-SK"/>
        </w:rPr>
      </w:pPr>
    </w:p>
    <w:p w14:paraId="543BC4C1" w14:textId="7A563F92" w:rsidR="001579F1" w:rsidRPr="00502EF9" w:rsidRDefault="002C240E" w:rsidP="0036584A">
      <w:pPr>
        <w:spacing w:line="240" w:lineRule="auto"/>
        <w:rPr>
          <w:lang w:val="sk-SK"/>
        </w:rPr>
      </w:pPr>
      <w:r>
        <w:rPr>
          <w:lang w:val="sk-SK"/>
        </w:rPr>
        <w:t>Na</w:t>
      </w:r>
      <w:r w:rsidR="001579F1" w:rsidRPr="00502EF9">
        <w:rPr>
          <w:lang w:val="sk-SK"/>
        </w:rPr>
        <w:t xml:space="preserve"> jednorazové použitie.</w:t>
      </w:r>
    </w:p>
    <w:p w14:paraId="13F8057F" w14:textId="33ED8B4F" w:rsidR="001579F1" w:rsidRPr="00502EF9" w:rsidRDefault="001579F1" w:rsidP="0036584A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Pred použitím sa má liek vizuálne skontrolovať. Majú sa používať iba roztoky číre, </w:t>
      </w:r>
      <w:r w:rsidR="0036584A">
        <w:rPr>
          <w:lang w:val="sk-SK"/>
        </w:rPr>
        <w:t>prakticky</w:t>
      </w:r>
      <w:r w:rsidRPr="00502EF9">
        <w:rPr>
          <w:lang w:val="sk-SK"/>
        </w:rPr>
        <w:t xml:space="preserve"> bez častíc. Neporušený obal sa nesmie opakovane sterilizovať v </w:t>
      </w:r>
      <w:proofErr w:type="spellStart"/>
      <w:r w:rsidRPr="00502EF9">
        <w:rPr>
          <w:lang w:val="sk-SK"/>
        </w:rPr>
        <w:t>autokláve</w:t>
      </w:r>
      <w:proofErr w:type="spellEnd"/>
      <w:r w:rsidRPr="00502EF9">
        <w:rPr>
          <w:lang w:val="sk-SK"/>
        </w:rPr>
        <w:t>.</w:t>
      </w:r>
    </w:p>
    <w:p w14:paraId="2CF78366" w14:textId="77777777" w:rsidR="004F2521" w:rsidRPr="00502EF9" w:rsidRDefault="004F2521" w:rsidP="00E57B03">
      <w:pPr>
        <w:spacing w:line="240" w:lineRule="auto"/>
        <w:jc w:val="both"/>
        <w:rPr>
          <w:lang w:val="sk-SK"/>
        </w:rPr>
      </w:pPr>
    </w:p>
    <w:p w14:paraId="2E78A49E" w14:textId="3B062AAB" w:rsidR="00281402" w:rsidRDefault="00281402" w:rsidP="00E57B03">
      <w:pPr>
        <w:autoSpaceDE w:val="0"/>
        <w:autoSpaceDN w:val="0"/>
        <w:adjustRightInd w:val="0"/>
        <w:spacing w:line="240" w:lineRule="auto"/>
        <w:rPr>
          <w:b/>
          <w:bCs/>
          <w:lang w:val="sk-SK"/>
        </w:rPr>
      </w:pPr>
      <w:r w:rsidRPr="00502EF9">
        <w:rPr>
          <w:b/>
          <w:bCs/>
          <w:lang w:val="sk-SK"/>
        </w:rPr>
        <w:t xml:space="preserve">4.3 </w:t>
      </w:r>
      <w:r w:rsidR="0036584A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Kontraindikácie</w:t>
      </w:r>
    </w:p>
    <w:p w14:paraId="2118D20A" w14:textId="77777777" w:rsidR="0036584A" w:rsidRPr="00502EF9" w:rsidRDefault="0036584A" w:rsidP="00E57B03">
      <w:pPr>
        <w:autoSpaceDE w:val="0"/>
        <w:autoSpaceDN w:val="0"/>
        <w:adjustRightInd w:val="0"/>
        <w:spacing w:line="240" w:lineRule="auto"/>
        <w:rPr>
          <w:b/>
          <w:bCs/>
          <w:lang w:val="sk-SK"/>
        </w:rPr>
      </w:pPr>
    </w:p>
    <w:p w14:paraId="654FFC97" w14:textId="600628D2" w:rsidR="00053999" w:rsidRPr="00502EF9" w:rsidRDefault="0036584A" w:rsidP="0036584A">
      <w:pPr>
        <w:numPr>
          <w:ilvl w:val="0"/>
          <w:numId w:val="45"/>
        </w:numPr>
        <w:tabs>
          <w:tab w:val="clear" w:pos="720"/>
          <w:tab w:val="num" w:pos="567"/>
        </w:tabs>
        <w:spacing w:line="240" w:lineRule="auto"/>
        <w:ind w:left="567" w:hanging="567"/>
        <w:rPr>
          <w:rFonts w:cs="Arial"/>
          <w:lang w:val="sk-SK"/>
        </w:rPr>
      </w:pPr>
      <w:r>
        <w:rPr>
          <w:rFonts w:cs="Arial"/>
          <w:lang w:val="sk-SK"/>
        </w:rPr>
        <w:t>p</w:t>
      </w:r>
      <w:r w:rsidR="00053999" w:rsidRPr="00502EF9">
        <w:rPr>
          <w:rFonts w:cs="Arial"/>
          <w:lang w:val="sk-SK"/>
        </w:rPr>
        <w:t>recitlivenosť na liečivo, lieky zo skupiny esterov PABA (kyselina para-</w:t>
      </w:r>
      <w:proofErr w:type="spellStart"/>
      <w:r w:rsidR="00053999" w:rsidRPr="00502EF9">
        <w:rPr>
          <w:rFonts w:cs="Arial"/>
          <w:lang w:val="sk-SK"/>
        </w:rPr>
        <w:t>aminobenzoová</w:t>
      </w:r>
      <w:proofErr w:type="spellEnd"/>
      <w:r w:rsidR="00053999" w:rsidRPr="00502EF9">
        <w:rPr>
          <w:rFonts w:cs="Arial"/>
          <w:lang w:val="sk-SK"/>
        </w:rPr>
        <w:t>), iné lokálne anestetiká na báze esterov, alebo na ktorúkoľvek z pomocn</w:t>
      </w:r>
      <w:r w:rsidR="002C240E">
        <w:rPr>
          <w:rFonts w:cs="Arial"/>
          <w:lang w:val="sk-SK"/>
        </w:rPr>
        <w:t>ých látok uvedených v časti 6.1,</w:t>
      </w:r>
    </w:p>
    <w:p w14:paraId="489A19BA" w14:textId="7C731F90" w:rsidR="00053999" w:rsidRPr="00502EF9" w:rsidRDefault="0036584A" w:rsidP="0036584A">
      <w:pPr>
        <w:numPr>
          <w:ilvl w:val="0"/>
          <w:numId w:val="45"/>
        </w:numPr>
        <w:tabs>
          <w:tab w:val="clear" w:pos="720"/>
          <w:tab w:val="num" w:pos="567"/>
        </w:tabs>
        <w:spacing w:line="240" w:lineRule="auto"/>
        <w:ind w:left="567" w:hanging="567"/>
        <w:rPr>
          <w:rFonts w:cs="Arial"/>
          <w:lang w:val="sk-SK"/>
        </w:rPr>
      </w:pPr>
      <w:r>
        <w:rPr>
          <w:rFonts w:cs="Arial"/>
          <w:lang w:val="sk-SK"/>
        </w:rPr>
        <w:t>j</w:t>
      </w:r>
      <w:r w:rsidR="00053999" w:rsidRPr="00502EF9">
        <w:rPr>
          <w:rFonts w:cs="Arial"/>
          <w:lang w:val="sk-SK"/>
        </w:rPr>
        <w:t xml:space="preserve">e potrebné vziať do úvahy všeobecné a špecifické kontraindikácie na </w:t>
      </w:r>
      <w:proofErr w:type="spellStart"/>
      <w:r w:rsidR="00053999" w:rsidRPr="00502EF9">
        <w:rPr>
          <w:rFonts w:cs="Arial"/>
          <w:lang w:val="sk-SK"/>
        </w:rPr>
        <w:t>spinálnu</w:t>
      </w:r>
      <w:proofErr w:type="spellEnd"/>
      <w:r w:rsidR="00053999" w:rsidRPr="00502EF9">
        <w:rPr>
          <w:rFonts w:cs="Arial"/>
          <w:lang w:val="sk-SK"/>
        </w:rPr>
        <w:t xml:space="preserve"> anestéziu, bez ohľadu na použité lokálne anestetikum (napr. dekompenzovaná </w:t>
      </w:r>
      <w:proofErr w:type="spellStart"/>
      <w:r>
        <w:rPr>
          <w:rFonts w:cs="Arial"/>
          <w:lang w:val="sk-SK"/>
        </w:rPr>
        <w:t>insuficiencia</w:t>
      </w:r>
      <w:proofErr w:type="spellEnd"/>
      <w:r>
        <w:rPr>
          <w:rFonts w:cs="Arial"/>
          <w:lang w:val="sk-SK"/>
        </w:rPr>
        <w:t xml:space="preserve"> srdca</w:t>
      </w:r>
      <w:r w:rsidR="00053999" w:rsidRPr="00502EF9">
        <w:rPr>
          <w:rFonts w:cs="Arial"/>
          <w:lang w:val="sk-SK"/>
        </w:rPr>
        <w:t xml:space="preserve">, </w:t>
      </w:r>
      <w:proofErr w:type="spellStart"/>
      <w:r w:rsidR="00053999" w:rsidRPr="00502EF9">
        <w:rPr>
          <w:rFonts w:cs="Arial"/>
          <w:lang w:val="sk-SK"/>
        </w:rPr>
        <w:t>hypovolemický</w:t>
      </w:r>
      <w:proofErr w:type="spellEnd"/>
      <w:r w:rsidR="00053999" w:rsidRPr="00502EF9">
        <w:rPr>
          <w:rFonts w:cs="Arial"/>
          <w:lang w:val="sk-SK"/>
        </w:rPr>
        <w:t xml:space="preserve"> šok).</w:t>
      </w:r>
    </w:p>
    <w:p w14:paraId="5AD9CB7C" w14:textId="62A73751" w:rsidR="00053999" w:rsidRPr="00502EF9" w:rsidRDefault="0036584A" w:rsidP="0036584A">
      <w:pPr>
        <w:numPr>
          <w:ilvl w:val="0"/>
          <w:numId w:val="45"/>
        </w:numPr>
        <w:tabs>
          <w:tab w:val="clear" w:pos="720"/>
          <w:tab w:val="num" w:pos="567"/>
        </w:tabs>
        <w:spacing w:line="240" w:lineRule="auto"/>
        <w:ind w:left="567" w:hanging="567"/>
        <w:rPr>
          <w:rFonts w:cs="Arial"/>
          <w:lang w:val="sk-SK"/>
        </w:rPr>
      </w:pPr>
      <w:r>
        <w:rPr>
          <w:lang w:val="sk-SK"/>
        </w:rPr>
        <w:t>i</w:t>
      </w:r>
      <w:r w:rsidR="00053999" w:rsidRPr="00502EF9">
        <w:rPr>
          <w:lang w:val="sk-SK"/>
        </w:rPr>
        <w:t>ntravenózna regionálna anestézia (anestetikum</w:t>
      </w:r>
      <w:r w:rsidR="00053999" w:rsidRPr="00502EF9">
        <w:rPr>
          <w:rFonts w:cs="Arial"/>
          <w:lang w:val="sk-SK"/>
        </w:rPr>
        <w:t xml:space="preserve"> </w:t>
      </w:r>
      <w:r w:rsidR="00053999" w:rsidRPr="00502EF9">
        <w:rPr>
          <w:lang w:val="sk-SK"/>
        </w:rPr>
        <w:t xml:space="preserve">sa aplikuje do končatiny a nechá pôsobiť, zatiaľ čo </w:t>
      </w:r>
      <w:proofErr w:type="spellStart"/>
      <w:r w:rsidR="00053999" w:rsidRPr="00502EF9">
        <w:rPr>
          <w:lang w:val="sk-SK"/>
        </w:rPr>
        <w:t>škrtidlo</w:t>
      </w:r>
      <w:proofErr w:type="spellEnd"/>
      <w:r w:rsidR="00053999" w:rsidRPr="00502EF9">
        <w:rPr>
          <w:lang w:val="sk-SK"/>
        </w:rPr>
        <w:t xml:space="preserve"> udržuje ane</w:t>
      </w:r>
      <w:r w:rsidR="002C240E">
        <w:rPr>
          <w:lang w:val="sk-SK"/>
        </w:rPr>
        <w:t>stetikum v požadovanej oblasti),</w:t>
      </w:r>
    </w:p>
    <w:p w14:paraId="706048DC" w14:textId="77777777" w:rsidR="00053999" w:rsidRPr="00502EF9" w:rsidRDefault="00053999" w:rsidP="0036584A">
      <w:pPr>
        <w:numPr>
          <w:ilvl w:val="0"/>
          <w:numId w:val="42"/>
        </w:numPr>
        <w:tabs>
          <w:tab w:val="clear" w:pos="983"/>
          <w:tab w:val="num" w:pos="567"/>
        </w:tabs>
        <w:spacing w:line="240" w:lineRule="auto"/>
        <w:ind w:left="567" w:hanging="567"/>
        <w:rPr>
          <w:lang w:val="sk-SK"/>
        </w:rPr>
      </w:pPr>
      <w:r w:rsidRPr="00502EF9">
        <w:rPr>
          <w:lang w:val="sk-SK"/>
        </w:rPr>
        <w:t>závažné problémy so srdcovým vedením,</w:t>
      </w:r>
    </w:p>
    <w:p w14:paraId="38D80095" w14:textId="67C266A5" w:rsidR="00053999" w:rsidRPr="00502EF9" w:rsidRDefault="00053999" w:rsidP="0036584A">
      <w:pPr>
        <w:numPr>
          <w:ilvl w:val="0"/>
          <w:numId w:val="42"/>
        </w:numPr>
        <w:tabs>
          <w:tab w:val="clear" w:pos="983"/>
          <w:tab w:val="num" w:pos="567"/>
        </w:tabs>
        <w:spacing w:line="240" w:lineRule="auto"/>
        <w:ind w:left="567" w:hanging="567"/>
        <w:rPr>
          <w:lang w:val="sk-SK"/>
        </w:rPr>
      </w:pPr>
      <w:r w:rsidRPr="00502EF9">
        <w:rPr>
          <w:lang w:val="sk-SK"/>
        </w:rPr>
        <w:t>závažná anémia,</w:t>
      </w:r>
    </w:p>
    <w:p w14:paraId="27E8BE1B" w14:textId="534ED771" w:rsidR="00ED419E" w:rsidRPr="00502EF9" w:rsidRDefault="00ED419E" w:rsidP="0036584A">
      <w:pPr>
        <w:numPr>
          <w:ilvl w:val="0"/>
          <w:numId w:val="42"/>
        </w:numPr>
        <w:tabs>
          <w:tab w:val="clear" w:pos="983"/>
          <w:tab w:val="num" w:pos="567"/>
        </w:tabs>
        <w:spacing w:line="240" w:lineRule="auto"/>
        <w:ind w:left="567" w:hanging="567"/>
        <w:rPr>
          <w:lang w:val="sk-SK"/>
        </w:rPr>
      </w:pPr>
      <w:r w:rsidRPr="00502EF9">
        <w:rPr>
          <w:lang w:val="sk-SK"/>
        </w:rPr>
        <w:t xml:space="preserve">pacienti užívajúci </w:t>
      </w:r>
      <w:proofErr w:type="spellStart"/>
      <w:r w:rsidRPr="00502EF9">
        <w:rPr>
          <w:lang w:val="sk-SK"/>
        </w:rPr>
        <w:t>antikoagulanciá</w:t>
      </w:r>
      <w:proofErr w:type="spellEnd"/>
      <w:r w:rsidRPr="00502EF9">
        <w:rPr>
          <w:lang w:val="sk-SK"/>
        </w:rPr>
        <w:t xml:space="preserve"> alebo pacienti s vrodenou či získanou poruchou krvácania.</w:t>
      </w:r>
    </w:p>
    <w:p w14:paraId="455701C5" w14:textId="77777777" w:rsidR="00053999" w:rsidRPr="00502EF9" w:rsidRDefault="00053999" w:rsidP="0036584A">
      <w:pPr>
        <w:tabs>
          <w:tab w:val="num" w:pos="567"/>
        </w:tabs>
        <w:autoSpaceDE w:val="0"/>
        <w:autoSpaceDN w:val="0"/>
        <w:adjustRightInd w:val="0"/>
        <w:spacing w:line="240" w:lineRule="auto"/>
        <w:ind w:left="567" w:hanging="567"/>
        <w:rPr>
          <w:lang w:val="sk-SK"/>
        </w:rPr>
      </w:pPr>
    </w:p>
    <w:p w14:paraId="35EBCAA5" w14:textId="67DAA167" w:rsidR="00281402" w:rsidRPr="00502EF9" w:rsidRDefault="00281402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4.4 </w:t>
      </w:r>
      <w:r w:rsidR="0036584A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Osobitné upozornenia a opatrenia pri používaní</w:t>
      </w:r>
    </w:p>
    <w:p w14:paraId="496EE188" w14:textId="77777777" w:rsidR="0036584A" w:rsidRDefault="0036584A" w:rsidP="00E57B03">
      <w:pPr>
        <w:spacing w:line="240" w:lineRule="auto"/>
        <w:jc w:val="both"/>
        <w:rPr>
          <w:lang w:val="sk-SK"/>
        </w:rPr>
      </w:pPr>
    </w:p>
    <w:p w14:paraId="2B54B029" w14:textId="77777777" w:rsidR="00281402" w:rsidRPr="00502EF9" w:rsidRDefault="00281402" w:rsidP="0036584A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Niektorí pacienti vyžadujú zvláštnu pozornosť za účelom zníženia rizika závažných nežiaducich účinkov aj vtedy, keď je </w:t>
      </w:r>
      <w:proofErr w:type="spellStart"/>
      <w:r w:rsidRPr="00502EF9">
        <w:rPr>
          <w:lang w:val="sk-SK"/>
        </w:rPr>
        <w:t>lokoregionálna</w:t>
      </w:r>
      <w:proofErr w:type="spellEnd"/>
      <w:r w:rsidRPr="00502EF9">
        <w:rPr>
          <w:lang w:val="sk-SK"/>
        </w:rPr>
        <w:t xml:space="preserve"> anestézia optimálnou voľbou pre daný chirurgický zákrok:</w:t>
      </w:r>
    </w:p>
    <w:p w14:paraId="6AF6CFB6" w14:textId="77777777" w:rsidR="00281402" w:rsidRPr="00502EF9" w:rsidRDefault="00281402" w:rsidP="0036584A">
      <w:pPr>
        <w:numPr>
          <w:ilvl w:val="0"/>
          <w:numId w:val="42"/>
        </w:numPr>
        <w:tabs>
          <w:tab w:val="clear" w:pos="983"/>
        </w:tabs>
        <w:spacing w:line="240" w:lineRule="auto"/>
        <w:ind w:left="567" w:hanging="567"/>
        <w:rPr>
          <w:lang w:val="sk-SK"/>
        </w:rPr>
      </w:pPr>
      <w:r w:rsidRPr="00502EF9">
        <w:rPr>
          <w:lang w:val="sk-SK"/>
        </w:rPr>
        <w:t>Pacienti s kompletným alebo čiastočným srdcovým blokom, pretože lokálne anestetiká môžu potláčať vedenie podnetu srdcovým svalom.</w:t>
      </w:r>
    </w:p>
    <w:p w14:paraId="198B6983" w14:textId="43A1CD46" w:rsidR="00281402" w:rsidRPr="00502EF9" w:rsidRDefault="00281402" w:rsidP="0036584A">
      <w:pPr>
        <w:numPr>
          <w:ilvl w:val="0"/>
          <w:numId w:val="42"/>
        </w:numPr>
        <w:tabs>
          <w:tab w:val="clear" w:pos="983"/>
        </w:tabs>
        <w:spacing w:line="240" w:lineRule="auto"/>
        <w:ind w:left="567" w:hanging="567"/>
        <w:rPr>
          <w:lang w:val="sk-SK"/>
        </w:rPr>
      </w:pPr>
      <w:r w:rsidRPr="00502EF9">
        <w:rPr>
          <w:lang w:val="sk-SK"/>
        </w:rPr>
        <w:t>Pacienti s kardiálnou dekompenzáciou vysokého stupňa.</w:t>
      </w:r>
    </w:p>
    <w:p w14:paraId="145B8BC0" w14:textId="77777777" w:rsidR="00281402" w:rsidRPr="00502EF9" w:rsidRDefault="00281402" w:rsidP="0036584A">
      <w:pPr>
        <w:numPr>
          <w:ilvl w:val="0"/>
          <w:numId w:val="42"/>
        </w:numPr>
        <w:tabs>
          <w:tab w:val="clear" w:pos="983"/>
        </w:tabs>
        <w:spacing w:line="240" w:lineRule="auto"/>
        <w:ind w:left="567" w:hanging="567"/>
        <w:rPr>
          <w:lang w:val="sk-SK"/>
        </w:rPr>
      </w:pPr>
      <w:r w:rsidRPr="00502EF9">
        <w:rPr>
          <w:lang w:val="sk-SK"/>
        </w:rPr>
        <w:lastRenderedPageBreak/>
        <w:t>Pacienti so závažným poškodením pečene alebo obličiek.</w:t>
      </w:r>
    </w:p>
    <w:p w14:paraId="170D1154" w14:textId="77777777" w:rsidR="00281402" w:rsidRPr="00502EF9" w:rsidRDefault="00281402" w:rsidP="0036584A">
      <w:pPr>
        <w:numPr>
          <w:ilvl w:val="0"/>
          <w:numId w:val="42"/>
        </w:numPr>
        <w:tabs>
          <w:tab w:val="clear" w:pos="983"/>
        </w:tabs>
        <w:spacing w:line="240" w:lineRule="auto"/>
        <w:ind w:left="567" w:hanging="567"/>
        <w:rPr>
          <w:lang w:val="sk-SK"/>
        </w:rPr>
      </w:pPr>
      <w:r w:rsidRPr="00502EF9">
        <w:rPr>
          <w:lang w:val="sk-SK"/>
        </w:rPr>
        <w:t>Starší pacienti a pacienti v zlom celkovom stave.</w:t>
      </w:r>
    </w:p>
    <w:p w14:paraId="6B5E8F6A" w14:textId="33824368" w:rsidR="00281402" w:rsidRPr="00502EF9" w:rsidRDefault="00281402" w:rsidP="0036584A">
      <w:pPr>
        <w:numPr>
          <w:ilvl w:val="0"/>
          <w:numId w:val="42"/>
        </w:numPr>
        <w:tabs>
          <w:tab w:val="clear" w:pos="983"/>
        </w:tabs>
        <w:spacing w:line="240" w:lineRule="auto"/>
        <w:ind w:left="567" w:hanging="567"/>
        <w:rPr>
          <w:lang w:val="sk-SK"/>
        </w:rPr>
      </w:pPr>
      <w:r w:rsidRPr="00502EF9">
        <w:rPr>
          <w:lang w:val="sk-SK"/>
        </w:rPr>
        <w:t xml:space="preserve">Pacienti liečení </w:t>
      </w:r>
      <w:proofErr w:type="spellStart"/>
      <w:r w:rsidRPr="00502EF9">
        <w:rPr>
          <w:lang w:val="sk-SK"/>
        </w:rPr>
        <w:t>antiarytmikami</w:t>
      </w:r>
      <w:proofErr w:type="spellEnd"/>
      <w:r w:rsidRPr="00502EF9">
        <w:rPr>
          <w:lang w:val="sk-SK"/>
        </w:rPr>
        <w:t xml:space="preserve"> triedy III (napr. </w:t>
      </w:r>
      <w:proofErr w:type="spellStart"/>
      <w:r w:rsidRPr="00502EF9">
        <w:rPr>
          <w:lang w:val="sk-SK"/>
        </w:rPr>
        <w:t>amiodarón</w:t>
      </w:r>
      <w:proofErr w:type="spellEnd"/>
      <w:r w:rsidRPr="00502EF9">
        <w:rPr>
          <w:lang w:val="sk-SK"/>
        </w:rPr>
        <w:t>). Títo pacienti majú byť pod starostlivým dohľadom a monitoringom EKG, keďže účinky na srdce môžu byť aditívne (pozri časť 4.5).</w:t>
      </w:r>
    </w:p>
    <w:p w14:paraId="25B0D5C9" w14:textId="4D15A927" w:rsidR="00281402" w:rsidRPr="00502EF9" w:rsidRDefault="00281402" w:rsidP="0036584A">
      <w:pPr>
        <w:numPr>
          <w:ilvl w:val="0"/>
          <w:numId w:val="42"/>
        </w:numPr>
        <w:tabs>
          <w:tab w:val="clear" w:pos="983"/>
        </w:tabs>
        <w:spacing w:line="240" w:lineRule="auto"/>
        <w:ind w:left="567" w:hanging="567"/>
        <w:rPr>
          <w:lang w:val="sk-SK"/>
        </w:rPr>
      </w:pPr>
      <w:r w:rsidRPr="00502EF9">
        <w:rPr>
          <w:lang w:val="sk-SK"/>
        </w:rPr>
        <w:t xml:space="preserve">Pacientom s akútnou </w:t>
      </w:r>
      <w:proofErr w:type="spellStart"/>
      <w:r w:rsidRPr="00502EF9">
        <w:rPr>
          <w:lang w:val="sk-SK"/>
        </w:rPr>
        <w:t>porfýriou</w:t>
      </w:r>
      <w:proofErr w:type="spellEnd"/>
      <w:r w:rsidRPr="00502EF9">
        <w:rPr>
          <w:lang w:val="sk-SK"/>
        </w:rPr>
        <w:t xml:space="preserve"> sa má </w:t>
      </w:r>
      <w:proofErr w:type="spellStart"/>
      <w:r w:rsidR="00A23788">
        <w:rPr>
          <w:lang w:val="sk-SK"/>
        </w:rPr>
        <w:t>Ampres</w:t>
      </w:r>
      <w:proofErr w:type="spellEnd"/>
      <w:r w:rsidRPr="00502EF9">
        <w:rPr>
          <w:lang w:val="sk-SK"/>
        </w:rPr>
        <w:t xml:space="preserve"> </w:t>
      </w:r>
      <w:r w:rsidR="00A23788">
        <w:rPr>
          <w:lang w:val="sk-SK"/>
        </w:rPr>
        <w:t xml:space="preserve">10 mg/ml </w:t>
      </w:r>
      <w:r w:rsidRPr="00502EF9">
        <w:rPr>
          <w:lang w:val="sk-SK"/>
        </w:rPr>
        <w:t xml:space="preserve">podávať len vtedy, ak existuje presvedčivá indikácia pre jeho použitie, pretože </w:t>
      </w:r>
      <w:proofErr w:type="spellStart"/>
      <w:r w:rsidR="00A23788">
        <w:rPr>
          <w:lang w:val="sk-SK"/>
        </w:rPr>
        <w:t>Ampres</w:t>
      </w:r>
      <w:proofErr w:type="spellEnd"/>
      <w:r w:rsidR="00A23788">
        <w:rPr>
          <w:lang w:val="sk-SK"/>
        </w:rPr>
        <w:t xml:space="preserve"> 10 mg/ml</w:t>
      </w:r>
      <w:r w:rsidRPr="00502EF9">
        <w:rPr>
          <w:lang w:val="sk-SK"/>
        </w:rPr>
        <w:t xml:space="preserve"> môže potenciálne vyvolať </w:t>
      </w:r>
      <w:proofErr w:type="spellStart"/>
      <w:r w:rsidRPr="00502EF9">
        <w:rPr>
          <w:lang w:val="sk-SK"/>
        </w:rPr>
        <w:t>porfýriu</w:t>
      </w:r>
      <w:proofErr w:type="spellEnd"/>
      <w:r w:rsidRPr="00502EF9">
        <w:rPr>
          <w:lang w:val="sk-SK"/>
        </w:rPr>
        <w:t xml:space="preserve">. U všetkých pacientov s </w:t>
      </w:r>
      <w:proofErr w:type="spellStart"/>
      <w:r w:rsidRPr="00502EF9">
        <w:rPr>
          <w:lang w:val="sk-SK"/>
        </w:rPr>
        <w:t>porfýriou</w:t>
      </w:r>
      <w:proofErr w:type="spellEnd"/>
      <w:r w:rsidRPr="00502EF9">
        <w:rPr>
          <w:lang w:val="sk-SK"/>
        </w:rPr>
        <w:t xml:space="preserve"> treba podniknúť vhodné preventívne opatrenia.</w:t>
      </w:r>
    </w:p>
    <w:p w14:paraId="0C0658AA" w14:textId="77777777" w:rsidR="00281402" w:rsidRPr="00502EF9" w:rsidRDefault="00281402" w:rsidP="0036584A">
      <w:pPr>
        <w:numPr>
          <w:ilvl w:val="0"/>
          <w:numId w:val="42"/>
        </w:numPr>
        <w:tabs>
          <w:tab w:val="clear" w:pos="983"/>
        </w:tabs>
        <w:spacing w:line="240" w:lineRule="auto"/>
        <w:ind w:left="567" w:hanging="567"/>
        <w:rPr>
          <w:lang w:val="sk-SK"/>
        </w:rPr>
      </w:pPr>
      <w:r w:rsidRPr="00502EF9">
        <w:rPr>
          <w:lang w:val="sk-SK"/>
        </w:rPr>
        <w:t xml:space="preserve">Vzhľadom na skutočnosť, že sa lokálne anestetiká na báze esterov hydrolyzujú plazmatickou </w:t>
      </w:r>
      <w:proofErr w:type="spellStart"/>
      <w:r w:rsidRPr="00502EF9">
        <w:rPr>
          <w:lang w:val="sk-SK"/>
        </w:rPr>
        <w:t>cholinesterázou</w:t>
      </w:r>
      <w:proofErr w:type="spellEnd"/>
      <w:r w:rsidRPr="00502EF9">
        <w:rPr>
          <w:lang w:val="sk-SK"/>
        </w:rPr>
        <w:t xml:space="preserve"> produkovanou v pečeni, u pacientov s pokročilým ochorením pečene sa má </w:t>
      </w:r>
      <w:proofErr w:type="spellStart"/>
      <w:r w:rsidRPr="00502EF9">
        <w:rPr>
          <w:lang w:val="sk-SK"/>
        </w:rPr>
        <w:t>chlórprokaín</w:t>
      </w:r>
      <w:proofErr w:type="spellEnd"/>
      <w:r w:rsidRPr="00502EF9">
        <w:rPr>
          <w:lang w:val="sk-SK"/>
        </w:rPr>
        <w:t xml:space="preserve"> používať opatrne.</w:t>
      </w:r>
    </w:p>
    <w:p w14:paraId="6A8420A9" w14:textId="041BB38A" w:rsidR="00281402" w:rsidRPr="00502EF9" w:rsidRDefault="00281402" w:rsidP="0036584A">
      <w:pPr>
        <w:numPr>
          <w:ilvl w:val="0"/>
          <w:numId w:val="42"/>
        </w:numPr>
        <w:tabs>
          <w:tab w:val="clear" w:pos="983"/>
        </w:tabs>
        <w:spacing w:line="240" w:lineRule="auto"/>
        <w:ind w:left="567" w:hanging="567"/>
        <w:rPr>
          <w:lang w:val="sk-SK"/>
        </w:rPr>
      </w:pPr>
      <w:r w:rsidRPr="00502EF9">
        <w:rPr>
          <w:lang w:val="sk-SK"/>
        </w:rPr>
        <w:t>Pacienti s</w:t>
      </w:r>
      <w:r w:rsidR="006C1570">
        <w:rPr>
          <w:lang w:val="sk-SK"/>
        </w:rPr>
        <w:t> </w:t>
      </w:r>
      <w:r w:rsidRPr="00502EF9">
        <w:rPr>
          <w:lang w:val="sk-SK"/>
        </w:rPr>
        <w:t>genetick</w:t>
      </w:r>
      <w:r w:rsidR="006C1570">
        <w:rPr>
          <w:lang w:val="sk-SK"/>
        </w:rPr>
        <w:t>ým deficitom</w:t>
      </w:r>
      <w:r w:rsidRPr="00502EF9">
        <w:rPr>
          <w:lang w:val="sk-SK"/>
        </w:rPr>
        <w:t xml:space="preserve"> plazmatickej </w:t>
      </w:r>
      <w:proofErr w:type="spellStart"/>
      <w:r w:rsidRPr="00502EF9">
        <w:rPr>
          <w:lang w:val="sk-SK"/>
        </w:rPr>
        <w:t>cholinesterázy</w:t>
      </w:r>
      <w:proofErr w:type="spellEnd"/>
      <w:r w:rsidR="00271002">
        <w:rPr>
          <w:lang w:val="sk-SK"/>
        </w:rPr>
        <w:t>.</w:t>
      </w:r>
    </w:p>
    <w:p w14:paraId="69E5E85B" w14:textId="77777777" w:rsidR="00281402" w:rsidRPr="00502EF9" w:rsidRDefault="00281402" w:rsidP="0036584A">
      <w:pPr>
        <w:spacing w:line="240" w:lineRule="auto"/>
        <w:rPr>
          <w:i/>
          <w:iCs/>
          <w:lang w:val="sk-SK"/>
        </w:rPr>
      </w:pPr>
    </w:p>
    <w:p w14:paraId="340FD9A7" w14:textId="77777777" w:rsidR="00281402" w:rsidRPr="00502EF9" w:rsidRDefault="00281402" w:rsidP="00B572F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Je nevyhnutné zabezpečiť spoľahlivý </w:t>
      </w:r>
      <w:proofErr w:type="spellStart"/>
      <w:r w:rsidRPr="00502EF9">
        <w:rPr>
          <w:lang w:val="sk-SK"/>
        </w:rPr>
        <w:t>venózny</w:t>
      </w:r>
      <w:proofErr w:type="spellEnd"/>
      <w:r w:rsidRPr="00502EF9">
        <w:rPr>
          <w:lang w:val="sk-SK"/>
        </w:rPr>
        <w:t xml:space="preserve"> prístup.</w:t>
      </w:r>
    </w:p>
    <w:p w14:paraId="125E872D" w14:textId="77777777" w:rsidR="00281402" w:rsidRPr="00502EF9" w:rsidRDefault="00281402" w:rsidP="00B572F8">
      <w:pPr>
        <w:spacing w:line="240" w:lineRule="auto"/>
        <w:rPr>
          <w:lang w:val="sk-SK"/>
        </w:rPr>
      </w:pPr>
      <w:r w:rsidRPr="00502EF9">
        <w:rPr>
          <w:lang w:val="sk-SK"/>
        </w:rPr>
        <w:t>U vysoko rizikových pacientov sa odporúča zlepšiť ich celkový zdravotný stav pred zákrokom.</w:t>
      </w:r>
    </w:p>
    <w:p w14:paraId="4F748C42" w14:textId="77777777" w:rsidR="00281402" w:rsidRPr="00502EF9" w:rsidRDefault="00281402" w:rsidP="00B572F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Zriedkavým, ale závažným nežiaducim účinkom </w:t>
      </w:r>
      <w:proofErr w:type="spellStart"/>
      <w:r w:rsidRPr="00502EF9">
        <w:rPr>
          <w:lang w:val="sk-SK"/>
        </w:rPr>
        <w:t>spinálnej</w:t>
      </w:r>
      <w:proofErr w:type="spellEnd"/>
      <w:r w:rsidRPr="00502EF9">
        <w:rPr>
          <w:lang w:val="sk-SK"/>
        </w:rPr>
        <w:t xml:space="preserve"> anestézie je veľká alebo úplná </w:t>
      </w:r>
      <w:proofErr w:type="spellStart"/>
      <w:r w:rsidRPr="00502EF9">
        <w:rPr>
          <w:lang w:val="sk-SK"/>
        </w:rPr>
        <w:t>spinálna</w:t>
      </w:r>
      <w:proofErr w:type="spellEnd"/>
      <w:r w:rsidRPr="00502EF9">
        <w:rPr>
          <w:lang w:val="sk-SK"/>
        </w:rPr>
        <w:t xml:space="preserve"> blokáda s následnou kardiovaskulárnou a respiračnou depresiou. Kardiovaskulárna depresia je vyvolaná predĺženou blokádou sympatického nervového systému, ktorá môže vyvolať závažnú hypotenziu a bradykardiu, až po zástavu srdca. Respiračná depresia je vyvolaná blokádou dýchacieho svalstva a bránice.</w:t>
      </w:r>
    </w:p>
    <w:p w14:paraId="4535A1AF" w14:textId="1A09FFB8" w:rsidR="00281402" w:rsidRPr="00502EF9" w:rsidRDefault="00281402" w:rsidP="00B572F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Najmä u starších pacientov existuje zvýšené riziko veľkej alebo úplnej </w:t>
      </w:r>
      <w:proofErr w:type="spellStart"/>
      <w:r w:rsidRPr="00502EF9">
        <w:rPr>
          <w:lang w:val="sk-SK"/>
        </w:rPr>
        <w:t>spinálnej</w:t>
      </w:r>
      <w:proofErr w:type="spellEnd"/>
      <w:r w:rsidRPr="00502EF9">
        <w:rPr>
          <w:lang w:val="sk-SK"/>
        </w:rPr>
        <w:t xml:space="preserve"> blokády, preto je vhodné znížiť dávku anestetika.</w:t>
      </w:r>
    </w:p>
    <w:p w14:paraId="35888B05" w14:textId="6213B5B6" w:rsidR="00281402" w:rsidRPr="00502EF9" w:rsidRDefault="00281402" w:rsidP="00B572F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Zvlášť v prípade starších pacientov sa môže ako komplikácia </w:t>
      </w:r>
      <w:proofErr w:type="spellStart"/>
      <w:r w:rsidRPr="00502EF9">
        <w:rPr>
          <w:lang w:val="sk-SK"/>
        </w:rPr>
        <w:t>spinálnej</w:t>
      </w:r>
      <w:proofErr w:type="spellEnd"/>
      <w:r w:rsidRPr="00502EF9">
        <w:rPr>
          <w:lang w:val="sk-SK"/>
        </w:rPr>
        <w:t xml:space="preserve"> anestézie vyskytnúť neočakávaný pokles </w:t>
      </w:r>
      <w:proofErr w:type="spellStart"/>
      <w:r w:rsidRPr="00502EF9">
        <w:rPr>
          <w:lang w:val="sk-SK"/>
        </w:rPr>
        <w:t>arteriálneho</w:t>
      </w:r>
      <w:proofErr w:type="spellEnd"/>
      <w:r w:rsidRPr="00502EF9">
        <w:rPr>
          <w:lang w:val="sk-SK"/>
        </w:rPr>
        <w:t xml:space="preserve"> tlaku.</w:t>
      </w:r>
    </w:p>
    <w:p w14:paraId="524A0D7E" w14:textId="77777777" w:rsidR="00281402" w:rsidRPr="00502EF9" w:rsidRDefault="00281402" w:rsidP="00B572F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Po </w:t>
      </w:r>
      <w:proofErr w:type="spellStart"/>
      <w:r w:rsidRPr="00502EF9">
        <w:rPr>
          <w:lang w:val="sk-SK"/>
        </w:rPr>
        <w:t>spinálnej</w:t>
      </w:r>
      <w:proofErr w:type="spellEnd"/>
      <w:r w:rsidRPr="00502EF9">
        <w:rPr>
          <w:lang w:val="sk-SK"/>
        </w:rPr>
        <w:t xml:space="preserve"> anestézii môže v zriedkavých prípadoch dôjsť k neurologickému poškodeniu, ktoré sa prejavuje </w:t>
      </w:r>
      <w:proofErr w:type="spellStart"/>
      <w:r w:rsidRPr="00502EF9">
        <w:rPr>
          <w:lang w:val="sk-SK"/>
        </w:rPr>
        <w:t>parestéziou</w:t>
      </w:r>
      <w:proofErr w:type="spellEnd"/>
      <w:r w:rsidRPr="00502EF9">
        <w:rPr>
          <w:lang w:val="sk-SK"/>
        </w:rPr>
        <w:t>, stratou citlivosti, motorickou slabosťou, paralýzou, syndrómom „</w:t>
      </w:r>
      <w:proofErr w:type="spellStart"/>
      <w:r w:rsidRPr="00502EF9">
        <w:rPr>
          <w:lang w:val="sk-SK"/>
        </w:rPr>
        <w:t>cauda</w:t>
      </w:r>
      <w:proofErr w:type="spellEnd"/>
      <w:r w:rsidRPr="00502EF9">
        <w:rPr>
          <w:lang w:val="sk-SK"/>
        </w:rPr>
        <w:t xml:space="preserve"> </w:t>
      </w:r>
      <w:proofErr w:type="spellStart"/>
      <w:r w:rsidRPr="00502EF9">
        <w:rPr>
          <w:lang w:val="sk-SK"/>
        </w:rPr>
        <w:t>equina</w:t>
      </w:r>
      <w:proofErr w:type="spellEnd"/>
      <w:r w:rsidRPr="00502EF9">
        <w:rPr>
          <w:lang w:val="sk-SK"/>
        </w:rPr>
        <w:t>” a trvalým neurologickým poškodením. Tieto symptómy občas pretrvávajú.</w:t>
      </w:r>
    </w:p>
    <w:p w14:paraId="7DF469F8" w14:textId="77777777" w:rsidR="00281402" w:rsidRPr="00502EF9" w:rsidRDefault="00281402" w:rsidP="00B572F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Neexistuje podozrenie, že by neurologické ochorenia, napr. roztrúsená skleróza, </w:t>
      </w:r>
      <w:proofErr w:type="spellStart"/>
      <w:r w:rsidRPr="00502EF9">
        <w:rPr>
          <w:lang w:val="sk-SK"/>
        </w:rPr>
        <w:t>hemiplégia</w:t>
      </w:r>
      <w:proofErr w:type="spellEnd"/>
      <w:r w:rsidRPr="00502EF9">
        <w:rPr>
          <w:lang w:val="sk-SK"/>
        </w:rPr>
        <w:t xml:space="preserve">, paraplégia alebo </w:t>
      </w:r>
      <w:proofErr w:type="spellStart"/>
      <w:r w:rsidRPr="00502EF9">
        <w:rPr>
          <w:lang w:val="sk-SK"/>
        </w:rPr>
        <w:t>neuromuskulárne</w:t>
      </w:r>
      <w:proofErr w:type="spellEnd"/>
      <w:r w:rsidRPr="00502EF9">
        <w:rPr>
          <w:lang w:val="sk-SK"/>
        </w:rPr>
        <w:t xml:space="preserve"> poruchy mohli byť negatívne ovplyvnené </w:t>
      </w:r>
      <w:proofErr w:type="spellStart"/>
      <w:r w:rsidRPr="00502EF9">
        <w:rPr>
          <w:lang w:val="sk-SK"/>
        </w:rPr>
        <w:t>spinálnou</w:t>
      </w:r>
      <w:proofErr w:type="spellEnd"/>
      <w:r w:rsidRPr="00502EF9">
        <w:rPr>
          <w:lang w:val="sk-SK"/>
        </w:rPr>
        <w:t xml:space="preserve"> anestéziou. Má sa však používať opatrne. Pred liečbou sa odporúča starostlivo zvážiť pomer prínosu a rizika.</w:t>
      </w:r>
    </w:p>
    <w:p w14:paraId="24924F13" w14:textId="77777777" w:rsidR="0049626B" w:rsidRPr="00502EF9" w:rsidRDefault="0049626B" w:rsidP="00B572F8">
      <w:pPr>
        <w:spacing w:line="240" w:lineRule="auto"/>
        <w:rPr>
          <w:lang w:val="sk-SK"/>
        </w:rPr>
      </w:pPr>
    </w:p>
    <w:p w14:paraId="1BF048AC" w14:textId="43984E36" w:rsidR="00281402" w:rsidRPr="00502EF9" w:rsidRDefault="00281402" w:rsidP="00B572F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Tento liek obsahuje menej ako 1 mmol sodíka (23 mg) v jednej dávke (maximálna dávka sa rovná 5 ml </w:t>
      </w:r>
      <w:proofErr w:type="spellStart"/>
      <w:r w:rsidR="00A23788">
        <w:rPr>
          <w:lang w:val="sk-SK"/>
        </w:rPr>
        <w:t>Ampresu</w:t>
      </w:r>
      <w:proofErr w:type="spellEnd"/>
      <w:r w:rsidR="00A23788">
        <w:rPr>
          <w:lang w:val="sk-SK"/>
        </w:rPr>
        <w:t xml:space="preserve"> 10 mg/ml</w:t>
      </w:r>
      <w:r w:rsidRPr="00502EF9">
        <w:rPr>
          <w:lang w:val="sk-SK"/>
        </w:rPr>
        <w:t>), t. j. v podstate zanedbateľné množstvo sodíka.</w:t>
      </w:r>
    </w:p>
    <w:p w14:paraId="6C20ADDF" w14:textId="77777777" w:rsidR="00281402" w:rsidRPr="00502EF9" w:rsidRDefault="00281402" w:rsidP="00E57B03">
      <w:pPr>
        <w:spacing w:line="240" w:lineRule="auto"/>
        <w:jc w:val="both"/>
        <w:rPr>
          <w:lang w:val="sk-SK"/>
        </w:rPr>
      </w:pPr>
    </w:p>
    <w:p w14:paraId="3CBB377A" w14:textId="59B146B6" w:rsidR="00281402" w:rsidRPr="00502EF9" w:rsidRDefault="00281402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4.5 </w:t>
      </w:r>
      <w:r w:rsidR="00B572F8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Liekové a iné interakcie</w:t>
      </w:r>
    </w:p>
    <w:p w14:paraId="00F29873" w14:textId="77777777" w:rsidR="00B572F8" w:rsidRDefault="00B572F8" w:rsidP="00E57B03">
      <w:pPr>
        <w:pStyle w:val="CM12"/>
        <w:spacing w:after="0"/>
        <w:ind w:right="213"/>
        <w:jc w:val="both"/>
        <w:rPr>
          <w:rFonts w:ascii="Times New Roman" w:hAnsi="Times New Roman" w:cs="Times New Roman"/>
          <w:sz w:val="22"/>
          <w:szCs w:val="22"/>
          <w:lang w:val="sk-SK"/>
        </w:rPr>
      </w:pPr>
    </w:p>
    <w:p w14:paraId="754C19B6" w14:textId="5C41F1B3" w:rsidR="00281402" w:rsidRPr="00502EF9" w:rsidRDefault="00B572F8" w:rsidP="00B572F8">
      <w:pPr>
        <w:pStyle w:val="CM12"/>
        <w:spacing w:after="0"/>
        <w:ind w:right="213"/>
        <w:rPr>
          <w:rFonts w:ascii="Times New Roman" w:hAnsi="Times New Roman" w:cs="Times New Roman"/>
          <w:sz w:val="22"/>
          <w:szCs w:val="22"/>
          <w:lang w:val="sk-SK"/>
        </w:rPr>
      </w:pPr>
      <w:r>
        <w:rPr>
          <w:rFonts w:ascii="Times New Roman" w:hAnsi="Times New Roman" w:cs="Times New Roman"/>
          <w:sz w:val="22"/>
          <w:szCs w:val="22"/>
          <w:lang w:val="sk-SK"/>
        </w:rPr>
        <w:t>S</w:t>
      </w:r>
      <w:r w:rsidR="00281402"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účasné podávanie </w:t>
      </w:r>
      <w:proofErr w:type="spellStart"/>
      <w:r w:rsidR="00281402" w:rsidRPr="00502EF9">
        <w:rPr>
          <w:rFonts w:ascii="Times New Roman" w:hAnsi="Times New Roman" w:cs="Times New Roman"/>
          <w:sz w:val="22"/>
          <w:szCs w:val="22"/>
          <w:lang w:val="sk-SK"/>
        </w:rPr>
        <w:t>vazopresorov</w:t>
      </w:r>
      <w:proofErr w:type="spellEnd"/>
      <w:r w:rsidR="00281402"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(napríklad na liečbu hypotenzie súvisiacej s blokádami pri pôrode) a </w:t>
      </w:r>
      <w:proofErr w:type="spellStart"/>
      <w:r w:rsidR="00281402" w:rsidRPr="00502EF9">
        <w:rPr>
          <w:rFonts w:ascii="Times New Roman" w:hAnsi="Times New Roman" w:cs="Times New Roman"/>
          <w:sz w:val="22"/>
          <w:szCs w:val="22"/>
          <w:lang w:val="sk-SK"/>
        </w:rPr>
        <w:t>oxytocických</w:t>
      </w:r>
      <w:proofErr w:type="spellEnd"/>
      <w:r w:rsidR="00281402"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liekov </w:t>
      </w:r>
      <w:proofErr w:type="spellStart"/>
      <w:r w:rsidR="00281402" w:rsidRPr="00502EF9">
        <w:rPr>
          <w:rFonts w:ascii="Times New Roman" w:hAnsi="Times New Roman" w:cs="Times New Roman"/>
          <w:sz w:val="22"/>
          <w:szCs w:val="22"/>
          <w:lang w:val="sk-SK"/>
        </w:rPr>
        <w:t>ergotového</w:t>
      </w:r>
      <w:proofErr w:type="spellEnd"/>
      <w:r w:rsidR="00281402"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typu môže spôsobiť závažnú, </w:t>
      </w:r>
      <w:proofErr w:type="spellStart"/>
      <w:r w:rsidR="00281402" w:rsidRPr="00502EF9">
        <w:rPr>
          <w:rFonts w:ascii="Times New Roman" w:hAnsi="Times New Roman" w:cs="Times New Roman"/>
          <w:sz w:val="22"/>
          <w:szCs w:val="22"/>
          <w:lang w:val="sk-SK"/>
        </w:rPr>
        <w:t>perzistentnú</w:t>
      </w:r>
      <w:proofErr w:type="spellEnd"/>
      <w:r w:rsidR="00281402"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hypertenziu alebo </w:t>
      </w:r>
      <w:proofErr w:type="spellStart"/>
      <w:r w:rsidR="00281402" w:rsidRPr="00502EF9">
        <w:rPr>
          <w:rFonts w:ascii="Times New Roman" w:hAnsi="Times New Roman" w:cs="Times New Roman"/>
          <w:sz w:val="22"/>
          <w:szCs w:val="22"/>
          <w:lang w:val="sk-SK"/>
        </w:rPr>
        <w:t>cerebrovaskulárne</w:t>
      </w:r>
      <w:proofErr w:type="spellEnd"/>
      <w:r w:rsidR="00281402"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príhody.</w:t>
      </w:r>
    </w:p>
    <w:p w14:paraId="03834585" w14:textId="1BA96E5A" w:rsidR="00281402" w:rsidRPr="00502EF9" w:rsidRDefault="00281402" w:rsidP="00B572F8">
      <w:pPr>
        <w:spacing w:line="240" w:lineRule="auto"/>
        <w:rPr>
          <w:lang w:val="sk-SK"/>
        </w:rPr>
      </w:pPr>
      <w:proofErr w:type="spellStart"/>
      <w:r w:rsidRPr="00502EF9">
        <w:rPr>
          <w:lang w:val="sk-SK"/>
        </w:rPr>
        <w:t>Metabolit</w:t>
      </w:r>
      <w:proofErr w:type="spellEnd"/>
      <w:r w:rsidRPr="00502EF9">
        <w:rPr>
          <w:lang w:val="sk-SK"/>
        </w:rPr>
        <w:t xml:space="preserve"> </w:t>
      </w:r>
      <w:proofErr w:type="spellStart"/>
      <w:r w:rsidRPr="00502EF9">
        <w:rPr>
          <w:lang w:val="sk-SK"/>
        </w:rPr>
        <w:t>chlórprokaínu</w:t>
      </w:r>
      <w:proofErr w:type="spellEnd"/>
      <w:r w:rsidRPr="00502EF9">
        <w:rPr>
          <w:lang w:val="sk-SK"/>
        </w:rPr>
        <w:t xml:space="preserve"> kyselin</w:t>
      </w:r>
      <w:r w:rsidR="007E04EC">
        <w:rPr>
          <w:lang w:val="sk-SK"/>
        </w:rPr>
        <w:t>a</w:t>
      </w:r>
      <w:r w:rsidRPr="00502EF9">
        <w:rPr>
          <w:lang w:val="sk-SK"/>
        </w:rPr>
        <w:t xml:space="preserve"> para-</w:t>
      </w:r>
      <w:proofErr w:type="spellStart"/>
      <w:r w:rsidRPr="00502EF9">
        <w:rPr>
          <w:lang w:val="sk-SK"/>
        </w:rPr>
        <w:t>aminobenzoov</w:t>
      </w:r>
      <w:r w:rsidR="007E04EC">
        <w:rPr>
          <w:lang w:val="sk-SK"/>
        </w:rPr>
        <w:t>á</w:t>
      </w:r>
      <w:proofErr w:type="spellEnd"/>
      <w:r w:rsidRPr="00502EF9">
        <w:rPr>
          <w:lang w:val="sk-SK"/>
        </w:rPr>
        <w:t xml:space="preserve"> </w:t>
      </w:r>
      <w:proofErr w:type="spellStart"/>
      <w:r w:rsidRPr="00502EF9">
        <w:rPr>
          <w:lang w:val="sk-SK"/>
        </w:rPr>
        <w:t>inhibuje</w:t>
      </w:r>
      <w:proofErr w:type="spellEnd"/>
      <w:r w:rsidRPr="00502EF9">
        <w:rPr>
          <w:lang w:val="sk-SK"/>
        </w:rPr>
        <w:t xml:space="preserve"> účinok sulfónamidov. </w:t>
      </w:r>
      <w:proofErr w:type="spellStart"/>
      <w:r w:rsidRPr="00502EF9">
        <w:rPr>
          <w:lang w:val="sk-SK"/>
        </w:rPr>
        <w:t>Chlórprokaín</w:t>
      </w:r>
      <w:proofErr w:type="spellEnd"/>
      <w:r w:rsidRPr="00502EF9">
        <w:rPr>
          <w:lang w:val="sk-SK"/>
        </w:rPr>
        <w:t xml:space="preserve"> sa preto nem</w:t>
      </w:r>
      <w:r w:rsidR="002F07D3">
        <w:rPr>
          <w:lang w:val="sk-SK"/>
        </w:rPr>
        <w:t>á</w:t>
      </w:r>
      <w:r w:rsidRPr="00502EF9">
        <w:rPr>
          <w:lang w:val="sk-SK"/>
        </w:rPr>
        <w:t xml:space="preserve"> používať pri akomkoľvek stave, </w:t>
      </w:r>
      <w:r w:rsidR="002F07D3">
        <w:rPr>
          <w:lang w:val="sk-SK"/>
        </w:rPr>
        <w:t>pri ktor</w:t>
      </w:r>
      <w:r w:rsidR="00271002">
        <w:rPr>
          <w:lang w:val="sk-SK"/>
        </w:rPr>
        <w:t>o</w:t>
      </w:r>
      <w:r w:rsidR="002F07D3">
        <w:rPr>
          <w:lang w:val="sk-SK"/>
        </w:rPr>
        <w:t>m sa</w:t>
      </w:r>
      <w:r w:rsidRPr="00502EF9">
        <w:rPr>
          <w:lang w:val="sk-SK"/>
        </w:rPr>
        <w:t xml:space="preserve"> používa liek s obsahom sulfónamidu.</w:t>
      </w:r>
    </w:p>
    <w:p w14:paraId="5E0EB018" w14:textId="77777777" w:rsidR="00281402" w:rsidRPr="00502EF9" w:rsidRDefault="00281402" w:rsidP="00B572F8">
      <w:pPr>
        <w:spacing w:line="240" w:lineRule="auto"/>
        <w:rPr>
          <w:lang w:val="sk-SK"/>
        </w:rPr>
      </w:pPr>
    </w:p>
    <w:p w14:paraId="74866C12" w14:textId="77777777" w:rsidR="00281402" w:rsidRPr="00502EF9" w:rsidRDefault="00281402" w:rsidP="00B572F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Neuskutočnili sa žiadne interakčné štúdie zamerané na interakcie medzi </w:t>
      </w:r>
      <w:proofErr w:type="spellStart"/>
      <w:r w:rsidRPr="00502EF9">
        <w:rPr>
          <w:lang w:val="sk-SK"/>
        </w:rPr>
        <w:t>chlórprokaínom</w:t>
      </w:r>
      <w:proofErr w:type="spellEnd"/>
      <w:r w:rsidRPr="00502EF9">
        <w:rPr>
          <w:lang w:val="sk-SK"/>
        </w:rPr>
        <w:t xml:space="preserve"> a </w:t>
      </w:r>
      <w:proofErr w:type="spellStart"/>
      <w:r w:rsidRPr="00502EF9">
        <w:rPr>
          <w:lang w:val="sk-SK"/>
        </w:rPr>
        <w:t>antiarytmikami</w:t>
      </w:r>
      <w:proofErr w:type="spellEnd"/>
      <w:r w:rsidRPr="00502EF9">
        <w:rPr>
          <w:lang w:val="sk-SK"/>
        </w:rPr>
        <w:t xml:space="preserve"> triedy III (napr. </w:t>
      </w:r>
      <w:proofErr w:type="spellStart"/>
      <w:r w:rsidRPr="00502EF9">
        <w:rPr>
          <w:lang w:val="sk-SK"/>
        </w:rPr>
        <w:t>amiodarón</w:t>
      </w:r>
      <w:proofErr w:type="spellEnd"/>
      <w:r w:rsidRPr="00502EF9">
        <w:rPr>
          <w:lang w:val="sk-SK"/>
        </w:rPr>
        <w:t>), ale v tomto prípade sa tiež musí postupovať opatrne (pozri tiež časť 4.4).</w:t>
      </w:r>
    </w:p>
    <w:p w14:paraId="63ECE932" w14:textId="77777777" w:rsidR="00281402" w:rsidRPr="00502EF9" w:rsidRDefault="00281402" w:rsidP="00B572F8">
      <w:pPr>
        <w:spacing w:line="240" w:lineRule="auto"/>
        <w:rPr>
          <w:noProof/>
          <w:lang w:val="sk-SK"/>
        </w:rPr>
      </w:pPr>
      <w:r w:rsidRPr="00502EF9">
        <w:rPr>
          <w:lang w:val="sk-SK"/>
        </w:rPr>
        <w:t>Kombinácia rôznych lokálnych anestetík vyvoláva ďalšie účinky, ktoré ovplyvňujú kardiovaskulárny systém a CNS.</w:t>
      </w:r>
    </w:p>
    <w:p w14:paraId="12BB0A58" w14:textId="77777777" w:rsidR="00281402" w:rsidRPr="00502EF9" w:rsidRDefault="00281402" w:rsidP="00E57B03">
      <w:pPr>
        <w:spacing w:line="240" w:lineRule="auto"/>
        <w:jc w:val="both"/>
        <w:rPr>
          <w:noProof/>
          <w:lang w:val="sk-SK"/>
        </w:rPr>
      </w:pPr>
    </w:p>
    <w:p w14:paraId="2C888A04" w14:textId="68E247CD" w:rsidR="00281402" w:rsidRPr="00502EF9" w:rsidRDefault="00281402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4.6 </w:t>
      </w:r>
      <w:r w:rsidR="00B572F8">
        <w:rPr>
          <w:b/>
          <w:bCs/>
          <w:lang w:val="sk-SK"/>
        </w:rPr>
        <w:tab/>
      </w:r>
      <w:proofErr w:type="spellStart"/>
      <w:r w:rsidRPr="00502EF9">
        <w:rPr>
          <w:b/>
          <w:bCs/>
          <w:lang w:val="sk-SK"/>
        </w:rPr>
        <w:t>Fertilita</w:t>
      </w:r>
      <w:proofErr w:type="spellEnd"/>
      <w:r w:rsidRPr="00502EF9">
        <w:rPr>
          <w:b/>
          <w:bCs/>
          <w:lang w:val="sk-SK"/>
        </w:rPr>
        <w:t>, gravidita a laktácia</w:t>
      </w:r>
    </w:p>
    <w:p w14:paraId="4BE97344" w14:textId="77777777" w:rsidR="00B572F8" w:rsidRDefault="00B572F8" w:rsidP="00E57B03">
      <w:pPr>
        <w:spacing w:line="240" w:lineRule="auto"/>
        <w:jc w:val="both"/>
        <w:rPr>
          <w:lang w:val="sk-SK"/>
        </w:rPr>
      </w:pPr>
    </w:p>
    <w:p w14:paraId="0D239033" w14:textId="77777777" w:rsidR="00FA054B" w:rsidRPr="00B572F8" w:rsidRDefault="00FA054B" w:rsidP="00B572F8">
      <w:pPr>
        <w:spacing w:line="240" w:lineRule="auto"/>
        <w:rPr>
          <w:u w:val="single"/>
          <w:lang w:val="sk-SK"/>
        </w:rPr>
      </w:pPr>
      <w:r w:rsidRPr="00B572F8">
        <w:rPr>
          <w:u w:val="single"/>
          <w:lang w:val="sk-SK"/>
        </w:rPr>
        <w:t>Gravidita</w:t>
      </w:r>
    </w:p>
    <w:p w14:paraId="285FB8B7" w14:textId="74C68FB8" w:rsidR="00FA054B" w:rsidRPr="00502EF9" w:rsidRDefault="00FA054B" w:rsidP="00B572F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Štúdie na zvieratách sú nedostatočné z hľadiska posúdenia účinkov na priebeh gravidity a </w:t>
      </w:r>
      <w:proofErr w:type="spellStart"/>
      <w:r w:rsidRPr="00502EF9">
        <w:rPr>
          <w:lang w:val="sk-SK"/>
        </w:rPr>
        <w:t>fetálny</w:t>
      </w:r>
      <w:proofErr w:type="spellEnd"/>
      <w:r w:rsidRPr="00502EF9">
        <w:rPr>
          <w:lang w:val="sk-SK"/>
        </w:rPr>
        <w:t xml:space="preserve"> výv</w:t>
      </w:r>
      <w:r w:rsidR="002F07D3">
        <w:rPr>
          <w:lang w:val="sk-SK"/>
        </w:rPr>
        <w:t>in</w:t>
      </w:r>
      <w:r w:rsidRPr="00502EF9">
        <w:rPr>
          <w:lang w:val="sk-SK"/>
        </w:rPr>
        <w:t xml:space="preserve"> (pozri časť 5.3).</w:t>
      </w:r>
    </w:p>
    <w:p w14:paraId="7B3E0331" w14:textId="30F4C248" w:rsidR="00FA054B" w:rsidRPr="00502EF9" w:rsidRDefault="003518A1" w:rsidP="00B572F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Preto sa </w:t>
      </w:r>
      <w:proofErr w:type="spellStart"/>
      <w:r w:rsidR="00A23788">
        <w:rPr>
          <w:lang w:val="sk-SK"/>
        </w:rPr>
        <w:t>Ampres</w:t>
      </w:r>
      <w:proofErr w:type="spellEnd"/>
      <w:r w:rsidRPr="00502EF9">
        <w:rPr>
          <w:lang w:val="sk-SK"/>
        </w:rPr>
        <w:t xml:space="preserve"> </w:t>
      </w:r>
      <w:r w:rsidR="00A23788">
        <w:rPr>
          <w:lang w:val="sk-SK"/>
        </w:rPr>
        <w:t xml:space="preserve">10 mg/ml </w:t>
      </w:r>
      <w:r w:rsidRPr="00502EF9">
        <w:rPr>
          <w:lang w:val="sk-SK"/>
        </w:rPr>
        <w:t xml:space="preserve">neodporúča </w:t>
      </w:r>
      <w:r w:rsidR="002F07D3">
        <w:rPr>
          <w:lang w:val="sk-SK"/>
        </w:rPr>
        <w:t>po</w:t>
      </w:r>
      <w:r w:rsidRPr="00502EF9">
        <w:rPr>
          <w:lang w:val="sk-SK"/>
        </w:rPr>
        <w:t>užívať počas gravidity a ženám vo fertilnom veku, ktoré nepoužívajú antikoncepciu. O</w:t>
      </w:r>
      <w:r w:rsidR="00A23788">
        <w:rPr>
          <w:lang w:val="sk-SK"/>
        </w:rPr>
        <w:t> </w:t>
      </w:r>
      <w:r w:rsidRPr="00502EF9">
        <w:rPr>
          <w:lang w:val="sk-SK"/>
        </w:rPr>
        <w:t>použití</w:t>
      </w:r>
      <w:r w:rsidR="00A23788">
        <w:rPr>
          <w:lang w:val="sk-SK"/>
        </w:rPr>
        <w:t xml:space="preserve"> </w:t>
      </w:r>
      <w:proofErr w:type="spellStart"/>
      <w:r w:rsidR="00A23788">
        <w:rPr>
          <w:lang w:val="sk-SK"/>
        </w:rPr>
        <w:t>Ampresu</w:t>
      </w:r>
      <w:proofErr w:type="spellEnd"/>
      <w:r w:rsidRPr="00502EF9">
        <w:rPr>
          <w:lang w:val="sk-SK"/>
        </w:rPr>
        <w:t xml:space="preserve"> </w:t>
      </w:r>
      <w:r w:rsidR="00A23788">
        <w:rPr>
          <w:lang w:val="sk-SK"/>
        </w:rPr>
        <w:t xml:space="preserve">10 mg/ml </w:t>
      </w:r>
      <w:r w:rsidRPr="00502EF9">
        <w:rPr>
          <w:lang w:val="sk-SK"/>
        </w:rPr>
        <w:t xml:space="preserve">počas gravidity sa má uvažovať iba vtedy, ak potenciálny úžitok pre matku preváži akékoľvek potenciálne riziko pre plod. To nevylučuje použitie </w:t>
      </w:r>
      <w:proofErr w:type="spellStart"/>
      <w:r w:rsidR="00A23788">
        <w:rPr>
          <w:lang w:val="sk-SK"/>
        </w:rPr>
        <w:t>Ampresu</w:t>
      </w:r>
      <w:proofErr w:type="spellEnd"/>
      <w:r w:rsidR="00A23788">
        <w:rPr>
          <w:lang w:val="sk-SK"/>
        </w:rPr>
        <w:t xml:space="preserve"> 10 mg/ml</w:t>
      </w:r>
      <w:r w:rsidRPr="00502EF9">
        <w:rPr>
          <w:lang w:val="sk-SK"/>
        </w:rPr>
        <w:t xml:space="preserve"> </w:t>
      </w:r>
      <w:r w:rsidR="002F07D3">
        <w:rPr>
          <w:lang w:val="sk-SK"/>
        </w:rPr>
        <w:t xml:space="preserve">na anestéziu </w:t>
      </w:r>
      <w:r w:rsidRPr="003E6010">
        <w:rPr>
          <w:lang w:val="sk-SK"/>
        </w:rPr>
        <w:t>pri pôrode v riadnom termíne</w:t>
      </w:r>
      <w:r w:rsidRPr="00502EF9">
        <w:rPr>
          <w:lang w:val="sk-SK"/>
        </w:rPr>
        <w:t>.</w:t>
      </w:r>
    </w:p>
    <w:p w14:paraId="150D7048" w14:textId="77777777" w:rsidR="00FA054B" w:rsidRPr="00502EF9" w:rsidRDefault="00FA054B" w:rsidP="00B572F8">
      <w:pPr>
        <w:spacing w:line="240" w:lineRule="auto"/>
        <w:rPr>
          <w:lang w:val="sk-SK"/>
        </w:rPr>
      </w:pPr>
    </w:p>
    <w:p w14:paraId="3F9928D6" w14:textId="7E3230FA" w:rsidR="0003094D" w:rsidRPr="00B572F8" w:rsidRDefault="00267792" w:rsidP="00B572F8">
      <w:pPr>
        <w:spacing w:line="240" w:lineRule="auto"/>
        <w:rPr>
          <w:u w:val="single"/>
          <w:lang w:val="sk-SK"/>
        </w:rPr>
      </w:pPr>
      <w:r w:rsidRPr="00B572F8">
        <w:rPr>
          <w:u w:val="single"/>
          <w:lang w:val="sk-SK"/>
        </w:rPr>
        <w:t>Dojčenie</w:t>
      </w:r>
    </w:p>
    <w:p w14:paraId="71C079CC" w14:textId="15D6CD60" w:rsidR="00FA054B" w:rsidRPr="00502EF9" w:rsidRDefault="00FA054B" w:rsidP="00B572F8">
      <w:pPr>
        <w:spacing w:line="240" w:lineRule="auto"/>
        <w:rPr>
          <w:lang w:val="sk-SK" w:eastAsia="en-GB"/>
        </w:rPr>
      </w:pPr>
      <w:r w:rsidRPr="00502EF9">
        <w:rPr>
          <w:lang w:val="sk-SK"/>
        </w:rPr>
        <w:t xml:space="preserve">Nie je známe, či sa </w:t>
      </w:r>
      <w:proofErr w:type="spellStart"/>
      <w:r w:rsidRPr="00502EF9">
        <w:rPr>
          <w:lang w:val="sk-SK"/>
        </w:rPr>
        <w:t>chlórprokaín</w:t>
      </w:r>
      <w:proofErr w:type="spellEnd"/>
      <w:r w:rsidRPr="00502EF9">
        <w:rPr>
          <w:lang w:val="sk-SK"/>
        </w:rPr>
        <w:t>/</w:t>
      </w:r>
      <w:proofErr w:type="spellStart"/>
      <w:r w:rsidRPr="00502EF9">
        <w:rPr>
          <w:lang w:val="sk-SK"/>
        </w:rPr>
        <w:t>metabolity</w:t>
      </w:r>
      <w:proofErr w:type="spellEnd"/>
      <w:r w:rsidRPr="00502EF9">
        <w:rPr>
          <w:lang w:val="sk-SK"/>
        </w:rPr>
        <w:t xml:space="preserve"> vylučujú do materského mlieka.</w:t>
      </w:r>
      <w:r w:rsidR="00927DB8">
        <w:rPr>
          <w:lang w:val="sk-SK"/>
        </w:rPr>
        <w:t xml:space="preserve"> </w:t>
      </w:r>
      <w:r w:rsidR="00DE61B3">
        <w:rPr>
          <w:lang w:val="sk-SK"/>
        </w:rPr>
        <w:t xml:space="preserve">Musí sa rozhodnúť, či prerušiť dojčenie alebo liečbu </w:t>
      </w:r>
      <w:proofErr w:type="spellStart"/>
      <w:r w:rsidR="00DE61B3">
        <w:rPr>
          <w:lang w:val="sk-SK"/>
        </w:rPr>
        <w:t>Ampresom</w:t>
      </w:r>
      <w:proofErr w:type="spellEnd"/>
      <w:r w:rsidR="00DE61B3">
        <w:rPr>
          <w:lang w:val="sk-SK"/>
        </w:rPr>
        <w:t xml:space="preserve"> 10 mg/ml s ohľadom na prínos dojčenia pre dieťa a prínos liečby pre ženu.</w:t>
      </w:r>
      <w:r w:rsidR="00927DB8">
        <w:rPr>
          <w:lang w:val="sk-SK"/>
        </w:rPr>
        <w:t xml:space="preserve"> </w:t>
      </w:r>
    </w:p>
    <w:p w14:paraId="000D8212" w14:textId="77777777" w:rsidR="00F76038" w:rsidRPr="00502EF9" w:rsidRDefault="00F76038" w:rsidP="00B572F8">
      <w:pPr>
        <w:spacing w:line="240" w:lineRule="auto"/>
        <w:rPr>
          <w:lang w:val="sk-SK"/>
        </w:rPr>
      </w:pPr>
    </w:p>
    <w:p w14:paraId="2143A2DD" w14:textId="77777777" w:rsidR="00F76038" w:rsidRPr="00B572F8" w:rsidRDefault="00F76038" w:rsidP="00B572F8">
      <w:pPr>
        <w:spacing w:line="240" w:lineRule="auto"/>
        <w:rPr>
          <w:u w:val="single"/>
          <w:lang w:val="sk-SK"/>
        </w:rPr>
      </w:pPr>
      <w:proofErr w:type="spellStart"/>
      <w:r w:rsidRPr="00B572F8">
        <w:rPr>
          <w:u w:val="single"/>
          <w:lang w:val="sk-SK"/>
        </w:rPr>
        <w:t>Fertilita</w:t>
      </w:r>
      <w:proofErr w:type="spellEnd"/>
    </w:p>
    <w:p w14:paraId="3ACBC636" w14:textId="77777777" w:rsidR="00F76038" w:rsidRPr="00502EF9" w:rsidRDefault="00F76038" w:rsidP="00B572F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Neboli vykonané žiadne štúdie </w:t>
      </w:r>
      <w:proofErr w:type="spellStart"/>
      <w:r w:rsidRPr="00502EF9">
        <w:rPr>
          <w:lang w:val="sk-SK"/>
        </w:rPr>
        <w:t>fertility</w:t>
      </w:r>
      <w:proofErr w:type="spellEnd"/>
      <w:r w:rsidRPr="00502EF9">
        <w:rPr>
          <w:lang w:val="sk-SK"/>
        </w:rPr>
        <w:t>.</w:t>
      </w:r>
    </w:p>
    <w:p w14:paraId="367FE97F" w14:textId="77777777" w:rsidR="00281402" w:rsidRPr="00502EF9" w:rsidRDefault="00281402" w:rsidP="00B572F8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642D8BD8" w14:textId="1512F99F" w:rsidR="00281402" w:rsidRPr="00502EF9" w:rsidRDefault="00281402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4.7 </w:t>
      </w:r>
      <w:r w:rsidR="00927DB8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Ovplyvnenie schopnosti viesť vozidlá a obsluhovať stroje</w:t>
      </w:r>
    </w:p>
    <w:p w14:paraId="13FF0CBA" w14:textId="77777777" w:rsidR="00927DB8" w:rsidRDefault="00927DB8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425ACE16" w14:textId="7FE886AF" w:rsidR="00281402" w:rsidRPr="00502EF9" w:rsidRDefault="00A23788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proofErr w:type="spellStart"/>
      <w:r>
        <w:rPr>
          <w:lang w:val="sk-SK"/>
        </w:rPr>
        <w:t>Ampres</w:t>
      </w:r>
      <w:proofErr w:type="spellEnd"/>
      <w:r>
        <w:rPr>
          <w:lang w:val="sk-SK"/>
        </w:rPr>
        <w:t xml:space="preserve"> 10 mg/ml</w:t>
      </w:r>
      <w:r w:rsidR="00ED419E" w:rsidRPr="00502EF9">
        <w:rPr>
          <w:lang w:val="sk-SK"/>
        </w:rPr>
        <w:t xml:space="preserve"> má veľký vplyv na schopnosť viesť vozidlá a obsluhovať stroje.</w:t>
      </w:r>
    </w:p>
    <w:p w14:paraId="30A0FC0F" w14:textId="77777777" w:rsidR="00281402" w:rsidRPr="00502EF9" w:rsidRDefault="00281402" w:rsidP="00927DB8">
      <w:pPr>
        <w:spacing w:line="240" w:lineRule="auto"/>
        <w:rPr>
          <w:noProof/>
          <w:lang w:val="sk-SK"/>
        </w:rPr>
      </w:pPr>
      <w:r w:rsidRPr="00502EF9">
        <w:rPr>
          <w:lang w:val="sk-SK"/>
        </w:rPr>
        <w:t>Lekár je v každom individuálnom prípade zodpovedný za rozhodnutie, či pacient môže viesť vozidlá alebo obsluhovať stroje.</w:t>
      </w:r>
    </w:p>
    <w:p w14:paraId="2AF28BAA" w14:textId="77777777" w:rsidR="00281402" w:rsidRPr="00502EF9" w:rsidRDefault="00281402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35E4C5C9" w14:textId="3A97E562" w:rsidR="00281402" w:rsidRPr="00502EF9" w:rsidRDefault="000B75DD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4.8 </w:t>
      </w:r>
      <w:r w:rsidR="00927DB8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Nežiaduce účinky</w:t>
      </w:r>
    </w:p>
    <w:p w14:paraId="7047A1B6" w14:textId="77777777" w:rsidR="00927DB8" w:rsidRDefault="00927DB8" w:rsidP="00927DB8">
      <w:pPr>
        <w:spacing w:line="240" w:lineRule="auto"/>
        <w:rPr>
          <w:lang w:val="sk-SK"/>
        </w:rPr>
      </w:pPr>
    </w:p>
    <w:p w14:paraId="6732A7CA" w14:textId="77777777" w:rsidR="00927DB8" w:rsidRPr="00927DB8" w:rsidRDefault="00927DB8" w:rsidP="00927DB8">
      <w:pPr>
        <w:spacing w:line="240" w:lineRule="auto"/>
        <w:rPr>
          <w:u w:val="single"/>
          <w:lang w:val="sk-SK"/>
        </w:rPr>
      </w:pPr>
      <w:r w:rsidRPr="00927DB8">
        <w:rPr>
          <w:u w:val="single"/>
          <w:lang w:val="sk-SK"/>
        </w:rPr>
        <w:t>Súhrn bezpečnostného profilu</w:t>
      </w:r>
    </w:p>
    <w:p w14:paraId="668EF130" w14:textId="77777777" w:rsidR="00927DB8" w:rsidRDefault="00927DB8" w:rsidP="00927DB8">
      <w:pPr>
        <w:spacing w:line="240" w:lineRule="auto"/>
        <w:rPr>
          <w:lang w:val="sk-SK"/>
        </w:rPr>
      </w:pPr>
    </w:p>
    <w:p w14:paraId="24847F5F" w14:textId="553FBDA1" w:rsidR="00281402" w:rsidRPr="00502EF9" w:rsidRDefault="00281402" w:rsidP="00927DB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Možné nežiaduce účinky spôsobené použitím </w:t>
      </w:r>
      <w:proofErr w:type="spellStart"/>
      <w:r w:rsidR="00A23788">
        <w:rPr>
          <w:lang w:val="sk-SK"/>
        </w:rPr>
        <w:t>Ampresu</w:t>
      </w:r>
      <w:proofErr w:type="spellEnd"/>
      <w:r w:rsidR="00A23788">
        <w:rPr>
          <w:lang w:val="sk-SK"/>
        </w:rPr>
        <w:t xml:space="preserve"> 10 mg/ml</w:t>
      </w:r>
      <w:r w:rsidRPr="00502EF9">
        <w:rPr>
          <w:lang w:val="sk-SK"/>
        </w:rPr>
        <w:t xml:space="preserve"> sa zvyčajne podobajú nežiaducim účinkom iných lokálnych anestetík pre </w:t>
      </w:r>
      <w:proofErr w:type="spellStart"/>
      <w:r w:rsidRPr="00502EF9">
        <w:rPr>
          <w:lang w:val="sk-SK"/>
        </w:rPr>
        <w:t>spinálnu</w:t>
      </w:r>
      <w:proofErr w:type="spellEnd"/>
      <w:r w:rsidRPr="00502EF9">
        <w:rPr>
          <w:lang w:val="sk-SK"/>
        </w:rPr>
        <w:t xml:space="preserve"> anestéziu na báze esterov. Nežiaduce účinky vyvolané liekom sa dajú ťažko rozoznať od fyziologických účinkov nervovej blokády (napr. pokles </w:t>
      </w:r>
      <w:proofErr w:type="spellStart"/>
      <w:r w:rsidRPr="00502EF9">
        <w:rPr>
          <w:lang w:val="sk-SK"/>
        </w:rPr>
        <w:t>arteriálneho</w:t>
      </w:r>
      <w:proofErr w:type="spellEnd"/>
      <w:r w:rsidRPr="00502EF9">
        <w:rPr>
          <w:lang w:val="sk-SK"/>
        </w:rPr>
        <w:t xml:space="preserve"> tlaku, bradykardia, prechodná </w:t>
      </w:r>
      <w:proofErr w:type="spellStart"/>
      <w:r w:rsidRPr="00502EF9">
        <w:rPr>
          <w:lang w:val="sk-SK"/>
        </w:rPr>
        <w:t>retencia</w:t>
      </w:r>
      <w:proofErr w:type="spellEnd"/>
      <w:r w:rsidRPr="00502EF9">
        <w:rPr>
          <w:lang w:val="sk-SK"/>
        </w:rPr>
        <w:t xml:space="preserve"> moču) a účinkov vyvolaných priamo (napr. </w:t>
      </w:r>
      <w:proofErr w:type="spellStart"/>
      <w:r w:rsidRPr="00502EF9">
        <w:rPr>
          <w:lang w:val="sk-SK"/>
        </w:rPr>
        <w:t>spinálny</w:t>
      </w:r>
      <w:proofErr w:type="spellEnd"/>
      <w:r w:rsidRPr="00502EF9">
        <w:rPr>
          <w:lang w:val="sk-SK"/>
        </w:rPr>
        <w:t xml:space="preserve"> hematóm), či nepriamo (napr. </w:t>
      </w:r>
      <w:proofErr w:type="spellStart"/>
      <w:r w:rsidRPr="00502EF9">
        <w:rPr>
          <w:lang w:val="sk-SK"/>
        </w:rPr>
        <w:t>meningitída</w:t>
      </w:r>
      <w:proofErr w:type="spellEnd"/>
      <w:r w:rsidRPr="00502EF9">
        <w:rPr>
          <w:lang w:val="sk-SK"/>
        </w:rPr>
        <w:t>) podaním injekcie, alebo od účinkov vyvolaných stratou mozgovomiechového moku (napríklad post-</w:t>
      </w:r>
      <w:proofErr w:type="spellStart"/>
      <w:r w:rsidRPr="00502EF9">
        <w:rPr>
          <w:lang w:val="sk-SK"/>
        </w:rPr>
        <w:t>spináln</w:t>
      </w:r>
      <w:r w:rsidR="00927DB8">
        <w:rPr>
          <w:lang w:val="sk-SK"/>
        </w:rPr>
        <w:t>a</w:t>
      </w:r>
      <w:proofErr w:type="spellEnd"/>
      <w:r w:rsidRPr="00502EF9">
        <w:rPr>
          <w:lang w:val="sk-SK"/>
        </w:rPr>
        <w:t xml:space="preserve"> boles</w:t>
      </w:r>
      <w:r w:rsidR="00927DB8">
        <w:rPr>
          <w:lang w:val="sk-SK"/>
        </w:rPr>
        <w:t>ť</w:t>
      </w:r>
      <w:r w:rsidRPr="00502EF9">
        <w:rPr>
          <w:lang w:val="sk-SK"/>
        </w:rPr>
        <w:t xml:space="preserve"> hlavy).</w:t>
      </w:r>
    </w:p>
    <w:p w14:paraId="449A1BF4" w14:textId="77777777" w:rsidR="007071BD" w:rsidRDefault="007071BD" w:rsidP="00927DB8">
      <w:pPr>
        <w:spacing w:line="240" w:lineRule="auto"/>
        <w:rPr>
          <w:lang w:val="sk-SK"/>
        </w:rPr>
      </w:pPr>
    </w:p>
    <w:p w14:paraId="3C0743A1" w14:textId="10E77301" w:rsidR="007071BD" w:rsidRPr="007071BD" w:rsidRDefault="007A497F" w:rsidP="00927DB8">
      <w:pPr>
        <w:spacing w:line="240" w:lineRule="auto"/>
        <w:rPr>
          <w:u w:val="single"/>
          <w:lang w:val="sk-SK"/>
        </w:rPr>
      </w:pPr>
      <w:r>
        <w:rPr>
          <w:u w:val="single"/>
          <w:lang w:val="sk-SK"/>
        </w:rPr>
        <w:t>Tabuľkový s</w:t>
      </w:r>
      <w:r w:rsidR="007071BD" w:rsidRPr="007071BD">
        <w:rPr>
          <w:u w:val="single"/>
          <w:lang w:val="sk-SK"/>
        </w:rPr>
        <w:t>úhrn nežiaducich účinkov</w:t>
      </w:r>
    </w:p>
    <w:p w14:paraId="49095B83" w14:textId="77777777" w:rsidR="007071BD" w:rsidRDefault="007071BD" w:rsidP="00927DB8">
      <w:pPr>
        <w:spacing w:line="240" w:lineRule="auto"/>
        <w:rPr>
          <w:lang w:val="sk-SK"/>
        </w:rPr>
      </w:pPr>
    </w:p>
    <w:p w14:paraId="087304E3" w14:textId="7CC2677F" w:rsidR="007071BD" w:rsidRDefault="007071BD" w:rsidP="00927DB8">
      <w:pPr>
        <w:spacing w:line="240" w:lineRule="auto"/>
        <w:rPr>
          <w:lang w:val="sk-SK"/>
        </w:rPr>
      </w:pPr>
      <w:r>
        <w:rPr>
          <w:lang w:val="sk-SK"/>
        </w:rPr>
        <w:t>Nežiaduce účinky uvedené nižšie v tabuľke 1 sú zoradené podľa triedy orgánových systémov.</w:t>
      </w:r>
    </w:p>
    <w:p w14:paraId="0A1720B4" w14:textId="5C139F0B" w:rsidR="00C80E8E" w:rsidRPr="00502EF9" w:rsidRDefault="00C80E8E" w:rsidP="00927DB8">
      <w:pPr>
        <w:spacing w:line="240" w:lineRule="auto"/>
        <w:rPr>
          <w:lang w:val="sk-SK"/>
        </w:rPr>
      </w:pPr>
      <w:r w:rsidRPr="00502EF9">
        <w:rPr>
          <w:lang w:val="sk-SK"/>
        </w:rPr>
        <w:t>Frekvencia výskytu nežiaducich účinkov uvedených nižšie sa definuje pomocou nasled</w:t>
      </w:r>
      <w:r w:rsidR="002F07D3">
        <w:rPr>
          <w:lang w:val="sk-SK"/>
        </w:rPr>
        <w:t>ovnej</w:t>
      </w:r>
      <w:r w:rsidRPr="00502EF9">
        <w:rPr>
          <w:lang w:val="sk-SK"/>
        </w:rPr>
        <w:t xml:space="preserve"> konvencie:</w:t>
      </w:r>
    </w:p>
    <w:p w14:paraId="3B0FF083" w14:textId="413999A7" w:rsidR="00C80E8E" w:rsidRPr="00502EF9" w:rsidRDefault="00927DB8" w:rsidP="00927DB8">
      <w:pPr>
        <w:spacing w:line="240" w:lineRule="auto"/>
        <w:rPr>
          <w:lang w:val="sk-SK"/>
        </w:rPr>
      </w:pPr>
      <w:r>
        <w:rPr>
          <w:lang w:val="sk-SK"/>
        </w:rPr>
        <w:t>v</w:t>
      </w:r>
      <w:r w:rsidR="00C80E8E" w:rsidRPr="00502EF9">
        <w:rPr>
          <w:lang w:val="sk-SK"/>
        </w:rPr>
        <w:t>eľmi časté (≥1/10), časté (≥1/100 až &lt;1/10), menej časté (≥1/1 000 až &lt;1/100), zriedkavé (≥1/10 000 až &lt;1/1 000), veľmi zriedkavé (&lt;1/10 000), neznáme (z dostupných údajov).</w:t>
      </w:r>
    </w:p>
    <w:p w14:paraId="6D8A97A5" w14:textId="77777777" w:rsidR="00F33077" w:rsidRPr="00502EF9" w:rsidRDefault="00F33077" w:rsidP="00927DB8">
      <w:pPr>
        <w:spacing w:line="240" w:lineRule="auto"/>
        <w:rPr>
          <w:i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93"/>
        <w:gridCol w:w="1865"/>
        <w:gridCol w:w="1911"/>
        <w:gridCol w:w="1731"/>
      </w:tblGrid>
      <w:tr w:rsidR="00927DB8" w14:paraId="43EA396F" w14:textId="77777777" w:rsidTr="00927DB8">
        <w:tc>
          <w:tcPr>
            <w:tcW w:w="1971" w:type="dxa"/>
            <w:shd w:val="clear" w:color="auto" w:fill="auto"/>
          </w:tcPr>
          <w:p w14:paraId="7A21848B" w14:textId="150AC3CA" w:rsidR="00927DB8" w:rsidRPr="00927DB8" w:rsidRDefault="00927DB8" w:rsidP="00CE2AA6">
            <w:pPr>
              <w:rPr>
                <w:u w:val="single"/>
              </w:rPr>
            </w:pPr>
            <w:proofErr w:type="spellStart"/>
            <w:r w:rsidRPr="00927DB8">
              <w:rPr>
                <w:u w:val="single"/>
              </w:rPr>
              <w:t>Veľmi</w:t>
            </w:r>
            <w:proofErr w:type="spellEnd"/>
            <w:r w:rsidRPr="00927DB8">
              <w:rPr>
                <w:u w:val="single"/>
              </w:rPr>
              <w:t xml:space="preserve"> </w:t>
            </w:r>
            <w:proofErr w:type="spellStart"/>
            <w:r w:rsidRPr="00927DB8">
              <w:rPr>
                <w:u w:val="single"/>
              </w:rPr>
              <w:t>časté</w:t>
            </w:r>
            <w:proofErr w:type="spellEnd"/>
          </w:p>
        </w:tc>
        <w:tc>
          <w:tcPr>
            <w:tcW w:w="1971" w:type="dxa"/>
          </w:tcPr>
          <w:p w14:paraId="071E0C36" w14:textId="1E369E32" w:rsidR="00927DB8" w:rsidRPr="00927DB8" w:rsidRDefault="00927DB8" w:rsidP="00CE2AA6">
            <w:pPr>
              <w:rPr>
                <w:u w:val="single"/>
              </w:rPr>
            </w:pPr>
            <w:proofErr w:type="spellStart"/>
            <w:r w:rsidRPr="00927DB8">
              <w:rPr>
                <w:u w:val="single"/>
              </w:rPr>
              <w:t>Časté</w:t>
            </w:r>
            <w:proofErr w:type="spellEnd"/>
          </w:p>
        </w:tc>
        <w:tc>
          <w:tcPr>
            <w:tcW w:w="1971" w:type="dxa"/>
          </w:tcPr>
          <w:p w14:paraId="10EBC215" w14:textId="4DD90A0B" w:rsidR="00927DB8" w:rsidRPr="00927DB8" w:rsidRDefault="00927DB8" w:rsidP="00CE2AA6">
            <w:pPr>
              <w:rPr>
                <w:u w:val="single"/>
              </w:rPr>
            </w:pPr>
            <w:proofErr w:type="spellStart"/>
            <w:r w:rsidRPr="00927DB8">
              <w:rPr>
                <w:u w:val="single"/>
              </w:rPr>
              <w:t>Menej</w:t>
            </w:r>
            <w:proofErr w:type="spellEnd"/>
            <w:r w:rsidRPr="00927DB8">
              <w:rPr>
                <w:u w:val="single"/>
              </w:rPr>
              <w:t xml:space="preserve"> </w:t>
            </w:r>
            <w:proofErr w:type="spellStart"/>
            <w:r w:rsidRPr="00927DB8">
              <w:rPr>
                <w:u w:val="single"/>
              </w:rPr>
              <w:t>časté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72E6B37E" w14:textId="690195CF" w:rsidR="00927DB8" w:rsidRPr="00927DB8" w:rsidRDefault="00927DB8" w:rsidP="00CE2AA6">
            <w:pPr>
              <w:rPr>
                <w:u w:val="single"/>
              </w:rPr>
            </w:pPr>
            <w:proofErr w:type="spellStart"/>
            <w:r w:rsidRPr="00927DB8">
              <w:rPr>
                <w:u w:val="single"/>
              </w:rPr>
              <w:t>Zriedkavé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1780D14D" w14:textId="465FC568" w:rsidR="00927DB8" w:rsidRPr="00927DB8" w:rsidRDefault="00927DB8" w:rsidP="00CE2AA6">
            <w:pPr>
              <w:rPr>
                <w:u w:val="single"/>
              </w:rPr>
            </w:pPr>
            <w:proofErr w:type="spellStart"/>
            <w:r w:rsidRPr="00927DB8">
              <w:rPr>
                <w:u w:val="single"/>
              </w:rPr>
              <w:t>Veľmi</w:t>
            </w:r>
            <w:proofErr w:type="spellEnd"/>
            <w:r w:rsidRPr="00927DB8">
              <w:rPr>
                <w:u w:val="single"/>
              </w:rPr>
              <w:t xml:space="preserve"> </w:t>
            </w:r>
            <w:proofErr w:type="spellStart"/>
            <w:r w:rsidRPr="00927DB8">
              <w:rPr>
                <w:u w:val="single"/>
              </w:rPr>
              <w:t>zriedkavé</w:t>
            </w:r>
            <w:proofErr w:type="spellEnd"/>
          </w:p>
        </w:tc>
      </w:tr>
      <w:tr w:rsidR="00927DB8" w14:paraId="6FAF0650" w14:textId="77777777" w:rsidTr="00174D71">
        <w:tc>
          <w:tcPr>
            <w:tcW w:w="9855" w:type="dxa"/>
            <w:gridSpan w:val="5"/>
            <w:shd w:val="clear" w:color="auto" w:fill="auto"/>
          </w:tcPr>
          <w:p w14:paraId="77FE3E75" w14:textId="3AFE2ED4" w:rsidR="00927DB8" w:rsidRPr="00927DB8" w:rsidRDefault="00927DB8" w:rsidP="00CE2AA6">
            <w:pPr>
              <w:rPr>
                <w:i/>
              </w:rPr>
            </w:pPr>
            <w:proofErr w:type="spellStart"/>
            <w:r w:rsidRPr="00927DB8">
              <w:rPr>
                <w:i/>
              </w:rPr>
              <w:t>Poruchy</w:t>
            </w:r>
            <w:proofErr w:type="spellEnd"/>
            <w:r w:rsidRPr="00927DB8">
              <w:rPr>
                <w:i/>
              </w:rPr>
              <w:t xml:space="preserve"> </w:t>
            </w:r>
            <w:proofErr w:type="spellStart"/>
            <w:r w:rsidRPr="00927DB8">
              <w:rPr>
                <w:i/>
              </w:rPr>
              <w:t>imunitného</w:t>
            </w:r>
            <w:proofErr w:type="spellEnd"/>
            <w:r w:rsidRPr="00927DB8">
              <w:rPr>
                <w:i/>
              </w:rPr>
              <w:t xml:space="preserve"> </w:t>
            </w:r>
            <w:proofErr w:type="spellStart"/>
            <w:r w:rsidRPr="00927DB8">
              <w:rPr>
                <w:i/>
              </w:rPr>
              <w:t>systému</w:t>
            </w:r>
            <w:proofErr w:type="spellEnd"/>
          </w:p>
        </w:tc>
      </w:tr>
      <w:tr w:rsidR="00927DB8" w14:paraId="717EA43B" w14:textId="77777777" w:rsidTr="00927DB8">
        <w:tc>
          <w:tcPr>
            <w:tcW w:w="1971" w:type="dxa"/>
            <w:shd w:val="clear" w:color="auto" w:fill="auto"/>
          </w:tcPr>
          <w:p w14:paraId="289215FD" w14:textId="3C92CFBC" w:rsidR="00927DB8" w:rsidRDefault="00927DB8" w:rsidP="00CE2AA6"/>
        </w:tc>
        <w:tc>
          <w:tcPr>
            <w:tcW w:w="1971" w:type="dxa"/>
          </w:tcPr>
          <w:p w14:paraId="54D21B11" w14:textId="77777777" w:rsidR="00927DB8" w:rsidRDefault="00927DB8" w:rsidP="00CE2AA6"/>
        </w:tc>
        <w:tc>
          <w:tcPr>
            <w:tcW w:w="1971" w:type="dxa"/>
          </w:tcPr>
          <w:p w14:paraId="5E72DEBA" w14:textId="77777777" w:rsidR="00927DB8" w:rsidRDefault="00927DB8" w:rsidP="00CE2AA6"/>
        </w:tc>
        <w:tc>
          <w:tcPr>
            <w:tcW w:w="1971" w:type="dxa"/>
            <w:shd w:val="clear" w:color="auto" w:fill="auto"/>
          </w:tcPr>
          <w:p w14:paraId="0762462F" w14:textId="2854B470" w:rsidR="00927DB8" w:rsidRDefault="00927DB8" w:rsidP="00CE2AA6">
            <w:r w:rsidRPr="00502EF9">
              <w:rPr>
                <w:lang w:val="sk-SK"/>
              </w:rPr>
              <w:t>alergické reakcie v dôsledku citlivosti na lokálne anestetikum</w:t>
            </w:r>
            <w:r>
              <w:rPr>
                <w:lang w:val="sk-SK"/>
              </w:rPr>
              <w:t>:</w:t>
            </w:r>
            <w:r w:rsidRPr="00502EF9">
              <w:rPr>
                <w:lang w:val="sk-SK"/>
              </w:rPr>
              <w:t xml:space="preserve"> charakterizované </w:t>
            </w:r>
            <w:r w:rsidR="007E04EC">
              <w:rPr>
                <w:lang w:val="sk-SK"/>
              </w:rPr>
              <w:t>prejavmi</w:t>
            </w:r>
            <w:r w:rsidRPr="00502EF9">
              <w:rPr>
                <w:lang w:val="sk-SK"/>
              </w:rPr>
              <w:t xml:space="preserve">, ako napr. </w:t>
            </w:r>
            <w:proofErr w:type="spellStart"/>
            <w:r w:rsidRPr="00502EF9">
              <w:rPr>
                <w:lang w:val="sk-SK"/>
              </w:rPr>
              <w:t>urtikária</w:t>
            </w:r>
            <w:proofErr w:type="spellEnd"/>
            <w:r w:rsidRPr="00502EF9">
              <w:rPr>
                <w:lang w:val="sk-SK"/>
              </w:rPr>
              <w:t xml:space="preserve">, </w:t>
            </w:r>
            <w:proofErr w:type="spellStart"/>
            <w:r w:rsidRPr="00502EF9">
              <w:rPr>
                <w:lang w:val="sk-SK"/>
              </w:rPr>
              <w:t>pruritus</w:t>
            </w:r>
            <w:proofErr w:type="spellEnd"/>
            <w:r w:rsidRPr="00502EF9">
              <w:rPr>
                <w:lang w:val="sk-SK"/>
              </w:rPr>
              <w:t xml:space="preserve">, </w:t>
            </w:r>
            <w:proofErr w:type="spellStart"/>
            <w:r w:rsidRPr="00502EF9">
              <w:rPr>
                <w:lang w:val="sk-SK"/>
              </w:rPr>
              <w:t>erytém</w:t>
            </w:r>
            <w:proofErr w:type="spellEnd"/>
            <w:r w:rsidRPr="00502EF9">
              <w:rPr>
                <w:lang w:val="sk-SK"/>
              </w:rPr>
              <w:t xml:space="preserve">, </w:t>
            </w:r>
            <w:proofErr w:type="spellStart"/>
            <w:r w:rsidRPr="00502EF9">
              <w:rPr>
                <w:lang w:val="sk-SK"/>
              </w:rPr>
              <w:t>angioneurotický</w:t>
            </w:r>
            <w:proofErr w:type="spellEnd"/>
            <w:r w:rsidRPr="00502EF9">
              <w:rPr>
                <w:lang w:val="sk-SK"/>
              </w:rPr>
              <w:t xml:space="preserve"> edém s prípadnou obštrukciou dýchacích ciest (vrátane opuchu hrtanu), </w:t>
            </w:r>
            <w:proofErr w:type="spellStart"/>
            <w:r w:rsidRPr="00502EF9">
              <w:rPr>
                <w:lang w:val="sk-SK"/>
              </w:rPr>
              <w:t>tachykardia</w:t>
            </w:r>
            <w:proofErr w:type="spellEnd"/>
            <w:r w:rsidRPr="00502EF9">
              <w:rPr>
                <w:lang w:val="sk-SK"/>
              </w:rPr>
              <w:t xml:space="preserve">, kýchanie, nauzea, vracanie, závraty, synkopa, nadmerné potenie, zvýšená teplota a prípadne </w:t>
            </w:r>
            <w:proofErr w:type="spellStart"/>
            <w:r w:rsidRPr="00502EF9">
              <w:rPr>
                <w:lang w:val="sk-SK"/>
              </w:rPr>
              <w:lastRenderedPageBreak/>
              <w:t>symptomatológia</w:t>
            </w:r>
            <w:proofErr w:type="spellEnd"/>
            <w:r w:rsidRPr="00502EF9">
              <w:rPr>
                <w:lang w:val="sk-SK"/>
              </w:rPr>
              <w:t xml:space="preserve"> </w:t>
            </w:r>
            <w:proofErr w:type="spellStart"/>
            <w:r w:rsidRPr="00502EF9">
              <w:rPr>
                <w:lang w:val="sk-SK"/>
              </w:rPr>
              <w:t>anafylaktoidného</w:t>
            </w:r>
            <w:proofErr w:type="spellEnd"/>
            <w:r w:rsidRPr="00502EF9">
              <w:rPr>
                <w:lang w:val="sk-SK"/>
              </w:rPr>
              <w:t xml:space="preserve"> typu (vrátane závažnej hypotenzie).</w:t>
            </w:r>
          </w:p>
        </w:tc>
        <w:tc>
          <w:tcPr>
            <w:tcW w:w="1971" w:type="dxa"/>
            <w:shd w:val="clear" w:color="auto" w:fill="auto"/>
          </w:tcPr>
          <w:p w14:paraId="602B202F" w14:textId="549AE9C1" w:rsidR="00927DB8" w:rsidRDefault="00927DB8" w:rsidP="00DE61B3"/>
        </w:tc>
      </w:tr>
      <w:tr w:rsidR="00927DB8" w:rsidRPr="00DE61B3" w14:paraId="04F89FFB" w14:textId="77777777" w:rsidTr="0010095A">
        <w:tc>
          <w:tcPr>
            <w:tcW w:w="9855" w:type="dxa"/>
            <w:gridSpan w:val="5"/>
            <w:shd w:val="clear" w:color="auto" w:fill="auto"/>
          </w:tcPr>
          <w:p w14:paraId="4CF598ED" w14:textId="10192DA4" w:rsidR="00927DB8" w:rsidRPr="00927DB8" w:rsidRDefault="00927DB8" w:rsidP="00CE2AA6">
            <w:pPr>
              <w:rPr>
                <w:i/>
                <w:lang w:val="en-US"/>
              </w:rPr>
            </w:pPr>
            <w:proofErr w:type="spellStart"/>
            <w:r w:rsidRPr="00927DB8">
              <w:rPr>
                <w:i/>
                <w:lang w:val="en-US"/>
              </w:rPr>
              <w:t>Úrazy</w:t>
            </w:r>
            <w:proofErr w:type="spellEnd"/>
            <w:r w:rsidRPr="00927DB8">
              <w:rPr>
                <w:i/>
                <w:lang w:val="en-US"/>
              </w:rPr>
              <w:t xml:space="preserve">, </w:t>
            </w:r>
            <w:proofErr w:type="spellStart"/>
            <w:r w:rsidRPr="00927DB8">
              <w:rPr>
                <w:i/>
                <w:lang w:val="en-US"/>
              </w:rPr>
              <w:t>otravy</w:t>
            </w:r>
            <w:proofErr w:type="spellEnd"/>
            <w:r w:rsidRPr="00927DB8">
              <w:rPr>
                <w:i/>
                <w:lang w:val="en-US"/>
              </w:rPr>
              <w:t xml:space="preserve"> a </w:t>
            </w:r>
            <w:proofErr w:type="spellStart"/>
            <w:r w:rsidRPr="00927DB8">
              <w:rPr>
                <w:i/>
                <w:lang w:val="en-US"/>
              </w:rPr>
              <w:t>komlikácie</w:t>
            </w:r>
            <w:proofErr w:type="spellEnd"/>
            <w:r w:rsidRPr="00927DB8">
              <w:rPr>
                <w:i/>
                <w:lang w:val="en-US"/>
              </w:rPr>
              <w:t xml:space="preserve"> </w:t>
            </w:r>
            <w:proofErr w:type="spellStart"/>
            <w:r w:rsidRPr="00927DB8">
              <w:rPr>
                <w:i/>
                <w:lang w:val="en-US"/>
              </w:rPr>
              <w:t>liečebného</w:t>
            </w:r>
            <w:proofErr w:type="spellEnd"/>
            <w:r w:rsidRPr="00927DB8">
              <w:rPr>
                <w:i/>
                <w:lang w:val="en-US"/>
              </w:rPr>
              <w:t xml:space="preserve"> </w:t>
            </w:r>
            <w:proofErr w:type="spellStart"/>
            <w:r w:rsidRPr="00927DB8">
              <w:rPr>
                <w:i/>
                <w:lang w:val="en-US"/>
              </w:rPr>
              <w:t>postupu</w:t>
            </w:r>
            <w:proofErr w:type="spellEnd"/>
          </w:p>
        </w:tc>
      </w:tr>
      <w:tr w:rsidR="00927DB8" w14:paraId="61CB0314" w14:textId="77777777" w:rsidTr="00927DB8">
        <w:tc>
          <w:tcPr>
            <w:tcW w:w="1971" w:type="dxa"/>
            <w:shd w:val="clear" w:color="auto" w:fill="auto"/>
          </w:tcPr>
          <w:p w14:paraId="511E1887" w14:textId="77777777" w:rsidR="00927DB8" w:rsidRPr="00927DB8" w:rsidRDefault="00927DB8" w:rsidP="00CE2AA6">
            <w:pPr>
              <w:rPr>
                <w:lang w:val="en-US"/>
              </w:rPr>
            </w:pPr>
          </w:p>
        </w:tc>
        <w:tc>
          <w:tcPr>
            <w:tcW w:w="1971" w:type="dxa"/>
          </w:tcPr>
          <w:p w14:paraId="3F8982B5" w14:textId="2722630B" w:rsidR="00927DB8" w:rsidRPr="00927DB8" w:rsidRDefault="00927DB8" w:rsidP="00CE2AA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anestetická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komplikácia</w:t>
            </w:r>
            <w:proofErr w:type="spellEnd"/>
          </w:p>
        </w:tc>
        <w:tc>
          <w:tcPr>
            <w:tcW w:w="1971" w:type="dxa"/>
          </w:tcPr>
          <w:p w14:paraId="4A14C55F" w14:textId="77777777" w:rsidR="00927DB8" w:rsidRPr="00927DB8" w:rsidRDefault="00927DB8" w:rsidP="00CE2AA6">
            <w:pPr>
              <w:rPr>
                <w:lang w:val="en-US"/>
              </w:rPr>
            </w:pPr>
          </w:p>
        </w:tc>
        <w:tc>
          <w:tcPr>
            <w:tcW w:w="1971" w:type="dxa"/>
            <w:shd w:val="clear" w:color="auto" w:fill="auto"/>
          </w:tcPr>
          <w:p w14:paraId="0A9FE3AA" w14:textId="7B2872B5" w:rsidR="00927DB8" w:rsidRDefault="00927DB8" w:rsidP="00CE2AA6"/>
        </w:tc>
        <w:tc>
          <w:tcPr>
            <w:tcW w:w="1971" w:type="dxa"/>
            <w:shd w:val="clear" w:color="auto" w:fill="auto"/>
          </w:tcPr>
          <w:p w14:paraId="32EDA476" w14:textId="59C57859" w:rsidR="00927DB8" w:rsidRDefault="00927DB8" w:rsidP="00CE2AA6"/>
        </w:tc>
      </w:tr>
      <w:tr w:rsidR="00927DB8" w14:paraId="3DF3D945" w14:textId="77777777" w:rsidTr="00B10095">
        <w:tc>
          <w:tcPr>
            <w:tcW w:w="9855" w:type="dxa"/>
            <w:gridSpan w:val="5"/>
            <w:shd w:val="clear" w:color="auto" w:fill="auto"/>
          </w:tcPr>
          <w:p w14:paraId="2ACE0DCA" w14:textId="21F8E305" w:rsidR="00927DB8" w:rsidRPr="00927DB8" w:rsidRDefault="00927DB8" w:rsidP="00CE2AA6">
            <w:pPr>
              <w:rPr>
                <w:i/>
              </w:rPr>
            </w:pPr>
            <w:proofErr w:type="spellStart"/>
            <w:r w:rsidRPr="00927DB8">
              <w:rPr>
                <w:i/>
              </w:rPr>
              <w:t>Poruchy</w:t>
            </w:r>
            <w:proofErr w:type="spellEnd"/>
            <w:r w:rsidRPr="00927DB8">
              <w:rPr>
                <w:i/>
              </w:rPr>
              <w:t xml:space="preserve"> </w:t>
            </w:r>
            <w:proofErr w:type="spellStart"/>
            <w:r w:rsidRPr="00927DB8">
              <w:rPr>
                <w:i/>
              </w:rPr>
              <w:t>nervového</w:t>
            </w:r>
            <w:proofErr w:type="spellEnd"/>
            <w:r w:rsidRPr="00927DB8">
              <w:rPr>
                <w:i/>
              </w:rPr>
              <w:t xml:space="preserve"> </w:t>
            </w:r>
            <w:proofErr w:type="spellStart"/>
            <w:r w:rsidRPr="00927DB8">
              <w:rPr>
                <w:i/>
              </w:rPr>
              <w:t>systému</w:t>
            </w:r>
            <w:proofErr w:type="spellEnd"/>
          </w:p>
        </w:tc>
      </w:tr>
      <w:tr w:rsidR="00927DB8" w:rsidRPr="00DE61B3" w14:paraId="28D28B8D" w14:textId="77777777" w:rsidTr="00927DB8">
        <w:tc>
          <w:tcPr>
            <w:tcW w:w="1971" w:type="dxa"/>
            <w:shd w:val="clear" w:color="auto" w:fill="auto"/>
          </w:tcPr>
          <w:p w14:paraId="4EE31291" w14:textId="37980AB6" w:rsidR="00927DB8" w:rsidRPr="00927DB8" w:rsidRDefault="00927DB8" w:rsidP="00CE2AA6">
            <w:pPr>
              <w:rPr>
                <w:lang w:val="en-US"/>
              </w:rPr>
            </w:pPr>
          </w:p>
        </w:tc>
        <w:tc>
          <w:tcPr>
            <w:tcW w:w="1971" w:type="dxa"/>
          </w:tcPr>
          <w:p w14:paraId="0CCC687C" w14:textId="39414305" w:rsidR="00927DB8" w:rsidRPr="00927DB8" w:rsidRDefault="00927DB8" w:rsidP="00CE2AA6">
            <w:pPr>
              <w:rPr>
                <w:lang w:val="en-US"/>
              </w:rPr>
            </w:pPr>
            <w:r w:rsidRPr="00502EF9">
              <w:rPr>
                <w:lang w:val="sk-SK"/>
              </w:rPr>
              <w:t xml:space="preserve">úzkosť, nepokoj, </w:t>
            </w:r>
            <w:proofErr w:type="spellStart"/>
            <w:r w:rsidRPr="00502EF9">
              <w:rPr>
                <w:lang w:val="sk-SK"/>
              </w:rPr>
              <w:t>parestézia</w:t>
            </w:r>
            <w:proofErr w:type="spellEnd"/>
            <w:r w:rsidRPr="00502EF9">
              <w:rPr>
                <w:lang w:val="sk-SK"/>
              </w:rPr>
              <w:t xml:space="preserve">, </w:t>
            </w:r>
            <w:r>
              <w:rPr>
                <w:lang w:val="sk-SK"/>
              </w:rPr>
              <w:t>závraty</w:t>
            </w:r>
          </w:p>
        </w:tc>
        <w:tc>
          <w:tcPr>
            <w:tcW w:w="1971" w:type="dxa"/>
          </w:tcPr>
          <w:p w14:paraId="592D24A2" w14:textId="56066C60" w:rsidR="00927DB8" w:rsidRPr="00927DB8" w:rsidRDefault="007E04EC" w:rsidP="00927DB8">
            <w:pPr>
              <w:spacing w:line="240" w:lineRule="auto"/>
              <w:rPr>
                <w:lang w:val="sk-SK"/>
              </w:rPr>
            </w:pPr>
            <w:r>
              <w:rPr>
                <w:lang w:val="sk-SK"/>
              </w:rPr>
              <w:t>prejavy</w:t>
            </w:r>
            <w:r w:rsidR="00927DB8" w:rsidRPr="00502EF9">
              <w:rPr>
                <w:lang w:val="sk-SK"/>
              </w:rPr>
              <w:t xml:space="preserve"> a symptómy toxici</w:t>
            </w:r>
            <w:r w:rsidR="00927DB8">
              <w:rPr>
                <w:lang w:val="sk-SK"/>
              </w:rPr>
              <w:t>ty CNS (bolesť chrbta, bolesť</w:t>
            </w:r>
            <w:r w:rsidR="00927DB8" w:rsidRPr="00502EF9">
              <w:rPr>
                <w:lang w:val="sk-SK"/>
              </w:rPr>
              <w:t xml:space="preserve"> hlavy, </w:t>
            </w:r>
            <w:proofErr w:type="spellStart"/>
            <w:r w:rsidR="00927DB8" w:rsidRPr="00502EF9">
              <w:rPr>
                <w:lang w:val="sk-SK"/>
              </w:rPr>
              <w:t>tremor</w:t>
            </w:r>
            <w:proofErr w:type="spellEnd"/>
            <w:r w:rsidR="00927DB8" w:rsidRPr="00502EF9">
              <w:rPr>
                <w:lang w:val="sk-SK"/>
              </w:rPr>
              <w:t xml:space="preserve">, ktorý pravdepodobne prejde do kŕčov, kŕče, </w:t>
            </w:r>
            <w:proofErr w:type="spellStart"/>
            <w:r w:rsidR="00927DB8" w:rsidRPr="00502EF9">
              <w:rPr>
                <w:lang w:val="sk-SK"/>
              </w:rPr>
              <w:t>cirkumorálna</w:t>
            </w:r>
            <w:proofErr w:type="spellEnd"/>
            <w:r w:rsidR="00927DB8" w:rsidRPr="00502EF9">
              <w:rPr>
                <w:lang w:val="sk-SK"/>
              </w:rPr>
              <w:t xml:space="preserve"> </w:t>
            </w:r>
            <w:proofErr w:type="spellStart"/>
            <w:r w:rsidR="00927DB8" w:rsidRPr="00502EF9">
              <w:rPr>
                <w:lang w:val="sk-SK"/>
              </w:rPr>
              <w:t>parestézia</w:t>
            </w:r>
            <w:proofErr w:type="spellEnd"/>
            <w:r w:rsidR="00927DB8" w:rsidRPr="00502EF9">
              <w:rPr>
                <w:lang w:val="sk-SK"/>
              </w:rPr>
              <w:t xml:space="preserve">, pocit necitlivosti postihujúci jazyk, problémy so sluchom, problémy so zrakom, rozmazané videnie, chvenie, </w:t>
            </w:r>
            <w:proofErr w:type="spellStart"/>
            <w:r w:rsidR="00927DB8" w:rsidRPr="00502EF9">
              <w:rPr>
                <w:lang w:val="sk-SK"/>
              </w:rPr>
              <w:t>tinitus</w:t>
            </w:r>
            <w:proofErr w:type="spellEnd"/>
            <w:r w:rsidR="00927DB8" w:rsidRPr="00502EF9">
              <w:rPr>
                <w:lang w:val="sk-SK"/>
              </w:rPr>
              <w:t xml:space="preserve">, problémy s rečou, strata </w:t>
            </w:r>
            <w:r w:rsidR="00927DB8">
              <w:rPr>
                <w:lang w:val="sk-SK"/>
              </w:rPr>
              <w:t>vedomia)</w:t>
            </w:r>
          </w:p>
        </w:tc>
        <w:tc>
          <w:tcPr>
            <w:tcW w:w="1971" w:type="dxa"/>
            <w:shd w:val="clear" w:color="auto" w:fill="auto"/>
          </w:tcPr>
          <w:p w14:paraId="784C3118" w14:textId="22F20C3A" w:rsidR="00927DB8" w:rsidRPr="00927DB8" w:rsidRDefault="00927DB8" w:rsidP="00927DB8">
            <w:pPr>
              <w:spacing w:line="240" w:lineRule="auto"/>
              <w:rPr>
                <w:lang w:val="sk-SK"/>
              </w:rPr>
            </w:pPr>
            <w:proofErr w:type="spellStart"/>
            <w:r w:rsidRPr="00502EF9">
              <w:rPr>
                <w:lang w:val="sk-SK"/>
              </w:rPr>
              <w:t>neuropatia</w:t>
            </w:r>
            <w:proofErr w:type="spellEnd"/>
            <w:r w:rsidRPr="00502EF9">
              <w:rPr>
                <w:lang w:val="sk-SK"/>
              </w:rPr>
              <w:t xml:space="preserve">, ospalosť, prechod do bezvedomia a zástava dýchania, </w:t>
            </w:r>
            <w:proofErr w:type="spellStart"/>
            <w:r w:rsidRPr="00502EF9">
              <w:rPr>
                <w:lang w:val="sk-SK"/>
              </w:rPr>
              <w:t>spinálna</w:t>
            </w:r>
            <w:proofErr w:type="spellEnd"/>
            <w:r w:rsidRPr="00502EF9">
              <w:rPr>
                <w:lang w:val="sk-SK"/>
              </w:rPr>
              <w:t xml:space="preserve"> blokáda rôzneho rozsahu (vrátane úplnej </w:t>
            </w:r>
            <w:proofErr w:type="spellStart"/>
            <w:r w:rsidRPr="00502EF9">
              <w:rPr>
                <w:lang w:val="sk-SK"/>
              </w:rPr>
              <w:t>spinálnej</w:t>
            </w:r>
            <w:proofErr w:type="spellEnd"/>
            <w:r w:rsidRPr="00502EF9">
              <w:rPr>
                <w:lang w:val="sk-SK"/>
              </w:rPr>
              <w:t xml:space="preserve"> blokády), hypotenzia sekundárne k </w:t>
            </w:r>
            <w:proofErr w:type="spellStart"/>
            <w:r w:rsidRPr="00502EF9">
              <w:rPr>
                <w:lang w:val="sk-SK"/>
              </w:rPr>
              <w:t>spinálnej</w:t>
            </w:r>
            <w:proofErr w:type="spellEnd"/>
            <w:r w:rsidRPr="00502EF9">
              <w:rPr>
                <w:lang w:val="sk-SK"/>
              </w:rPr>
              <w:t xml:space="preserve"> blokáde, porucha vyprázdňovania močového mechúra a čriev, strata </w:t>
            </w:r>
            <w:proofErr w:type="spellStart"/>
            <w:r w:rsidRPr="00502EF9">
              <w:rPr>
                <w:lang w:val="sk-SK"/>
              </w:rPr>
              <w:t>perineálnej</w:t>
            </w:r>
            <w:proofErr w:type="spellEnd"/>
            <w:r w:rsidRPr="00502EF9">
              <w:rPr>
                <w:lang w:val="sk-SK"/>
              </w:rPr>
              <w:t xml:space="preserve"> citlivosti a sexuálnej funkcie, </w:t>
            </w:r>
            <w:proofErr w:type="spellStart"/>
            <w:r w:rsidRPr="00502EF9">
              <w:rPr>
                <w:lang w:val="sk-SK"/>
              </w:rPr>
              <w:t>arachnoiditída</w:t>
            </w:r>
            <w:proofErr w:type="spellEnd"/>
            <w:r w:rsidRPr="00502EF9">
              <w:rPr>
                <w:lang w:val="sk-SK"/>
              </w:rPr>
              <w:t xml:space="preserve">, </w:t>
            </w:r>
            <w:proofErr w:type="spellStart"/>
            <w:r w:rsidRPr="00502EF9">
              <w:rPr>
                <w:lang w:val="sk-SK"/>
              </w:rPr>
              <w:t>perzistentný</w:t>
            </w:r>
            <w:proofErr w:type="spellEnd"/>
            <w:r w:rsidRPr="00502EF9">
              <w:rPr>
                <w:lang w:val="sk-SK"/>
              </w:rPr>
              <w:t xml:space="preserve">, motorický, senzorický a/alebo autonómny (kontrola nad </w:t>
            </w:r>
            <w:proofErr w:type="spellStart"/>
            <w:r w:rsidRPr="00502EF9">
              <w:rPr>
                <w:lang w:val="sk-SK"/>
              </w:rPr>
              <w:t>sfinkterom</w:t>
            </w:r>
            <w:proofErr w:type="spellEnd"/>
            <w:r w:rsidRPr="00502EF9">
              <w:rPr>
                <w:lang w:val="sk-SK"/>
              </w:rPr>
              <w:t xml:space="preserve">) deficit niektorých dolných </w:t>
            </w:r>
            <w:proofErr w:type="spellStart"/>
            <w:r w:rsidRPr="00502EF9">
              <w:rPr>
                <w:lang w:val="sk-SK"/>
              </w:rPr>
              <w:t>spinálnych</w:t>
            </w:r>
            <w:proofErr w:type="spellEnd"/>
            <w:r w:rsidRPr="00502EF9">
              <w:rPr>
                <w:lang w:val="sk-SK"/>
              </w:rPr>
              <w:t xml:space="preserve"> segmentov s pomalým zotavením (niekoľko mesiacov), syndróm „</w:t>
            </w:r>
            <w:proofErr w:type="spellStart"/>
            <w:r w:rsidRPr="00502EF9">
              <w:rPr>
                <w:lang w:val="sk-SK"/>
              </w:rPr>
              <w:t>cauda</w:t>
            </w:r>
            <w:proofErr w:type="spellEnd"/>
            <w:r w:rsidRPr="00502EF9">
              <w:rPr>
                <w:lang w:val="sk-SK"/>
              </w:rPr>
              <w:t xml:space="preserve"> </w:t>
            </w:r>
            <w:proofErr w:type="spellStart"/>
            <w:r w:rsidRPr="00502EF9">
              <w:rPr>
                <w:lang w:val="sk-SK"/>
              </w:rPr>
              <w:t>equina</w:t>
            </w:r>
            <w:proofErr w:type="spellEnd"/>
            <w:r w:rsidRPr="00502EF9">
              <w:rPr>
                <w:lang w:val="sk-SK"/>
              </w:rPr>
              <w:t>” a trval</w:t>
            </w:r>
            <w:r>
              <w:rPr>
                <w:lang w:val="sk-SK"/>
              </w:rPr>
              <w:t>é neurologické poškodenie</w:t>
            </w:r>
          </w:p>
        </w:tc>
        <w:tc>
          <w:tcPr>
            <w:tcW w:w="1971" w:type="dxa"/>
            <w:shd w:val="clear" w:color="auto" w:fill="auto"/>
          </w:tcPr>
          <w:p w14:paraId="1E045F8E" w14:textId="5EDFBB83" w:rsidR="00927DB8" w:rsidRPr="00927DB8" w:rsidRDefault="00927DB8" w:rsidP="00CE2AA6">
            <w:pPr>
              <w:rPr>
                <w:lang w:val="sk-SK"/>
              </w:rPr>
            </w:pPr>
          </w:p>
        </w:tc>
      </w:tr>
      <w:tr w:rsidR="00927DB8" w14:paraId="17FD182F" w14:textId="77777777" w:rsidTr="00CC2F8D">
        <w:tc>
          <w:tcPr>
            <w:tcW w:w="9855" w:type="dxa"/>
            <w:gridSpan w:val="5"/>
            <w:shd w:val="clear" w:color="auto" w:fill="auto"/>
          </w:tcPr>
          <w:p w14:paraId="0D9E966A" w14:textId="0C62D529" w:rsidR="00927DB8" w:rsidRPr="00AE22B0" w:rsidRDefault="00927DB8" w:rsidP="00CE2AA6">
            <w:pPr>
              <w:rPr>
                <w:i/>
              </w:rPr>
            </w:pPr>
            <w:proofErr w:type="spellStart"/>
            <w:r w:rsidRPr="00AE22B0">
              <w:rPr>
                <w:i/>
              </w:rPr>
              <w:t>Poruchy</w:t>
            </w:r>
            <w:proofErr w:type="spellEnd"/>
            <w:r w:rsidRPr="00AE22B0">
              <w:rPr>
                <w:i/>
              </w:rPr>
              <w:t xml:space="preserve"> </w:t>
            </w:r>
            <w:proofErr w:type="spellStart"/>
            <w:r w:rsidRPr="00AE22B0">
              <w:rPr>
                <w:i/>
              </w:rPr>
              <w:t>oka</w:t>
            </w:r>
            <w:proofErr w:type="spellEnd"/>
          </w:p>
        </w:tc>
      </w:tr>
      <w:tr w:rsidR="00927DB8" w14:paraId="19AB2019" w14:textId="77777777" w:rsidTr="00927DB8">
        <w:tc>
          <w:tcPr>
            <w:tcW w:w="1971" w:type="dxa"/>
            <w:shd w:val="clear" w:color="auto" w:fill="auto"/>
          </w:tcPr>
          <w:p w14:paraId="639574FA" w14:textId="46984AAE" w:rsidR="00927DB8" w:rsidRDefault="00927DB8" w:rsidP="00CE2AA6"/>
        </w:tc>
        <w:tc>
          <w:tcPr>
            <w:tcW w:w="1971" w:type="dxa"/>
          </w:tcPr>
          <w:p w14:paraId="3D0A10DF" w14:textId="77777777" w:rsidR="00927DB8" w:rsidRDefault="00927DB8" w:rsidP="00CE2AA6"/>
        </w:tc>
        <w:tc>
          <w:tcPr>
            <w:tcW w:w="1971" w:type="dxa"/>
          </w:tcPr>
          <w:p w14:paraId="51BD9DC4" w14:textId="77777777" w:rsidR="00927DB8" w:rsidRDefault="00927DB8" w:rsidP="00CE2AA6"/>
        </w:tc>
        <w:tc>
          <w:tcPr>
            <w:tcW w:w="1971" w:type="dxa"/>
            <w:shd w:val="clear" w:color="auto" w:fill="auto"/>
          </w:tcPr>
          <w:p w14:paraId="77B5739B" w14:textId="3EB5FC90" w:rsidR="00927DB8" w:rsidRDefault="00AE22B0" w:rsidP="00CE2AA6">
            <w:proofErr w:type="spellStart"/>
            <w:r>
              <w:t>d</w:t>
            </w:r>
            <w:r w:rsidR="00927DB8">
              <w:t>iplopia</w:t>
            </w:r>
            <w:proofErr w:type="spellEnd"/>
          </w:p>
        </w:tc>
        <w:tc>
          <w:tcPr>
            <w:tcW w:w="1971" w:type="dxa"/>
            <w:shd w:val="clear" w:color="auto" w:fill="auto"/>
          </w:tcPr>
          <w:p w14:paraId="07210AE1" w14:textId="5B21F14B" w:rsidR="00927DB8" w:rsidRDefault="00927DB8" w:rsidP="00CE2AA6"/>
        </w:tc>
      </w:tr>
      <w:tr w:rsidR="00927DB8" w:rsidRPr="00DE61B3" w14:paraId="57FF3A96" w14:textId="77777777" w:rsidTr="00613FC5">
        <w:tc>
          <w:tcPr>
            <w:tcW w:w="9855" w:type="dxa"/>
            <w:gridSpan w:val="5"/>
            <w:shd w:val="clear" w:color="auto" w:fill="auto"/>
          </w:tcPr>
          <w:p w14:paraId="304B68C6" w14:textId="48BF6F88" w:rsidR="00927DB8" w:rsidRPr="00AE22B0" w:rsidRDefault="00927DB8" w:rsidP="00CE2AA6">
            <w:pPr>
              <w:rPr>
                <w:i/>
                <w:lang w:val="en-US"/>
              </w:rPr>
            </w:pPr>
            <w:proofErr w:type="spellStart"/>
            <w:r w:rsidRPr="00AE22B0">
              <w:rPr>
                <w:i/>
                <w:lang w:val="en-US"/>
              </w:rPr>
              <w:t>Poruchy</w:t>
            </w:r>
            <w:proofErr w:type="spellEnd"/>
            <w:r w:rsidRPr="00AE22B0">
              <w:rPr>
                <w:i/>
                <w:lang w:val="en-US"/>
              </w:rPr>
              <w:t xml:space="preserve"> </w:t>
            </w:r>
            <w:proofErr w:type="spellStart"/>
            <w:r w:rsidRPr="00AE22B0">
              <w:rPr>
                <w:i/>
                <w:lang w:val="en-US"/>
              </w:rPr>
              <w:t>srdca</w:t>
            </w:r>
            <w:proofErr w:type="spellEnd"/>
            <w:r w:rsidRPr="00AE22B0">
              <w:rPr>
                <w:i/>
                <w:lang w:val="en-US"/>
              </w:rPr>
              <w:t xml:space="preserve"> a </w:t>
            </w:r>
            <w:proofErr w:type="spellStart"/>
            <w:r w:rsidRPr="00AE22B0">
              <w:rPr>
                <w:i/>
                <w:lang w:val="en-US"/>
              </w:rPr>
              <w:t>srdcovej</w:t>
            </w:r>
            <w:proofErr w:type="spellEnd"/>
            <w:r w:rsidRPr="00AE22B0">
              <w:rPr>
                <w:i/>
                <w:lang w:val="en-US"/>
              </w:rPr>
              <w:t xml:space="preserve"> </w:t>
            </w:r>
            <w:proofErr w:type="spellStart"/>
            <w:r w:rsidRPr="00AE22B0">
              <w:rPr>
                <w:i/>
                <w:lang w:val="en-US"/>
              </w:rPr>
              <w:t>činnosti</w:t>
            </w:r>
            <w:proofErr w:type="spellEnd"/>
          </w:p>
        </w:tc>
      </w:tr>
      <w:tr w:rsidR="00927DB8" w:rsidRPr="00DE61B3" w14:paraId="225890F1" w14:textId="77777777" w:rsidTr="00927DB8">
        <w:tc>
          <w:tcPr>
            <w:tcW w:w="1971" w:type="dxa"/>
            <w:shd w:val="clear" w:color="auto" w:fill="auto"/>
          </w:tcPr>
          <w:p w14:paraId="75777158" w14:textId="73269E34" w:rsidR="00927DB8" w:rsidRPr="00FF5E83" w:rsidRDefault="00927DB8" w:rsidP="00CE2AA6">
            <w:pPr>
              <w:rPr>
                <w:lang w:val="en-US"/>
              </w:rPr>
            </w:pPr>
          </w:p>
        </w:tc>
        <w:tc>
          <w:tcPr>
            <w:tcW w:w="1971" w:type="dxa"/>
          </w:tcPr>
          <w:p w14:paraId="19D20754" w14:textId="77777777" w:rsidR="00927DB8" w:rsidRPr="00FF5E83" w:rsidRDefault="00927DB8" w:rsidP="00CE2AA6">
            <w:pPr>
              <w:rPr>
                <w:lang w:val="en-US"/>
              </w:rPr>
            </w:pPr>
          </w:p>
        </w:tc>
        <w:tc>
          <w:tcPr>
            <w:tcW w:w="1971" w:type="dxa"/>
          </w:tcPr>
          <w:p w14:paraId="617E3A7F" w14:textId="77777777" w:rsidR="00927DB8" w:rsidRPr="00FF5E83" w:rsidRDefault="00927DB8" w:rsidP="00CE2AA6">
            <w:pPr>
              <w:rPr>
                <w:lang w:val="en-US"/>
              </w:rPr>
            </w:pPr>
          </w:p>
        </w:tc>
        <w:tc>
          <w:tcPr>
            <w:tcW w:w="1971" w:type="dxa"/>
            <w:shd w:val="clear" w:color="auto" w:fill="auto"/>
          </w:tcPr>
          <w:p w14:paraId="0244298B" w14:textId="6783649E" w:rsidR="00927DB8" w:rsidRPr="00FF5E83" w:rsidRDefault="00927DB8" w:rsidP="00CE2AA6">
            <w:pPr>
              <w:rPr>
                <w:lang w:val="en-US"/>
              </w:rPr>
            </w:pPr>
            <w:proofErr w:type="spellStart"/>
            <w:r w:rsidRPr="00502EF9">
              <w:rPr>
                <w:lang w:val="sk-SK"/>
              </w:rPr>
              <w:t>arytmia</w:t>
            </w:r>
            <w:proofErr w:type="spellEnd"/>
            <w:r w:rsidRPr="00502EF9">
              <w:rPr>
                <w:lang w:val="sk-SK"/>
              </w:rPr>
              <w:t xml:space="preserve">, depresia myokardu, zástava srdca (riziko sa zvyšuje pri vysokých dávkach alebo nezamýšľanej </w:t>
            </w:r>
            <w:proofErr w:type="spellStart"/>
            <w:r w:rsidRPr="00502EF9">
              <w:rPr>
                <w:lang w:val="sk-SK"/>
              </w:rPr>
              <w:lastRenderedPageBreak/>
              <w:t>intravaskulárnej</w:t>
            </w:r>
            <w:proofErr w:type="spellEnd"/>
            <w:r w:rsidRPr="00502EF9">
              <w:rPr>
                <w:lang w:val="sk-SK"/>
              </w:rPr>
              <w:t xml:space="preserve"> injekcii)</w:t>
            </w:r>
          </w:p>
        </w:tc>
        <w:tc>
          <w:tcPr>
            <w:tcW w:w="1971" w:type="dxa"/>
            <w:shd w:val="clear" w:color="auto" w:fill="auto"/>
          </w:tcPr>
          <w:p w14:paraId="0BFA749E" w14:textId="52B5DA20" w:rsidR="00927DB8" w:rsidRPr="00FF5E83" w:rsidRDefault="00927DB8" w:rsidP="00CE2AA6">
            <w:pPr>
              <w:rPr>
                <w:lang w:val="en-US"/>
              </w:rPr>
            </w:pPr>
          </w:p>
        </w:tc>
      </w:tr>
      <w:tr w:rsidR="00927DB8" w14:paraId="31185D82" w14:textId="77777777" w:rsidTr="00AB3945">
        <w:tc>
          <w:tcPr>
            <w:tcW w:w="9855" w:type="dxa"/>
            <w:gridSpan w:val="5"/>
            <w:shd w:val="clear" w:color="auto" w:fill="auto"/>
          </w:tcPr>
          <w:p w14:paraId="71FDCFC3" w14:textId="5DAB837D" w:rsidR="00927DB8" w:rsidRPr="00927DB8" w:rsidRDefault="00927DB8" w:rsidP="00CE2AA6">
            <w:pPr>
              <w:rPr>
                <w:i/>
              </w:rPr>
            </w:pPr>
            <w:proofErr w:type="spellStart"/>
            <w:r w:rsidRPr="00927DB8">
              <w:rPr>
                <w:i/>
                <w:lang w:val="en-US"/>
              </w:rPr>
              <w:t>Poruchy</w:t>
            </w:r>
            <w:proofErr w:type="spellEnd"/>
            <w:r w:rsidRPr="00927DB8">
              <w:rPr>
                <w:i/>
                <w:lang w:val="en-US"/>
              </w:rPr>
              <w:t xml:space="preserve"> </w:t>
            </w:r>
            <w:proofErr w:type="spellStart"/>
            <w:r w:rsidRPr="00927DB8">
              <w:rPr>
                <w:i/>
                <w:lang w:val="en-US"/>
              </w:rPr>
              <w:t>ciev</w:t>
            </w:r>
            <w:proofErr w:type="spellEnd"/>
          </w:p>
        </w:tc>
      </w:tr>
      <w:tr w:rsidR="00927DB8" w14:paraId="15060B4D" w14:textId="77777777" w:rsidTr="00927DB8">
        <w:tc>
          <w:tcPr>
            <w:tcW w:w="1971" w:type="dxa"/>
            <w:shd w:val="clear" w:color="auto" w:fill="auto"/>
          </w:tcPr>
          <w:p w14:paraId="0EC80CD6" w14:textId="68C0F8CF" w:rsidR="00927DB8" w:rsidRDefault="00FC514C" w:rsidP="00CE2AA6">
            <w:r>
              <w:rPr>
                <w:lang w:val="sk-SK"/>
              </w:rPr>
              <w:t>h</w:t>
            </w:r>
            <w:r w:rsidR="00927DB8" w:rsidRPr="00502EF9">
              <w:rPr>
                <w:lang w:val="sk-SK"/>
              </w:rPr>
              <w:t>ypotenzia</w:t>
            </w:r>
          </w:p>
        </w:tc>
        <w:tc>
          <w:tcPr>
            <w:tcW w:w="1971" w:type="dxa"/>
          </w:tcPr>
          <w:p w14:paraId="49B001E8" w14:textId="77777777" w:rsidR="00927DB8" w:rsidRDefault="00927DB8" w:rsidP="00CE2AA6"/>
        </w:tc>
        <w:tc>
          <w:tcPr>
            <w:tcW w:w="1971" w:type="dxa"/>
          </w:tcPr>
          <w:p w14:paraId="79C0289F" w14:textId="4109496E" w:rsidR="00927DB8" w:rsidRDefault="00927DB8" w:rsidP="00CE2AA6">
            <w:r w:rsidRPr="00502EF9">
              <w:rPr>
                <w:lang w:val="sk-SK"/>
              </w:rPr>
              <w:t>bradykardia, hypertenzia, hypotenzia zvýšená vysokými dávkami</w:t>
            </w:r>
          </w:p>
        </w:tc>
        <w:tc>
          <w:tcPr>
            <w:tcW w:w="1971" w:type="dxa"/>
            <w:shd w:val="clear" w:color="auto" w:fill="auto"/>
          </w:tcPr>
          <w:p w14:paraId="2BA12198" w14:textId="1ED2AD0E" w:rsidR="00927DB8" w:rsidRDefault="00927DB8" w:rsidP="00CE2AA6"/>
        </w:tc>
        <w:tc>
          <w:tcPr>
            <w:tcW w:w="1971" w:type="dxa"/>
            <w:shd w:val="clear" w:color="auto" w:fill="auto"/>
          </w:tcPr>
          <w:p w14:paraId="5F92925E" w14:textId="1345AF4E" w:rsidR="00927DB8" w:rsidRDefault="00927DB8" w:rsidP="00CE2AA6"/>
        </w:tc>
      </w:tr>
      <w:tr w:rsidR="00927DB8" w14:paraId="571A81EA" w14:textId="77777777" w:rsidTr="00AE07BB">
        <w:tc>
          <w:tcPr>
            <w:tcW w:w="9855" w:type="dxa"/>
            <w:gridSpan w:val="5"/>
            <w:shd w:val="clear" w:color="auto" w:fill="auto"/>
          </w:tcPr>
          <w:p w14:paraId="5F6F97AC" w14:textId="54E663D4" w:rsidR="00927DB8" w:rsidRPr="00927DB8" w:rsidRDefault="00927DB8" w:rsidP="00CE2AA6">
            <w:pPr>
              <w:rPr>
                <w:i/>
              </w:rPr>
            </w:pPr>
            <w:proofErr w:type="spellStart"/>
            <w:r w:rsidRPr="00927DB8">
              <w:rPr>
                <w:i/>
              </w:rPr>
              <w:t>Poruchy</w:t>
            </w:r>
            <w:proofErr w:type="spellEnd"/>
            <w:r w:rsidRPr="00927DB8">
              <w:rPr>
                <w:i/>
              </w:rPr>
              <w:t xml:space="preserve"> </w:t>
            </w:r>
            <w:proofErr w:type="spellStart"/>
            <w:r w:rsidRPr="00927DB8">
              <w:rPr>
                <w:i/>
              </w:rPr>
              <w:t>dýchacej</w:t>
            </w:r>
            <w:proofErr w:type="spellEnd"/>
            <w:r w:rsidRPr="00927DB8">
              <w:rPr>
                <w:i/>
              </w:rPr>
              <w:t xml:space="preserve"> </w:t>
            </w:r>
            <w:proofErr w:type="spellStart"/>
            <w:r w:rsidRPr="00927DB8">
              <w:rPr>
                <w:i/>
              </w:rPr>
              <w:t>sústavy</w:t>
            </w:r>
            <w:proofErr w:type="spellEnd"/>
            <w:r w:rsidRPr="00927DB8">
              <w:rPr>
                <w:i/>
              </w:rPr>
              <w:t xml:space="preserve">, </w:t>
            </w:r>
            <w:proofErr w:type="spellStart"/>
            <w:r w:rsidRPr="00927DB8">
              <w:rPr>
                <w:i/>
              </w:rPr>
              <w:t>hrudníka</w:t>
            </w:r>
            <w:proofErr w:type="spellEnd"/>
            <w:r w:rsidRPr="00927DB8">
              <w:rPr>
                <w:i/>
              </w:rPr>
              <w:t xml:space="preserve"> a </w:t>
            </w:r>
            <w:proofErr w:type="spellStart"/>
            <w:r w:rsidRPr="00927DB8">
              <w:rPr>
                <w:i/>
              </w:rPr>
              <w:t>mediastína</w:t>
            </w:r>
            <w:proofErr w:type="spellEnd"/>
          </w:p>
        </w:tc>
      </w:tr>
      <w:tr w:rsidR="00927DB8" w14:paraId="230C877D" w14:textId="77777777" w:rsidTr="00927DB8">
        <w:tc>
          <w:tcPr>
            <w:tcW w:w="1971" w:type="dxa"/>
            <w:shd w:val="clear" w:color="auto" w:fill="auto"/>
          </w:tcPr>
          <w:p w14:paraId="23EC32B6" w14:textId="77777777" w:rsidR="00927DB8" w:rsidRDefault="00927DB8" w:rsidP="00CE2AA6"/>
        </w:tc>
        <w:tc>
          <w:tcPr>
            <w:tcW w:w="1971" w:type="dxa"/>
          </w:tcPr>
          <w:p w14:paraId="1832A0C3" w14:textId="77777777" w:rsidR="00927DB8" w:rsidRDefault="00927DB8" w:rsidP="00CE2AA6"/>
        </w:tc>
        <w:tc>
          <w:tcPr>
            <w:tcW w:w="1971" w:type="dxa"/>
          </w:tcPr>
          <w:p w14:paraId="3DBBD3ED" w14:textId="77777777" w:rsidR="00927DB8" w:rsidRDefault="00927DB8" w:rsidP="00CE2AA6"/>
        </w:tc>
        <w:tc>
          <w:tcPr>
            <w:tcW w:w="1971" w:type="dxa"/>
            <w:shd w:val="clear" w:color="auto" w:fill="auto"/>
          </w:tcPr>
          <w:p w14:paraId="37622A43" w14:textId="1682ED6F" w:rsidR="00927DB8" w:rsidRDefault="00927DB8" w:rsidP="00CE2AA6">
            <w:r w:rsidRPr="00502EF9">
              <w:rPr>
                <w:lang w:val="sk-SK"/>
              </w:rPr>
              <w:t>respiračná depresia</w:t>
            </w:r>
          </w:p>
        </w:tc>
        <w:tc>
          <w:tcPr>
            <w:tcW w:w="1971" w:type="dxa"/>
            <w:shd w:val="clear" w:color="auto" w:fill="auto"/>
          </w:tcPr>
          <w:p w14:paraId="4BFC2461" w14:textId="37DB7638" w:rsidR="00927DB8" w:rsidRDefault="00927DB8" w:rsidP="00CE2AA6"/>
        </w:tc>
      </w:tr>
      <w:tr w:rsidR="00927DB8" w14:paraId="72C1C203" w14:textId="77777777" w:rsidTr="000D5A89">
        <w:tc>
          <w:tcPr>
            <w:tcW w:w="9855" w:type="dxa"/>
            <w:gridSpan w:val="5"/>
            <w:shd w:val="clear" w:color="auto" w:fill="auto"/>
          </w:tcPr>
          <w:p w14:paraId="7C9B7418" w14:textId="79531357" w:rsidR="00927DB8" w:rsidRPr="00927DB8" w:rsidRDefault="00927DB8" w:rsidP="00CE2AA6">
            <w:pPr>
              <w:rPr>
                <w:i/>
              </w:rPr>
            </w:pPr>
            <w:proofErr w:type="spellStart"/>
            <w:r w:rsidRPr="00927DB8">
              <w:rPr>
                <w:i/>
              </w:rPr>
              <w:t>Poruchy</w:t>
            </w:r>
            <w:proofErr w:type="spellEnd"/>
            <w:r w:rsidRPr="00927DB8">
              <w:rPr>
                <w:i/>
              </w:rPr>
              <w:t xml:space="preserve"> </w:t>
            </w:r>
            <w:proofErr w:type="spellStart"/>
            <w:r w:rsidRPr="00927DB8">
              <w:rPr>
                <w:i/>
              </w:rPr>
              <w:t>gastrointestinálneho</w:t>
            </w:r>
            <w:proofErr w:type="spellEnd"/>
            <w:r w:rsidRPr="00927DB8">
              <w:rPr>
                <w:i/>
              </w:rPr>
              <w:t xml:space="preserve"> </w:t>
            </w:r>
            <w:proofErr w:type="spellStart"/>
            <w:r w:rsidRPr="00927DB8">
              <w:rPr>
                <w:i/>
              </w:rPr>
              <w:t>traktu</w:t>
            </w:r>
            <w:proofErr w:type="spellEnd"/>
          </w:p>
        </w:tc>
      </w:tr>
      <w:tr w:rsidR="00927DB8" w14:paraId="1FFE68EE" w14:textId="77777777" w:rsidTr="00927DB8">
        <w:tc>
          <w:tcPr>
            <w:tcW w:w="1971" w:type="dxa"/>
            <w:shd w:val="clear" w:color="auto" w:fill="auto"/>
          </w:tcPr>
          <w:p w14:paraId="6BCB2E97" w14:textId="2E5EC146" w:rsidR="00927DB8" w:rsidRDefault="00AE22B0" w:rsidP="00CE2AA6">
            <w:proofErr w:type="spellStart"/>
            <w:r>
              <w:t>n</w:t>
            </w:r>
            <w:r w:rsidR="00927DB8">
              <w:t>auzea</w:t>
            </w:r>
            <w:proofErr w:type="spellEnd"/>
          </w:p>
        </w:tc>
        <w:tc>
          <w:tcPr>
            <w:tcW w:w="1971" w:type="dxa"/>
          </w:tcPr>
          <w:p w14:paraId="6CC751E3" w14:textId="427E6DD9" w:rsidR="00927DB8" w:rsidRDefault="00AE22B0" w:rsidP="00CE2AA6">
            <w:proofErr w:type="spellStart"/>
            <w:r>
              <w:t>v</w:t>
            </w:r>
            <w:r w:rsidR="00927DB8">
              <w:t>racanie</w:t>
            </w:r>
            <w:proofErr w:type="spellEnd"/>
          </w:p>
        </w:tc>
        <w:tc>
          <w:tcPr>
            <w:tcW w:w="1971" w:type="dxa"/>
          </w:tcPr>
          <w:p w14:paraId="359D5532" w14:textId="77777777" w:rsidR="00927DB8" w:rsidRDefault="00927DB8" w:rsidP="00CE2AA6"/>
        </w:tc>
        <w:tc>
          <w:tcPr>
            <w:tcW w:w="1971" w:type="dxa"/>
            <w:shd w:val="clear" w:color="auto" w:fill="auto"/>
          </w:tcPr>
          <w:p w14:paraId="6FDA3002" w14:textId="77777777" w:rsidR="00927DB8" w:rsidRDefault="00927DB8" w:rsidP="00CE2AA6"/>
        </w:tc>
        <w:tc>
          <w:tcPr>
            <w:tcW w:w="1971" w:type="dxa"/>
            <w:shd w:val="clear" w:color="auto" w:fill="auto"/>
          </w:tcPr>
          <w:p w14:paraId="2070BC8E" w14:textId="77777777" w:rsidR="00927DB8" w:rsidRDefault="00927DB8" w:rsidP="00CE2AA6"/>
        </w:tc>
      </w:tr>
    </w:tbl>
    <w:p w14:paraId="32B68F9E" w14:textId="77777777" w:rsidR="00927DB8" w:rsidRPr="00B457C0" w:rsidRDefault="00927DB8" w:rsidP="00927DB8"/>
    <w:p w14:paraId="659665B2" w14:textId="77777777" w:rsidR="00281402" w:rsidRPr="00502EF9" w:rsidRDefault="00281402" w:rsidP="00927DB8">
      <w:pPr>
        <w:autoSpaceDE w:val="0"/>
        <w:autoSpaceDN w:val="0"/>
        <w:adjustRightInd w:val="0"/>
        <w:spacing w:line="240" w:lineRule="auto"/>
        <w:rPr>
          <w:b/>
          <w:bCs/>
          <w:lang w:val="sk-SK"/>
        </w:rPr>
      </w:pPr>
    </w:p>
    <w:p w14:paraId="55C847E9" w14:textId="77777777" w:rsidR="00F8234D" w:rsidRPr="00502EF9" w:rsidRDefault="00F8234D" w:rsidP="00927DB8">
      <w:pPr>
        <w:autoSpaceDE w:val="0"/>
        <w:autoSpaceDN w:val="0"/>
        <w:adjustRightInd w:val="0"/>
        <w:spacing w:line="240" w:lineRule="auto"/>
        <w:rPr>
          <w:b/>
          <w:bCs/>
          <w:u w:val="single"/>
          <w:lang w:val="sk-SK"/>
        </w:rPr>
      </w:pPr>
      <w:r w:rsidRPr="00502EF9">
        <w:rPr>
          <w:b/>
          <w:bCs/>
          <w:u w:val="single"/>
          <w:lang w:val="sk-SK"/>
        </w:rPr>
        <w:t>Hlásenie podozrení na nežiaduce reakcie</w:t>
      </w:r>
    </w:p>
    <w:p w14:paraId="457DF437" w14:textId="0A020562" w:rsidR="00F8234D" w:rsidRPr="00502EF9" w:rsidRDefault="00F8234D" w:rsidP="00927DB8">
      <w:pPr>
        <w:autoSpaceDE w:val="0"/>
        <w:autoSpaceDN w:val="0"/>
        <w:adjustRightInd w:val="0"/>
        <w:spacing w:line="240" w:lineRule="auto"/>
        <w:rPr>
          <w:bCs/>
          <w:lang w:val="sk-SK"/>
        </w:rPr>
      </w:pPr>
      <w:r w:rsidRPr="00502EF9">
        <w:rPr>
          <w:bCs/>
          <w:lang w:val="sk-SK"/>
        </w:rPr>
        <w:t xml:space="preserve">Hlásenie podozrení na nežiaduce reakcie po registrácii lieku je dôležité. Umožňuje priebežné monitorovanie pomeru prínosu a rizika lieku. Od zdravotníckych pracovníkov sa vyžaduje, aby hlásili akékoľvek podozrenia na nežiaduce reakcie na </w:t>
      </w:r>
      <w:r w:rsidRPr="006B3ED9">
        <w:rPr>
          <w:bCs/>
          <w:highlight w:val="lightGray"/>
          <w:lang w:val="sk-SK"/>
        </w:rPr>
        <w:t xml:space="preserve">národné centrum hlásenia uvedené v </w:t>
      </w:r>
      <w:hyperlink r:id="rId8" w:history="1">
        <w:r w:rsidR="007071BD" w:rsidRPr="006B3ED9">
          <w:rPr>
            <w:rStyle w:val="Hypertextovprepojenie1"/>
            <w:highlight w:val="lightGray"/>
            <w:lang w:val="sk-SK"/>
          </w:rPr>
          <w:t>Prílohe V</w:t>
        </w:r>
      </w:hyperlink>
      <w:r w:rsidRPr="00502EF9">
        <w:rPr>
          <w:bCs/>
          <w:lang w:val="sk-SK"/>
        </w:rPr>
        <w:t>.</w:t>
      </w:r>
    </w:p>
    <w:p w14:paraId="0C0EB587" w14:textId="77777777" w:rsidR="00F8234D" w:rsidRPr="00502EF9" w:rsidRDefault="00F8234D" w:rsidP="00927DB8">
      <w:pPr>
        <w:autoSpaceDE w:val="0"/>
        <w:autoSpaceDN w:val="0"/>
        <w:adjustRightInd w:val="0"/>
        <w:spacing w:line="240" w:lineRule="auto"/>
        <w:rPr>
          <w:b/>
          <w:bCs/>
          <w:lang w:val="sk-SK"/>
        </w:rPr>
      </w:pPr>
    </w:p>
    <w:p w14:paraId="2B56C3D3" w14:textId="0A9536C7" w:rsidR="00281402" w:rsidRPr="00502EF9" w:rsidRDefault="000B75DD" w:rsidP="00927DB8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4.9 </w:t>
      </w:r>
      <w:r w:rsidR="007071BD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Predávkovanie</w:t>
      </w:r>
    </w:p>
    <w:p w14:paraId="07088B7B" w14:textId="77777777" w:rsidR="007071BD" w:rsidRDefault="007071BD" w:rsidP="00927DB8">
      <w:pPr>
        <w:spacing w:line="240" w:lineRule="auto"/>
        <w:rPr>
          <w:lang w:val="sk-SK"/>
        </w:rPr>
      </w:pPr>
    </w:p>
    <w:p w14:paraId="3AA34FF1" w14:textId="559D19CA" w:rsidR="00281402" w:rsidRPr="00502EF9" w:rsidRDefault="00281402" w:rsidP="00927DB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Je nepravdepodobné, že </w:t>
      </w:r>
      <w:proofErr w:type="spellStart"/>
      <w:r w:rsidR="002F07D3">
        <w:rPr>
          <w:lang w:val="sk-SK"/>
        </w:rPr>
        <w:t>Ampres</w:t>
      </w:r>
      <w:proofErr w:type="spellEnd"/>
      <w:r w:rsidR="002F07D3">
        <w:rPr>
          <w:lang w:val="sk-SK"/>
        </w:rPr>
        <w:t xml:space="preserve"> 10 mg/ml</w:t>
      </w:r>
      <w:r w:rsidRPr="00502EF9">
        <w:rPr>
          <w:lang w:val="sk-SK"/>
        </w:rPr>
        <w:t xml:space="preserve"> pri odporúčanom dávkovaní </w:t>
      </w:r>
      <w:proofErr w:type="spellStart"/>
      <w:r w:rsidRPr="00502EF9">
        <w:rPr>
          <w:lang w:val="sk-SK"/>
        </w:rPr>
        <w:t>intratekálnym</w:t>
      </w:r>
      <w:proofErr w:type="spellEnd"/>
      <w:r w:rsidRPr="00502EF9">
        <w:rPr>
          <w:lang w:val="sk-SK"/>
        </w:rPr>
        <w:t xml:space="preserve"> podaním vyvolá plazmatické hladiny, ktoré sú schopné vyvolať systémovú toxicitu.</w:t>
      </w:r>
    </w:p>
    <w:p w14:paraId="263EA5AC" w14:textId="77777777" w:rsidR="00CE16A6" w:rsidRPr="00502EF9" w:rsidRDefault="00CE16A6" w:rsidP="00927DB8">
      <w:pPr>
        <w:spacing w:line="240" w:lineRule="auto"/>
        <w:rPr>
          <w:lang w:val="sk-SK"/>
        </w:rPr>
      </w:pPr>
    </w:p>
    <w:p w14:paraId="4C667826" w14:textId="77777777" w:rsidR="00281402" w:rsidRPr="00502EF9" w:rsidRDefault="00281402" w:rsidP="00927DB8">
      <w:pPr>
        <w:spacing w:line="240" w:lineRule="auto"/>
        <w:rPr>
          <w:i/>
          <w:iCs/>
          <w:lang w:val="sk-SK"/>
        </w:rPr>
      </w:pPr>
      <w:r w:rsidRPr="00502EF9">
        <w:rPr>
          <w:i/>
          <w:iCs/>
          <w:lang w:val="sk-SK"/>
        </w:rPr>
        <w:t>Akútna systémová toxicita</w:t>
      </w:r>
    </w:p>
    <w:p w14:paraId="121C1A48" w14:textId="77777777" w:rsidR="00281402" w:rsidRPr="00502EF9" w:rsidRDefault="00281402" w:rsidP="00927DB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Systémové nežiaduce účinky sú metodologického (v dôsledku používania), </w:t>
      </w:r>
      <w:proofErr w:type="spellStart"/>
      <w:r w:rsidRPr="00502EF9">
        <w:rPr>
          <w:lang w:val="sk-SK"/>
        </w:rPr>
        <w:t>farmakodynamického</w:t>
      </w:r>
      <w:proofErr w:type="spellEnd"/>
      <w:r w:rsidRPr="00502EF9">
        <w:rPr>
          <w:lang w:val="sk-SK"/>
        </w:rPr>
        <w:t xml:space="preserve"> alebo </w:t>
      </w:r>
      <w:proofErr w:type="spellStart"/>
      <w:r w:rsidRPr="00502EF9">
        <w:rPr>
          <w:lang w:val="sk-SK"/>
        </w:rPr>
        <w:t>farmakokinetického</w:t>
      </w:r>
      <w:proofErr w:type="spellEnd"/>
      <w:r w:rsidRPr="00502EF9">
        <w:rPr>
          <w:lang w:val="sk-SK"/>
        </w:rPr>
        <w:t xml:space="preserve"> pôvodu a týkajú sa centrálneho nervového systému a </w:t>
      </w:r>
      <w:proofErr w:type="spellStart"/>
      <w:r w:rsidRPr="00502EF9">
        <w:rPr>
          <w:lang w:val="sk-SK"/>
        </w:rPr>
        <w:t>kardiocirkulačného</w:t>
      </w:r>
      <w:proofErr w:type="spellEnd"/>
      <w:r w:rsidRPr="00502EF9">
        <w:rPr>
          <w:lang w:val="sk-SK"/>
        </w:rPr>
        <w:t xml:space="preserve"> systému.</w:t>
      </w:r>
    </w:p>
    <w:p w14:paraId="5B28F2C7" w14:textId="77777777" w:rsidR="00281402" w:rsidRPr="00502EF9" w:rsidRDefault="00281402" w:rsidP="00927DB8">
      <w:pPr>
        <w:spacing w:line="240" w:lineRule="auto"/>
        <w:rPr>
          <w:lang w:val="sk-SK"/>
        </w:rPr>
      </w:pPr>
      <w:proofErr w:type="spellStart"/>
      <w:r w:rsidRPr="00502EF9">
        <w:rPr>
          <w:lang w:val="sk-SK"/>
        </w:rPr>
        <w:t>Iatrogénne</w:t>
      </w:r>
      <w:proofErr w:type="spellEnd"/>
      <w:r w:rsidRPr="00502EF9">
        <w:rPr>
          <w:lang w:val="sk-SK"/>
        </w:rPr>
        <w:t xml:space="preserve"> nežiaduce účinky sa vyskytujú:</w:t>
      </w:r>
    </w:p>
    <w:p w14:paraId="4CF6A617" w14:textId="77777777" w:rsidR="00281402" w:rsidRPr="00502EF9" w:rsidRDefault="00281402" w:rsidP="007071BD">
      <w:pPr>
        <w:numPr>
          <w:ilvl w:val="0"/>
          <w:numId w:val="43"/>
        </w:numPr>
        <w:tabs>
          <w:tab w:val="clear" w:pos="567"/>
          <w:tab w:val="num" w:pos="570"/>
        </w:tabs>
        <w:spacing w:line="240" w:lineRule="auto"/>
        <w:ind w:left="511" w:hanging="511"/>
        <w:rPr>
          <w:lang w:val="sk-SK"/>
        </w:rPr>
      </w:pPr>
      <w:r w:rsidRPr="00502EF9">
        <w:rPr>
          <w:lang w:val="sk-SK"/>
        </w:rPr>
        <w:t>po injekčnom podaní nadmerného množstva roztoku,</w:t>
      </w:r>
    </w:p>
    <w:p w14:paraId="2D4EAC7A" w14:textId="77777777" w:rsidR="00281402" w:rsidRPr="00502EF9" w:rsidRDefault="00281402" w:rsidP="007071BD">
      <w:pPr>
        <w:numPr>
          <w:ilvl w:val="0"/>
          <w:numId w:val="43"/>
        </w:numPr>
        <w:tabs>
          <w:tab w:val="clear" w:pos="567"/>
          <w:tab w:val="num" w:pos="570"/>
        </w:tabs>
        <w:spacing w:line="240" w:lineRule="auto"/>
        <w:ind w:left="511" w:hanging="511"/>
        <w:rPr>
          <w:lang w:val="sk-SK"/>
        </w:rPr>
      </w:pPr>
      <w:r w:rsidRPr="00502EF9">
        <w:rPr>
          <w:lang w:val="sk-SK"/>
        </w:rPr>
        <w:t>pri náhodnom injekčnom podaní do cievy,</w:t>
      </w:r>
    </w:p>
    <w:p w14:paraId="3E3BA248" w14:textId="77777777" w:rsidR="00281402" w:rsidRPr="00502EF9" w:rsidRDefault="00281402" w:rsidP="007071BD">
      <w:pPr>
        <w:numPr>
          <w:ilvl w:val="0"/>
          <w:numId w:val="43"/>
        </w:numPr>
        <w:tabs>
          <w:tab w:val="clear" w:pos="567"/>
          <w:tab w:val="num" w:pos="570"/>
        </w:tabs>
        <w:spacing w:line="240" w:lineRule="auto"/>
        <w:ind w:left="511" w:hanging="511"/>
        <w:rPr>
          <w:lang w:val="sk-SK"/>
        </w:rPr>
      </w:pPr>
      <w:r w:rsidRPr="00502EF9">
        <w:rPr>
          <w:lang w:val="sk-SK"/>
        </w:rPr>
        <w:t>pri nesprávnej polohe pacienta,</w:t>
      </w:r>
    </w:p>
    <w:p w14:paraId="10CD7575" w14:textId="77777777" w:rsidR="00281402" w:rsidRPr="00502EF9" w:rsidRDefault="00281402" w:rsidP="007071BD">
      <w:pPr>
        <w:numPr>
          <w:ilvl w:val="0"/>
          <w:numId w:val="43"/>
        </w:numPr>
        <w:tabs>
          <w:tab w:val="clear" w:pos="567"/>
          <w:tab w:val="num" w:pos="570"/>
        </w:tabs>
        <w:spacing w:line="240" w:lineRule="auto"/>
        <w:ind w:left="511" w:hanging="511"/>
        <w:rPr>
          <w:lang w:val="sk-SK"/>
        </w:rPr>
      </w:pPr>
      <w:r w:rsidRPr="00502EF9">
        <w:rPr>
          <w:lang w:val="sk-SK"/>
        </w:rPr>
        <w:t xml:space="preserve">pri veľkej </w:t>
      </w:r>
      <w:proofErr w:type="spellStart"/>
      <w:r w:rsidRPr="00502EF9">
        <w:rPr>
          <w:lang w:val="sk-SK"/>
        </w:rPr>
        <w:t>spinálnej</w:t>
      </w:r>
      <w:proofErr w:type="spellEnd"/>
      <w:r w:rsidRPr="00502EF9">
        <w:rPr>
          <w:lang w:val="sk-SK"/>
        </w:rPr>
        <w:t xml:space="preserve"> anestézii (výrazný pokles </w:t>
      </w:r>
      <w:proofErr w:type="spellStart"/>
      <w:r w:rsidRPr="00502EF9">
        <w:rPr>
          <w:lang w:val="sk-SK"/>
        </w:rPr>
        <w:t>arteriálneho</w:t>
      </w:r>
      <w:proofErr w:type="spellEnd"/>
      <w:r w:rsidRPr="00502EF9">
        <w:rPr>
          <w:lang w:val="sk-SK"/>
        </w:rPr>
        <w:t xml:space="preserve"> tlaku).</w:t>
      </w:r>
    </w:p>
    <w:p w14:paraId="0748E40B" w14:textId="77777777" w:rsidR="00AE22B0" w:rsidRDefault="00AE22B0" w:rsidP="00927DB8">
      <w:pPr>
        <w:spacing w:line="240" w:lineRule="auto"/>
        <w:rPr>
          <w:lang w:val="sk-SK"/>
        </w:rPr>
      </w:pPr>
    </w:p>
    <w:p w14:paraId="351FC00D" w14:textId="54792B70" w:rsidR="00281402" w:rsidRPr="00502EF9" w:rsidRDefault="00281402" w:rsidP="00927DB8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V prípade náhodného intravenózneho podania sa toxický účinok vyskytne do 1 minúty. </w:t>
      </w:r>
      <w:r w:rsidR="002F07D3">
        <w:rPr>
          <w:lang w:val="sk-SK"/>
        </w:rPr>
        <w:t>Intravenózna hodnota LD50</w:t>
      </w:r>
      <w:r w:rsidRPr="00502EF9">
        <w:rPr>
          <w:lang w:val="sk-SK"/>
        </w:rPr>
        <w:t xml:space="preserve"> </w:t>
      </w:r>
      <w:proofErr w:type="spellStart"/>
      <w:r w:rsidRPr="00502EF9">
        <w:rPr>
          <w:lang w:val="sk-SK"/>
        </w:rPr>
        <w:t>chlórprokaín</w:t>
      </w:r>
      <w:r w:rsidR="002F07D3">
        <w:rPr>
          <w:lang w:val="sk-SK"/>
        </w:rPr>
        <w:t>i</w:t>
      </w:r>
      <w:r w:rsidRPr="00502EF9">
        <w:rPr>
          <w:lang w:val="sk-SK"/>
        </w:rPr>
        <w:t>u</w:t>
      </w:r>
      <w:r w:rsidR="002F07D3">
        <w:rPr>
          <w:lang w:val="sk-SK"/>
        </w:rPr>
        <w:t>m</w:t>
      </w:r>
      <w:proofErr w:type="spellEnd"/>
      <w:r w:rsidR="002F07D3">
        <w:rPr>
          <w:lang w:val="sk-SK"/>
        </w:rPr>
        <w:t xml:space="preserve">-chloridu je u myší </w:t>
      </w:r>
      <w:r w:rsidRPr="00502EF9">
        <w:rPr>
          <w:lang w:val="sk-SK"/>
        </w:rPr>
        <w:t>97 mg/kg</w:t>
      </w:r>
      <w:r w:rsidR="002F07D3">
        <w:rPr>
          <w:lang w:val="sk-SK"/>
        </w:rPr>
        <w:t xml:space="preserve">, u morčiat 65 mg/kg a </w:t>
      </w:r>
      <w:r w:rsidR="002F07D3">
        <w:rPr>
          <w:lang w:val="cs-CZ"/>
        </w:rPr>
        <w:t>&lt;30 mg/kg</w:t>
      </w:r>
      <w:r w:rsidR="002F07D3" w:rsidRPr="00FF5E83">
        <w:rPr>
          <w:lang w:val="sk-SK"/>
        </w:rPr>
        <w:t xml:space="preserve"> u psov, čo zodpovedá v danom poradí ekvivalentným dávkam u ľudí 7,9 mg/kg, 14,1 mg/kg a </w:t>
      </w:r>
      <w:r w:rsidR="002F07D3">
        <w:rPr>
          <w:lang w:val="cs-CZ"/>
        </w:rPr>
        <w:t xml:space="preserve">&lt;16,7 mg/kg. </w:t>
      </w:r>
      <w:proofErr w:type="spellStart"/>
      <w:r w:rsidR="002F07D3">
        <w:rPr>
          <w:lang w:val="cs-CZ"/>
        </w:rPr>
        <w:t>Subkutánna</w:t>
      </w:r>
      <w:proofErr w:type="spellEnd"/>
      <w:r w:rsidR="002F07D3">
        <w:rPr>
          <w:lang w:val="cs-CZ"/>
        </w:rPr>
        <w:t xml:space="preserve"> hodnota LD50 </w:t>
      </w:r>
      <w:proofErr w:type="spellStart"/>
      <w:r w:rsidR="002F07D3">
        <w:rPr>
          <w:lang w:val="cs-CZ"/>
        </w:rPr>
        <w:t>chlórprokaínium</w:t>
      </w:r>
      <w:proofErr w:type="spellEnd"/>
      <w:r w:rsidR="002F07D3">
        <w:rPr>
          <w:lang w:val="cs-CZ"/>
        </w:rPr>
        <w:t xml:space="preserve">-chloridu je u myší 950 mg/kg, </w:t>
      </w:r>
      <w:proofErr w:type="spellStart"/>
      <w:r w:rsidR="002F07D3">
        <w:rPr>
          <w:lang w:val="cs-CZ"/>
        </w:rPr>
        <w:t>čo</w:t>
      </w:r>
      <w:proofErr w:type="spellEnd"/>
      <w:r w:rsidR="002F07D3">
        <w:rPr>
          <w:lang w:val="cs-CZ"/>
        </w:rPr>
        <w:t xml:space="preserve"> </w:t>
      </w:r>
      <w:proofErr w:type="spellStart"/>
      <w:r w:rsidR="002F07D3">
        <w:rPr>
          <w:lang w:val="cs-CZ"/>
        </w:rPr>
        <w:t>zodpovedá</w:t>
      </w:r>
      <w:proofErr w:type="spellEnd"/>
      <w:r w:rsidR="002F07D3">
        <w:rPr>
          <w:lang w:val="cs-CZ"/>
        </w:rPr>
        <w:t xml:space="preserve"> </w:t>
      </w:r>
      <w:proofErr w:type="spellStart"/>
      <w:r w:rsidR="002F07D3">
        <w:rPr>
          <w:lang w:val="cs-CZ"/>
        </w:rPr>
        <w:t>ekvivalentnej</w:t>
      </w:r>
      <w:proofErr w:type="spellEnd"/>
      <w:r w:rsidR="002F07D3">
        <w:rPr>
          <w:lang w:val="cs-CZ"/>
        </w:rPr>
        <w:t xml:space="preserve"> </w:t>
      </w:r>
      <w:proofErr w:type="spellStart"/>
      <w:r w:rsidR="002F07D3">
        <w:rPr>
          <w:lang w:val="cs-CZ"/>
        </w:rPr>
        <w:t>dávke</w:t>
      </w:r>
      <w:proofErr w:type="spellEnd"/>
      <w:r w:rsidR="002F07D3">
        <w:rPr>
          <w:lang w:val="cs-CZ"/>
        </w:rPr>
        <w:t xml:space="preserve"> u </w:t>
      </w:r>
      <w:proofErr w:type="spellStart"/>
      <w:r w:rsidR="002F07D3">
        <w:rPr>
          <w:lang w:val="cs-CZ"/>
        </w:rPr>
        <w:t>ľudí</w:t>
      </w:r>
      <w:proofErr w:type="spellEnd"/>
      <w:r w:rsidR="002F07D3">
        <w:rPr>
          <w:lang w:val="cs-CZ"/>
        </w:rPr>
        <w:t xml:space="preserve"> 77,2 mg/kg</w:t>
      </w:r>
      <w:r w:rsidRPr="00502EF9">
        <w:rPr>
          <w:lang w:val="sk-SK"/>
        </w:rPr>
        <w:t>.</w:t>
      </w:r>
    </w:p>
    <w:p w14:paraId="1E17958E" w14:textId="77777777" w:rsidR="00281402" w:rsidRPr="00502EF9" w:rsidRDefault="00281402" w:rsidP="00927DB8">
      <w:pPr>
        <w:spacing w:line="240" w:lineRule="auto"/>
        <w:rPr>
          <w:lang w:val="sk-SK"/>
        </w:rPr>
      </w:pPr>
      <w:r w:rsidRPr="00502EF9">
        <w:rPr>
          <w:lang w:val="sk-SK"/>
        </w:rPr>
        <w:t>Príznaky predávkovania sa môžu rozdeliť do dvoch rôznych skupín symptómov, ktoré sa líšia z hľadiska kvality a intenzity:</w:t>
      </w:r>
    </w:p>
    <w:p w14:paraId="09D13278" w14:textId="77777777" w:rsidR="00CE16A6" w:rsidRPr="00502EF9" w:rsidRDefault="00CE16A6" w:rsidP="00E57B03">
      <w:pPr>
        <w:spacing w:line="240" w:lineRule="auto"/>
        <w:jc w:val="both"/>
        <w:rPr>
          <w:lang w:val="sk-SK"/>
        </w:rPr>
      </w:pPr>
    </w:p>
    <w:p w14:paraId="3989DCD1" w14:textId="076F95A0" w:rsidR="00281402" w:rsidRPr="00502EF9" w:rsidRDefault="00281402" w:rsidP="00E57B03">
      <w:pPr>
        <w:spacing w:line="240" w:lineRule="auto"/>
        <w:jc w:val="both"/>
        <w:rPr>
          <w:i/>
          <w:iCs/>
          <w:lang w:val="sk-SK"/>
        </w:rPr>
      </w:pPr>
      <w:r w:rsidRPr="00502EF9">
        <w:rPr>
          <w:i/>
          <w:iCs/>
          <w:lang w:val="sk-SK"/>
        </w:rPr>
        <w:t>Symptómy ovplyvňujúce centrálny nervový systém</w:t>
      </w:r>
    </w:p>
    <w:p w14:paraId="78E912BE" w14:textId="4F7881DB" w:rsidR="00281402" w:rsidRPr="00502EF9" w:rsidRDefault="00281402" w:rsidP="007071BD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Medzi prvé symptómy zvyčajne patrí </w:t>
      </w:r>
      <w:proofErr w:type="spellStart"/>
      <w:r w:rsidRPr="00502EF9">
        <w:rPr>
          <w:lang w:val="sk-SK"/>
        </w:rPr>
        <w:t>parestézia</w:t>
      </w:r>
      <w:proofErr w:type="spellEnd"/>
      <w:r w:rsidRPr="00502EF9">
        <w:rPr>
          <w:lang w:val="sk-SK"/>
        </w:rPr>
        <w:t xml:space="preserve"> v oblasti úst, pocit znecitlivenia jazyka, pocit omámenia, problémy so sluchom a </w:t>
      </w:r>
      <w:proofErr w:type="spellStart"/>
      <w:r w:rsidRPr="00502EF9">
        <w:rPr>
          <w:lang w:val="sk-SK"/>
        </w:rPr>
        <w:t>tinitus</w:t>
      </w:r>
      <w:proofErr w:type="spellEnd"/>
      <w:r w:rsidRPr="00502EF9">
        <w:rPr>
          <w:lang w:val="sk-SK"/>
        </w:rPr>
        <w:t xml:space="preserve">. Problémy so zrakom a svalové kontrakcie sú závažnejšie a predchádzajú generalizovanému kŕču. Tieto </w:t>
      </w:r>
      <w:r w:rsidR="007E04EC">
        <w:rPr>
          <w:lang w:val="sk-SK"/>
        </w:rPr>
        <w:t>prejavy</w:t>
      </w:r>
      <w:r w:rsidRPr="00502EF9">
        <w:rPr>
          <w:lang w:val="sk-SK"/>
        </w:rPr>
        <w:t xml:space="preserve"> sa nesmú chybne zameniť za neurotické správanie. Následne sa môže vyskytnúť strata vedomia a tonicko-</w:t>
      </w:r>
      <w:proofErr w:type="spellStart"/>
      <w:r w:rsidRPr="00502EF9">
        <w:rPr>
          <w:lang w:val="sk-SK"/>
        </w:rPr>
        <w:t>klonické</w:t>
      </w:r>
      <w:proofErr w:type="spellEnd"/>
      <w:r w:rsidRPr="00502EF9">
        <w:rPr>
          <w:lang w:val="sk-SK"/>
        </w:rPr>
        <w:t xml:space="preserve"> záchvaty, ktoré trvajú zvyčajne niekoľko sekúnd až minút. Po kŕčoch sa okamžite vyskytne </w:t>
      </w:r>
      <w:proofErr w:type="spellStart"/>
      <w:r w:rsidRPr="00502EF9">
        <w:rPr>
          <w:lang w:val="sk-SK"/>
        </w:rPr>
        <w:t>hypoxia</w:t>
      </w:r>
      <w:proofErr w:type="spellEnd"/>
      <w:r w:rsidRPr="00502EF9">
        <w:rPr>
          <w:lang w:val="sk-SK"/>
        </w:rPr>
        <w:t xml:space="preserve"> a zvýšené hladiny oxidu uhličitého v krvi (</w:t>
      </w:r>
      <w:proofErr w:type="spellStart"/>
      <w:r w:rsidRPr="00502EF9">
        <w:rPr>
          <w:lang w:val="sk-SK"/>
        </w:rPr>
        <w:t>hyperkapnia</w:t>
      </w:r>
      <w:proofErr w:type="spellEnd"/>
      <w:r w:rsidRPr="00502EF9">
        <w:rPr>
          <w:lang w:val="sk-SK"/>
        </w:rPr>
        <w:t xml:space="preserve">), čo možno pripísať zvýšenej svalovej aktivite spojenej s dýchacími problémami. V závažných prípadoch môže dôjsť k zástave dýchania. </w:t>
      </w:r>
      <w:proofErr w:type="spellStart"/>
      <w:r w:rsidRPr="00502EF9">
        <w:rPr>
          <w:lang w:val="sk-SK"/>
        </w:rPr>
        <w:t>Acidóza</w:t>
      </w:r>
      <w:proofErr w:type="spellEnd"/>
      <w:r w:rsidRPr="00502EF9">
        <w:rPr>
          <w:lang w:val="sk-SK"/>
        </w:rPr>
        <w:t xml:space="preserve"> a/alebo </w:t>
      </w:r>
      <w:proofErr w:type="spellStart"/>
      <w:r w:rsidRPr="00502EF9">
        <w:rPr>
          <w:lang w:val="sk-SK"/>
        </w:rPr>
        <w:t>hypoxia</w:t>
      </w:r>
      <w:proofErr w:type="spellEnd"/>
      <w:r w:rsidRPr="00502EF9">
        <w:rPr>
          <w:lang w:val="sk-SK"/>
        </w:rPr>
        <w:t xml:space="preserve"> potenc</w:t>
      </w:r>
      <w:r w:rsidR="002F07D3">
        <w:rPr>
          <w:lang w:val="sk-SK"/>
        </w:rPr>
        <w:t>i</w:t>
      </w:r>
      <w:r w:rsidRPr="00502EF9">
        <w:rPr>
          <w:lang w:val="sk-SK"/>
        </w:rPr>
        <w:t>ujú toxické účinky lokálnych anestetík.</w:t>
      </w:r>
    </w:p>
    <w:p w14:paraId="2080F48B" w14:textId="3A8D2A4A" w:rsidR="00281402" w:rsidRPr="00502EF9" w:rsidRDefault="00281402" w:rsidP="007071BD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Zmiernenie alebo zlepšenie symptómov ovplyvňujúcich centrálny nervový systém je možno pripísať </w:t>
      </w:r>
      <w:proofErr w:type="spellStart"/>
      <w:r w:rsidRPr="00502EF9">
        <w:rPr>
          <w:lang w:val="sk-SK"/>
        </w:rPr>
        <w:t>redistribúcii</w:t>
      </w:r>
      <w:proofErr w:type="spellEnd"/>
      <w:r w:rsidRPr="00502EF9">
        <w:rPr>
          <w:lang w:val="sk-SK"/>
        </w:rPr>
        <w:t xml:space="preserve"> lokálneho anestetika mimo CNS</w:t>
      </w:r>
      <w:r w:rsidR="002F07D3">
        <w:rPr>
          <w:lang w:val="sk-SK"/>
        </w:rPr>
        <w:t>,</w:t>
      </w:r>
      <w:r w:rsidRPr="00502EF9">
        <w:rPr>
          <w:lang w:val="sk-SK"/>
        </w:rPr>
        <w:t xml:space="preserve"> s následným metabolizovaním a vylučovaním. Pokiaľ neboli použité veľké množstvá, regresia môže byť rýchla.</w:t>
      </w:r>
    </w:p>
    <w:p w14:paraId="0E32332B" w14:textId="77777777" w:rsidR="00CE16A6" w:rsidRPr="00502EF9" w:rsidRDefault="00CE16A6" w:rsidP="00E57B03">
      <w:pPr>
        <w:spacing w:line="240" w:lineRule="auto"/>
        <w:jc w:val="both"/>
        <w:rPr>
          <w:lang w:val="sk-SK"/>
        </w:rPr>
      </w:pPr>
    </w:p>
    <w:p w14:paraId="36E1B4B7" w14:textId="5ECBD45E" w:rsidR="00281402" w:rsidRPr="00502EF9" w:rsidRDefault="00281402" w:rsidP="00E57B03">
      <w:pPr>
        <w:spacing w:line="240" w:lineRule="auto"/>
        <w:jc w:val="both"/>
        <w:rPr>
          <w:i/>
          <w:iCs/>
          <w:lang w:val="sk-SK"/>
        </w:rPr>
      </w:pPr>
      <w:r w:rsidRPr="00502EF9">
        <w:rPr>
          <w:i/>
          <w:iCs/>
          <w:lang w:val="sk-SK"/>
        </w:rPr>
        <w:t>Kardiovaskulárne symptómy</w:t>
      </w:r>
    </w:p>
    <w:p w14:paraId="0BDE9DE3" w14:textId="77777777" w:rsidR="00281402" w:rsidRPr="00502EF9" w:rsidRDefault="00281402" w:rsidP="00730A01">
      <w:pPr>
        <w:spacing w:line="240" w:lineRule="auto"/>
        <w:rPr>
          <w:lang w:val="sk-SK"/>
        </w:rPr>
      </w:pPr>
      <w:r w:rsidRPr="00502EF9">
        <w:rPr>
          <w:lang w:val="sk-SK"/>
        </w:rPr>
        <w:lastRenderedPageBreak/>
        <w:t xml:space="preserve">V závažných prípadoch môže dôjsť k výskytu kardiovaskulárnej toxicity. Pri vysokej systémovej koncentrácii lokálnych anestetík sa môže vyskytnúť hypotenzia, bradykardia, </w:t>
      </w:r>
      <w:proofErr w:type="spellStart"/>
      <w:r w:rsidRPr="00502EF9">
        <w:rPr>
          <w:lang w:val="sk-SK"/>
        </w:rPr>
        <w:t>arytmia</w:t>
      </w:r>
      <w:proofErr w:type="spellEnd"/>
      <w:r w:rsidRPr="00502EF9">
        <w:rPr>
          <w:lang w:val="sk-SK"/>
        </w:rPr>
        <w:t xml:space="preserve"> a tiež zástava srdca.</w:t>
      </w:r>
    </w:p>
    <w:p w14:paraId="765BB2ED" w14:textId="5DA1E638" w:rsidR="00281402" w:rsidRPr="00502EF9" w:rsidRDefault="00281402" w:rsidP="00730A01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Prvé </w:t>
      </w:r>
      <w:r w:rsidR="007E04EC">
        <w:rPr>
          <w:lang w:val="sk-SK"/>
        </w:rPr>
        <w:t>prejavy</w:t>
      </w:r>
      <w:r w:rsidRPr="00502EF9">
        <w:rPr>
          <w:lang w:val="sk-SK"/>
        </w:rPr>
        <w:t xml:space="preserve"> toxických symptómov ovplyvňujúcich centrálny nervový systém zvyčajne predchádzajú toxickým kardiovaskulárnym účinkom. Toto tvrdenie neplatí, ak je pacient v celkovej anestézii alebo pod silnými sedatívami, ako je napr. </w:t>
      </w:r>
      <w:proofErr w:type="spellStart"/>
      <w:r w:rsidRPr="00502EF9">
        <w:rPr>
          <w:lang w:val="sk-SK"/>
        </w:rPr>
        <w:t>benzodiazepín</w:t>
      </w:r>
      <w:proofErr w:type="spellEnd"/>
      <w:r w:rsidRPr="00502EF9">
        <w:rPr>
          <w:lang w:val="sk-SK"/>
        </w:rPr>
        <w:t xml:space="preserve"> alebo barbituráty.</w:t>
      </w:r>
    </w:p>
    <w:p w14:paraId="36EC2768" w14:textId="77777777" w:rsidR="00CE16A6" w:rsidRPr="00502EF9" w:rsidRDefault="00CE16A6" w:rsidP="00E57B03">
      <w:pPr>
        <w:spacing w:line="240" w:lineRule="auto"/>
        <w:jc w:val="both"/>
        <w:rPr>
          <w:lang w:val="sk-SK"/>
        </w:rPr>
      </w:pPr>
    </w:p>
    <w:p w14:paraId="1CB09D9F" w14:textId="77777777" w:rsidR="00281402" w:rsidRPr="00502EF9" w:rsidRDefault="00281402" w:rsidP="00E57B03">
      <w:pPr>
        <w:spacing w:line="240" w:lineRule="auto"/>
        <w:jc w:val="both"/>
        <w:rPr>
          <w:i/>
          <w:iCs/>
          <w:lang w:val="sk-SK"/>
        </w:rPr>
      </w:pPr>
      <w:r w:rsidRPr="00502EF9">
        <w:rPr>
          <w:i/>
          <w:iCs/>
          <w:lang w:val="sk-SK"/>
        </w:rPr>
        <w:t>Liečba akútnej systémovej toxicity</w:t>
      </w:r>
    </w:p>
    <w:p w14:paraId="3E9B9243" w14:textId="77777777" w:rsidR="00281402" w:rsidRPr="00502EF9" w:rsidRDefault="00281402" w:rsidP="00E57B03">
      <w:pPr>
        <w:spacing w:line="240" w:lineRule="auto"/>
        <w:jc w:val="both"/>
        <w:rPr>
          <w:lang w:val="sk-SK"/>
        </w:rPr>
      </w:pPr>
      <w:r w:rsidRPr="00502EF9">
        <w:rPr>
          <w:lang w:val="sk-SK"/>
        </w:rPr>
        <w:t>Okamžite sa musia vykonať nasledujúce opatrenia:</w:t>
      </w:r>
    </w:p>
    <w:p w14:paraId="7146E256" w14:textId="655EEB0A" w:rsidR="00281402" w:rsidRPr="00502EF9" w:rsidRDefault="00DD301E" w:rsidP="00730A01">
      <w:pPr>
        <w:numPr>
          <w:ilvl w:val="0"/>
          <w:numId w:val="44"/>
        </w:numPr>
        <w:tabs>
          <w:tab w:val="clear" w:pos="567"/>
          <w:tab w:val="num" w:pos="570"/>
        </w:tabs>
        <w:spacing w:line="240" w:lineRule="auto"/>
        <w:ind w:left="511" w:hanging="511"/>
        <w:rPr>
          <w:lang w:val="sk-SK"/>
        </w:rPr>
      </w:pPr>
      <w:r w:rsidRPr="00502EF9">
        <w:rPr>
          <w:lang w:val="sk-SK"/>
        </w:rPr>
        <w:t xml:space="preserve">Podávanie </w:t>
      </w:r>
      <w:proofErr w:type="spellStart"/>
      <w:r w:rsidR="00A23788">
        <w:rPr>
          <w:lang w:val="sk-SK"/>
        </w:rPr>
        <w:t>Ampresu</w:t>
      </w:r>
      <w:proofErr w:type="spellEnd"/>
      <w:r w:rsidR="00A23788">
        <w:rPr>
          <w:lang w:val="sk-SK"/>
        </w:rPr>
        <w:t xml:space="preserve"> 10 mg/ml </w:t>
      </w:r>
      <w:r w:rsidRPr="00502EF9">
        <w:rPr>
          <w:lang w:val="sk-SK"/>
        </w:rPr>
        <w:t>sa musí zastaviť.</w:t>
      </w:r>
    </w:p>
    <w:p w14:paraId="476600D1" w14:textId="3E1C0EDB" w:rsidR="00281402" w:rsidRPr="00502EF9" w:rsidRDefault="00DD301E" w:rsidP="00730A01">
      <w:pPr>
        <w:numPr>
          <w:ilvl w:val="0"/>
          <w:numId w:val="44"/>
        </w:numPr>
        <w:tabs>
          <w:tab w:val="clear" w:pos="567"/>
          <w:tab w:val="num" w:pos="570"/>
        </w:tabs>
        <w:spacing w:line="240" w:lineRule="auto"/>
        <w:ind w:left="511" w:hanging="511"/>
        <w:rPr>
          <w:lang w:val="sk-SK"/>
        </w:rPr>
      </w:pPr>
      <w:r w:rsidRPr="00502EF9">
        <w:rPr>
          <w:lang w:val="sk-SK"/>
        </w:rPr>
        <w:t>Musí sa zabezpečiť adekvátny prísun kyslíka: dýchacie cesty sa ma</w:t>
      </w:r>
      <w:r w:rsidR="00DE304F">
        <w:rPr>
          <w:lang w:val="sk-SK"/>
        </w:rPr>
        <w:t>jú</w:t>
      </w:r>
      <w:r w:rsidRPr="00502EF9">
        <w:rPr>
          <w:lang w:val="sk-SK"/>
        </w:rPr>
        <w:t xml:space="preserve"> udržiavať priechodné, m</w:t>
      </w:r>
      <w:r w:rsidR="008C2635">
        <w:rPr>
          <w:lang w:val="sk-SK"/>
        </w:rPr>
        <w:t>á</w:t>
      </w:r>
      <w:r w:rsidRPr="00502EF9">
        <w:rPr>
          <w:lang w:val="sk-SK"/>
        </w:rPr>
        <w:t xml:space="preserve"> sa podávať O</w:t>
      </w:r>
      <w:r w:rsidRPr="00502EF9">
        <w:rPr>
          <w:vertAlign w:val="subscript"/>
          <w:lang w:val="sk-SK"/>
        </w:rPr>
        <w:t xml:space="preserve">2 </w:t>
      </w:r>
      <w:r w:rsidRPr="00502EF9">
        <w:rPr>
          <w:lang w:val="sk-SK"/>
        </w:rPr>
        <w:t>a v prípade potreby zaistiť umelá pľúcna ventilácia (</w:t>
      </w:r>
      <w:proofErr w:type="spellStart"/>
      <w:r w:rsidRPr="00502EF9">
        <w:rPr>
          <w:lang w:val="sk-SK"/>
        </w:rPr>
        <w:t>intubácia</w:t>
      </w:r>
      <w:proofErr w:type="spellEnd"/>
      <w:r w:rsidRPr="00502EF9">
        <w:rPr>
          <w:lang w:val="sk-SK"/>
        </w:rPr>
        <w:t>).</w:t>
      </w:r>
    </w:p>
    <w:p w14:paraId="2F3A2A45" w14:textId="77777777" w:rsidR="00281402" w:rsidRPr="00502EF9" w:rsidRDefault="00281402" w:rsidP="00730A01">
      <w:pPr>
        <w:numPr>
          <w:ilvl w:val="0"/>
          <w:numId w:val="44"/>
        </w:numPr>
        <w:tabs>
          <w:tab w:val="clear" w:pos="567"/>
          <w:tab w:val="num" w:pos="570"/>
        </w:tabs>
        <w:spacing w:line="240" w:lineRule="auto"/>
        <w:ind w:left="511" w:hanging="511"/>
        <w:rPr>
          <w:lang w:val="sk-SK"/>
        </w:rPr>
      </w:pPr>
      <w:r w:rsidRPr="00502EF9">
        <w:rPr>
          <w:lang w:val="sk-SK"/>
        </w:rPr>
        <w:t>V prípade kardiovaskulárnej depresie je potrebné stabilizovať krvný obeh.</w:t>
      </w:r>
    </w:p>
    <w:p w14:paraId="65745276" w14:textId="568D270F" w:rsidR="00281402" w:rsidRPr="00502EF9" w:rsidRDefault="00281402" w:rsidP="00730A01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Ak sa vyskytnú kŕče a spontánne nevymiznú po 15 – 20 sekundách, odporúča sa podať intravenózne </w:t>
      </w:r>
      <w:proofErr w:type="spellStart"/>
      <w:r w:rsidRPr="00502EF9">
        <w:rPr>
          <w:lang w:val="sk-SK"/>
        </w:rPr>
        <w:t>antikonvulzívum</w:t>
      </w:r>
      <w:proofErr w:type="spellEnd"/>
      <w:r w:rsidRPr="00502EF9">
        <w:rPr>
          <w:lang w:val="sk-SK"/>
        </w:rPr>
        <w:t>.</w:t>
      </w:r>
    </w:p>
    <w:p w14:paraId="3A8C57F4" w14:textId="4062D042" w:rsidR="00281402" w:rsidRPr="00502EF9" w:rsidRDefault="00281402" w:rsidP="00730A01">
      <w:pPr>
        <w:spacing w:line="240" w:lineRule="auto"/>
        <w:rPr>
          <w:lang w:val="sk-SK"/>
        </w:rPr>
      </w:pPr>
      <w:r w:rsidRPr="00502EF9">
        <w:rPr>
          <w:lang w:val="sk-SK"/>
        </w:rPr>
        <w:t>V prípade intoxikácie spôsobenej lokálnymi anestetikami sú analeptiká s centrálnym účinkom</w:t>
      </w:r>
      <w:r w:rsidR="008C2635">
        <w:rPr>
          <w:lang w:val="sk-SK"/>
        </w:rPr>
        <w:t xml:space="preserve"> kontraindikované</w:t>
      </w:r>
      <w:r w:rsidRPr="00502EF9">
        <w:rPr>
          <w:lang w:val="sk-SK"/>
        </w:rPr>
        <w:t>!</w:t>
      </w:r>
    </w:p>
    <w:p w14:paraId="3516F260" w14:textId="77777777" w:rsidR="00281402" w:rsidRPr="00502EF9" w:rsidRDefault="00281402" w:rsidP="00730A01">
      <w:pPr>
        <w:spacing w:line="240" w:lineRule="auto"/>
        <w:rPr>
          <w:lang w:val="sk-SK"/>
        </w:rPr>
      </w:pPr>
      <w:r w:rsidRPr="00502EF9">
        <w:rPr>
          <w:lang w:val="sk-SK"/>
        </w:rPr>
        <w:t>V prípade závažných komplikácií je vhodné pri liečbe pacienta požiadať o pomoc lekára, ktorý sa špecializuje na urgentnú medicínu a resuscitáciu (napr. anestéziológ).</w:t>
      </w:r>
    </w:p>
    <w:p w14:paraId="4C5D1255" w14:textId="2CF4166F" w:rsidR="000918F3" w:rsidRPr="00502EF9" w:rsidRDefault="000918F3" w:rsidP="00730A01">
      <w:pPr>
        <w:spacing w:line="240" w:lineRule="auto"/>
        <w:rPr>
          <w:lang w:val="sk-SK"/>
        </w:rPr>
      </w:pPr>
      <w:r w:rsidRPr="00502EF9">
        <w:rPr>
          <w:lang w:val="sk-SK"/>
        </w:rPr>
        <w:t>Pacientom s genetick</w:t>
      </w:r>
      <w:r w:rsidR="008C2635">
        <w:rPr>
          <w:lang w:val="sk-SK"/>
        </w:rPr>
        <w:t>ým</w:t>
      </w:r>
      <w:r w:rsidRPr="00502EF9">
        <w:rPr>
          <w:lang w:val="sk-SK"/>
        </w:rPr>
        <w:t xml:space="preserve"> </w:t>
      </w:r>
      <w:r w:rsidR="008C2635">
        <w:rPr>
          <w:lang w:val="sk-SK"/>
        </w:rPr>
        <w:t>deficitom</w:t>
      </w:r>
      <w:r w:rsidRPr="00502EF9">
        <w:rPr>
          <w:lang w:val="sk-SK"/>
        </w:rPr>
        <w:t xml:space="preserve"> plazmatickej </w:t>
      </w:r>
      <w:proofErr w:type="spellStart"/>
      <w:r w:rsidRPr="00502EF9">
        <w:rPr>
          <w:lang w:val="sk-SK"/>
        </w:rPr>
        <w:t>cholinesterázy</w:t>
      </w:r>
      <w:proofErr w:type="spellEnd"/>
      <w:r w:rsidRPr="00502EF9">
        <w:rPr>
          <w:lang w:val="sk-SK"/>
        </w:rPr>
        <w:t xml:space="preserve"> sa m</w:t>
      </w:r>
      <w:r w:rsidR="008C2635">
        <w:rPr>
          <w:lang w:val="sk-SK"/>
        </w:rPr>
        <w:t>ôže</w:t>
      </w:r>
      <w:r w:rsidRPr="00502EF9">
        <w:rPr>
          <w:lang w:val="sk-SK"/>
        </w:rPr>
        <w:t xml:space="preserve"> </w:t>
      </w:r>
      <w:r w:rsidR="00AA385B">
        <w:rPr>
          <w:lang w:val="sk-SK"/>
        </w:rPr>
        <w:t xml:space="preserve">podať </w:t>
      </w:r>
      <w:r w:rsidR="008C2635">
        <w:rPr>
          <w:lang w:val="sk-SK"/>
        </w:rPr>
        <w:t>intravenózn</w:t>
      </w:r>
      <w:r w:rsidR="00AA385B">
        <w:rPr>
          <w:lang w:val="sk-SK"/>
        </w:rPr>
        <w:t>y</w:t>
      </w:r>
      <w:r w:rsidRPr="00502EF9">
        <w:rPr>
          <w:lang w:val="sk-SK"/>
        </w:rPr>
        <w:t xml:space="preserve"> </w:t>
      </w:r>
      <w:proofErr w:type="spellStart"/>
      <w:r w:rsidRPr="00502EF9">
        <w:rPr>
          <w:lang w:val="sk-SK"/>
        </w:rPr>
        <w:t>lipidový</w:t>
      </w:r>
      <w:proofErr w:type="spellEnd"/>
      <w:r w:rsidRPr="00502EF9">
        <w:rPr>
          <w:lang w:val="sk-SK"/>
        </w:rPr>
        <w:t xml:space="preserve"> roztok.</w:t>
      </w:r>
    </w:p>
    <w:p w14:paraId="29952F55" w14:textId="77777777" w:rsidR="00281402" w:rsidRPr="00502EF9" w:rsidRDefault="00281402" w:rsidP="00E57B03">
      <w:pPr>
        <w:spacing w:line="240" w:lineRule="auto"/>
        <w:jc w:val="both"/>
        <w:rPr>
          <w:noProof/>
          <w:lang w:val="sk-SK"/>
        </w:rPr>
      </w:pPr>
    </w:p>
    <w:p w14:paraId="7A404408" w14:textId="77777777" w:rsidR="000B75DD" w:rsidRPr="00502EF9" w:rsidRDefault="000B75DD" w:rsidP="00E57B03">
      <w:pPr>
        <w:spacing w:line="240" w:lineRule="auto"/>
        <w:jc w:val="both"/>
        <w:rPr>
          <w:noProof/>
          <w:lang w:val="sk-SK"/>
        </w:rPr>
      </w:pPr>
    </w:p>
    <w:p w14:paraId="5B458B4C" w14:textId="24B30B31" w:rsidR="00281402" w:rsidRPr="00502EF9" w:rsidRDefault="00281402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>5.</w:t>
      </w:r>
      <w:r w:rsidR="00730A01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 xml:space="preserve"> FARMAKOLOGICKÉ VLASTNOSTI</w:t>
      </w:r>
    </w:p>
    <w:p w14:paraId="0E7ECDDC" w14:textId="77777777" w:rsidR="000B75DD" w:rsidRPr="00502EF9" w:rsidRDefault="000B75DD" w:rsidP="00E57B03">
      <w:pPr>
        <w:autoSpaceDE w:val="0"/>
        <w:autoSpaceDN w:val="0"/>
        <w:adjustRightInd w:val="0"/>
        <w:spacing w:line="240" w:lineRule="auto"/>
        <w:rPr>
          <w:b/>
          <w:bCs/>
          <w:lang w:val="sk-SK"/>
        </w:rPr>
      </w:pPr>
    </w:p>
    <w:p w14:paraId="15FDBE06" w14:textId="03C10F4D" w:rsidR="00281402" w:rsidRPr="00502EF9" w:rsidRDefault="000B75DD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5.1 </w:t>
      </w:r>
      <w:r w:rsidR="00730A01">
        <w:rPr>
          <w:b/>
          <w:bCs/>
          <w:lang w:val="sk-SK"/>
        </w:rPr>
        <w:tab/>
      </w:r>
      <w:proofErr w:type="spellStart"/>
      <w:r w:rsidRPr="00502EF9">
        <w:rPr>
          <w:b/>
          <w:bCs/>
          <w:lang w:val="sk-SK"/>
        </w:rPr>
        <w:t>Farmakodynamické</w:t>
      </w:r>
      <w:proofErr w:type="spellEnd"/>
      <w:r w:rsidRPr="00502EF9">
        <w:rPr>
          <w:b/>
          <w:bCs/>
          <w:lang w:val="sk-SK"/>
        </w:rPr>
        <w:t xml:space="preserve"> vlastnosti</w:t>
      </w:r>
    </w:p>
    <w:p w14:paraId="15552FFF" w14:textId="77777777" w:rsidR="00730A01" w:rsidRDefault="00730A01" w:rsidP="00730A01">
      <w:pPr>
        <w:spacing w:line="240" w:lineRule="auto"/>
        <w:outlineLvl w:val="0"/>
        <w:rPr>
          <w:lang w:val="sk-SK"/>
        </w:rPr>
      </w:pPr>
    </w:p>
    <w:p w14:paraId="426FB6BC" w14:textId="409FF62D" w:rsidR="00321C0F" w:rsidRPr="00502EF9" w:rsidRDefault="00281402" w:rsidP="00730A01">
      <w:pPr>
        <w:spacing w:line="240" w:lineRule="auto"/>
        <w:outlineLvl w:val="0"/>
        <w:rPr>
          <w:noProof/>
          <w:lang w:val="sk-SK"/>
        </w:rPr>
      </w:pPr>
      <w:proofErr w:type="spellStart"/>
      <w:r w:rsidRPr="00502EF9">
        <w:rPr>
          <w:lang w:val="sk-SK"/>
        </w:rPr>
        <w:t>Farmakoterapeutická</w:t>
      </w:r>
      <w:proofErr w:type="spellEnd"/>
      <w:r w:rsidRPr="00502EF9">
        <w:rPr>
          <w:lang w:val="sk-SK"/>
        </w:rPr>
        <w:t xml:space="preserve"> skupina</w:t>
      </w:r>
      <w:r w:rsidRPr="00502EF9">
        <w:rPr>
          <w:noProof/>
          <w:lang w:val="sk-SK"/>
        </w:rPr>
        <w:t xml:space="preserve">: </w:t>
      </w:r>
      <w:r w:rsidR="008C2635">
        <w:rPr>
          <w:noProof/>
          <w:lang w:val="sk-SK"/>
        </w:rPr>
        <w:t xml:space="preserve">lokálne </w:t>
      </w:r>
      <w:r w:rsidRPr="00502EF9">
        <w:rPr>
          <w:lang w:val="sk-SK"/>
        </w:rPr>
        <w:t>anestetiká,</w:t>
      </w:r>
      <w:r w:rsidR="008C2635">
        <w:rPr>
          <w:lang w:val="sk-SK"/>
        </w:rPr>
        <w:t xml:space="preserve"> </w:t>
      </w:r>
      <w:r w:rsidRPr="00502EF9">
        <w:rPr>
          <w:lang w:val="sk-SK"/>
        </w:rPr>
        <w:t xml:space="preserve">estery kyseliny </w:t>
      </w:r>
      <w:proofErr w:type="spellStart"/>
      <w:r w:rsidRPr="00502EF9">
        <w:rPr>
          <w:lang w:val="sk-SK"/>
        </w:rPr>
        <w:t>aminobenzoovej</w:t>
      </w:r>
      <w:proofErr w:type="spellEnd"/>
    </w:p>
    <w:p w14:paraId="52C219DF" w14:textId="77777777" w:rsidR="00281402" w:rsidRPr="00502EF9" w:rsidRDefault="00281402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lang w:val="sk-SK"/>
        </w:rPr>
      </w:pPr>
      <w:r w:rsidRPr="00502EF9">
        <w:rPr>
          <w:rFonts w:ascii="Times New Roman" w:hAnsi="Times New Roman" w:cs="Times New Roman"/>
          <w:sz w:val="22"/>
          <w:szCs w:val="22"/>
          <w:lang w:val="sk-SK"/>
        </w:rPr>
        <w:t>ATC kód: N01BA04</w:t>
      </w:r>
    </w:p>
    <w:p w14:paraId="056BD33A" w14:textId="77777777" w:rsidR="00A23788" w:rsidRDefault="00A23788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lang w:val="sk-SK"/>
        </w:rPr>
      </w:pPr>
    </w:p>
    <w:p w14:paraId="7B67561A" w14:textId="77777777" w:rsidR="00D27FC5" w:rsidRPr="00502EF9" w:rsidRDefault="00D27FC5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502EF9">
        <w:rPr>
          <w:rFonts w:ascii="Times New Roman" w:hAnsi="Times New Roman" w:cs="Times New Roman"/>
          <w:sz w:val="22"/>
          <w:szCs w:val="22"/>
          <w:lang w:val="sk-SK"/>
        </w:rPr>
        <w:t>Chlórprokaín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je lokálne anestetikum na báze esterov. </w:t>
      </w:r>
      <w:proofErr w:type="spellStart"/>
      <w:r w:rsidRPr="00502EF9">
        <w:rPr>
          <w:rFonts w:ascii="Times New Roman" w:hAnsi="Times New Roman" w:cs="Times New Roman"/>
          <w:sz w:val="22"/>
          <w:szCs w:val="22"/>
          <w:lang w:val="sk-SK"/>
        </w:rPr>
        <w:t>Chlórprokaín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blokuje tvorbu a vedenie nervových impulzov, pravdepodobne zvýšením prahu elektrickej </w:t>
      </w:r>
      <w:proofErr w:type="spellStart"/>
      <w:r w:rsidRPr="00502EF9">
        <w:rPr>
          <w:rFonts w:ascii="Times New Roman" w:hAnsi="Times New Roman" w:cs="Times New Roman"/>
          <w:sz w:val="22"/>
          <w:szCs w:val="22"/>
          <w:lang w:val="sk-SK"/>
        </w:rPr>
        <w:t>excitácie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v nerve, spomalením šírenia nervového impulzu a znížením rýchlosti nárastu akčného potenciálu.</w:t>
      </w:r>
    </w:p>
    <w:p w14:paraId="465F1855" w14:textId="77777777" w:rsidR="00D27FC5" w:rsidRPr="00502EF9" w:rsidRDefault="00D27FC5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lang w:val="sk-SK"/>
        </w:rPr>
      </w:pPr>
    </w:p>
    <w:p w14:paraId="49355C81" w14:textId="77777777" w:rsidR="00D27FC5" w:rsidRPr="00502EF9" w:rsidRDefault="00D27FC5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lang w:val="sk-SK"/>
        </w:rPr>
      </w:pPr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Pri </w:t>
      </w:r>
      <w:proofErr w:type="spellStart"/>
      <w:r w:rsidRPr="00502EF9">
        <w:rPr>
          <w:rFonts w:ascii="Times New Roman" w:hAnsi="Times New Roman" w:cs="Times New Roman"/>
          <w:sz w:val="22"/>
          <w:szCs w:val="22"/>
          <w:lang w:val="sk-SK"/>
        </w:rPr>
        <w:t>spinálnom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podaní je nástup účinku veľmi rýchly (9,6 min ± 7,3 min pri dávke 40 mg; 7,9 min ± 6,0 min pri dávke 50 mg) a doba trvania anestézie môže byť až 100 minút.</w:t>
      </w:r>
    </w:p>
    <w:p w14:paraId="1F2AA2B9" w14:textId="77777777" w:rsidR="00D27FC5" w:rsidRPr="00502EF9" w:rsidRDefault="00D27FC5" w:rsidP="00730A01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41B14F3A" w14:textId="77777777" w:rsidR="006D6A3C" w:rsidRPr="00730A01" w:rsidRDefault="006D6A3C" w:rsidP="00730A01">
      <w:pPr>
        <w:spacing w:line="240" w:lineRule="auto"/>
        <w:rPr>
          <w:u w:val="single"/>
          <w:lang w:val="sk-SK"/>
        </w:rPr>
      </w:pPr>
      <w:r w:rsidRPr="00730A01">
        <w:rPr>
          <w:u w:val="single"/>
          <w:lang w:val="sk-SK"/>
        </w:rPr>
        <w:t>Pediatrická populácia</w:t>
      </w:r>
    </w:p>
    <w:p w14:paraId="4A392A81" w14:textId="56D0B808" w:rsidR="00281402" w:rsidRPr="00502EF9" w:rsidRDefault="00281402" w:rsidP="00730A01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lang w:val="sk-SK"/>
        </w:rPr>
        <w:t xml:space="preserve">Európska </w:t>
      </w:r>
      <w:r w:rsidR="00730A01">
        <w:rPr>
          <w:lang w:val="sk-SK"/>
        </w:rPr>
        <w:t xml:space="preserve">lieková </w:t>
      </w:r>
      <w:r w:rsidRPr="00502EF9">
        <w:rPr>
          <w:lang w:val="sk-SK"/>
        </w:rPr>
        <w:t>agentúra udelila výnimku z povinnosti predložiť výsledky štúdií s</w:t>
      </w:r>
      <w:r w:rsidR="00A23788">
        <w:rPr>
          <w:lang w:val="sk-SK"/>
        </w:rPr>
        <w:t> </w:t>
      </w:r>
      <w:proofErr w:type="spellStart"/>
      <w:r w:rsidR="00A23788">
        <w:rPr>
          <w:lang w:val="sk-SK"/>
        </w:rPr>
        <w:t>Ampresom</w:t>
      </w:r>
      <w:proofErr w:type="spellEnd"/>
      <w:r w:rsidR="00A23788">
        <w:rPr>
          <w:lang w:val="sk-SK"/>
        </w:rPr>
        <w:t xml:space="preserve"> 10 mg/ml</w:t>
      </w:r>
      <w:r w:rsidRPr="00502EF9">
        <w:rPr>
          <w:lang w:val="sk-SK"/>
        </w:rPr>
        <w:t xml:space="preserve"> vo všetkých podskupinách pediatrickej populácie pri </w:t>
      </w:r>
      <w:proofErr w:type="spellStart"/>
      <w:r w:rsidRPr="00502EF9">
        <w:rPr>
          <w:lang w:val="sk-SK"/>
        </w:rPr>
        <w:t>spinálnej</w:t>
      </w:r>
      <w:proofErr w:type="spellEnd"/>
      <w:r w:rsidRPr="00502EF9">
        <w:rPr>
          <w:lang w:val="sk-SK"/>
        </w:rPr>
        <w:t xml:space="preserve"> anestézii.</w:t>
      </w:r>
    </w:p>
    <w:p w14:paraId="0E2066D1" w14:textId="77777777" w:rsidR="00281402" w:rsidRPr="00502EF9" w:rsidRDefault="00281402" w:rsidP="00730A01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0C150C23" w14:textId="001EF9F8" w:rsidR="00281402" w:rsidRPr="00502EF9" w:rsidRDefault="000B75DD" w:rsidP="00730A01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5.2 </w:t>
      </w:r>
      <w:r w:rsidR="00730A01">
        <w:rPr>
          <w:b/>
          <w:bCs/>
          <w:lang w:val="sk-SK"/>
        </w:rPr>
        <w:tab/>
      </w:r>
      <w:proofErr w:type="spellStart"/>
      <w:r w:rsidRPr="00502EF9">
        <w:rPr>
          <w:b/>
          <w:bCs/>
          <w:lang w:val="sk-SK"/>
        </w:rPr>
        <w:t>Farmakokinetické</w:t>
      </w:r>
      <w:proofErr w:type="spellEnd"/>
      <w:r w:rsidRPr="00502EF9">
        <w:rPr>
          <w:b/>
          <w:bCs/>
          <w:lang w:val="sk-SK"/>
        </w:rPr>
        <w:t xml:space="preserve"> vlastnosti</w:t>
      </w:r>
    </w:p>
    <w:p w14:paraId="3F6858A4" w14:textId="77777777" w:rsidR="00730A01" w:rsidRDefault="00730A01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lang w:val="sk-SK"/>
        </w:rPr>
      </w:pPr>
    </w:p>
    <w:p w14:paraId="1E7F54A3" w14:textId="77777777" w:rsidR="00AD1101" w:rsidRPr="00730A01" w:rsidRDefault="00AD1101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730A01">
        <w:rPr>
          <w:rFonts w:ascii="Times New Roman" w:hAnsi="Times New Roman" w:cs="Times New Roman"/>
          <w:sz w:val="22"/>
          <w:szCs w:val="22"/>
          <w:u w:val="single"/>
          <w:lang w:val="sk-SK"/>
        </w:rPr>
        <w:t>Absorpcia a distribúcia</w:t>
      </w:r>
    </w:p>
    <w:p w14:paraId="15DEB45A" w14:textId="7D8EFCB0" w:rsidR="00AD1101" w:rsidRPr="00502EF9" w:rsidRDefault="00AD1101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lang w:val="sk-SK"/>
        </w:rPr>
      </w:pPr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Plazmatická koncentrácia </w:t>
      </w:r>
      <w:r w:rsidR="00730A01">
        <w:rPr>
          <w:rFonts w:ascii="Times New Roman" w:hAnsi="Times New Roman" w:cs="Times New Roman"/>
          <w:sz w:val="22"/>
          <w:szCs w:val="22"/>
          <w:lang w:val="sk-SK"/>
        </w:rPr>
        <w:t xml:space="preserve">má </w:t>
      </w:r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byť pre </w:t>
      </w:r>
      <w:proofErr w:type="spellStart"/>
      <w:r w:rsidRPr="00502EF9">
        <w:rPr>
          <w:rFonts w:ascii="Times New Roman" w:hAnsi="Times New Roman" w:cs="Times New Roman"/>
          <w:sz w:val="22"/>
          <w:szCs w:val="22"/>
          <w:lang w:val="sk-SK"/>
        </w:rPr>
        <w:t>intratekálne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použitie zanedbateľná.</w:t>
      </w:r>
    </w:p>
    <w:p w14:paraId="1BB9B0F2" w14:textId="77777777" w:rsidR="00AD1101" w:rsidRPr="00502EF9" w:rsidRDefault="00AD1101" w:rsidP="00730A01">
      <w:pPr>
        <w:pStyle w:val="CM12"/>
        <w:spacing w:after="0"/>
        <w:rPr>
          <w:rFonts w:ascii="Calibri" w:hAnsi="Calibri"/>
          <w:color w:val="1F497D"/>
          <w:sz w:val="22"/>
          <w:szCs w:val="22"/>
          <w:lang w:val="sk-SK"/>
        </w:rPr>
      </w:pPr>
    </w:p>
    <w:p w14:paraId="3DC5FBFF" w14:textId="77777777" w:rsidR="00AD1101" w:rsidRPr="00730A01" w:rsidRDefault="00AD1101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proofErr w:type="spellStart"/>
      <w:r w:rsidRPr="00730A01">
        <w:rPr>
          <w:rFonts w:ascii="Times New Roman" w:hAnsi="Times New Roman" w:cs="Times New Roman"/>
          <w:sz w:val="22"/>
          <w:szCs w:val="22"/>
          <w:u w:val="single"/>
          <w:lang w:val="sk-SK"/>
        </w:rPr>
        <w:t>Biotransformácia</w:t>
      </w:r>
      <w:proofErr w:type="spellEnd"/>
    </w:p>
    <w:p w14:paraId="6F61356F" w14:textId="71967A40" w:rsidR="00AD1101" w:rsidRPr="00502EF9" w:rsidRDefault="00AD1101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502EF9">
        <w:rPr>
          <w:rFonts w:ascii="Times New Roman" w:hAnsi="Times New Roman" w:cs="Times New Roman"/>
          <w:sz w:val="22"/>
          <w:szCs w:val="22"/>
          <w:lang w:val="sk-SK"/>
        </w:rPr>
        <w:t>Chlórprokaín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sa rýchlo metabolizuje v plazme hydrolýzou esterovej väzby </w:t>
      </w:r>
      <w:proofErr w:type="spellStart"/>
      <w:r w:rsidRPr="00502EF9">
        <w:rPr>
          <w:rFonts w:ascii="Times New Roman" w:hAnsi="Times New Roman" w:cs="Times New Roman"/>
          <w:sz w:val="22"/>
          <w:szCs w:val="22"/>
          <w:lang w:val="sk-SK"/>
        </w:rPr>
        <w:t>pseudocholínesterázou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. Pri deficite </w:t>
      </w:r>
      <w:proofErr w:type="spellStart"/>
      <w:r w:rsidRPr="00502EF9">
        <w:rPr>
          <w:rFonts w:ascii="Times New Roman" w:hAnsi="Times New Roman" w:cs="Times New Roman"/>
          <w:sz w:val="22"/>
          <w:szCs w:val="22"/>
          <w:lang w:val="sk-SK"/>
        </w:rPr>
        <w:t>pseudocholínesterázy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sa </w:t>
      </w:r>
      <w:r w:rsidR="00730A01">
        <w:rPr>
          <w:rFonts w:ascii="Times New Roman" w:hAnsi="Times New Roman" w:cs="Times New Roman"/>
          <w:sz w:val="22"/>
          <w:szCs w:val="22"/>
          <w:lang w:val="sk-SK"/>
        </w:rPr>
        <w:t xml:space="preserve">môže </w:t>
      </w:r>
      <w:r w:rsidRPr="00502EF9">
        <w:rPr>
          <w:rFonts w:ascii="Times New Roman" w:hAnsi="Times New Roman" w:cs="Times New Roman"/>
          <w:sz w:val="22"/>
          <w:szCs w:val="22"/>
          <w:lang w:val="sk-SK"/>
        </w:rPr>
        <w:t>tento proces spomaliť.</w:t>
      </w:r>
    </w:p>
    <w:p w14:paraId="7F4BCE51" w14:textId="77777777" w:rsidR="00AD1101" w:rsidRPr="00502EF9" w:rsidRDefault="00AD1101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lang w:val="sk-SK"/>
        </w:rPr>
      </w:pPr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Hydrolýza </w:t>
      </w:r>
      <w:proofErr w:type="spellStart"/>
      <w:r w:rsidRPr="00502EF9">
        <w:rPr>
          <w:rFonts w:ascii="Times New Roman" w:hAnsi="Times New Roman" w:cs="Times New Roman"/>
          <w:sz w:val="22"/>
          <w:szCs w:val="22"/>
          <w:lang w:val="sk-SK"/>
        </w:rPr>
        <w:t>chlórprokaínu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má za následok tvorbu ß-</w:t>
      </w:r>
      <w:proofErr w:type="spellStart"/>
      <w:r w:rsidRPr="00502EF9">
        <w:rPr>
          <w:rFonts w:ascii="Times New Roman" w:hAnsi="Times New Roman" w:cs="Times New Roman"/>
          <w:sz w:val="22"/>
          <w:szCs w:val="22"/>
          <w:lang w:val="sk-SK"/>
        </w:rPr>
        <w:t>dietylaminoetanolu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a kyseliny 2-chlór-4-aminobenzoovej.</w:t>
      </w:r>
    </w:p>
    <w:p w14:paraId="1A370851" w14:textId="3C038993" w:rsidR="00AD1101" w:rsidRPr="00502EF9" w:rsidRDefault="00AD1101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lang w:val="sk-SK"/>
        </w:rPr>
      </w:pPr>
      <w:r w:rsidRPr="00502EF9">
        <w:rPr>
          <w:rFonts w:ascii="Times New Roman" w:hAnsi="Times New Roman" w:cs="Times New Roman"/>
          <w:i/>
          <w:iCs/>
          <w:sz w:val="22"/>
          <w:szCs w:val="22"/>
          <w:lang w:val="sk-SK"/>
        </w:rPr>
        <w:t>In vitro</w:t>
      </w:r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plazmatický polčas </w:t>
      </w:r>
      <w:proofErr w:type="spellStart"/>
      <w:r w:rsidRPr="00502EF9">
        <w:rPr>
          <w:rFonts w:ascii="Times New Roman" w:hAnsi="Times New Roman" w:cs="Times New Roman"/>
          <w:sz w:val="22"/>
          <w:szCs w:val="22"/>
          <w:lang w:val="sk-SK"/>
        </w:rPr>
        <w:t>chlórprokaínu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u dospelých mužov je 21 ± 2 sekundy a u žien 25 ± 1 sekunda. </w:t>
      </w:r>
      <w:r w:rsidRPr="00502EF9">
        <w:rPr>
          <w:rFonts w:ascii="Times New Roman" w:hAnsi="Times New Roman" w:cs="Times New Roman"/>
          <w:i/>
          <w:iCs/>
          <w:sz w:val="22"/>
          <w:szCs w:val="22"/>
          <w:lang w:val="sk-SK"/>
        </w:rPr>
        <w:t>In vitro</w:t>
      </w:r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plazmatický polčas u n</w:t>
      </w:r>
      <w:r w:rsidR="008C2635">
        <w:rPr>
          <w:rFonts w:ascii="Times New Roman" w:hAnsi="Times New Roman" w:cs="Times New Roman"/>
          <w:sz w:val="22"/>
          <w:szCs w:val="22"/>
          <w:lang w:val="sk-SK"/>
        </w:rPr>
        <w:t>ovorodencov je 43 ± 2 sekundy. Od</w:t>
      </w:r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meraný plazmatický polčas </w:t>
      </w:r>
      <w:r w:rsidRPr="008C2635">
        <w:rPr>
          <w:rFonts w:ascii="Times New Roman" w:hAnsi="Times New Roman" w:cs="Times New Roman"/>
          <w:i/>
          <w:sz w:val="22"/>
          <w:szCs w:val="22"/>
          <w:lang w:val="sk-SK"/>
        </w:rPr>
        <w:t xml:space="preserve">in </w:t>
      </w:r>
      <w:proofErr w:type="spellStart"/>
      <w:r w:rsidRPr="008C2635">
        <w:rPr>
          <w:rFonts w:ascii="Times New Roman" w:hAnsi="Times New Roman" w:cs="Times New Roman"/>
          <w:i/>
          <w:sz w:val="22"/>
          <w:szCs w:val="22"/>
          <w:lang w:val="sk-SK"/>
        </w:rPr>
        <w:t>vivo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u žien bol 3,1 ± 1,6 minút.</w:t>
      </w:r>
    </w:p>
    <w:p w14:paraId="4C46CDE3" w14:textId="77777777" w:rsidR="00AD1101" w:rsidRPr="00502EF9" w:rsidRDefault="00AD1101" w:rsidP="00730A01">
      <w:pPr>
        <w:spacing w:line="240" w:lineRule="auto"/>
        <w:rPr>
          <w:lang w:val="sk-SK"/>
        </w:rPr>
      </w:pPr>
    </w:p>
    <w:p w14:paraId="53555BB9" w14:textId="77777777" w:rsidR="00AD1101" w:rsidRPr="00730A01" w:rsidRDefault="00AD1101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u w:val="single"/>
          <w:lang w:val="sk-SK"/>
        </w:rPr>
      </w:pPr>
      <w:r w:rsidRPr="00730A01">
        <w:rPr>
          <w:rFonts w:ascii="Times New Roman" w:hAnsi="Times New Roman" w:cs="Times New Roman"/>
          <w:sz w:val="22"/>
          <w:szCs w:val="22"/>
          <w:u w:val="single"/>
          <w:lang w:val="sk-SK"/>
        </w:rPr>
        <w:t>Eliminácia</w:t>
      </w:r>
    </w:p>
    <w:p w14:paraId="0CACB562" w14:textId="77777777" w:rsidR="00AD1101" w:rsidRPr="00502EF9" w:rsidRDefault="00AD1101" w:rsidP="00730A01">
      <w:pPr>
        <w:pStyle w:val="CM12"/>
        <w:spacing w:after="0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502EF9">
        <w:rPr>
          <w:rFonts w:ascii="Times New Roman" w:hAnsi="Times New Roman" w:cs="Times New Roman"/>
          <w:sz w:val="22"/>
          <w:szCs w:val="22"/>
          <w:lang w:val="sk-SK"/>
        </w:rPr>
        <w:t>Metabolity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>, ß-</w:t>
      </w:r>
      <w:proofErr w:type="spellStart"/>
      <w:r w:rsidRPr="00502EF9">
        <w:rPr>
          <w:rFonts w:ascii="Times New Roman" w:hAnsi="Times New Roman" w:cs="Times New Roman"/>
          <w:sz w:val="22"/>
          <w:szCs w:val="22"/>
          <w:lang w:val="sk-SK"/>
        </w:rPr>
        <w:t>dietylaminoetanol</w:t>
      </w:r>
      <w:proofErr w:type="spellEnd"/>
      <w:r w:rsidRPr="00502EF9">
        <w:rPr>
          <w:rFonts w:ascii="Times New Roman" w:hAnsi="Times New Roman" w:cs="Times New Roman"/>
          <w:sz w:val="22"/>
          <w:szCs w:val="22"/>
          <w:lang w:val="sk-SK"/>
        </w:rPr>
        <w:t xml:space="preserve"> a kyselina 2-chlór-4-aminobenzoová sa vylučujú obličkami do moču.</w:t>
      </w:r>
    </w:p>
    <w:p w14:paraId="58B716AA" w14:textId="77777777" w:rsidR="003736FF" w:rsidRPr="00502EF9" w:rsidRDefault="003736FF" w:rsidP="00730A01">
      <w:pPr>
        <w:spacing w:line="240" w:lineRule="auto"/>
        <w:rPr>
          <w:lang w:val="sk-SK" w:eastAsia="it-IT"/>
        </w:rPr>
      </w:pPr>
    </w:p>
    <w:p w14:paraId="02ED5C17" w14:textId="2709C7EA" w:rsidR="003736FF" w:rsidRPr="00730A01" w:rsidRDefault="003736FF" w:rsidP="00730A01">
      <w:pPr>
        <w:pStyle w:val="CM12"/>
        <w:spacing w:after="0"/>
        <w:rPr>
          <w:rFonts w:ascii="Times New Roman" w:hAnsi="Times New Roman"/>
          <w:sz w:val="22"/>
          <w:szCs w:val="22"/>
          <w:u w:val="single"/>
          <w:lang w:val="sk-SK"/>
        </w:rPr>
      </w:pPr>
      <w:proofErr w:type="spellStart"/>
      <w:r w:rsidRPr="00730A01">
        <w:rPr>
          <w:rFonts w:ascii="Times New Roman" w:hAnsi="Times New Roman"/>
          <w:sz w:val="22"/>
          <w:szCs w:val="22"/>
          <w:u w:val="single"/>
          <w:lang w:val="sk-SK"/>
        </w:rPr>
        <w:t>Farmakokinetické</w:t>
      </w:r>
      <w:proofErr w:type="spellEnd"/>
      <w:r w:rsidRPr="00730A01">
        <w:rPr>
          <w:rFonts w:ascii="Times New Roman" w:hAnsi="Times New Roman"/>
          <w:sz w:val="22"/>
          <w:szCs w:val="22"/>
          <w:u w:val="single"/>
          <w:lang w:val="sk-SK"/>
        </w:rPr>
        <w:t xml:space="preserve"> vlastnosti </w:t>
      </w:r>
      <w:r w:rsidR="004038EF">
        <w:rPr>
          <w:rFonts w:ascii="Times New Roman" w:hAnsi="Times New Roman"/>
          <w:sz w:val="22"/>
          <w:szCs w:val="22"/>
          <w:u w:val="single"/>
          <w:lang w:val="sk-SK"/>
        </w:rPr>
        <w:t>v oblasti</w:t>
      </w:r>
      <w:r w:rsidRPr="00730A01">
        <w:rPr>
          <w:rFonts w:ascii="Times New Roman" w:hAnsi="Times New Roman"/>
          <w:sz w:val="22"/>
          <w:szCs w:val="22"/>
          <w:u w:val="single"/>
          <w:lang w:val="sk-SK"/>
        </w:rPr>
        <w:t xml:space="preserve"> chrbtice</w:t>
      </w:r>
    </w:p>
    <w:p w14:paraId="66F29A25" w14:textId="69199BAE" w:rsidR="003736FF" w:rsidRPr="00502EF9" w:rsidRDefault="003736FF" w:rsidP="00730A01">
      <w:pPr>
        <w:pStyle w:val="CM12"/>
        <w:spacing w:after="0"/>
        <w:rPr>
          <w:sz w:val="22"/>
          <w:szCs w:val="22"/>
          <w:lang w:val="sk-SK"/>
        </w:rPr>
      </w:pPr>
      <w:r w:rsidRPr="00502EF9">
        <w:rPr>
          <w:rFonts w:ascii="Times New Roman" w:hAnsi="Times New Roman"/>
          <w:sz w:val="22"/>
          <w:szCs w:val="22"/>
          <w:lang w:val="sk-SK"/>
        </w:rPr>
        <w:t xml:space="preserve">Eliminácia </w:t>
      </w:r>
      <w:proofErr w:type="spellStart"/>
      <w:r w:rsidRPr="00502EF9">
        <w:rPr>
          <w:rFonts w:ascii="Times New Roman" w:hAnsi="Times New Roman"/>
          <w:sz w:val="22"/>
          <w:szCs w:val="22"/>
          <w:lang w:val="sk-SK"/>
        </w:rPr>
        <w:t>chlórprokaínu</w:t>
      </w:r>
      <w:proofErr w:type="spellEnd"/>
      <w:r w:rsidRPr="00502EF9">
        <w:rPr>
          <w:rFonts w:ascii="Times New Roman" w:hAnsi="Times New Roman"/>
          <w:sz w:val="22"/>
          <w:szCs w:val="22"/>
          <w:lang w:val="sk-SK"/>
        </w:rPr>
        <w:t xml:space="preserve"> z mozgovomiechového moku prebieha výhradne difúziou a </w:t>
      </w:r>
      <w:proofErr w:type="spellStart"/>
      <w:r w:rsidRPr="00502EF9">
        <w:rPr>
          <w:rFonts w:ascii="Times New Roman" w:hAnsi="Times New Roman"/>
          <w:sz w:val="22"/>
          <w:szCs w:val="22"/>
          <w:lang w:val="sk-SK"/>
        </w:rPr>
        <w:t>vaskulárnou</w:t>
      </w:r>
      <w:proofErr w:type="spellEnd"/>
      <w:r w:rsidRPr="00502EF9">
        <w:rPr>
          <w:rFonts w:ascii="Times New Roman" w:hAnsi="Times New Roman"/>
          <w:sz w:val="22"/>
          <w:szCs w:val="22"/>
          <w:lang w:val="sk-SK"/>
        </w:rPr>
        <w:t xml:space="preserve"> absorpciou, buď v nervových tkanivách v </w:t>
      </w:r>
      <w:proofErr w:type="spellStart"/>
      <w:r w:rsidRPr="00502EF9">
        <w:rPr>
          <w:rFonts w:ascii="Times New Roman" w:hAnsi="Times New Roman"/>
          <w:sz w:val="22"/>
          <w:szCs w:val="22"/>
          <w:lang w:val="sk-SK"/>
        </w:rPr>
        <w:t>intratekálnom</w:t>
      </w:r>
      <w:proofErr w:type="spellEnd"/>
      <w:r w:rsidRPr="00502EF9">
        <w:rPr>
          <w:rFonts w:ascii="Times New Roman" w:hAnsi="Times New Roman"/>
          <w:sz w:val="22"/>
          <w:szCs w:val="22"/>
          <w:lang w:val="sk-SK"/>
        </w:rPr>
        <w:t xml:space="preserve"> priestore, alebo krížením dury pozdĺž koncentračného gradientu medzi mozgovomiechovým mokom a </w:t>
      </w:r>
      <w:proofErr w:type="spellStart"/>
      <w:r w:rsidRPr="00502EF9">
        <w:rPr>
          <w:rFonts w:ascii="Times New Roman" w:hAnsi="Times New Roman"/>
          <w:sz w:val="22"/>
          <w:szCs w:val="22"/>
          <w:lang w:val="sk-SK"/>
        </w:rPr>
        <w:t>epidurálnym</w:t>
      </w:r>
      <w:proofErr w:type="spellEnd"/>
      <w:r w:rsidRPr="00502EF9">
        <w:rPr>
          <w:rFonts w:ascii="Times New Roman" w:hAnsi="Times New Roman"/>
          <w:sz w:val="22"/>
          <w:szCs w:val="22"/>
          <w:lang w:val="sk-SK"/>
        </w:rPr>
        <w:t xml:space="preserve"> priestorom. V dôsledku toho je </w:t>
      </w:r>
      <w:proofErr w:type="spellStart"/>
      <w:r w:rsidRPr="00502EF9">
        <w:rPr>
          <w:rFonts w:ascii="Times New Roman" w:hAnsi="Times New Roman"/>
          <w:sz w:val="22"/>
          <w:szCs w:val="22"/>
          <w:lang w:val="sk-SK"/>
        </w:rPr>
        <w:t>chlórprokaín</w:t>
      </w:r>
      <w:proofErr w:type="spellEnd"/>
      <w:r w:rsidRPr="00502EF9">
        <w:rPr>
          <w:rFonts w:ascii="Times New Roman" w:hAnsi="Times New Roman"/>
          <w:sz w:val="22"/>
          <w:szCs w:val="22"/>
          <w:lang w:val="sk-SK"/>
        </w:rPr>
        <w:t xml:space="preserve"> vystavený </w:t>
      </w:r>
      <w:proofErr w:type="spellStart"/>
      <w:r w:rsidRPr="00502EF9">
        <w:rPr>
          <w:rFonts w:ascii="Times New Roman" w:hAnsi="Times New Roman"/>
          <w:sz w:val="22"/>
          <w:szCs w:val="22"/>
          <w:lang w:val="sk-SK"/>
        </w:rPr>
        <w:t>vaskulárnej</w:t>
      </w:r>
      <w:proofErr w:type="spellEnd"/>
      <w:r w:rsidRPr="00502EF9">
        <w:rPr>
          <w:rFonts w:ascii="Times New Roman" w:hAnsi="Times New Roman"/>
          <w:sz w:val="22"/>
          <w:szCs w:val="22"/>
          <w:lang w:val="sk-SK"/>
        </w:rPr>
        <w:t xml:space="preserve"> absorpcii. Prevládajúcimi faktormi, ktoré určujú rýchlosť absorpcie, sú: lokálny prietok krvi a </w:t>
      </w:r>
      <w:proofErr w:type="spellStart"/>
      <w:r w:rsidRPr="00502EF9">
        <w:rPr>
          <w:rFonts w:ascii="Times New Roman" w:hAnsi="Times New Roman"/>
          <w:sz w:val="22"/>
          <w:szCs w:val="22"/>
          <w:lang w:val="sk-SK"/>
        </w:rPr>
        <w:t>kompetitívna</w:t>
      </w:r>
      <w:proofErr w:type="spellEnd"/>
      <w:r w:rsidRPr="00502EF9">
        <w:rPr>
          <w:rFonts w:ascii="Times New Roman" w:hAnsi="Times New Roman"/>
          <w:sz w:val="22"/>
          <w:szCs w:val="22"/>
          <w:lang w:val="sk-SK"/>
        </w:rPr>
        <w:t xml:space="preserve"> väzba na lokálne tkanivá, avšak nie enzymatická hydrolýza v mozgovomiechovom moku. U pacientov s deficitom </w:t>
      </w:r>
      <w:proofErr w:type="spellStart"/>
      <w:r w:rsidRPr="00502EF9">
        <w:rPr>
          <w:rFonts w:ascii="Times New Roman" w:hAnsi="Times New Roman"/>
          <w:sz w:val="22"/>
          <w:szCs w:val="22"/>
          <w:lang w:val="sk-SK"/>
        </w:rPr>
        <w:t>cholinesterázy</w:t>
      </w:r>
      <w:proofErr w:type="spellEnd"/>
      <w:r w:rsidRPr="00502EF9">
        <w:rPr>
          <w:rFonts w:ascii="Times New Roman" w:hAnsi="Times New Roman"/>
          <w:sz w:val="22"/>
          <w:szCs w:val="22"/>
          <w:lang w:val="sk-SK"/>
        </w:rPr>
        <w:t xml:space="preserve"> po </w:t>
      </w:r>
      <w:proofErr w:type="spellStart"/>
      <w:r w:rsidRPr="00502EF9">
        <w:rPr>
          <w:rFonts w:ascii="Times New Roman" w:hAnsi="Times New Roman"/>
          <w:sz w:val="22"/>
          <w:szCs w:val="22"/>
          <w:lang w:val="sk-SK"/>
        </w:rPr>
        <w:t>intratekálnej</w:t>
      </w:r>
      <w:proofErr w:type="spellEnd"/>
      <w:r w:rsidRPr="00502EF9">
        <w:rPr>
          <w:rFonts w:ascii="Times New Roman" w:hAnsi="Times New Roman"/>
          <w:sz w:val="22"/>
          <w:szCs w:val="22"/>
          <w:lang w:val="sk-SK"/>
        </w:rPr>
        <w:t xml:space="preserve"> injekcii je opodstatnené očakávať veľmi nízke maximálne plazmatické hladiny </w:t>
      </w:r>
      <w:proofErr w:type="spellStart"/>
      <w:r w:rsidRPr="00502EF9">
        <w:rPr>
          <w:rFonts w:ascii="Times New Roman" w:hAnsi="Times New Roman"/>
          <w:sz w:val="22"/>
          <w:szCs w:val="22"/>
          <w:lang w:val="sk-SK"/>
        </w:rPr>
        <w:t>chlórprokaínu</w:t>
      </w:r>
      <w:proofErr w:type="spellEnd"/>
      <w:r w:rsidRPr="00502EF9">
        <w:rPr>
          <w:rFonts w:ascii="Times New Roman" w:hAnsi="Times New Roman"/>
          <w:sz w:val="22"/>
          <w:szCs w:val="22"/>
          <w:lang w:val="sk-SK"/>
        </w:rPr>
        <w:t xml:space="preserve">. </w:t>
      </w:r>
      <w:proofErr w:type="spellStart"/>
      <w:r w:rsidRPr="00502EF9">
        <w:rPr>
          <w:rFonts w:ascii="Times New Roman" w:hAnsi="Times New Roman"/>
          <w:sz w:val="22"/>
          <w:szCs w:val="22"/>
          <w:lang w:val="sk-SK"/>
        </w:rPr>
        <w:t>Klírens</w:t>
      </w:r>
      <w:proofErr w:type="spellEnd"/>
      <w:r w:rsidRPr="00502EF9">
        <w:rPr>
          <w:rFonts w:ascii="Times New Roman" w:hAnsi="Times New Roman"/>
          <w:sz w:val="22"/>
          <w:szCs w:val="22"/>
          <w:lang w:val="sk-SK"/>
        </w:rPr>
        <w:t xml:space="preserve"> </w:t>
      </w:r>
      <w:proofErr w:type="spellStart"/>
      <w:r w:rsidRPr="00502EF9">
        <w:rPr>
          <w:rFonts w:ascii="Times New Roman" w:hAnsi="Times New Roman"/>
          <w:sz w:val="22"/>
          <w:szCs w:val="22"/>
          <w:lang w:val="sk-SK"/>
        </w:rPr>
        <w:t>chlórprokaínu</w:t>
      </w:r>
      <w:proofErr w:type="spellEnd"/>
      <w:r w:rsidRPr="00502EF9">
        <w:rPr>
          <w:rFonts w:ascii="Times New Roman" w:hAnsi="Times New Roman"/>
          <w:sz w:val="22"/>
          <w:szCs w:val="22"/>
          <w:lang w:val="sk-SK"/>
        </w:rPr>
        <w:t xml:space="preserve"> z mozgovomiechového moku difúziou cez duru do </w:t>
      </w:r>
      <w:proofErr w:type="spellStart"/>
      <w:r w:rsidRPr="00502EF9">
        <w:rPr>
          <w:rFonts w:ascii="Times New Roman" w:hAnsi="Times New Roman"/>
          <w:sz w:val="22"/>
          <w:szCs w:val="22"/>
          <w:lang w:val="sk-SK"/>
        </w:rPr>
        <w:t>epidurálneho</w:t>
      </w:r>
      <w:proofErr w:type="spellEnd"/>
      <w:r w:rsidRPr="00502EF9">
        <w:rPr>
          <w:rFonts w:ascii="Times New Roman" w:hAnsi="Times New Roman"/>
          <w:sz w:val="22"/>
          <w:szCs w:val="22"/>
          <w:lang w:val="sk-SK"/>
        </w:rPr>
        <w:t xml:space="preserve"> priestoru a následná systémová absorpcia nemusia byť signifikantne klinicky narušené.</w:t>
      </w:r>
    </w:p>
    <w:p w14:paraId="04107BB4" w14:textId="77777777" w:rsidR="00AD1101" w:rsidRPr="00502EF9" w:rsidRDefault="00AD1101" w:rsidP="00E57B03">
      <w:pPr>
        <w:spacing w:line="240" w:lineRule="auto"/>
        <w:rPr>
          <w:lang w:val="sk-SK" w:eastAsia="it-IT"/>
        </w:rPr>
      </w:pPr>
    </w:p>
    <w:p w14:paraId="07664EFC" w14:textId="34DCEC9A" w:rsidR="00281402" w:rsidRPr="00502EF9" w:rsidRDefault="00CC7BEA" w:rsidP="00E57B03">
      <w:pPr>
        <w:autoSpaceDE w:val="0"/>
        <w:autoSpaceDN w:val="0"/>
        <w:adjustRightInd w:val="0"/>
        <w:spacing w:line="240" w:lineRule="auto"/>
        <w:rPr>
          <w:b/>
          <w:bCs/>
          <w:lang w:val="sk-SK"/>
        </w:rPr>
      </w:pPr>
      <w:r w:rsidRPr="00502EF9">
        <w:rPr>
          <w:b/>
          <w:bCs/>
          <w:lang w:val="sk-SK"/>
        </w:rPr>
        <w:t xml:space="preserve">5.3 </w:t>
      </w:r>
      <w:r w:rsidR="00730A01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Predklinické údaje o bezpečnosti</w:t>
      </w:r>
    </w:p>
    <w:p w14:paraId="416EE98E" w14:textId="77777777" w:rsidR="001F3955" w:rsidRDefault="001F3955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792D9823" w14:textId="77777777" w:rsidR="00FF5E83" w:rsidRDefault="00FF5E83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>
        <w:rPr>
          <w:lang w:val="sk-SK"/>
        </w:rPr>
        <w:t>Pokiaľ ide o akútnu toxicitu po intravenóznom podaní 2-chlórprokaínu, pozri časť 4.9.</w:t>
      </w:r>
    </w:p>
    <w:p w14:paraId="7AF0BB90" w14:textId="3D47201E" w:rsidR="00281402" w:rsidRPr="00502EF9" w:rsidRDefault="00FF5E83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>
        <w:rPr>
          <w:lang w:val="sk-SK"/>
        </w:rPr>
        <w:t xml:space="preserve">Boli vykonané predklinické štúdie v prípade </w:t>
      </w:r>
      <w:proofErr w:type="spellStart"/>
      <w:r>
        <w:rPr>
          <w:lang w:val="sk-SK"/>
        </w:rPr>
        <w:t>spinálneho</w:t>
      </w:r>
      <w:proofErr w:type="spellEnd"/>
      <w:r>
        <w:rPr>
          <w:lang w:val="sk-SK"/>
        </w:rPr>
        <w:t xml:space="preserve"> podania. </w:t>
      </w:r>
      <w:r w:rsidR="008957E5">
        <w:rPr>
          <w:lang w:val="sk-SK"/>
        </w:rPr>
        <w:t>Nežiaduce ú</w:t>
      </w:r>
      <w:r w:rsidR="00281402" w:rsidRPr="00502EF9">
        <w:rPr>
          <w:lang w:val="sk-SK"/>
        </w:rPr>
        <w:t>činky v predklinických štúdiách boli pozorované iba pri expozíciách považovaných za dostatočne vyššie, ako je maximálna expozícia u ľudí, čo poukazuje na malý význam týchto zistení pre klinické použitie.</w:t>
      </w:r>
    </w:p>
    <w:p w14:paraId="00586EFD" w14:textId="77777777" w:rsidR="003C1820" w:rsidRPr="00502EF9" w:rsidRDefault="003C1820" w:rsidP="00E57B03">
      <w:pPr>
        <w:spacing w:line="240" w:lineRule="auto"/>
        <w:jc w:val="both"/>
        <w:rPr>
          <w:lang w:val="sk-SK"/>
        </w:rPr>
      </w:pPr>
      <w:r w:rsidRPr="00502EF9">
        <w:rPr>
          <w:lang w:val="sk-SK"/>
        </w:rPr>
        <w:t xml:space="preserve">Neboli uskutočnené žiadne štúdie na zvieratách na vyhodnotenie karcinogénneho potenciálu a reprodukčnej toxicity a vývinu s </w:t>
      </w:r>
      <w:proofErr w:type="spellStart"/>
      <w:r w:rsidRPr="00502EF9">
        <w:rPr>
          <w:lang w:val="sk-SK"/>
        </w:rPr>
        <w:t>chlórprokaínom</w:t>
      </w:r>
      <w:proofErr w:type="spellEnd"/>
      <w:r w:rsidRPr="00502EF9">
        <w:rPr>
          <w:lang w:val="sk-SK"/>
        </w:rPr>
        <w:t>.</w:t>
      </w:r>
    </w:p>
    <w:p w14:paraId="5BA69422" w14:textId="77777777" w:rsidR="003C1820" w:rsidRPr="00502EF9" w:rsidRDefault="003C1820" w:rsidP="001F3955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Štúdie </w:t>
      </w:r>
      <w:proofErr w:type="spellStart"/>
      <w:r w:rsidRPr="00502EF9">
        <w:rPr>
          <w:lang w:val="sk-SK"/>
        </w:rPr>
        <w:t>genotoxicity</w:t>
      </w:r>
      <w:proofErr w:type="spellEnd"/>
      <w:r w:rsidRPr="00502EF9">
        <w:rPr>
          <w:lang w:val="sk-SK"/>
        </w:rPr>
        <w:t xml:space="preserve"> </w:t>
      </w:r>
      <w:r w:rsidRPr="00502EF9">
        <w:rPr>
          <w:i/>
          <w:lang w:val="sk-SK"/>
        </w:rPr>
        <w:t>in vitro</w:t>
      </w:r>
      <w:r w:rsidRPr="00502EF9">
        <w:rPr>
          <w:lang w:val="sk-SK"/>
        </w:rPr>
        <w:t xml:space="preserve"> neposkytli dôkaz, že by 2-chlórprokaín mal relevantný mutagénny alebo </w:t>
      </w:r>
      <w:proofErr w:type="spellStart"/>
      <w:r w:rsidRPr="00502EF9">
        <w:rPr>
          <w:lang w:val="sk-SK"/>
        </w:rPr>
        <w:t>klastogénny</w:t>
      </w:r>
      <w:proofErr w:type="spellEnd"/>
      <w:r w:rsidRPr="00502EF9">
        <w:rPr>
          <w:lang w:val="sk-SK"/>
        </w:rPr>
        <w:t xml:space="preserve"> potenciál.</w:t>
      </w:r>
    </w:p>
    <w:p w14:paraId="208DCD59" w14:textId="77777777" w:rsidR="00281402" w:rsidRPr="00502EF9" w:rsidRDefault="00281402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6C7CBE2A" w14:textId="77777777" w:rsidR="000B75DD" w:rsidRPr="00502EF9" w:rsidRDefault="000B75DD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7B0B8DE5" w14:textId="5702C945" w:rsidR="00281402" w:rsidRDefault="00281402" w:rsidP="00E57B03">
      <w:pPr>
        <w:autoSpaceDE w:val="0"/>
        <w:autoSpaceDN w:val="0"/>
        <w:adjustRightInd w:val="0"/>
        <w:spacing w:line="240" w:lineRule="auto"/>
        <w:rPr>
          <w:b/>
          <w:bCs/>
          <w:lang w:val="sk-SK"/>
        </w:rPr>
      </w:pPr>
      <w:r w:rsidRPr="00502EF9">
        <w:rPr>
          <w:b/>
          <w:bCs/>
          <w:lang w:val="sk-SK"/>
        </w:rPr>
        <w:t xml:space="preserve">6. </w:t>
      </w:r>
      <w:r w:rsidR="001F3955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FARMACEUTICKÉ INFORMÁCIE</w:t>
      </w:r>
    </w:p>
    <w:p w14:paraId="3E47894D" w14:textId="77777777" w:rsidR="001F3955" w:rsidRPr="00502EF9" w:rsidRDefault="001F3955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054F7DBC" w14:textId="20F0505B" w:rsidR="00281402" w:rsidRPr="00502EF9" w:rsidRDefault="00281402" w:rsidP="00E57B03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6.1 </w:t>
      </w:r>
      <w:r w:rsidR="001F3955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Zoznam pomocných látok</w:t>
      </w:r>
    </w:p>
    <w:p w14:paraId="596B2B6F" w14:textId="77777777" w:rsidR="001F3955" w:rsidRDefault="001F3955" w:rsidP="00E57B03">
      <w:pPr>
        <w:spacing w:line="240" w:lineRule="auto"/>
        <w:jc w:val="both"/>
        <w:rPr>
          <w:lang w:val="sk-SK"/>
        </w:rPr>
      </w:pPr>
    </w:p>
    <w:p w14:paraId="55974C5E" w14:textId="49E25A29" w:rsidR="00321C0F" w:rsidRPr="00502EF9" w:rsidRDefault="00281402" w:rsidP="001F3955">
      <w:pPr>
        <w:spacing w:line="240" w:lineRule="auto"/>
        <w:rPr>
          <w:lang w:val="sk-SK"/>
        </w:rPr>
      </w:pPr>
      <w:r w:rsidRPr="00502EF9">
        <w:rPr>
          <w:lang w:val="sk-SK"/>
        </w:rPr>
        <w:t>kyselina chlorovodíková 3,7 </w:t>
      </w:r>
      <w:r w:rsidR="001F3955">
        <w:rPr>
          <w:lang w:val="sk-SK"/>
        </w:rPr>
        <w:t>% (na úpravu pH)</w:t>
      </w:r>
    </w:p>
    <w:p w14:paraId="28599F65" w14:textId="405949F7" w:rsidR="00321C0F" w:rsidRPr="00502EF9" w:rsidRDefault="001F3955" w:rsidP="001F3955">
      <w:pPr>
        <w:spacing w:line="240" w:lineRule="auto"/>
        <w:rPr>
          <w:lang w:val="sk-SK"/>
        </w:rPr>
      </w:pPr>
      <w:r>
        <w:rPr>
          <w:lang w:val="sk-SK"/>
        </w:rPr>
        <w:t>chlorid sodný</w:t>
      </w:r>
    </w:p>
    <w:p w14:paraId="1144B917" w14:textId="2839C26D" w:rsidR="00281402" w:rsidRPr="00502EF9" w:rsidRDefault="001F3955" w:rsidP="001F3955">
      <w:pPr>
        <w:spacing w:line="240" w:lineRule="auto"/>
        <w:rPr>
          <w:b/>
          <w:bCs/>
          <w:lang w:val="sk-SK"/>
        </w:rPr>
      </w:pPr>
      <w:r>
        <w:rPr>
          <w:lang w:val="sk-SK"/>
        </w:rPr>
        <w:t>voda na injekcie</w:t>
      </w:r>
    </w:p>
    <w:p w14:paraId="147D6134" w14:textId="77777777" w:rsidR="00BB4D5E" w:rsidRPr="00502EF9" w:rsidRDefault="00BB4D5E" w:rsidP="001F3955">
      <w:pPr>
        <w:spacing w:line="240" w:lineRule="auto"/>
        <w:rPr>
          <w:b/>
          <w:bCs/>
          <w:lang w:val="sk-SK"/>
        </w:rPr>
      </w:pPr>
    </w:p>
    <w:p w14:paraId="2906C40F" w14:textId="08D9A35E" w:rsidR="00281402" w:rsidRPr="00502EF9" w:rsidRDefault="00281402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>6.2</w:t>
      </w:r>
      <w:r w:rsidR="001F3955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Inkompatibility</w:t>
      </w:r>
    </w:p>
    <w:p w14:paraId="7F6E20B4" w14:textId="77777777" w:rsidR="001F3955" w:rsidRDefault="001F3955" w:rsidP="001F3955">
      <w:pPr>
        <w:spacing w:line="240" w:lineRule="auto"/>
        <w:rPr>
          <w:noProof/>
          <w:lang w:val="sk-SK"/>
        </w:rPr>
      </w:pPr>
    </w:p>
    <w:p w14:paraId="039C47D3" w14:textId="1E64BF75" w:rsidR="00281402" w:rsidRPr="00502EF9" w:rsidRDefault="00281402" w:rsidP="001F3955">
      <w:pPr>
        <w:spacing w:line="240" w:lineRule="auto"/>
        <w:rPr>
          <w:noProof/>
          <w:lang w:val="sk-SK"/>
        </w:rPr>
      </w:pPr>
      <w:r w:rsidRPr="00502EF9">
        <w:rPr>
          <w:noProof/>
          <w:lang w:val="sk-SK"/>
        </w:rPr>
        <w:t>Nevykona</w:t>
      </w:r>
      <w:r w:rsidR="001F3955">
        <w:rPr>
          <w:noProof/>
          <w:lang w:val="sk-SK"/>
        </w:rPr>
        <w:t>li sa</w:t>
      </w:r>
      <w:r w:rsidRPr="00502EF9">
        <w:rPr>
          <w:noProof/>
          <w:lang w:val="sk-SK"/>
        </w:rPr>
        <w:t xml:space="preserve"> žiadne štúdie kompatibility, preto sa tento liek nesmie miešať s inými liekmi.</w:t>
      </w:r>
    </w:p>
    <w:p w14:paraId="1D7C0AFF" w14:textId="77777777" w:rsidR="00BB4D5E" w:rsidRPr="00502EF9" w:rsidRDefault="00BB4D5E" w:rsidP="001F3955">
      <w:pPr>
        <w:spacing w:line="240" w:lineRule="auto"/>
        <w:rPr>
          <w:noProof/>
          <w:lang w:val="sk-SK"/>
        </w:rPr>
      </w:pPr>
    </w:p>
    <w:p w14:paraId="3ABEABF5" w14:textId="1A11BE74" w:rsidR="00281402" w:rsidRPr="00502EF9" w:rsidRDefault="00281402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6.3 </w:t>
      </w:r>
      <w:r w:rsidR="001F3955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Čas použiteľnosti</w:t>
      </w:r>
    </w:p>
    <w:p w14:paraId="35C41E8A" w14:textId="77777777" w:rsidR="001F3955" w:rsidRDefault="001F3955" w:rsidP="001F3955">
      <w:pPr>
        <w:spacing w:line="240" w:lineRule="auto"/>
        <w:rPr>
          <w:noProof/>
          <w:lang w:val="sk-SK"/>
        </w:rPr>
      </w:pPr>
    </w:p>
    <w:p w14:paraId="3FD7AF3E" w14:textId="5DB84304" w:rsidR="00281402" w:rsidRPr="00502EF9" w:rsidRDefault="00DD301E" w:rsidP="001F3955">
      <w:pPr>
        <w:spacing w:line="240" w:lineRule="auto"/>
        <w:rPr>
          <w:noProof/>
          <w:lang w:val="sk-SK"/>
        </w:rPr>
      </w:pPr>
      <w:r w:rsidRPr="00502EF9">
        <w:rPr>
          <w:noProof/>
          <w:lang w:val="sk-SK"/>
        </w:rPr>
        <w:t>2 roky.</w:t>
      </w:r>
    </w:p>
    <w:p w14:paraId="506AC42D" w14:textId="54CA045E" w:rsidR="00281402" w:rsidRPr="00502EF9" w:rsidRDefault="00281402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lang w:val="sk-SK"/>
        </w:rPr>
        <w:t>Liek sa musí použiť ihneď po prvom otvorení.</w:t>
      </w:r>
    </w:p>
    <w:p w14:paraId="2AF4C658" w14:textId="77777777" w:rsidR="00BB4D5E" w:rsidRPr="00502EF9" w:rsidRDefault="00BB4D5E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0B69E933" w14:textId="3FD46907" w:rsidR="00281402" w:rsidRPr="00502EF9" w:rsidRDefault="00281402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6.4 </w:t>
      </w:r>
      <w:r w:rsidR="001F3955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Špeciálne upozornenia na uchovávanie</w:t>
      </w:r>
    </w:p>
    <w:p w14:paraId="52CE03AA" w14:textId="77777777" w:rsidR="001F3955" w:rsidRDefault="001F3955" w:rsidP="001F3955">
      <w:pPr>
        <w:spacing w:line="240" w:lineRule="auto"/>
        <w:rPr>
          <w:lang w:val="sk-SK"/>
        </w:rPr>
      </w:pPr>
    </w:p>
    <w:p w14:paraId="79240B16" w14:textId="1FBF6A7C" w:rsidR="00281402" w:rsidRPr="00502EF9" w:rsidRDefault="00DD301E" w:rsidP="001F3955">
      <w:pPr>
        <w:spacing w:line="240" w:lineRule="auto"/>
        <w:rPr>
          <w:lang w:val="sk-SK"/>
        </w:rPr>
      </w:pPr>
      <w:r w:rsidRPr="00502EF9">
        <w:rPr>
          <w:lang w:val="sk-SK"/>
        </w:rPr>
        <w:t xml:space="preserve">Uchovávajte pri teplote </w:t>
      </w:r>
      <w:r w:rsidR="001F3955">
        <w:rPr>
          <w:lang w:val="sk-SK"/>
        </w:rPr>
        <w:t>do</w:t>
      </w:r>
      <w:r w:rsidRPr="00502EF9">
        <w:rPr>
          <w:lang w:val="sk-SK"/>
        </w:rPr>
        <w:t xml:space="preserve"> 25 °C. </w:t>
      </w:r>
      <w:r w:rsidRPr="00573F25">
        <w:rPr>
          <w:lang w:val="sk-SK"/>
        </w:rPr>
        <w:t>Neuchovávajte v chladničke alebo mrazničke</w:t>
      </w:r>
      <w:r w:rsidRPr="00502EF9">
        <w:rPr>
          <w:lang w:val="sk-SK"/>
        </w:rPr>
        <w:t xml:space="preserve">. </w:t>
      </w:r>
      <w:r w:rsidR="001F3955">
        <w:rPr>
          <w:lang w:val="sk-SK"/>
        </w:rPr>
        <w:t>Ampulku u</w:t>
      </w:r>
      <w:r w:rsidRPr="00502EF9">
        <w:rPr>
          <w:lang w:val="sk-SK"/>
        </w:rPr>
        <w:t>chovávajte vo vonkajšom obale na ochranu pred svetlom.</w:t>
      </w:r>
    </w:p>
    <w:p w14:paraId="76CA48B8" w14:textId="77777777" w:rsidR="00281402" w:rsidRPr="00502EF9" w:rsidRDefault="00281402" w:rsidP="001F3955">
      <w:pPr>
        <w:spacing w:line="240" w:lineRule="auto"/>
        <w:rPr>
          <w:lang w:val="sk-SK"/>
        </w:rPr>
      </w:pPr>
    </w:p>
    <w:p w14:paraId="4954B341" w14:textId="7282CA7E" w:rsidR="00281402" w:rsidRPr="00502EF9" w:rsidRDefault="00281402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6.5 </w:t>
      </w:r>
      <w:r w:rsidR="001F3955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Druh obalu a obsah balenia</w:t>
      </w:r>
    </w:p>
    <w:p w14:paraId="0D64DE9B" w14:textId="77777777" w:rsidR="001F3955" w:rsidRDefault="001F3955" w:rsidP="001F3955">
      <w:pPr>
        <w:spacing w:line="240" w:lineRule="auto"/>
        <w:rPr>
          <w:lang w:val="sk-SK"/>
        </w:rPr>
      </w:pPr>
    </w:p>
    <w:p w14:paraId="516D9A8E" w14:textId="77777777" w:rsidR="00281402" w:rsidRPr="00502EF9" w:rsidRDefault="00281402" w:rsidP="001F3955">
      <w:pPr>
        <w:spacing w:line="240" w:lineRule="auto"/>
        <w:rPr>
          <w:lang w:val="sk-SK"/>
        </w:rPr>
      </w:pPr>
      <w:r w:rsidRPr="00502EF9">
        <w:rPr>
          <w:lang w:val="sk-SK"/>
        </w:rPr>
        <w:t>Ampulka z bezfarebného skla typu I.</w:t>
      </w:r>
    </w:p>
    <w:p w14:paraId="74CF2089" w14:textId="378949C6" w:rsidR="00281402" w:rsidRPr="00502EF9" w:rsidRDefault="00281402" w:rsidP="001F3955">
      <w:pPr>
        <w:spacing w:line="240" w:lineRule="auto"/>
        <w:rPr>
          <w:lang w:val="sk-SK"/>
        </w:rPr>
      </w:pPr>
      <w:r w:rsidRPr="00502EF9">
        <w:rPr>
          <w:lang w:val="sk-SK"/>
        </w:rPr>
        <w:t>Škatuľa s 10 ampulkami, z ktorých každá obsahuje 5 ml injekčného roztoku.</w:t>
      </w:r>
    </w:p>
    <w:p w14:paraId="492017A3" w14:textId="77777777" w:rsidR="00281402" w:rsidRPr="00502EF9" w:rsidRDefault="00281402" w:rsidP="001F3955">
      <w:pPr>
        <w:spacing w:line="240" w:lineRule="auto"/>
        <w:rPr>
          <w:noProof/>
          <w:lang w:val="sk-SK"/>
        </w:rPr>
      </w:pPr>
    </w:p>
    <w:p w14:paraId="6F37A965" w14:textId="6D2D58C8" w:rsidR="00281402" w:rsidRPr="00502EF9" w:rsidRDefault="00281402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6.6 </w:t>
      </w:r>
      <w:r w:rsidR="001F3955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Špeciálne opatrenia na likvidáciu</w:t>
      </w:r>
    </w:p>
    <w:p w14:paraId="71BCA5B1" w14:textId="77777777" w:rsidR="001F3955" w:rsidRDefault="001F3955" w:rsidP="001F3955">
      <w:pPr>
        <w:spacing w:line="240" w:lineRule="auto"/>
        <w:rPr>
          <w:lang w:val="sk-SK"/>
        </w:rPr>
      </w:pPr>
    </w:p>
    <w:p w14:paraId="456A7815" w14:textId="6DE07EBB" w:rsidR="00281402" w:rsidRPr="00502EF9" w:rsidRDefault="00281402" w:rsidP="001F3955">
      <w:pPr>
        <w:spacing w:line="240" w:lineRule="auto"/>
        <w:rPr>
          <w:lang w:val="sk-SK"/>
        </w:rPr>
      </w:pPr>
      <w:r w:rsidRPr="00502EF9">
        <w:rPr>
          <w:lang w:val="sk-SK"/>
        </w:rPr>
        <w:t>Všetok nepoužitý liek alebo odpad vzniknutý z lieku sa má zlikvidovať v súlade s národnými požiadavkami.</w:t>
      </w:r>
    </w:p>
    <w:p w14:paraId="208DA927" w14:textId="77777777" w:rsidR="00CB6D8B" w:rsidRPr="00502EF9" w:rsidRDefault="00CB6D8B" w:rsidP="001F3955">
      <w:pPr>
        <w:spacing w:line="240" w:lineRule="auto"/>
        <w:rPr>
          <w:lang w:val="sk-SK"/>
        </w:rPr>
      </w:pPr>
    </w:p>
    <w:p w14:paraId="08983272" w14:textId="77777777" w:rsidR="000B75DD" w:rsidRPr="00502EF9" w:rsidRDefault="000B75DD" w:rsidP="001F3955">
      <w:pPr>
        <w:spacing w:line="240" w:lineRule="auto"/>
        <w:rPr>
          <w:lang w:val="sk-SK"/>
        </w:rPr>
      </w:pPr>
    </w:p>
    <w:p w14:paraId="759F09BE" w14:textId="4078E2AB" w:rsidR="00281402" w:rsidRPr="00502EF9" w:rsidRDefault="00281402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lastRenderedPageBreak/>
        <w:t xml:space="preserve">7. </w:t>
      </w:r>
      <w:r w:rsidR="001F3955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DRŽITEĽ ROZHODNUTIA O REGISTRÁCII</w:t>
      </w:r>
    </w:p>
    <w:p w14:paraId="7FB3D6A1" w14:textId="77777777" w:rsidR="001F3955" w:rsidRDefault="001F3955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7145B049" w14:textId="3029B935" w:rsidR="00EE31E4" w:rsidRDefault="001F3955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>
        <w:rPr>
          <w:lang w:val="sk-SK"/>
        </w:rPr>
        <w:t xml:space="preserve">B. </w:t>
      </w:r>
      <w:proofErr w:type="spellStart"/>
      <w:r>
        <w:rPr>
          <w:lang w:val="sk-SK"/>
        </w:rPr>
        <w:t>Braun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Melsungen</w:t>
      </w:r>
      <w:proofErr w:type="spellEnd"/>
      <w:r>
        <w:rPr>
          <w:lang w:val="sk-SK"/>
        </w:rPr>
        <w:t xml:space="preserve"> AG</w:t>
      </w:r>
    </w:p>
    <w:p w14:paraId="0634BC55" w14:textId="2E003FEB" w:rsidR="001F3955" w:rsidRDefault="001F3955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proofErr w:type="spellStart"/>
      <w:r>
        <w:rPr>
          <w:lang w:val="sk-SK"/>
        </w:rPr>
        <w:t>Carl-Braun-Strasse</w:t>
      </w:r>
      <w:proofErr w:type="spellEnd"/>
      <w:r>
        <w:rPr>
          <w:lang w:val="sk-SK"/>
        </w:rPr>
        <w:t xml:space="preserve"> 1</w:t>
      </w:r>
    </w:p>
    <w:p w14:paraId="4BB30629" w14:textId="67AC5C7E" w:rsidR="001F3955" w:rsidRDefault="001F3955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>
        <w:rPr>
          <w:lang w:val="sk-SK"/>
        </w:rPr>
        <w:t xml:space="preserve">34212 </w:t>
      </w:r>
      <w:proofErr w:type="spellStart"/>
      <w:r>
        <w:rPr>
          <w:lang w:val="sk-SK"/>
        </w:rPr>
        <w:t>Melsungen</w:t>
      </w:r>
      <w:proofErr w:type="spellEnd"/>
    </w:p>
    <w:p w14:paraId="5AA0D8DC" w14:textId="76CFD6A4" w:rsidR="001F3955" w:rsidRDefault="001F3955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>
        <w:rPr>
          <w:lang w:val="sk-SK"/>
        </w:rPr>
        <w:t>Nemecko</w:t>
      </w:r>
    </w:p>
    <w:p w14:paraId="5A652F2E" w14:textId="77777777" w:rsidR="001F3955" w:rsidRDefault="001F3955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1E6A571A" w14:textId="377488E2" w:rsidR="001F3955" w:rsidRPr="001F3955" w:rsidRDefault="001F3955" w:rsidP="001F3955">
      <w:pPr>
        <w:autoSpaceDE w:val="0"/>
        <w:autoSpaceDN w:val="0"/>
        <w:adjustRightInd w:val="0"/>
        <w:spacing w:line="240" w:lineRule="auto"/>
        <w:rPr>
          <w:i/>
          <w:lang w:val="sk-SK"/>
        </w:rPr>
      </w:pPr>
      <w:r w:rsidRPr="001F3955">
        <w:rPr>
          <w:i/>
          <w:lang w:val="sk-SK"/>
        </w:rPr>
        <w:t>Poštová adresa:</w:t>
      </w:r>
    </w:p>
    <w:p w14:paraId="709C4E4B" w14:textId="75F39C09" w:rsidR="001F3955" w:rsidRDefault="001F3955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>
        <w:rPr>
          <w:lang w:val="sk-SK"/>
        </w:rPr>
        <w:t xml:space="preserve">B. </w:t>
      </w:r>
      <w:proofErr w:type="spellStart"/>
      <w:r>
        <w:rPr>
          <w:lang w:val="sk-SK"/>
        </w:rPr>
        <w:t>Braun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Melsungen</w:t>
      </w:r>
      <w:proofErr w:type="spellEnd"/>
      <w:r>
        <w:rPr>
          <w:lang w:val="sk-SK"/>
        </w:rPr>
        <w:t xml:space="preserve"> AG</w:t>
      </w:r>
    </w:p>
    <w:p w14:paraId="7642A652" w14:textId="0FA177AD" w:rsidR="001F3955" w:rsidRDefault="001F3955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>
        <w:rPr>
          <w:lang w:val="sk-SK"/>
        </w:rPr>
        <w:t xml:space="preserve">34209 </w:t>
      </w:r>
      <w:proofErr w:type="spellStart"/>
      <w:r>
        <w:rPr>
          <w:lang w:val="sk-SK"/>
        </w:rPr>
        <w:t>Melsungen</w:t>
      </w:r>
      <w:proofErr w:type="spellEnd"/>
    </w:p>
    <w:p w14:paraId="1DB5F60A" w14:textId="4169D846" w:rsidR="001F3955" w:rsidRPr="00502EF9" w:rsidRDefault="001F3955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>
        <w:rPr>
          <w:lang w:val="sk-SK"/>
        </w:rPr>
        <w:t>Nemecko</w:t>
      </w:r>
    </w:p>
    <w:p w14:paraId="1988E0E0" w14:textId="77777777" w:rsidR="00670CD5" w:rsidRPr="00502EF9" w:rsidRDefault="00670CD5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51D3E327" w14:textId="77777777" w:rsidR="000B75DD" w:rsidRPr="00502EF9" w:rsidRDefault="000B75DD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3327AAB2" w14:textId="1E12A67C" w:rsidR="00281402" w:rsidRPr="00502EF9" w:rsidRDefault="00281402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>8.</w:t>
      </w:r>
      <w:r w:rsidR="001F3955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REGISTRAČNÉ ČÍSLO (ČÍSLA)</w:t>
      </w:r>
    </w:p>
    <w:p w14:paraId="13CC46C8" w14:textId="77777777" w:rsidR="00FB3E14" w:rsidRPr="00502EF9" w:rsidRDefault="00FB3E14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1EC43183" w14:textId="75527FA3" w:rsidR="00C400A0" w:rsidRPr="00502EF9" w:rsidRDefault="00327043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327043">
        <w:rPr>
          <w:lang w:val="sk-SK"/>
        </w:rPr>
        <w:t>01/0177/20-S</w:t>
      </w:r>
    </w:p>
    <w:p w14:paraId="67AC33AC" w14:textId="77777777" w:rsidR="00C400A0" w:rsidRPr="00502EF9" w:rsidRDefault="00C400A0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48BE41A8" w14:textId="77777777" w:rsidR="000B75DD" w:rsidRPr="00502EF9" w:rsidRDefault="000B75DD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54473975" w14:textId="4C8997B9" w:rsidR="00281402" w:rsidRPr="00502EF9" w:rsidRDefault="00281402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9. </w:t>
      </w:r>
      <w:r w:rsidR="001F3955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DÁTUM PRVEJ REGISTRÁCIE/PREDĹŽENIA REGISTRÁCIE</w:t>
      </w:r>
    </w:p>
    <w:p w14:paraId="45E9B8DA" w14:textId="77777777" w:rsidR="000B75DD" w:rsidRDefault="000B75DD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70628C23" w14:textId="77777777" w:rsidR="00327043" w:rsidRPr="004D1FDE" w:rsidRDefault="00327043" w:rsidP="00327043">
      <w:proofErr w:type="spellStart"/>
      <w:r w:rsidRPr="004D1FDE">
        <w:t>Dátum</w:t>
      </w:r>
      <w:proofErr w:type="spellEnd"/>
      <w:r w:rsidRPr="004D1FDE">
        <w:t xml:space="preserve"> </w:t>
      </w:r>
      <w:proofErr w:type="spellStart"/>
      <w:r w:rsidRPr="004D1FDE">
        <w:t>prvej</w:t>
      </w:r>
      <w:proofErr w:type="spellEnd"/>
      <w:r w:rsidRPr="004D1FDE">
        <w:t xml:space="preserve"> </w:t>
      </w:r>
      <w:proofErr w:type="spellStart"/>
      <w:r w:rsidRPr="004D1FDE">
        <w:t>registrácie</w:t>
      </w:r>
      <w:proofErr w:type="spellEnd"/>
      <w:r w:rsidRPr="004D1FDE">
        <w:t xml:space="preserve">: </w:t>
      </w:r>
    </w:p>
    <w:p w14:paraId="3257E114" w14:textId="77777777" w:rsidR="00327043" w:rsidRDefault="00327043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46327C3D" w14:textId="77777777" w:rsidR="001F3955" w:rsidRPr="00502EF9" w:rsidRDefault="001F3955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</w:p>
    <w:p w14:paraId="1080E580" w14:textId="558E6248" w:rsidR="00281402" w:rsidRPr="00502EF9" w:rsidRDefault="00281402" w:rsidP="001F3955">
      <w:pPr>
        <w:autoSpaceDE w:val="0"/>
        <w:autoSpaceDN w:val="0"/>
        <w:adjustRightInd w:val="0"/>
        <w:spacing w:line="240" w:lineRule="auto"/>
        <w:rPr>
          <w:lang w:val="sk-SK"/>
        </w:rPr>
      </w:pPr>
      <w:r w:rsidRPr="00502EF9">
        <w:rPr>
          <w:b/>
          <w:bCs/>
          <w:lang w:val="sk-SK"/>
        </w:rPr>
        <w:t xml:space="preserve">10. </w:t>
      </w:r>
      <w:r w:rsidR="001F3955">
        <w:rPr>
          <w:b/>
          <w:bCs/>
          <w:lang w:val="sk-SK"/>
        </w:rPr>
        <w:tab/>
      </w:r>
      <w:r w:rsidRPr="00502EF9">
        <w:rPr>
          <w:b/>
          <w:bCs/>
          <w:lang w:val="sk-SK"/>
        </w:rPr>
        <w:t>DÁTUM REVÍZIE TEXTU</w:t>
      </w:r>
    </w:p>
    <w:p w14:paraId="2A6EF2A0" w14:textId="1D1437D0" w:rsidR="00752059" w:rsidRDefault="00752059" w:rsidP="001F3955">
      <w:pPr>
        <w:spacing w:line="240" w:lineRule="auto"/>
        <w:rPr>
          <w:lang w:val="sk-SK"/>
        </w:rPr>
      </w:pPr>
    </w:p>
    <w:p w14:paraId="78F799C8" w14:textId="4DD37A60" w:rsidR="00327043" w:rsidRPr="00502EF9" w:rsidRDefault="00327043" w:rsidP="001F3955">
      <w:pPr>
        <w:spacing w:line="240" w:lineRule="auto"/>
        <w:rPr>
          <w:lang w:val="sk-SK"/>
        </w:rPr>
      </w:pPr>
      <w:r>
        <w:rPr>
          <w:lang w:val="sk-SK"/>
        </w:rPr>
        <w:t>07/2020</w:t>
      </w:r>
    </w:p>
    <w:sectPr w:rsidR="00327043" w:rsidRPr="00502EF9" w:rsidSect="00400996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9132C" w14:textId="77777777" w:rsidR="0032418A" w:rsidRDefault="0032418A">
      <w:r>
        <w:separator/>
      </w:r>
    </w:p>
  </w:endnote>
  <w:endnote w:type="continuationSeparator" w:id="0">
    <w:p w14:paraId="6C212A22" w14:textId="77777777" w:rsidR="0032418A" w:rsidRDefault="0032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566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4D4ADEF1" w14:textId="5B79B1C1" w:rsidR="007C1A21" w:rsidRPr="007C1A21" w:rsidRDefault="007C1A21">
        <w:pPr>
          <w:pStyle w:val="Pt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7C1A2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7C1A2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7C1A2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400996" w:rsidRPr="00400996">
          <w:rPr>
            <w:rFonts w:ascii="Times New Roman" w:hAnsi="Times New Roman" w:cs="Times New Roman"/>
            <w:noProof/>
            <w:sz w:val="18"/>
            <w:szCs w:val="18"/>
            <w:lang w:val="cs-CZ"/>
          </w:rPr>
          <w:t>8</w:t>
        </w:r>
        <w:r w:rsidRPr="007C1A21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03D3F547" w14:textId="77777777" w:rsidR="007C1A21" w:rsidRDefault="007C1A2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1F251" w14:textId="77777777" w:rsidR="0032418A" w:rsidRDefault="0032418A">
      <w:r>
        <w:separator/>
      </w:r>
    </w:p>
  </w:footnote>
  <w:footnote w:type="continuationSeparator" w:id="0">
    <w:p w14:paraId="0C4E740C" w14:textId="77777777" w:rsidR="0032418A" w:rsidRDefault="00324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64D69" w14:textId="3E915DB9" w:rsidR="002C240E" w:rsidRPr="002C240E" w:rsidRDefault="002C240E" w:rsidP="002C240E">
    <w:pPr>
      <w:pStyle w:val="Hlavika"/>
      <w:tabs>
        <w:tab w:val="clear" w:pos="4153"/>
      </w:tabs>
      <w:rPr>
        <w:rFonts w:ascii="Times New Roman" w:hAnsi="Times New Roman" w:cs="Times New Roman"/>
        <w:sz w:val="18"/>
        <w:szCs w:val="18"/>
        <w:lang w:val="sk-SK"/>
      </w:rPr>
    </w:pPr>
    <w:r w:rsidRPr="002C240E">
      <w:rPr>
        <w:rFonts w:ascii="Times New Roman" w:hAnsi="Times New Roman" w:cs="Times New Roman"/>
        <w:sz w:val="18"/>
        <w:szCs w:val="18"/>
        <w:lang w:val="sk-SK"/>
      </w:rPr>
      <w:t>Schválený text k rozhodnutiu o registrácii, ev. č.:</w:t>
    </w:r>
    <w:r w:rsidR="008C2635">
      <w:rPr>
        <w:rFonts w:ascii="Times New Roman" w:hAnsi="Times New Roman" w:cs="Times New Roman"/>
        <w:sz w:val="18"/>
        <w:szCs w:val="18"/>
        <w:lang w:val="sk-SK"/>
      </w:rPr>
      <w:t xml:space="preserve"> 2018/05231-REG</w:t>
    </w:r>
  </w:p>
  <w:p w14:paraId="5BD469EA" w14:textId="77777777" w:rsidR="002C240E" w:rsidRDefault="002C240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B829F" w14:textId="3BF225E1" w:rsidR="008A6B37" w:rsidRPr="002C240E" w:rsidRDefault="002C240E" w:rsidP="00064839">
    <w:pPr>
      <w:pStyle w:val="Hlavika"/>
      <w:tabs>
        <w:tab w:val="clear" w:pos="4153"/>
      </w:tabs>
      <w:rPr>
        <w:rFonts w:ascii="Times New Roman" w:hAnsi="Times New Roman" w:cs="Times New Roman"/>
        <w:sz w:val="18"/>
        <w:szCs w:val="18"/>
        <w:lang w:val="sk-SK"/>
      </w:rPr>
    </w:pPr>
    <w:r w:rsidRPr="002C240E">
      <w:rPr>
        <w:rFonts w:ascii="Times New Roman" w:hAnsi="Times New Roman" w:cs="Times New Roman"/>
        <w:sz w:val="18"/>
        <w:szCs w:val="18"/>
        <w:lang w:val="sk-SK"/>
      </w:rPr>
      <w:t>Schválený text k rozhodnutiu o registrácii, ev. č.: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165C74EC"/>
    <w:multiLevelType w:val="hybridMultilevel"/>
    <w:tmpl w:val="4184E694"/>
    <w:lvl w:ilvl="0" w:tplc="A2A0559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Restart w:val="0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5B962DE"/>
    <w:multiLevelType w:val="hybridMultilevel"/>
    <w:tmpl w:val="D26CF4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DC1C7B"/>
    <w:multiLevelType w:val="hybridMultilevel"/>
    <w:tmpl w:val="B50E5B28"/>
    <w:lvl w:ilvl="0" w:tplc="2B163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655831"/>
    <w:multiLevelType w:val="hybridMultilevel"/>
    <w:tmpl w:val="507E554C"/>
    <w:lvl w:ilvl="0" w:tplc="F9445ED0">
      <w:start w:val="1"/>
      <w:numFmt w:val="bullet"/>
      <w:lvlText w:val="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  <w:rPr>
        <w:rFonts w:cs="Times New Roman"/>
      </w:rPr>
    </w:lvl>
  </w:abstractNum>
  <w:abstractNum w:abstractNumId="17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92019"/>
    <w:multiLevelType w:val="hybridMultilevel"/>
    <w:tmpl w:val="74182D2A"/>
    <w:lvl w:ilvl="0" w:tplc="DE40F5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3C653A9D"/>
    <w:multiLevelType w:val="hybridMultilevel"/>
    <w:tmpl w:val="9EE678A8"/>
    <w:lvl w:ilvl="0" w:tplc="0288703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bCs/>
      </w:rPr>
    </w:lvl>
  </w:abstractNum>
  <w:abstractNum w:abstractNumId="30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2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3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</w:abstractNum>
  <w:abstractNum w:abstractNumId="36" w15:restartNumberingAfterBreak="0">
    <w:nsid w:val="686A79DE"/>
    <w:multiLevelType w:val="hybridMultilevel"/>
    <w:tmpl w:val="11F68052"/>
    <w:lvl w:ilvl="0" w:tplc="F9445ED0">
      <w:start w:val="1"/>
      <w:numFmt w:val="bullet"/>
      <w:lvlText w:val=""/>
      <w:lvlJc w:val="left"/>
      <w:pPr>
        <w:tabs>
          <w:tab w:val="num" w:pos="1779"/>
        </w:tabs>
        <w:ind w:left="177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7" w15:restartNumberingAfterBreak="0">
    <w:nsid w:val="6ADE0BFD"/>
    <w:multiLevelType w:val="hybridMultilevel"/>
    <w:tmpl w:val="4A2CDFDC"/>
    <w:lvl w:ilvl="0" w:tplc="550E80C2">
      <w:start w:val="1"/>
      <w:numFmt w:val="bullet"/>
      <w:lvlText w:val=""/>
      <w:lvlJc w:val="left"/>
      <w:pPr>
        <w:tabs>
          <w:tab w:val="num" w:pos="983"/>
        </w:tabs>
        <w:ind w:left="98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</w:abstractNum>
  <w:abstractNum w:abstractNumId="41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cs="Times New Roman" w:hint="default"/>
        <w:b/>
        <w:bCs/>
      </w:rPr>
    </w:lvl>
  </w:abstractNum>
  <w:abstractNum w:abstractNumId="43" w15:restartNumberingAfterBreak="0">
    <w:nsid w:val="760A3992"/>
    <w:multiLevelType w:val="hybridMultilevel"/>
    <w:tmpl w:val="B24210EE"/>
    <w:lvl w:ilvl="0" w:tplc="29922AFE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40"/>
  </w:num>
  <w:num w:numId="4">
    <w:abstractNumId w:val="39"/>
  </w:num>
  <w:num w:numId="5">
    <w:abstractNumId w:val="14"/>
  </w:num>
  <w:num w:numId="6">
    <w:abstractNumId w:val="26"/>
  </w:num>
  <w:num w:numId="7">
    <w:abstractNumId w:val="25"/>
  </w:num>
  <w:num w:numId="8">
    <w:abstractNumId w:val="7"/>
  </w:num>
  <w:num w:numId="9">
    <w:abstractNumId w:val="35"/>
  </w:num>
  <w:num w:numId="10">
    <w:abstractNumId w:val="38"/>
  </w:num>
  <w:num w:numId="11">
    <w:abstractNumId w:val="20"/>
  </w:num>
  <w:num w:numId="12">
    <w:abstractNumId w:val="16"/>
  </w:num>
  <w:num w:numId="13">
    <w:abstractNumId w:val="2"/>
  </w:num>
  <w:num w:numId="14">
    <w:abstractNumId w:val="34"/>
  </w:num>
  <w:num w:numId="15">
    <w:abstractNumId w:val="23"/>
  </w:num>
  <w:num w:numId="16">
    <w:abstractNumId w:val="41"/>
  </w:num>
  <w:num w:numId="17">
    <w:abstractNumId w:val="8"/>
  </w:num>
  <w:num w:numId="18">
    <w:abstractNumId w:val="1"/>
  </w:num>
  <w:num w:numId="19">
    <w:abstractNumId w:val="21"/>
  </w:num>
  <w:num w:numId="20">
    <w:abstractNumId w:val="3"/>
  </w:num>
  <w:num w:numId="21">
    <w:abstractNumId w:val="6"/>
  </w:num>
  <w:num w:numId="22">
    <w:abstractNumId w:val="29"/>
  </w:num>
  <w:num w:numId="23">
    <w:abstractNumId w:val="33"/>
  </w:num>
  <w:num w:numId="24">
    <w:abstractNumId w:val="28"/>
  </w:num>
  <w:num w:numId="25">
    <w:abstractNumId w:val="15"/>
  </w:num>
  <w:num w:numId="26">
    <w:abstractNumId w:val="10"/>
  </w:num>
  <w:num w:numId="27">
    <w:abstractNumId w:val="24"/>
  </w:num>
  <w:num w:numId="28">
    <w:abstractNumId w:val="27"/>
  </w:num>
  <w:num w:numId="29">
    <w:abstractNumId w:val="17"/>
  </w:num>
  <w:num w:numId="30">
    <w:abstractNumId w:val="9"/>
  </w:num>
  <w:num w:numId="31">
    <w:abstractNumId w:val="31"/>
  </w:num>
  <w:num w:numId="32">
    <w:abstractNumId w:val="32"/>
  </w:num>
  <w:num w:numId="33">
    <w:abstractNumId w:val="30"/>
  </w:num>
  <w:num w:numId="34">
    <w:abstractNumId w:val="18"/>
  </w:num>
  <w:num w:numId="35">
    <w:abstractNumId w:val="4"/>
  </w:num>
  <w:num w:numId="36">
    <w:abstractNumId w:val="42"/>
  </w:num>
  <w:num w:numId="37">
    <w:abstractNumId w:val="19"/>
  </w:num>
  <w:num w:numId="38">
    <w:abstractNumId w:val="11"/>
  </w:num>
  <w:num w:numId="39">
    <w:abstractNumId w:val="12"/>
  </w:num>
  <w:num w:numId="40">
    <w:abstractNumId w:val="5"/>
  </w:num>
  <w:num w:numId="41">
    <w:abstractNumId w:val="43"/>
  </w:num>
  <w:num w:numId="42">
    <w:abstractNumId w:val="37"/>
  </w:num>
  <w:num w:numId="43">
    <w:abstractNumId w:val="36"/>
  </w:num>
  <w:num w:numId="44">
    <w:abstractNumId w:val="1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567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752059"/>
    <w:rsid w:val="00017913"/>
    <w:rsid w:val="00020E52"/>
    <w:rsid w:val="00030650"/>
    <w:rsid w:val="0003094D"/>
    <w:rsid w:val="00032A3B"/>
    <w:rsid w:val="00036C88"/>
    <w:rsid w:val="000479E4"/>
    <w:rsid w:val="00053999"/>
    <w:rsid w:val="00061F50"/>
    <w:rsid w:val="00064839"/>
    <w:rsid w:val="00066118"/>
    <w:rsid w:val="00072F66"/>
    <w:rsid w:val="0007488A"/>
    <w:rsid w:val="000918F3"/>
    <w:rsid w:val="0009524D"/>
    <w:rsid w:val="00095C26"/>
    <w:rsid w:val="00097FA8"/>
    <w:rsid w:val="000A1594"/>
    <w:rsid w:val="000A5651"/>
    <w:rsid w:val="000B35D8"/>
    <w:rsid w:val="000B5AF7"/>
    <w:rsid w:val="000B741B"/>
    <w:rsid w:val="000B75DD"/>
    <w:rsid w:val="000C0EED"/>
    <w:rsid w:val="000C24A8"/>
    <w:rsid w:val="000D36F6"/>
    <w:rsid w:val="000E2CC1"/>
    <w:rsid w:val="00101B89"/>
    <w:rsid w:val="0011060D"/>
    <w:rsid w:val="00113143"/>
    <w:rsid w:val="001160F3"/>
    <w:rsid w:val="001208D4"/>
    <w:rsid w:val="00132EAB"/>
    <w:rsid w:val="00133AED"/>
    <w:rsid w:val="00137D26"/>
    <w:rsid w:val="00137E40"/>
    <w:rsid w:val="00137F47"/>
    <w:rsid w:val="001408F4"/>
    <w:rsid w:val="001435CD"/>
    <w:rsid w:val="0015144D"/>
    <w:rsid w:val="00151B98"/>
    <w:rsid w:val="0015638D"/>
    <w:rsid w:val="001579F1"/>
    <w:rsid w:val="0016111F"/>
    <w:rsid w:val="001613CD"/>
    <w:rsid w:val="00173AE8"/>
    <w:rsid w:val="001867EF"/>
    <w:rsid w:val="001925A6"/>
    <w:rsid w:val="0019299C"/>
    <w:rsid w:val="0019426B"/>
    <w:rsid w:val="001A0C1E"/>
    <w:rsid w:val="001A4D1C"/>
    <w:rsid w:val="001A6BF3"/>
    <w:rsid w:val="001B2FAD"/>
    <w:rsid w:val="001B51F5"/>
    <w:rsid w:val="001D003E"/>
    <w:rsid w:val="001D2A6D"/>
    <w:rsid w:val="001D6089"/>
    <w:rsid w:val="001F0A43"/>
    <w:rsid w:val="001F3955"/>
    <w:rsid w:val="00205929"/>
    <w:rsid w:val="00212D62"/>
    <w:rsid w:val="00213CCF"/>
    <w:rsid w:val="00214D79"/>
    <w:rsid w:val="00215008"/>
    <w:rsid w:val="0021747A"/>
    <w:rsid w:val="0023601F"/>
    <w:rsid w:val="00237185"/>
    <w:rsid w:val="0023773A"/>
    <w:rsid w:val="0024068C"/>
    <w:rsid w:val="00247660"/>
    <w:rsid w:val="00252C46"/>
    <w:rsid w:val="002642F2"/>
    <w:rsid w:val="00264EDB"/>
    <w:rsid w:val="0026538B"/>
    <w:rsid w:val="00267792"/>
    <w:rsid w:val="00271002"/>
    <w:rsid w:val="00281402"/>
    <w:rsid w:val="00285E8C"/>
    <w:rsid w:val="00291BB7"/>
    <w:rsid w:val="00292DC4"/>
    <w:rsid w:val="002A1384"/>
    <w:rsid w:val="002A760A"/>
    <w:rsid w:val="002B21EB"/>
    <w:rsid w:val="002B44C8"/>
    <w:rsid w:val="002B5486"/>
    <w:rsid w:val="002C240E"/>
    <w:rsid w:val="002E735E"/>
    <w:rsid w:val="002F07D3"/>
    <w:rsid w:val="00301606"/>
    <w:rsid w:val="0032061A"/>
    <w:rsid w:val="00321C0F"/>
    <w:rsid w:val="0032418A"/>
    <w:rsid w:val="00327043"/>
    <w:rsid w:val="00333DC0"/>
    <w:rsid w:val="00336715"/>
    <w:rsid w:val="003518A1"/>
    <w:rsid w:val="0036379A"/>
    <w:rsid w:val="00364995"/>
    <w:rsid w:val="0036584A"/>
    <w:rsid w:val="003736FF"/>
    <w:rsid w:val="00373830"/>
    <w:rsid w:val="003742A0"/>
    <w:rsid w:val="003924B8"/>
    <w:rsid w:val="003924DD"/>
    <w:rsid w:val="003B4DEA"/>
    <w:rsid w:val="003C1820"/>
    <w:rsid w:val="003D6236"/>
    <w:rsid w:val="003D703D"/>
    <w:rsid w:val="003E6010"/>
    <w:rsid w:val="00400996"/>
    <w:rsid w:val="004038EF"/>
    <w:rsid w:val="004044EF"/>
    <w:rsid w:val="004203EB"/>
    <w:rsid w:val="00425F86"/>
    <w:rsid w:val="00462F1B"/>
    <w:rsid w:val="00463D8A"/>
    <w:rsid w:val="00464C28"/>
    <w:rsid w:val="00471152"/>
    <w:rsid w:val="00486EC9"/>
    <w:rsid w:val="0049626B"/>
    <w:rsid w:val="004A0DD9"/>
    <w:rsid w:val="004A59E6"/>
    <w:rsid w:val="004A6AA7"/>
    <w:rsid w:val="004B3045"/>
    <w:rsid w:val="004B37B1"/>
    <w:rsid w:val="004B70C2"/>
    <w:rsid w:val="004C401A"/>
    <w:rsid w:val="004C485F"/>
    <w:rsid w:val="004C6C86"/>
    <w:rsid w:val="004D7C27"/>
    <w:rsid w:val="004E2109"/>
    <w:rsid w:val="004E5D91"/>
    <w:rsid w:val="004F1093"/>
    <w:rsid w:val="004F2521"/>
    <w:rsid w:val="004F5483"/>
    <w:rsid w:val="00502EF9"/>
    <w:rsid w:val="00506C01"/>
    <w:rsid w:val="00510EA1"/>
    <w:rsid w:val="00515804"/>
    <w:rsid w:val="00516562"/>
    <w:rsid w:val="0051782F"/>
    <w:rsid w:val="00524993"/>
    <w:rsid w:val="00537254"/>
    <w:rsid w:val="00566BD1"/>
    <w:rsid w:val="00573F25"/>
    <w:rsid w:val="005774A5"/>
    <w:rsid w:val="00595022"/>
    <w:rsid w:val="005B2B41"/>
    <w:rsid w:val="005C30E5"/>
    <w:rsid w:val="005C5DE8"/>
    <w:rsid w:val="005D3A49"/>
    <w:rsid w:val="005D3E18"/>
    <w:rsid w:val="005E7614"/>
    <w:rsid w:val="005E7FBC"/>
    <w:rsid w:val="005F04B3"/>
    <w:rsid w:val="005F7702"/>
    <w:rsid w:val="0060242E"/>
    <w:rsid w:val="00604B70"/>
    <w:rsid w:val="006173B1"/>
    <w:rsid w:val="00621A9B"/>
    <w:rsid w:val="00647C39"/>
    <w:rsid w:val="00651AE8"/>
    <w:rsid w:val="00670C56"/>
    <w:rsid w:val="00670CD5"/>
    <w:rsid w:val="0067294B"/>
    <w:rsid w:val="00673B64"/>
    <w:rsid w:val="006830FC"/>
    <w:rsid w:val="006B0AA2"/>
    <w:rsid w:val="006B3ED9"/>
    <w:rsid w:val="006B55EC"/>
    <w:rsid w:val="006C1570"/>
    <w:rsid w:val="006C27DB"/>
    <w:rsid w:val="006C4163"/>
    <w:rsid w:val="006C672E"/>
    <w:rsid w:val="006D6A3C"/>
    <w:rsid w:val="006E1793"/>
    <w:rsid w:val="006E26F2"/>
    <w:rsid w:val="006F2FE8"/>
    <w:rsid w:val="006F31A7"/>
    <w:rsid w:val="007071BD"/>
    <w:rsid w:val="007108AB"/>
    <w:rsid w:val="0071160B"/>
    <w:rsid w:val="00715EB1"/>
    <w:rsid w:val="00716124"/>
    <w:rsid w:val="00716799"/>
    <w:rsid w:val="00716DA2"/>
    <w:rsid w:val="00730A01"/>
    <w:rsid w:val="007409C1"/>
    <w:rsid w:val="007452D1"/>
    <w:rsid w:val="00746B51"/>
    <w:rsid w:val="00750357"/>
    <w:rsid w:val="00752059"/>
    <w:rsid w:val="00752F73"/>
    <w:rsid w:val="0075342A"/>
    <w:rsid w:val="00755F16"/>
    <w:rsid w:val="00775036"/>
    <w:rsid w:val="00775487"/>
    <w:rsid w:val="007A497F"/>
    <w:rsid w:val="007A4F16"/>
    <w:rsid w:val="007A766D"/>
    <w:rsid w:val="007A768E"/>
    <w:rsid w:val="007B1A82"/>
    <w:rsid w:val="007B4CD0"/>
    <w:rsid w:val="007B6364"/>
    <w:rsid w:val="007C1A21"/>
    <w:rsid w:val="007C2AC6"/>
    <w:rsid w:val="007D14DA"/>
    <w:rsid w:val="007D6D0A"/>
    <w:rsid w:val="007E04EC"/>
    <w:rsid w:val="007E1247"/>
    <w:rsid w:val="007E15DF"/>
    <w:rsid w:val="007E1CF1"/>
    <w:rsid w:val="007E5755"/>
    <w:rsid w:val="00801FF0"/>
    <w:rsid w:val="008242E7"/>
    <w:rsid w:val="008266B0"/>
    <w:rsid w:val="00827853"/>
    <w:rsid w:val="00850E94"/>
    <w:rsid w:val="00851554"/>
    <w:rsid w:val="008525FF"/>
    <w:rsid w:val="00852907"/>
    <w:rsid w:val="00860556"/>
    <w:rsid w:val="008612C6"/>
    <w:rsid w:val="00863455"/>
    <w:rsid w:val="00870E98"/>
    <w:rsid w:val="00871D29"/>
    <w:rsid w:val="008744A8"/>
    <w:rsid w:val="0087703D"/>
    <w:rsid w:val="00882427"/>
    <w:rsid w:val="00882766"/>
    <w:rsid w:val="00882DB6"/>
    <w:rsid w:val="00885FDB"/>
    <w:rsid w:val="008957E5"/>
    <w:rsid w:val="008972F9"/>
    <w:rsid w:val="008A372D"/>
    <w:rsid w:val="008A6B37"/>
    <w:rsid w:val="008B3DCE"/>
    <w:rsid w:val="008C2635"/>
    <w:rsid w:val="008C54C9"/>
    <w:rsid w:val="008C7610"/>
    <w:rsid w:val="008D4231"/>
    <w:rsid w:val="008D6440"/>
    <w:rsid w:val="009074BD"/>
    <w:rsid w:val="00916058"/>
    <w:rsid w:val="00926896"/>
    <w:rsid w:val="00927A41"/>
    <w:rsid w:val="00927DB8"/>
    <w:rsid w:val="00945AE5"/>
    <w:rsid w:val="00947529"/>
    <w:rsid w:val="00957496"/>
    <w:rsid w:val="00957A52"/>
    <w:rsid w:val="00963974"/>
    <w:rsid w:val="009652B0"/>
    <w:rsid w:val="00965F62"/>
    <w:rsid w:val="00966324"/>
    <w:rsid w:val="00985D9A"/>
    <w:rsid w:val="0099796F"/>
    <w:rsid w:val="009A6025"/>
    <w:rsid w:val="009B5717"/>
    <w:rsid w:val="009C4506"/>
    <w:rsid w:val="009D1768"/>
    <w:rsid w:val="009D27DD"/>
    <w:rsid w:val="009D6332"/>
    <w:rsid w:val="009E1EAD"/>
    <w:rsid w:val="009E3C35"/>
    <w:rsid w:val="009F5EBA"/>
    <w:rsid w:val="00A01338"/>
    <w:rsid w:val="00A0373B"/>
    <w:rsid w:val="00A1011F"/>
    <w:rsid w:val="00A11950"/>
    <w:rsid w:val="00A16DB0"/>
    <w:rsid w:val="00A16E74"/>
    <w:rsid w:val="00A21C52"/>
    <w:rsid w:val="00A23788"/>
    <w:rsid w:val="00A52D78"/>
    <w:rsid w:val="00A533EC"/>
    <w:rsid w:val="00A54E97"/>
    <w:rsid w:val="00A7015F"/>
    <w:rsid w:val="00A73115"/>
    <w:rsid w:val="00A808DE"/>
    <w:rsid w:val="00A85593"/>
    <w:rsid w:val="00A8656F"/>
    <w:rsid w:val="00A96720"/>
    <w:rsid w:val="00AA385B"/>
    <w:rsid w:val="00AA3DC1"/>
    <w:rsid w:val="00AA72FE"/>
    <w:rsid w:val="00AB1FAC"/>
    <w:rsid w:val="00AC36FA"/>
    <w:rsid w:val="00AC528F"/>
    <w:rsid w:val="00AC60A2"/>
    <w:rsid w:val="00AD0ED0"/>
    <w:rsid w:val="00AD1101"/>
    <w:rsid w:val="00AD243B"/>
    <w:rsid w:val="00AD7CA2"/>
    <w:rsid w:val="00AE22B0"/>
    <w:rsid w:val="00AF3611"/>
    <w:rsid w:val="00AF5C8D"/>
    <w:rsid w:val="00B013B2"/>
    <w:rsid w:val="00B043D5"/>
    <w:rsid w:val="00B12EF7"/>
    <w:rsid w:val="00B15990"/>
    <w:rsid w:val="00B17119"/>
    <w:rsid w:val="00B4312C"/>
    <w:rsid w:val="00B43A6B"/>
    <w:rsid w:val="00B44FD1"/>
    <w:rsid w:val="00B46D28"/>
    <w:rsid w:val="00B50078"/>
    <w:rsid w:val="00B5050D"/>
    <w:rsid w:val="00B50F06"/>
    <w:rsid w:val="00B51EC2"/>
    <w:rsid w:val="00B550CF"/>
    <w:rsid w:val="00B56E47"/>
    <w:rsid w:val="00B572F8"/>
    <w:rsid w:val="00B655FA"/>
    <w:rsid w:val="00B73426"/>
    <w:rsid w:val="00B73749"/>
    <w:rsid w:val="00B74F85"/>
    <w:rsid w:val="00B764CE"/>
    <w:rsid w:val="00B768FA"/>
    <w:rsid w:val="00B77E00"/>
    <w:rsid w:val="00B81135"/>
    <w:rsid w:val="00B836B0"/>
    <w:rsid w:val="00B84EA5"/>
    <w:rsid w:val="00BA0292"/>
    <w:rsid w:val="00BA2940"/>
    <w:rsid w:val="00BA5249"/>
    <w:rsid w:val="00BB4D5E"/>
    <w:rsid w:val="00BC1BC6"/>
    <w:rsid w:val="00BD718A"/>
    <w:rsid w:val="00BE030E"/>
    <w:rsid w:val="00BE03F3"/>
    <w:rsid w:val="00BF4AAA"/>
    <w:rsid w:val="00C14D2B"/>
    <w:rsid w:val="00C219CD"/>
    <w:rsid w:val="00C400A0"/>
    <w:rsid w:val="00C54C0C"/>
    <w:rsid w:val="00C5525E"/>
    <w:rsid w:val="00C62E81"/>
    <w:rsid w:val="00C62E87"/>
    <w:rsid w:val="00C63425"/>
    <w:rsid w:val="00C666B3"/>
    <w:rsid w:val="00C70084"/>
    <w:rsid w:val="00C77261"/>
    <w:rsid w:val="00C80E8E"/>
    <w:rsid w:val="00C82789"/>
    <w:rsid w:val="00C827B0"/>
    <w:rsid w:val="00C90085"/>
    <w:rsid w:val="00CB3044"/>
    <w:rsid w:val="00CB5612"/>
    <w:rsid w:val="00CB6D8B"/>
    <w:rsid w:val="00CB797E"/>
    <w:rsid w:val="00CC7BEA"/>
    <w:rsid w:val="00CD54C4"/>
    <w:rsid w:val="00CE16A6"/>
    <w:rsid w:val="00CE2787"/>
    <w:rsid w:val="00CE3F99"/>
    <w:rsid w:val="00CE706D"/>
    <w:rsid w:val="00CF48A3"/>
    <w:rsid w:val="00CF7CB4"/>
    <w:rsid w:val="00D03DA6"/>
    <w:rsid w:val="00D04ED1"/>
    <w:rsid w:val="00D1028F"/>
    <w:rsid w:val="00D10970"/>
    <w:rsid w:val="00D12211"/>
    <w:rsid w:val="00D12293"/>
    <w:rsid w:val="00D237FB"/>
    <w:rsid w:val="00D27FC5"/>
    <w:rsid w:val="00D4034F"/>
    <w:rsid w:val="00D51303"/>
    <w:rsid w:val="00D5158C"/>
    <w:rsid w:val="00D51EFB"/>
    <w:rsid w:val="00D60E28"/>
    <w:rsid w:val="00D720D7"/>
    <w:rsid w:val="00D7250A"/>
    <w:rsid w:val="00D72E25"/>
    <w:rsid w:val="00D824F7"/>
    <w:rsid w:val="00DA650E"/>
    <w:rsid w:val="00DA6779"/>
    <w:rsid w:val="00DD301E"/>
    <w:rsid w:val="00DD3E8F"/>
    <w:rsid w:val="00DD3FF6"/>
    <w:rsid w:val="00DE304F"/>
    <w:rsid w:val="00DE61B3"/>
    <w:rsid w:val="00DF22EA"/>
    <w:rsid w:val="00DF7A10"/>
    <w:rsid w:val="00E021CE"/>
    <w:rsid w:val="00E0418F"/>
    <w:rsid w:val="00E316DD"/>
    <w:rsid w:val="00E327BF"/>
    <w:rsid w:val="00E45961"/>
    <w:rsid w:val="00E51886"/>
    <w:rsid w:val="00E57B03"/>
    <w:rsid w:val="00E61ED8"/>
    <w:rsid w:val="00E754B5"/>
    <w:rsid w:val="00E977E7"/>
    <w:rsid w:val="00EC05B7"/>
    <w:rsid w:val="00EC2321"/>
    <w:rsid w:val="00EC4307"/>
    <w:rsid w:val="00EC678C"/>
    <w:rsid w:val="00ED1E92"/>
    <w:rsid w:val="00ED23DD"/>
    <w:rsid w:val="00ED419E"/>
    <w:rsid w:val="00EE046E"/>
    <w:rsid w:val="00EE090C"/>
    <w:rsid w:val="00EE31E4"/>
    <w:rsid w:val="00EF1090"/>
    <w:rsid w:val="00F0254C"/>
    <w:rsid w:val="00F037BB"/>
    <w:rsid w:val="00F24567"/>
    <w:rsid w:val="00F31793"/>
    <w:rsid w:val="00F33077"/>
    <w:rsid w:val="00F37043"/>
    <w:rsid w:val="00F402D0"/>
    <w:rsid w:val="00F42CED"/>
    <w:rsid w:val="00F43A00"/>
    <w:rsid w:val="00F45173"/>
    <w:rsid w:val="00F45EB5"/>
    <w:rsid w:val="00F47636"/>
    <w:rsid w:val="00F523B7"/>
    <w:rsid w:val="00F7293E"/>
    <w:rsid w:val="00F73DA7"/>
    <w:rsid w:val="00F76038"/>
    <w:rsid w:val="00F8234D"/>
    <w:rsid w:val="00F8283F"/>
    <w:rsid w:val="00F84C88"/>
    <w:rsid w:val="00F86B7E"/>
    <w:rsid w:val="00F94AF9"/>
    <w:rsid w:val="00FA054B"/>
    <w:rsid w:val="00FA2B2A"/>
    <w:rsid w:val="00FA5B33"/>
    <w:rsid w:val="00FB2C74"/>
    <w:rsid w:val="00FB3E14"/>
    <w:rsid w:val="00FB6C76"/>
    <w:rsid w:val="00FC06CF"/>
    <w:rsid w:val="00FC514C"/>
    <w:rsid w:val="00FC60C7"/>
    <w:rsid w:val="00FC63D7"/>
    <w:rsid w:val="00FC7521"/>
    <w:rsid w:val="00FD382B"/>
    <w:rsid w:val="00FE02B7"/>
    <w:rsid w:val="00FE3474"/>
    <w:rsid w:val="00FE5289"/>
    <w:rsid w:val="00FE54D7"/>
    <w:rsid w:val="00FE7F21"/>
    <w:rsid w:val="00FF32AF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8F9DA6"/>
  <w14:defaultImageDpi w14:val="0"/>
  <w15:docId w15:val="{8F5314DF-6567-4878-B44F-1A5F920A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F5C8D"/>
    <w:pPr>
      <w:tabs>
        <w:tab w:val="left" w:pos="567"/>
      </w:tabs>
      <w:spacing w:line="260" w:lineRule="exact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F5C8D"/>
    <w:pPr>
      <w:spacing w:before="240" w:after="120"/>
      <w:ind w:left="357" w:hanging="357"/>
      <w:outlineLvl w:val="0"/>
    </w:pPr>
    <w:rPr>
      <w:b/>
      <w:bCs/>
      <w:caps/>
      <w:sz w:val="26"/>
      <w:szCs w:val="26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F5C8D"/>
    <w:pPr>
      <w:keepNext/>
      <w:spacing w:before="240" w:after="60"/>
      <w:outlineLvl w:val="1"/>
    </w:pPr>
    <w:rPr>
      <w:rFonts w:ascii="Helvetica" w:hAnsi="Helvetica" w:cs="Helvetica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F5C8D"/>
    <w:pPr>
      <w:keepNext/>
      <w:keepLines/>
      <w:spacing w:before="120" w:after="80"/>
      <w:outlineLvl w:val="2"/>
    </w:pPr>
    <w:rPr>
      <w:b/>
      <w:bCs/>
      <w:kern w:val="2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F5C8D"/>
    <w:pPr>
      <w:keepNext/>
      <w:jc w:val="both"/>
      <w:outlineLvl w:val="3"/>
    </w:pPr>
    <w:rPr>
      <w:b/>
      <w:bCs/>
      <w:noProof/>
    </w:rPr>
  </w:style>
  <w:style w:type="paragraph" w:styleId="Nadpis5">
    <w:name w:val="heading 5"/>
    <w:basedOn w:val="Normlny"/>
    <w:next w:val="Normlny"/>
    <w:link w:val="Nadpis5Char"/>
    <w:uiPriority w:val="99"/>
    <w:qFormat/>
    <w:rsid w:val="00AF5C8D"/>
    <w:pPr>
      <w:keepNext/>
      <w:jc w:val="both"/>
      <w:outlineLvl w:val="4"/>
    </w:pPr>
    <w:rPr>
      <w:noProof/>
    </w:rPr>
  </w:style>
  <w:style w:type="paragraph" w:styleId="Nadpis6">
    <w:name w:val="heading 6"/>
    <w:basedOn w:val="Normlny"/>
    <w:next w:val="Normlny"/>
    <w:link w:val="Nadpis6Char"/>
    <w:uiPriority w:val="99"/>
    <w:qFormat/>
    <w:rsid w:val="00AF5C8D"/>
    <w:pPr>
      <w:keepNext/>
      <w:tabs>
        <w:tab w:val="left" w:pos="-720"/>
        <w:tab w:val="left" w:pos="4536"/>
      </w:tabs>
      <w:suppressAutoHyphens/>
      <w:outlineLvl w:val="5"/>
    </w:pPr>
    <w:rPr>
      <w:i/>
      <w:i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F5C8D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  <w:iCs/>
    </w:rPr>
  </w:style>
  <w:style w:type="paragraph" w:styleId="Nadpis8">
    <w:name w:val="heading 8"/>
    <w:basedOn w:val="Normlny"/>
    <w:next w:val="Normlny"/>
    <w:link w:val="Nadpis8Char"/>
    <w:uiPriority w:val="99"/>
    <w:qFormat/>
    <w:rsid w:val="00AF5C8D"/>
    <w:pPr>
      <w:keepNext/>
      <w:ind w:left="567" w:hanging="567"/>
      <w:jc w:val="both"/>
      <w:outlineLvl w:val="7"/>
    </w:pPr>
    <w:rPr>
      <w:b/>
      <w:bCs/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AF5C8D"/>
    <w:pPr>
      <w:keepNext/>
      <w:jc w:val="both"/>
      <w:outlineLvl w:val="8"/>
    </w:pPr>
    <w:rPr>
      <w:b/>
      <w:bCs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AF5C8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AF5C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AF5C8D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AF5C8D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AF5C8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AF5C8D"/>
    <w:rPr>
      <w:rFonts w:ascii="Calibri" w:hAnsi="Calibri" w:cs="Times New Roman"/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AF5C8D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AF5C8D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AF5C8D"/>
    <w:rPr>
      <w:rFonts w:ascii="Cambria" w:hAnsi="Cambria"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AF5C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F5C8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AF5C8D"/>
    <w:pPr>
      <w:tabs>
        <w:tab w:val="center" w:pos="4153"/>
        <w:tab w:val="right" w:pos="8306"/>
      </w:tabs>
      <w:spacing w:line="240" w:lineRule="auto"/>
    </w:pPr>
    <w:rPr>
      <w:rFonts w:ascii="Helvetica" w:hAnsi="Helvetica" w:cs="Helvetica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5050D"/>
    <w:rPr>
      <w:rFonts w:ascii="Helvetica" w:hAnsi="Helvetica" w:cs="Helvetica"/>
    </w:rPr>
  </w:style>
  <w:style w:type="character" w:customStyle="1" w:styleId="CarattereCarattere">
    <w:name w:val="Carattere Carattere"/>
    <w:basedOn w:val="Predvolenpsmoodseku"/>
    <w:uiPriority w:val="99"/>
    <w:semiHidden/>
    <w:rsid w:val="003924B8"/>
    <w:rPr>
      <w:rFonts w:ascii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AF5C8D"/>
    <w:pPr>
      <w:tabs>
        <w:tab w:val="center" w:pos="4536"/>
        <w:tab w:val="center" w:pos="8930"/>
      </w:tabs>
      <w:spacing w:line="240" w:lineRule="auto"/>
    </w:pPr>
    <w:rPr>
      <w:rFonts w:ascii="Helvetica" w:hAnsi="Helvetica" w:cs="Helvetic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locked/>
    <w:rsid w:val="00AF5C8D"/>
    <w:rPr>
      <w:rFonts w:ascii="Times New Roman" w:hAnsi="Times New Roman" w:cs="Times New Roman"/>
    </w:rPr>
  </w:style>
  <w:style w:type="character" w:styleId="slostrany">
    <w:name w:val="page number"/>
    <w:basedOn w:val="Predvolenpsmoodseku"/>
    <w:uiPriority w:val="99"/>
    <w:rsid w:val="00AF5C8D"/>
    <w:rPr>
      <w:rFonts w:ascii="Times New Roman" w:hAnsi="Times New Roman"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AF5C8D"/>
    <w:pPr>
      <w:tabs>
        <w:tab w:val="clear" w:pos="567"/>
      </w:tabs>
      <w:autoSpaceDE w:val="0"/>
      <w:autoSpaceDN w:val="0"/>
      <w:adjustRightInd w:val="0"/>
      <w:spacing w:line="240" w:lineRule="auto"/>
      <w:ind w:left="72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AF5C8D"/>
    <w:rPr>
      <w:rFonts w:ascii="Times New Roman" w:hAnsi="Times New Roman" w:cs="Times New Roman"/>
    </w:rPr>
  </w:style>
  <w:style w:type="paragraph" w:styleId="Zkladntext3">
    <w:name w:val="Body Text 3"/>
    <w:basedOn w:val="Normlny"/>
    <w:link w:val="Zkladntext3Char"/>
    <w:uiPriority w:val="99"/>
    <w:rsid w:val="00AF5C8D"/>
    <w:pPr>
      <w:tabs>
        <w:tab w:val="clear" w:pos="567"/>
      </w:tabs>
      <w:autoSpaceDE w:val="0"/>
      <w:autoSpaceDN w:val="0"/>
      <w:adjustRightInd w:val="0"/>
      <w:spacing w:line="240" w:lineRule="auto"/>
      <w:jc w:val="both"/>
    </w:pPr>
    <w:rPr>
      <w:color w:val="0000FF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AF5C8D"/>
    <w:rPr>
      <w:rFonts w:ascii="Times New Roman" w:hAnsi="Times New Roman" w:cs="Times New Roman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rsid w:val="00AF5C8D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ind w:left="1134"/>
      <w:jc w:val="both"/>
    </w:pPr>
    <w:rPr>
      <w:b/>
      <w:bCs/>
      <w:color w:val="0000FF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AF5C8D"/>
    <w:rPr>
      <w:rFonts w:ascii="Times New Roman" w:hAnsi="Times New Roman" w:cs="Times New Roman"/>
    </w:rPr>
  </w:style>
  <w:style w:type="paragraph" w:customStyle="1" w:styleId="Corpodeltesto">
    <w:name w:val="Corpo del testo"/>
    <w:basedOn w:val="Normlny"/>
    <w:link w:val="CorpodeltestoCarattere"/>
    <w:uiPriority w:val="99"/>
    <w:rsid w:val="00AF5C8D"/>
    <w:pPr>
      <w:tabs>
        <w:tab w:val="clear" w:pos="567"/>
      </w:tabs>
      <w:spacing w:line="240" w:lineRule="auto"/>
    </w:pPr>
    <w:rPr>
      <w:i/>
      <w:iCs/>
      <w:color w:val="008000"/>
    </w:rPr>
  </w:style>
  <w:style w:type="character" w:customStyle="1" w:styleId="CorpodeltestoCarattere">
    <w:name w:val="Corpo del testo Carattere"/>
    <w:basedOn w:val="Predvolenpsmoodseku"/>
    <w:link w:val="Corpodeltesto"/>
    <w:uiPriority w:val="99"/>
    <w:semiHidden/>
    <w:locked/>
    <w:rsid w:val="00AF5C8D"/>
    <w:rPr>
      <w:rFonts w:ascii="Times New Roman" w:hAnsi="Times New Roman" w:cs="Times New Roman"/>
    </w:rPr>
  </w:style>
  <w:style w:type="paragraph" w:styleId="Zkladntext2">
    <w:name w:val="Body Text 2"/>
    <w:basedOn w:val="Normlny"/>
    <w:link w:val="Zkladntext2Char"/>
    <w:uiPriority w:val="99"/>
    <w:rsid w:val="00AF5C8D"/>
    <w:pPr>
      <w:pBdr>
        <w:top w:val="wave" w:sz="6" w:space="0" w:color="auto"/>
        <w:left w:val="wave" w:sz="6" w:space="3" w:color="auto"/>
        <w:bottom w:val="wave" w:sz="6" w:space="1" w:color="auto"/>
        <w:right w:val="wave" w:sz="6" w:space="4" w:color="auto"/>
      </w:pBdr>
      <w:autoSpaceDE w:val="0"/>
      <w:autoSpaceDN w:val="0"/>
      <w:adjustRightInd w:val="0"/>
      <w:jc w:val="both"/>
    </w:pPr>
    <w:rPr>
      <w:b/>
      <w:bCs/>
      <w:color w:val="0000FF"/>
      <w:u w:val="single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AF5C8D"/>
    <w:rPr>
      <w:rFonts w:ascii="Times New Roman" w:hAnsi="Times New Roman" w:cs="Times New Roman"/>
    </w:rPr>
  </w:style>
  <w:style w:type="character" w:styleId="Odkaznakomentr">
    <w:name w:val="annotation reference"/>
    <w:basedOn w:val="Predvolenpsmoodseku"/>
    <w:uiPriority w:val="99"/>
    <w:semiHidden/>
    <w:rsid w:val="00AF5C8D"/>
    <w:rPr>
      <w:rFonts w:ascii="Times New Roman" w:hAnsi="Times New Roman"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C8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F5C8D"/>
    <w:rPr>
      <w:rFonts w:ascii="Times New Roman" w:hAnsi="Times New Roman" w:cs="Times New Roman"/>
      <w:sz w:val="20"/>
      <w:szCs w:val="20"/>
    </w:rPr>
  </w:style>
  <w:style w:type="paragraph" w:customStyle="1" w:styleId="EMEAEnBodyText">
    <w:name w:val="EMEA En Body Text"/>
    <w:basedOn w:val="Normlny"/>
    <w:uiPriority w:val="99"/>
    <w:rsid w:val="00AF5C8D"/>
    <w:pPr>
      <w:tabs>
        <w:tab w:val="clear" w:pos="567"/>
      </w:tabs>
      <w:spacing w:before="120" w:after="120" w:line="240" w:lineRule="auto"/>
      <w:jc w:val="both"/>
    </w:pPr>
  </w:style>
  <w:style w:type="paragraph" w:styleId="truktradokumentu">
    <w:name w:val="Document Map"/>
    <w:basedOn w:val="Normlny"/>
    <w:link w:val="truktradokumentuChar"/>
    <w:uiPriority w:val="99"/>
    <w:semiHidden/>
    <w:rsid w:val="00AF5C8D"/>
    <w:pPr>
      <w:shd w:val="clear" w:color="auto" w:fill="000080"/>
    </w:pPr>
    <w:rPr>
      <w:rFonts w:ascii="Tahoma" w:hAnsi="Tahoma" w:cs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AF5C8D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rsid w:val="00AF5C8D"/>
    <w:rPr>
      <w:rFonts w:ascii="Times New Roman" w:hAnsi="Times New Roman" w:cs="Times New Roman"/>
      <w:color w:val="0000FF"/>
      <w:u w:val="single"/>
    </w:rPr>
  </w:style>
  <w:style w:type="paragraph" w:customStyle="1" w:styleId="AHeader1">
    <w:name w:val="AHeader 1"/>
    <w:basedOn w:val="Normlny"/>
    <w:uiPriority w:val="99"/>
    <w:rsid w:val="00AF5C8D"/>
    <w:pPr>
      <w:numPr>
        <w:numId w:val="30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AHeader2">
    <w:name w:val="AHeader 2"/>
    <w:basedOn w:val="AHeader1"/>
    <w:uiPriority w:val="99"/>
    <w:rsid w:val="00AF5C8D"/>
    <w:pPr>
      <w:numPr>
        <w:ilvl w:val="1"/>
      </w:numPr>
    </w:pPr>
    <w:rPr>
      <w:sz w:val="22"/>
      <w:szCs w:val="22"/>
    </w:rPr>
  </w:style>
  <w:style w:type="paragraph" w:customStyle="1" w:styleId="AHeader3">
    <w:name w:val="AHeader 3"/>
    <w:basedOn w:val="AHeader2"/>
    <w:uiPriority w:val="99"/>
    <w:rsid w:val="00AF5C8D"/>
    <w:pPr>
      <w:numPr>
        <w:ilvl w:val="2"/>
      </w:numPr>
    </w:pPr>
  </w:style>
  <w:style w:type="paragraph" w:customStyle="1" w:styleId="AHeader2abc">
    <w:name w:val="AHeader 2 abc"/>
    <w:basedOn w:val="AHeader3"/>
    <w:uiPriority w:val="99"/>
    <w:rsid w:val="00AF5C8D"/>
    <w:pPr>
      <w:numPr>
        <w:ilvl w:val="3"/>
      </w:numPr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uiPriority w:val="99"/>
    <w:rsid w:val="00AF5C8D"/>
    <w:pPr>
      <w:numPr>
        <w:ilvl w:val="4"/>
      </w:numPr>
    </w:pPr>
  </w:style>
  <w:style w:type="paragraph" w:styleId="Zarkazkladnhotextu3">
    <w:name w:val="Body Text Indent 3"/>
    <w:basedOn w:val="Normlny"/>
    <w:link w:val="Zarkazkladnhotextu3Char"/>
    <w:uiPriority w:val="99"/>
    <w:rsid w:val="00AF5C8D"/>
    <w:pPr>
      <w:tabs>
        <w:tab w:val="left" w:pos="1134"/>
      </w:tabs>
      <w:autoSpaceDE w:val="0"/>
      <w:autoSpaceDN w:val="0"/>
      <w:adjustRightInd w:val="0"/>
      <w:ind w:left="633"/>
      <w:jc w:val="both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AF5C8D"/>
    <w:rPr>
      <w:rFonts w:ascii="Times New Roman" w:hAnsi="Times New Roman" w:cs="Times New Roman"/>
      <w:sz w:val="16"/>
      <w:szCs w:val="16"/>
    </w:rPr>
  </w:style>
  <w:style w:type="character" w:styleId="PouitHypertextovPrepojenie">
    <w:name w:val="FollowedHyperlink"/>
    <w:basedOn w:val="Predvolenpsmoodseku"/>
    <w:uiPriority w:val="99"/>
    <w:rsid w:val="00AF5C8D"/>
    <w:rPr>
      <w:rFonts w:ascii="Times New Roman" w:hAnsi="Times New Roman" w:cs="Times New Roman"/>
      <w:color w:val="800080"/>
      <w:u w:val="single"/>
    </w:rPr>
  </w:style>
  <w:style w:type="paragraph" w:customStyle="1" w:styleId="Default">
    <w:name w:val="Default"/>
    <w:uiPriority w:val="99"/>
    <w:rsid w:val="00AF5C8D"/>
    <w:pPr>
      <w:autoSpaceDE w:val="0"/>
      <w:autoSpaceDN w:val="0"/>
      <w:adjustRightInd w:val="0"/>
    </w:pPr>
  </w:style>
  <w:style w:type="character" w:customStyle="1" w:styleId="longtext1">
    <w:name w:val="long_text1"/>
    <w:basedOn w:val="Predvolenpsmoodseku"/>
    <w:uiPriority w:val="99"/>
    <w:rsid w:val="00FA2B2A"/>
    <w:rPr>
      <w:rFonts w:ascii="Times New Roman" w:hAnsi="Times New Roman" w:cs="Times New Roman"/>
      <w:sz w:val="26"/>
      <w:szCs w:val="26"/>
    </w:rPr>
  </w:style>
  <w:style w:type="table" w:styleId="Mriekatabuky">
    <w:name w:val="Table Grid"/>
    <w:basedOn w:val="Normlnatabuka"/>
    <w:uiPriority w:val="99"/>
    <w:rsid w:val="00D51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963974"/>
    <w:pPr>
      <w:tabs>
        <w:tab w:val="clear" w:pos="567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AF5C8D"/>
    <w:rPr>
      <w:rFonts w:ascii="Courier New" w:hAnsi="Courier New" w:cs="Courier New"/>
      <w:sz w:val="20"/>
      <w:szCs w:val="20"/>
    </w:rPr>
  </w:style>
  <w:style w:type="character" w:customStyle="1" w:styleId="Titoloparagrafo">
    <w:name w:val="Titolo paragrafo"/>
    <w:basedOn w:val="Predvolenpsmoodseku"/>
    <w:uiPriority w:val="99"/>
    <w:rsid w:val="00A533EC"/>
    <w:rPr>
      <w:rFonts w:ascii="Times New Roman" w:hAnsi="Times New Roman" w:cs="Times New Roman"/>
      <w:b/>
      <w:bCs/>
      <w:smallCaps/>
      <w:sz w:val="32"/>
      <w:szCs w:val="32"/>
    </w:rPr>
  </w:style>
  <w:style w:type="paragraph" w:styleId="Normlnywebov">
    <w:name w:val="Normal (Web)"/>
    <w:basedOn w:val="Normlny"/>
    <w:uiPriority w:val="99"/>
    <w:rsid w:val="00281402"/>
    <w:pPr>
      <w:tabs>
        <w:tab w:val="clear" w:pos="567"/>
      </w:tabs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CM12">
    <w:name w:val="CM12"/>
    <w:basedOn w:val="Normlny"/>
    <w:next w:val="Normlny"/>
    <w:rsid w:val="00281402"/>
    <w:pPr>
      <w:widowControl w:val="0"/>
      <w:tabs>
        <w:tab w:val="clear" w:pos="567"/>
      </w:tabs>
      <w:autoSpaceDE w:val="0"/>
      <w:autoSpaceDN w:val="0"/>
      <w:adjustRightInd w:val="0"/>
      <w:spacing w:after="265" w:line="240" w:lineRule="auto"/>
    </w:pPr>
    <w:rPr>
      <w:rFonts w:ascii="Arial" w:hAnsi="Arial" w:cs="Arial"/>
      <w:sz w:val="24"/>
      <w:szCs w:val="24"/>
    </w:rPr>
  </w:style>
  <w:style w:type="paragraph" w:customStyle="1" w:styleId="CM2">
    <w:name w:val="CM2"/>
    <w:basedOn w:val="Normlny"/>
    <w:next w:val="Normlny"/>
    <w:uiPriority w:val="99"/>
    <w:rsid w:val="00281402"/>
    <w:pPr>
      <w:widowControl w:val="0"/>
      <w:tabs>
        <w:tab w:val="clear" w:pos="567"/>
      </w:tabs>
      <w:autoSpaceDE w:val="0"/>
      <w:autoSpaceDN w:val="0"/>
      <w:adjustRightInd w:val="0"/>
      <w:spacing w:line="276" w:lineRule="atLeast"/>
    </w:pPr>
    <w:rPr>
      <w:rFonts w:ascii="Arial" w:hAnsi="Arial" w:cs="Arial"/>
      <w:sz w:val="24"/>
      <w:szCs w:val="24"/>
    </w:rPr>
  </w:style>
  <w:style w:type="paragraph" w:customStyle="1" w:styleId="emea">
    <w:name w:val="emea"/>
    <w:aliases w:val="standard"/>
    <w:link w:val="emeaZchn"/>
    <w:uiPriority w:val="99"/>
    <w:rsid w:val="001F0A43"/>
    <w:pPr>
      <w:tabs>
        <w:tab w:val="left" w:pos="567"/>
      </w:tabs>
    </w:pPr>
    <w:rPr>
      <w:rFonts w:eastAsia="MS Mincho"/>
      <w:sz w:val="22"/>
      <w:szCs w:val="22"/>
    </w:rPr>
  </w:style>
  <w:style w:type="character" w:customStyle="1" w:styleId="emeaZchn">
    <w:name w:val="emea Zchn"/>
    <w:aliases w:val="standard Zchn"/>
    <w:basedOn w:val="Predvolenpsmoodseku"/>
    <w:link w:val="emea"/>
    <w:uiPriority w:val="99"/>
    <w:locked/>
    <w:rsid w:val="001F0A43"/>
    <w:rPr>
      <w:rFonts w:ascii="Times New Roman" w:eastAsia="MS Mincho" w:hAnsi="Times New Roman" w:cs="Times New Roman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301E"/>
    <w:pPr>
      <w:spacing w:line="240" w:lineRule="auto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301E"/>
    <w:rPr>
      <w:rFonts w:ascii="Times New Roman" w:hAnsi="Times New Roman"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57B03"/>
    <w:pPr>
      <w:ind w:left="720"/>
      <w:contextualSpacing/>
    </w:pPr>
  </w:style>
  <w:style w:type="character" w:customStyle="1" w:styleId="Hypertextovprepojenie1">
    <w:name w:val="Hypertextové prepojenie1"/>
    <w:uiPriority w:val="99"/>
    <w:rsid w:val="00707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3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a.europa.eu/docs/en_GB/document_library/Template_or_form/2013/03/WC500139752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AAB1-D349-4897-B506-69B8C8C3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2571</Words>
  <Characters>17164</Characters>
  <Application>Microsoft Office Word</Application>
  <DocSecurity>0</DocSecurity>
  <Lines>143</Lines>
  <Paragraphs>39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Summary of Product Characteristics</vt:lpstr>
    </vt:vector>
  </TitlesOfParts>
  <Manager/>
  <Company>mt-g</Company>
  <LinksUpToDate>false</LinksUpToDate>
  <CharactersWithSpaces>19696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mt-g</dc:creator>
  <cp:keywords/>
  <dc:description/>
  <cp:lastModifiedBy>user</cp:lastModifiedBy>
  <cp:revision>3</cp:revision>
  <cp:lastPrinted>2011-11-09T16:47:00Z</cp:lastPrinted>
  <dcterms:created xsi:type="dcterms:W3CDTF">2020-07-24T06:40:00Z</dcterms:created>
  <dcterms:modified xsi:type="dcterms:W3CDTF">2020-07-24T06:41:00Z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ubject">
    <vt:lpwstr>General-EMEA/378973/2008</vt:lpwstr>
  </property>
  <property fmtid="{D5CDD505-2E9C-101B-9397-08002B2CF9AE}" pid="3" name="DM_Name">
    <vt:lpwstr>Hreferralspcen</vt:lpwstr>
  </property>
  <property fmtid="{D5CDD505-2E9C-101B-9397-08002B2CF9AE}" pid="4" name="DM_Owner">
    <vt:lpwstr>Prizzi Monica</vt:lpwstr>
  </property>
  <property fmtid="{D5CDD505-2E9C-101B-9397-08002B2CF9AE}" pid="5" name="DM_Creation_Date">
    <vt:lpwstr>24/07/2008 16:45:39</vt:lpwstr>
  </property>
  <property fmtid="{D5CDD505-2E9C-101B-9397-08002B2CF9AE}" pid="6" name="DM_Creator_Name">
    <vt:lpwstr>Cantatore Kira</vt:lpwstr>
  </property>
  <property fmtid="{D5CDD505-2E9C-101B-9397-08002B2CF9AE}" pid="7" name="DM_Modifer_Name">
    <vt:lpwstr>Cantatore Kira</vt:lpwstr>
  </property>
  <property fmtid="{D5CDD505-2E9C-101B-9397-08002B2CF9AE}" pid="8" name="DM_Modified_Date">
    <vt:lpwstr>24/07/2008 16:45:39</vt:lpwstr>
  </property>
  <property fmtid="{D5CDD505-2E9C-101B-9397-08002B2CF9AE}" pid="9" name="DM_Type">
    <vt:lpwstr>emea_document</vt:lpwstr>
  </property>
  <property fmtid="{D5CDD505-2E9C-101B-9397-08002B2CF9AE}" pid="10" name="DM_Version">
    <vt:lpwstr>0.2, CURRENT</vt:lpwstr>
  </property>
  <property fmtid="{D5CDD505-2E9C-101B-9397-08002B2CF9AE}" pid="11" name="DM_emea_doc_ref_id">
    <vt:lpwstr>EMEA/378973/2008</vt:lpwstr>
  </property>
  <property fmtid="{D5CDD505-2E9C-101B-9397-08002B2CF9AE}" pid="12" name="DM_emea_doc_number">
    <vt:lpwstr>378973</vt:lpwstr>
  </property>
  <property fmtid="{D5CDD505-2E9C-101B-9397-08002B2CF9AE}" pid="13" name="DM_emea_received_date">
    <vt:lpwstr>nulldate</vt:lpwstr>
  </property>
  <property fmtid="{D5CDD505-2E9C-101B-9397-08002B2CF9AE}" pid="14" name="DM_emea_doc_category">
    <vt:lpwstr>General</vt:lpwstr>
  </property>
  <property fmtid="{D5CDD505-2E9C-101B-9397-08002B2CF9AE}" pid="15" name="DM_emea_internal_label">
    <vt:lpwstr>EMEA</vt:lpwstr>
  </property>
  <property fmtid="{D5CDD505-2E9C-101B-9397-08002B2CF9AE}" pid="16" name="DM_emea_legal_date">
    <vt:lpwstr>nulldate</vt:lpwstr>
  </property>
  <property fmtid="{D5CDD505-2E9C-101B-9397-08002B2CF9AE}" pid="17" name="DM_emea_year">
    <vt:lpwstr>2008</vt:lpwstr>
  </property>
  <property fmtid="{D5CDD505-2E9C-101B-9397-08002B2CF9AE}" pid="18" name="DM_emea_sent_date">
    <vt:lpwstr>nulldate</vt:lpwstr>
  </property>
</Properties>
</file>