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C6" w:rsidRPr="00AC5AE4" w:rsidRDefault="00C548C6" w:rsidP="00C548C6">
      <w:pPr>
        <w:jc w:val="center"/>
        <w:outlineLvl w:val="0"/>
        <w:rPr>
          <w:b/>
          <w:caps/>
          <w:sz w:val="22"/>
          <w:szCs w:val="22"/>
          <w:lang w:val="sk-SK"/>
        </w:rPr>
      </w:pPr>
      <w:bookmarkStart w:id="0" w:name="_Toc428259855"/>
      <w:bookmarkStart w:id="1" w:name="_GoBack"/>
      <w:bookmarkEnd w:id="1"/>
      <w:r w:rsidRPr="00AC5AE4">
        <w:rPr>
          <w:b/>
          <w:caps/>
          <w:sz w:val="22"/>
          <w:szCs w:val="22"/>
          <w:lang w:val="sk-SK"/>
        </w:rPr>
        <w:t>Súhrn charakteristických vlastností lieku</w:t>
      </w:r>
      <w:bookmarkEnd w:id="0"/>
    </w:p>
    <w:p w:rsidR="00C548C6" w:rsidRPr="00AC5AE4" w:rsidRDefault="00C548C6" w:rsidP="002E4CD5">
      <w:pPr>
        <w:keepNext/>
        <w:outlineLvl w:val="0"/>
        <w:rPr>
          <w:b/>
          <w:caps/>
          <w:szCs w:val="22"/>
          <w:lang w:val="sk-SK"/>
        </w:rPr>
      </w:pPr>
    </w:p>
    <w:p w:rsidR="00F56F72" w:rsidRPr="002E4CD5" w:rsidRDefault="00F56F72" w:rsidP="002E4CD5">
      <w:pPr>
        <w:keepNext/>
        <w:rPr>
          <w:b/>
          <w:sz w:val="22"/>
          <w:lang w:val="sk-SK"/>
        </w:rPr>
      </w:pPr>
    </w:p>
    <w:p w:rsidR="00F56F72" w:rsidRPr="002E4CD5" w:rsidRDefault="00F56F72" w:rsidP="00AC5AE4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lang w:val="sk-SK"/>
        </w:rPr>
      </w:pPr>
      <w:bookmarkStart w:id="2" w:name="_Toc428259856"/>
      <w:r w:rsidRPr="002E4CD5">
        <w:rPr>
          <w:rFonts w:ascii="Times New Roman" w:hAnsi="Times New Roman"/>
          <w:sz w:val="22"/>
          <w:lang w:val="sk-SK"/>
        </w:rPr>
        <w:t>1.</w:t>
      </w:r>
      <w:r w:rsidR="00E83713" w:rsidRPr="002E4CD5">
        <w:rPr>
          <w:rFonts w:ascii="Times New Roman" w:hAnsi="Times New Roman"/>
          <w:sz w:val="22"/>
          <w:lang w:val="sk-SK"/>
        </w:rPr>
        <w:tab/>
      </w:r>
      <w:r w:rsidRPr="002E4CD5">
        <w:rPr>
          <w:rFonts w:ascii="Times New Roman" w:hAnsi="Times New Roman"/>
          <w:sz w:val="22"/>
          <w:lang w:val="sk-SK"/>
        </w:rPr>
        <w:t>NÁZOV LIEKU</w:t>
      </w:r>
      <w:bookmarkEnd w:id="2"/>
    </w:p>
    <w:p w:rsidR="00F56F72" w:rsidRPr="002E4CD5" w:rsidRDefault="00F56F72" w:rsidP="002E4CD5">
      <w:pPr>
        <w:keepNext/>
        <w:rPr>
          <w:lang w:val="sk-SK"/>
        </w:rPr>
      </w:pPr>
    </w:p>
    <w:p w:rsidR="00F56F72" w:rsidRPr="002E4CD5" w:rsidRDefault="00F56F72" w:rsidP="002E4CD5">
      <w:pPr>
        <w:keepNext/>
        <w:rPr>
          <w:sz w:val="22"/>
          <w:lang w:val="sk-SK"/>
        </w:rPr>
      </w:pPr>
      <w:bookmarkStart w:id="3" w:name="_Toc428258052"/>
      <w:r w:rsidRPr="002E4CD5">
        <w:rPr>
          <w:sz w:val="22"/>
          <w:lang w:val="sk-SK"/>
        </w:rPr>
        <w:t>Campral</w:t>
      </w:r>
      <w:bookmarkEnd w:id="3"/>
    </w:p>
    <w:p w:rsidR="00F56F72" w:rsidRPr="002E4CD5" w:rsidRDefault="0018399E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2"/>
          <w:szCs w:val="22"/>
          <w:lang w:val="sk-SK"/>
        </w:rPr>
      </w:pPr>
      <w:r w:rsidRPr="002E4CD5">
        <w:rPr>
          <w:rFonts w:ascii="Times New Roman" w:hAnsi="Times New Roman"/>
          <w:b w:val="0"/>
          <w:sz w:val="22"/>
          <w:szCs w:val="22"/>
          <w:lang w:val="sk-SK"/>
        </w:rPr>
        <w:t>gastrorezistentné tablety</w:t>
      </w:r>
    </w:p>
    <w:p w:rsidR="0018399E" w:rsidRPr="002E4CD5" w:rsidRDefault="0018399E" w:rsidP="008F3C11">
      <w:pPr>
        <w:rPr>
          <w:sz w:val="22"/>
          <w:szCs w:val="22"/>
          <w:lang w:val="sk-SK"/>
        </w:rPr>
      </w:pPr>
      <w:r w:rsidRPr="002E4CD5">
        <w:rPr>
          <w:sz w:val="22"/>
          <w:szCs w:val="22"/>
          <w:lang w:val="sk-SK"/>
        </w:rPr>
        <w:t>akamprosát</w:t>
      </w:r>
    </w:p>
    <w:p w:rsidR="00F56F72" w:rsidRPr="002E4CD5" w:rsidRDefault="00F56F72">
      <w:pPr>
        <w:rPr>
          <w:sz w:val="22"/>
          <w:lang w:val="sk-SK"/>
        </w:rPr>
      </w:pPr>
    </w:p>
    <w:p w:rsidR="0018399E" w:rsidRPr="002E4CD5" w:rsidRDefault="0018399E">
      <w:pPr>
        <w:rPr>
          <w:sz w:val="22"/>
          <w:lang w:val="sk-SK"/>
        </w:rPr>
      </w:pPr>
    </w:p>
    <w:p w:rsidR="00F56F72" w:rsidRPr="002E4CD5" w:rsidRDefault="00E83713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lang w:val="sk-SK"/>
        </w:rPr>
      </w:pPr>
      <w:bookmarkStart w:id="4" w:name="_Toc428259857"/>
      <w:r w:rsidRPr="002E4CD5">
        <w:rPr>
          <w:rFonts w:ascii="Times New Roman" w:hAnsi="Times New Roman"/>
          <w:sz w:val="22"/>
          <w:lang w:val="sk-SK"/>
        </w:rPr>
        <w:t>2.</w:t>
      </w:r>
      <w:r w:rsidRPr="002E4CD5">
        <w:rPr>
          <w:rFonts w:ascii="Times New Roman" w:hAnsi="Times New Roman"/>
          <w:sz w:val="22"/>
          <w:lang w:val="sk-SK"/>
        </w:rPr>
        <w:tab/>
      </w:r>
      <w:r w:rsidR="00F56F72" w:rsidRPr="002E4CD5">
        <w:rPr>
          <w:rFonts w:ascii="Times New Roman" w:hAnsi="Times New Roman"/>
          <w:sz w:val="22"/>
          <w:lang w:val="sk-SK"/>
        </w:rPr>
        <w:t>KVALITATÍVNE A KVANTITATÍVNE ZLOŽENIE</w:t>
      </w:r>
      <w:bookmarkEnd w:id="4"/>
      <w:r w:rsidR="00F56F72" w:rsidRPr="002E4CD5">
        <w:rPr>
          <w:rFonts w:ascii="Times New Roman" w:hAnsi="Times New Roman"/>
          <w:sz w:val="22"/>
          <w:lang w:val="sk-SK"/>
        </w:rPr>
        <w:t xml:space="preserve"> </w:t>
      </w:r>
    </w:p>
    <w:p w:rsidR="00246B88" w:rsidRPr="002E4CD5" w:rsidRDefault="00246B88" w:rsidP="00246B88">
      <w:pPr>
        <w:rPr>
          <w:lang w:val="sk-SK"/>
        </w:rPr>
      </w:pPr>
    </w:p>
    <w:p w:rsidR="00F56F72" w:rsidRPr="002E4CD5" w:rsidRDefault="00F56F72">
      <w:pPr>
        <w:rPr>
          <w:sz w:val="22"/>
          <w:szCs w:val="22"/>
          <w:lang w:val="sk-SK"/>
        </w:rPr>
      </w:pPr>
      <w:r w:rsidRPr="002E4CD5">
        <w:rPr>
          <w:sz w:val="22"/>
          <w:szCs w:val="22"/>
          <w:lang w:val="sk-SK"/>
        </w:rPr>
        <w:t xml:space="preserve">Jedna </w:t>
      </w:r>
      <w:r w:rsidR="008E01A7" w:rsidRPr="002E4CD5">
        <w:rPr>
          <w:sz w:val="22"/>
          <w:szCs w:val="22"/>
          <w:lang w:val="sk-SK"/>
        </w:rPr>
        <w:t>gastrorezistentná</w:t>
      </w:r>
      <w:r w:rsidRPr="002E4CD5">
        <w:rPr>
          <w:sz w:val="22"/>
          <w:szCs w:val="22"/>
          <w:lang w:val="sk-SK"/>
        </w:rPr>
        <w:t xml:space="preserve"> tableta obsahuje 333 mg vápenatej soli akamprosátu, čo zodpovedá</w:t>
      </w:r>
      <w:r w:rsidR="00B976E6" w:rsidRPr="002E4CD5">
        <w:rPr>
          <w:sz w:val="22"/>
          <w:szCs w:val="22"/>
          <w:lang w:val="sk-SK"/>
        </w:rPr>
        <w:t xml:space="preserve"> </w:t>
      </w:r>
      <w:r w:rsidRPr="002E4CD5">
        <w:rPr>
          <w:sz w:val="22"/>
          <w:szCs w:val="22"/>
          <w:lang w:val="sk-SK"/>
        </w:rPr>
        <w:t>300 mg akamprosátu.</w:t>
      </w:r>
    </w:p>
    <w:p w:rsidR="00B976E6" w:rsidRPr="002E4CD5" w:rsidRDefault="00B976E6">
      <w:pPr>
        <w:rPr>
          <w:sz w:val="22"/>
          <w:szCs w:val="22"/>
          <w:lang w:val="sk-SK"/>
        </w:rPr>
      </w:pPr>
    </w:p>
    <w:p w:rsidR="00F56F72" w:rsidRPr="002E4CD5" w:rsidRDefault="00F56F72" w:rsidP="00246B88">
      <w:pPr>
        <w:pStyle w:val="Styl1"/>
        <w:spacing w:before="0" w:after="0" w:line="240" w:lineRule="auto"/>
        <w:rPr>
          <w:rFonts w:ascii="Times New Roman" w:hAnsi="Times New Roman"/>
          <w:spacing w:val="0"/>
          <w:lang w:val="sk-SK"/>
        </w:rPr>
      </w:pPr>
      <w:r w:rsidRPr="002E4CD5">
        <w:rPr>
          <w:rFonts w:ascii="Times New Roman" w:hAnsi="Times New Roman"/>
          <w:spacing w:val="0"/>
          <w:lang w:val="sk-SK"/>
        </w:rPr>
        <w:t>Úplný zoznam pomocných látok, pozri časť 6.1</w:t>
      </w:r>
      <w:r w:rsidR="00AC5AE4">
        <w:rPr>
          <w:rFonts w:ascii="Times New Roman" w:hAnsi="Times New Roman"/>
          <w:spacing w:val="0"/>
          <w:lang w:val="sk-SK"/>
        </w:rPr>
        <w:t>.</w:t>
      </w:r>
    </w:p>
    <w:p w:rsidR="00F56F72" w:rsidRPr="002E4CD5" w:rsidRDefault="00F56F72" w:rsidP="00246B88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lang w:val="sk-SK"/>
        </w:rPr>
      </w:pPr>
    </w:p>
    <w:p w:rsidR="00246B88" w:rsidRPr="002E4CD5" w:rsidRDefault="00246B88" w:rsidP="00246B88">
      <w:pPr>
        <w:rPr>
          <w:lang w:val="sk-SK"/>
        </w:rPr>
      </w:pPr>
    </w:p>
    <w:p w:rsidR="00F56F72" w:rsidRPr="002E4CD5" w:rsidRDefault="00F56F72" w:rsidP="00246B88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lang w:val="sk-SK"/>
        </w:rPr>
      </w:pPr>
      <w:bookmarkStart w:id="5" w:name="_Toc428259858"/>
      <w:r w:rsidRPr="002E4CD5">
        <w:rPr>
          <w:rFonts w:ascii="Times New Roman" w:hAnsi="Times New Roman"/>
          <w:sz w:val="22"/>
          <w:lang w:val="sk-SK"/>
        </w:rPr>
        <w:t>3.</w:t>
      </w:r>
      <w:r w:rsidR="00E83713" w:rsidRPr="002E4CD5">
        <w:rPr>
          <w:rFonts w:ascii="Times New Roman" w:hAnsi="Times New Roman"/>
          <w:sz w:val="22"/>
          <w:lang w:val="sk-SK"/>
        </w:rPr>
        <w:tab/>
      </w:r>
      <w:r w:rsidRPr="002E4CD5">
        <w:rPr>
          <w:rFonts w:ascii="Times New Roman" w:hAnsi="Times New Roman"/>
          <w:sz w:val="22"/>
          <w:lang w:val="sk-SK"/>
        </w:rPr>
        <w:t>LIEKOVÁ FORMA</w:t>
      </w:r>
      <w:bookmarkEnd w:id="5"/>
    </w:p>
    <w:p w:rsidR="00F56F72" w:rsidRPr="002E4CD5" w:rsidRDefault="00F56F72">
      <w:pPr>
        <w:rPr>
          <w:sz w:val="22"/>
          <w:lang w:val="sk-SK"/>
        </w:rPr>
      </w:pPr>
    </w:p>
    <w:p w:rsidR="00F56F72" w:rsidRPr="002E4CD5" w:rsidRDefault="00832D11">
      <w:pPr>
        <w:rPr>
          <w:sz w:val="22"/>
          <w:lang w:val="sk-SK"/>
        </w:rPr>
      </w:pPr>
      <w:r w:rsidRPr="002E4CD5">
        <w:rPr>
          <w:sz w:val="22"/>
          <w:lang w:val="sk-SK"/>
        </w:rPr>
        <w:t xml:space="preserve">Gastrorezistentná </w:t>
      </w:r>
      <w:r w:rsidR="00F56F72" w:rsidRPr="002E4CD5">
        <w:rPr>
          <w:sz w:val="22"/>
          <w:lang w:val="sk-SK"/>
        </w:rPr>
        <w:t>tablet</w:t>
      </w:r>
      <w:r w:rsidRPr="002E4CD5">
        <w:rPr>
          <w:sz w:val="22"/>
          <w:lang w:val="sk-SK"/>
        </w:rPr>
        <w:t>a.</w:t>
      </w:r>
      <w:r w:rsidR="00F56F72" w:rsidRPr="002E4CD5">
        <w:rPr>
          <w:sz w:val="22"/>
          <w:lang w:val="sk-SK"/>
        </w:rPr>
        <w:t xml:space="preserve"> </w:t>
      </w:r>
    </w:p>
    <w:p w:rsidR="00B177B7" w:rsidRPr="002E4CD5" w:rsidRDefault="00B2116A" w:rsidP="00B177B7">
      <w:pPr>
        <w:jc w:val="both"/>
        <w:rPr>
          <w:sz w:val="22"/>
          <w:szCs w:val="22"/>
          <w:lang w:val="sk-SK"/>
        </w:rPr>
      </w:pPr>
      <w:r w:rsidRPr="002E4CD5">
        <w:rPr>
          <w:sz w:val="22"/>
          <w:lang w:val="sk-SK"/>
        </w:rPr>
        <w:t xml:space="preserve">Biele okrúhle konvexné </w:t>
      </w:r>
      <w:r w:rsidRPr="002E4CD5">
        <w:rPr>
          <w:sz w:val="22"/>
          <w:szCs w:val="22"/>
          <w:lang w:val="sk-SK"/>
        </w:rPr>
        <w:t xml:space="preserve">gastrorezistentné tablety </w:t>
      </w:r>
      <w:r w:rsidR="00B177B7" w:rsidRPr="002E4CD5">
        <w:rPr>
          <w:sz w:val="22"/>
          <w:szCs w:val="22"/>
          <w:lang w:val="sk-SK"/>
        </w:rPr>
        <w:t>na jednej strane s nápisom 333.</w:t>
      </w:r>
    </w:p>
    <w:p w:rsidR="00F56F72" w:rsidRPr="002E4CD5" w:rsidRDefault="001978BE" w:rsidP="001978BE">
      <w:pPr>
        <w:rPr>
          <w:sz w:val="22"/>
          <w:lang w:val="sk-SK"/>
        </w:rPr>
      </w:pPr>
      <w:r w:rsidRPr="002E4CD5">
        <w:rPr>
          <w:sz w:val="22"/>
          <w:lang w:val="sk-SK"/>
        </w:rPr>
        <w:t xml:space="preserve"> </w:t>
      </w:r>
    </w:p>
    <w:p w:rsidR="00F56F72" w:rsidRPr="002E4CD5" w:rsidRDefault="00F56F72">
      <w:pPr>
        <w:rPr>
          <w:sz w:val="22"/>
          <w:lang w:val="sk-SK"/>
        </w:rPr>
      </w:pPr>
    </w:p>
    <w:p w:rsidR="00F56F72" w:rsidRPr="002E4CD5" w:rsidRDefault="00F56F7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lang w:val="sk-SK"/>
        </w:rPr>
      </w:pPr>
      <w:bookmarkStart w:id="6" w:name="_Toc428259859"/>
      <w:r w:rsidRPr="002E4CD5">
        <w:rPr>
          <w:rFonts w:ascii="Times New Roman" w:hAnsi="Times New Roman"/>
          <w:sz w:val="22"/>
          <w:lang w:val="sk-SK"/>
        </w:rPr>
        <w:t>4.</w:t>
      </w:r>
      <w:r w:rsidR="00E83713" w:rsidRPr="002E4CD5">
        <w:rPr>
          <w:rFonts w:ascii="Times New Roman" w:hAnsi="Times New Roman"/>
          <w:sz w:val="22"/>
          <w:lang w:val="sk-SK"/>
        </w:rPr>
        <w:tab/>
      </w:r>
      <w:r w:rsidRPr="002E4CD5">
        <w:rPr>
          <w:rFonts w:ascii="Times New Roman" w:hAnsi="Times New Roman"/>
          <w:sz w:val="22"/>
          <w:lang w:val="sk-SK"/>
        </w:rPr>
        <w:t>KLINICKÉ ÚDAJE</w:t>
      </w:r>
      <w:bookmarkEnd w:id="6"/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  <w:bookmarkStart w:id="7" w:name="_Toc428259860"/>
      <w:r w:rsidRPr="002E4CD5">
        <w:rPr>
          <w:rFonts w:ascii="Times New Roman" w:hAnsi="Times New Roman"/>
          <w:i w:val="0"/>
          <w:sz w:val="22"/>
          <w:lang w:val="sk-SK"/>
        </w:rPr>
        <w:t>4.1</w:t>
      </w:r>
      <w:r w:rsidR="00E83713" w:rsidRPr="002E4CD5">
        <w:rPr>
          <w:rFonts w:ascii="Times New Roman" w:hAnsi="Times New Roman"/>
          <w:i w:val="0"/>
          <w:sz w:val="22"/>
          <w:lang w:val="sk-SK"/>
        </w:rPr>
        <w:tab/>
      </w:r>
      <w:r w:rsidRPr="002E4CD5">
        <w:rPr>
          <w:rFonts w:ascii="Times New Roman" w:hAnsi="Times New Roman"/>
          <w:i w:val="0"/>
          <w:sz w:val="22"/>
          <w:lang w:val="sk-SK"/>
        </w:rPr>
        <w:t>Terapeutické indikácie</w:t>
      </w:r>
      <w:bookmarkEnd w:id="7"/>
    </w:p>
    <w:p w:rsidR="00F56F72" w:rsidRPr="002E4CD5" w:rsidRDefault="00F56F72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</w:p>
    <w:p w:rsidR="00B976E6" w:rsidRPr="002E4CD5" w:rsidRDefault="00F56F72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 xml:space="preserve">Terapeutickou indikáciou akamprosátu je „udržanie abstinencie u pacientov závislých od alkoholu“ </w:t>
      </w:r>
    </w:p>
    <w:p w:rsidR="00F56F72" w:rsidRPr="002E4CD5" w:rsidRDefault="00F56F72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>v rámci komplexnej liečby závislosti.</w:t>
      </w: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  <w:bookmarkStart w:id="8" w:name="_Toc428259861"/>
      <w:r w:rsidRPr="002E4CD5">
        <w:rPr>
          <w:rFonts w:ascii="Times New Roman" w:hAnsi="Times New Roman"/>
          <w:i w:val="0"/>
          <w:sz w:val="22"/>
          <w:lang w:val="sk-SK"/>
        </w:rPr>
        <w:t>4.2</w:t>
      </w:r>
      <w:r w:rsidR="00E83713" w:rsidRPr="002E4CD5">
        <w:rPr>
          <w:rFonts w:ascii="Times New Roman" w:hAnsi="Times New Roman"/>
          <w:i w:val="0"/>
          <w:sz w:val="22"/>
          <w:lang w:val="sk-SK"/>
        </w:rPr>
        <w:tab/>
      </w:r>
      <w:r w:rsidRPr="002E4CD5">
        <w:rPr>
          <w:rFonts w:ascii="Times New Roman" w:hAnsi="Times New Roman"/>
          <w:i w:val="0"/>
          <w:sz w:val="22"/>
          <w:lang w:val="sk-SK"/>
        </w:rPr>
        <w:t xml:space="preserve">Dávkovanie a spôsob </w:t>
      </w:r>
      <w:r w:rsidR="00F1084A" w:rsidRPr="002E4CD5">
        <w:rPr>
          <w:rFonts w:ascii="Times New Roman" w:hAnsi="Times New Roman"/>
          <w:i w:val="0"/>
          <w:sz w:val="22"/>
          <w:lang w:val="sk-SK"/>
        </w:rPr>
        <w:t xml:space="preserve">podávania </w:t>
      </w:r>
      <w:bookmarkEnd w:id="8"/>
    </w:p>
    <w:p w:rsidR="00F56F72" w:rsidRPr="002E4CD5" w:rsidRDefault="00F56F72">
      <w:pPr>
        <w:pStyle w:val="Zkladntext3"/>
        <w:spacing w:before="0"/>
        <w:rPr>
          <w:rFonts w:ascii="Times New Roman" w:hAnsi="Times New Roman"/>
          <w:spacing w:val="0"/>
          <w:sz w:val="22"/>
          <w:lang w:val="sk-SK"/>
        </w:rPr>
      </w:pPr>
    </w:p>
    <w:p w:rsidR="00F56F72" w:rsidRPr="002E4CD5" w:rsidRDefault="00F56F72">
      <w:pPr>
        <w:pStyle w:val="Zkladntext3"/>
        <w:spacing w:before="0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>Dospelí s hmotnosťou nad 60 kg užívajú 2 tablety Campralu 3-krát denne (po 2 tablety ráno, na obed a večer).</w:t>
      </w:r>
      <w:r w:rsidRPr="002E4CD5">
        <w:rPr>
          <w:rFonts w:ascii="Times New Roman" w:hAnsi="Times New Roman"/>
          <w:spacing w:val="0"/>
          <w:sz w:val="22"/>
          <w:lang w:val="sk-SK"/>
        </w:rPr>
        <w:br/>
        <w:t>Pacienti s hmotnosťou pod 60 kg užívajú 4 tablety Campralu v troch dávkach (2 tablety ráno, po 1 na obed a večer).</w:t>
      </w:r>
      <w:r w:rsidRPr="002E4CD5">
        <w:rPr>
          <w:rFonts w:ascii="Times New Roman" w:hAnsi="Times New Roman"/>
          <w:spacing w:val="0"/>
          <w:sz w:val="22"/>
          <w:lang w:val="sk-SK"/>
        </w:rPr>
        <w:br/>
        <w:t>Odporúčaná dĺžka liečby Campralom je jeden rok.</w:t>
      </w: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  <w:bookmarkStart w:id="9" w:name="_Toc428259862"/>
      <w:r w:rsidRPr="002E4CD5">
        <w:rPr>
          <w:rFonts w:ascii="Times New Roman" w:hAnsi="Times New Roman"/>
          <w:i w:val="0"/>
          <w:sz w:val="22"/>
          <w:lang w:val="sk-SK"/>
        </w:rPr>
        <w:t>4.3</w:t>
      </w:r>
      <w:r w:rsidR="00E83713" w:rsidRPr="002E4CD5">
        <w:rPr>
          <w:rFonts w:ascii="Times New Roman" w:hAnsi="Times New Roman"/>
          <w:i w:val="0"/>
          <w:sz w:val="22"/>
          <w:lang w:val="sk-SK"/>
        </w:rPr>
        <w:tab/>
      </w:r>
      <w:r w:rsidRPr="002E4CD5">
        <w:rPr>
          <w:rFonts w:ascii="Times New Roman" w:hAnsi="Times New Roman"/>
          <w:i w:val="0"/>
          <w:sz w:val="22"/>
          <w:lang w:val="sk-SK"/>
        </w:rPr>
        <w:t>Kontraindikácie</w:t>
      </w:r>
      <w:bookmarkEnd w:id="9"/>
    </w:p>
    <w:p w:rsidR="00F56F72" w:rsidRPr="002E4CD5" w:rsidRDefault="00F56F72">
      <w:pPr>
        <w:pStyle w:val="Zkladntext2"/>
        <w:spacing w:before="0"/>
        <w:rPr>
          <w:rFonts w:ascii="Times New Roman" w:hAnsi="Times New Roman"/>
          <w:spacing w:val="0"/>
          <w:sz w:val="22"/>
          <w:lang w:val="sk-SK"/>
        </w:rPr>
      </w:pPr>
    </w:p>
    <w:p w:rsidR="00F56F72" w:rsidRPr="002E4CD5" w:rsidRDefault="00F1084A" w:rsidP="001F3850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 xml:space="preserve">Precitlivenosť </w:t>
      </w:r>
      <w:r w:rsidR="00F56F72" w:rsidRPr="002E4CD5">
        <w:rPr>
          <w:rFonts w:ascii="Times New Roman" w:hAnsi="Times New Roman"/>
          <w:spacing w:val="0"/>
          <w:sz w:val="22"/>
          <w:lang w:val="sk-SK"/>
        </w:rPr>
        <w:t xml:space="preserve">na </w:t>
      </w:r>
      <w:r w:rsidR="006E691E" w:rsidRPr="002E4CD5">
        <w:rPr>
          <w:rFonts w:ascii="Times New Roman" w:hAnsi="Times New Roman"/>
          <w:spacing w:val="0"/>
          <w:sz w:val="22"/>
          <w:lang w:val="sk-SK"/>
        </w:rPr>
        <w:t xml:space="preserve">akamprosát alebo na </w:t>
      </w:r>
      <w:r w:rsidR="00D630FF" w:rsidRPr="002E4CD5">
        <w:rPr>
          <w:rFonts w:ascii="Times New Roman" w:hAnsi="Times New Roman"/>
          <w:spacing w:val="0"/>
          <w:sz w:val="22"/>
          <w:lang w:val="sk-SK"/>
        </w:rPr>
        <w:t>ktorúkoľvek</w:t>
      </w:r>
      <w:r w:rsidR="006E691E" w:rsidRPr="002E4CD5">
        <w:rPr>
          <w:rFonts w:ascii="Times New Roman" w:hAnsi="Times New Roman"/>
          <w:spacing w:val="0"/>
          <w:sz w:val="22"/>
          <w:lang w:val="sk-SK"/>
        </w:rPr>
        <w:t xml:space="preserve"> z pomocných látok</w:t>
      </w:r>
      <w:r w:rsidR="00D630FF" w:rsidRPr="002E4CD5">
        <w:rPr>
          <w:rFonts w:ascii="Times New Roman" w:hAnsi="Times New Roman"/>
          <w:spacing w:val="0"/>
          <w:sz w:val="22"/>
          <w:lang w:val="sk-SK"/>
        </w:rPr>
        <w:t xml:space="preserve"> uvedených v časti 6.1.</w:t>
      </w:r>
    </w:p>
    <w:p w:rsidR="006E691E" w:rsidRPr="002E4CD5" w:rsidRDefault="006E691E" w:rsidP="001F3850">
      <w:pPr>
        <w:rPr>
          <w:sz w:val="22"/>
          <w:szCs w:val="22"/>
          <w:lang w:val="sk-SK"/>
        </w:rPr>
      </w:pPr>
      <w:r w:rsidRPr="002E4CD5">
        <w:rPr>
          <w:sz w:val="22"/>
          <w:szCs w:val="22"/>
          <w:lang w:val="sk-SK"/>
        </w:rPr>
        <w:t>Akamprosát je kontraindikovaný</w:t>
      </w:r>
      <w:r w:rsidR="00A602A6" w:rsidRPr="002E4CD5">
        <w:rPr>
          <w:sz w:val="22"/>
          <w:szCs w:val="22"/>
          <w:lang w:val="sk-SK"/>
        </w:rPr>
        <w:t>:</w:t>
      </w:r>
    </w:p>
    <w:p w:rsidR="006E691E" w:rsidRPr="002E4CD5" w:rsidRDefault="006E691E" w:rsidP="001F3850">
      <w:pPr>
        <w:numPr>
          <w:ilvl w:val="0"/>
          <w:numId w:val="3"/>
        </w:numPr>
        <w:rPr>
          <w:sz w:val="22"/>
          <w:szCs w:val="22"/>
          <w:lang w:val="sk-SK"/>
        </w:rPr>
      </w:pPr>
      <w:r w:rsidRPr="002E4CD5">
        <w:rPr>
          <w:sz w:val="22"/>
          <w:szCs w:val="22"/>
          <w:lang w:val="sk-SK"/>
        </w:rPr>
        <w:t>u pacientov s poškodením renálnych funkcií (sérová hladina kreatinínu  &gt;120 µmol/l)</w:t>
      </w:r>
    </w:p>
    <w:p w:rsidR="006E691E" w:rsidRPr="002E4CD5" w:rsidRDefault="006E691E" w:rsidP="001F3850">
      <w:pPr>
        <w:numPr>
          <w:ilvl w:val="0"/>
          <w:numId w:val="3"/>
        </w:numPr>
        <w:rPr>
          <w:sz w:val="22"/>
          <w:szCs w:val="22"/>
          <w:lang w:val="sk-SK"/>
        </w:rPr>
      </w:pPr>
      <w:r w:rsidRPr="002E4CD5">
        <w:rPr>
          <w:sz w:val="22"/>
          <w:szCs w:val="22"/>
          <w:lang w:val="sk-SK"/>
        </w:rPr>
        <w:t xml:space="preserve">u dojčiacich žien (pozri </w:t>
      </w:r>
      <w:r w:rsidR="00443DFC" w:rsidRPr="002E4CD5">
        <w:rPr>
          <w:sz w:val="22"/>
          <w:szCs w:val="22"/>
          <w:lang w:val="sk-SK"/>
        </w:rPr>
        <w:t>časť</w:t>
      </w:r>
      <w:r w:rsidRPr="002E4CD5">
        <w:rPr>
          <w:sz w:val="22"/>
          <w:szCs w:val="22"/>
          <w:lang w:val="sk-SK"/>
        </w:rPr>
        <w:t xml:space="preserve"> 4.6)</w:t>
      </w:r>
      <w:r w:rsidR="00A602A6" w:rsidRPr="002E4CD5">
        <w:rPr>
          <w:sz w:val="22"/>
          <w:szCs w:val="22"/>
          <w:lang w:val="sk-SK"/>
        </w:rPr>
        <w:t>.</w:t>
      </w:r>
      <w:r w:rsidRPr="002E4CD5">
        <w:rPr>
          <w:sz w:val="22"/>
          <w:szCs w:val="22"/>
          <w:lang w:val="sk-SK"/>
        </w:rPr>
        <w:t xml:space="preserve"> </w:t>
      </w: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  <w:bookmarkStart w:id="10" w:name="_Toc428259863"/>
      <w:r w:rsidRPr="002E4CD5">
        <w:rPr>
          <w:rFonts w:ascii="Times New Roman" w:hAnsi="Times New Roman"/>
          <w:i w:val="0"/>
          <w:sz w:val="22"/>
          <w:lang w:val="sk-SK"/>
        </w:rPr>
        <w:t>4.4</w:t>
      </w:r>
      <w:r w:rsidR="00E83713" w:rsidRPr="002E4CD5">
        <w:rPr>
          <w:rFonts w:ascii="Times New Roman" w:hAnsi="Times New Roman"/>
          <w:i w:val="0"/>
          <w:sz w:val="22"/>
          <w:lang w:val="sk-SK"/>
        </w:rPr>
        <w:tab/>
      </w:r>
      <w:r w:rsidRPr="002E4CD5">
        <w:rPr>
          <w:rFonts w:ascii="Times New Roman" w:hAnsi="Times New Roman"/>
          <w:i w:val="0"/>
          <w:sz w:val="22"/>
          <w:lang w:val="sk-SK"/>
        </w:rPr>
        <w:t>Osobitné upozornenia a opatrenia pri používaní</w:t>
      </w:r>
      <w:bookmarkEnd w:id="10"/>
    </w:p>
    <w:p w:rsidR="00F56F72" w:rsidRPr="002E4CD5" w:rsidRDefault="00F56F72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</w:p>
    <w:p w:rsidR="006E691E" w:rsidRPr="002E4CD5" w:rsidRDefault="006E691E" w:rsidP="006E691E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 xml:space="preserve">Bezpečnosť a účinnosť Campralu nebola stanovená u pacientov mladších ako 18 rokov a starších ako 65 rokov. Neodporúča sa užívať Campral </w:t>
      </w:r>
      <w:r w:rsidR="002A56B4" w:rsidRPr="002E4CD5">
        <w:rPr>
          <w:rFonts w:ascii="Times New Roman" w:hAnsi="Times New Roman"/>
          <w:spacing w:val="0"/>
          <w:sz w:val="22"/>
          <w:lang w:val="sk-SK"/>
        </w:rPr>
        <w:t>v</w:t>
      </w:r>
      <w:r w:rsidRPr="002E4CD5">
        <w:rPr>
          <w:rFonts w:ascii="Times New Roman" w:hAnsi="Times New Roman"/>
          <w:spacing w:val="0"/>
          <w:sz w:val="22"/>
          <w:lang w:val="sk-SK"/>
        </w:rPr>
        <w:t> uvedených vekových skup</w:t>
      </w:r>
      <w:r w:rsidR="002A56B4" w:rsidRPr="002E4CD5">
        <w:rPr>
          <w:rFonts w:ascii="Times New Roman" w:hAnsi="Times New Roman"/>
          <w:spacing w:val="0"/>
          <w:sz w:val="22"/>
          <w:lang w:val="sk-SK"/>
        </w:rPr>
        <w:t>i</w:t>
      </w:r>
      <w:r w:rsidRPr="002E4CD5">
        <w:rPr>
          <w:rFonts w:ascii="Times New Roman" w:hAnsi="Times New Roman"/>
          <w:spacing w:val="0"/>
          <w:sz w:val="22"/>
          <w:lang w:val="sk-SK"/>
        </w:rPr>
        <w:t>n</w:t>
      </w:r>
      <w:r w:rsidR="002A56B4" w:rsidRPr="002E4CD5">
        <w:rPr>
          <w:rFonts w:ascii="Times New Roman" w:hAnsi="Times New Roman"/>
          <w:spacing w:val="0"/>
          <w:sz w:val="22"/>
          <w:lang w:val="sk-SK"/>
        </w:rPr>
        <w:t>ách</w:t>
      </w:r>
      <w:r w:rsidRPr="002E4CD5">
        <w:rPr>
          <w:rFonts w:ascii="Times New Roman" w:hAnsi="Times New Roman"/>
          <w:spacing w:val="0"/>
          <w:sz w:val="22"/>
          <w:lang w:val="sk-SK"/>
        </w:rPr>
        <w:t>.</w:t>
      </w:r>
    </w:p>
    <w:p w:rsidR="006E691E" w:rsidRPr="002E4CD5" w:rsidRDefault="006E691E" w:rsidP="006E691E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</w:p>
    <w:p w:rsidR="006E691E" w:rsidRPr="002E4CD5" w:rsidRDefault="006E691E" w:rsidP="006E691E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>Bezpečnosť a účinnosť Campralu nebola stanovená u pacientov s ťažkou insuficienciou pečene (Child</w:t>
      </w:r>
      <w:r w:rsidR="002A56B4" w:rsidRPr="002E4CD5">
        <w:rPr>
          <w:rFonts w:ascii="Times New Roman" w:hAnsi="Times New Roman"/>
          <w:spacing w:val="0"/>
          <w:sz w:val="22"/>
          <w:lang w:val="sk-SK"/>
        </w:rPr>
        <w:t>ova</w:t>
      </w:r>
      <w:r w:rsidRPr="002E4CD5">
        <w:rPr>
          <w:rFonts w:ascii="Times New Roman" w:hAnsi="Times New Roman"/>
          <w:spacing w:val="0"/>
          <w:sz w:val="22"/>
          <w:lang w:val="sk-SK"/>
        </w:rPr>
        <w:t>-Pugh</w:t>
      </w:r>
      <w:r w:rsidR="002A56B4" w:rsidRPr="002E4CD5">
        <w:rPr>
          <w:rFonts w:ascii="Times New Roman" w:hAnsi="Times New Roman"/>
          <w:spacing w:val="0"/>
          <w:sz w:val="22"/>
          <w:lang w:val="sk-SK"/>
        </w:rPr>
        <w:t>ova</w:t>
      </w:r>
      <w:r w:rsidRPr="002E4CD5">
        <w:rPr>
          <w:rFonts w:ascii="Times New Roman" w:hAnsi="Times New Roman"/>
          <w:spacing w:val="0"/>
          <w:sz w:val="22"/>
          <w:lang w:val="sk-SK"/>
        </w:rPr>
        <w:t xml:space="preserve"> klasifikácia C).</w:t>
      </w:r>
    </w:p>
    <w:p w:rsidR="00F56F72" w:rsidRPr="002E4CD5" w:rsidRDefault="006E691E" w:rsidP="00CB5773">
      <w:pPr>
        <w:rPr>
          <w:sz w:val="22"/>
          <w:lang w:val="sk-SK"/>
        </w:rPr>
      </w:pPr>
      <w:bookmarkStart w:id="11" w:name="_Toc428258060"/>
      <w:r w:rsidRPr="002E4CD5">
        <w:rPr>
          <w:sz w:val="22"/>
          <w:lang w:val="sk-SK"/>
        </w:rPr>
        <w:lastRenderedPageBreak/>
        <w:t xml:space="preserve">Vzhľadom </w:t>
      </w:r>
      <w:r w:rsidR="002A56B4" w:rsidRPr="002E4CD5">
        <w:rPr>
          <w:sz w:val="22"/>
          <w:lang w:val="sk-SK"/>
        </w:rPr>
        <w:t>na</w:t>
      </w:r>
      <w:r w:rsidRPr="002E4CD5">
        <w:rPr>
          <w:sz w:val="22"/>
          <w:lang w:val="sk-SK"/>
        </w:rPr>
        <w:t> dobre znám</w:t>
      </w:r>
      <w:r w:rsidR="002A56B4" w:rsidRPr="002E4CD5">
        <w:rPr>
          <w:sz w:val="22"/>
          <w:lang w:val="sk-SK"/>
        </w:rPr>
        <w:t>y</w:t>
      </w:r>
      <w:r w:rsidRPr="002E4CD5">
        <w:rPr>
          <w:sz w:val="22"/>
          <w:lang w:val="sk-SK"/>
        </w:rPr>
        <w:t xml:space="preserve"> a zložit</w:t>
      </w:r>
      <w:r w:rsidR="002A56B4" w:rsidRPr="002E4CD5">
        <w:rPr>
          <w:sz w:val="22"/>
          <w:lang w:val="sk-SK"/>
        </w:rPr>
        <w:t>ý</w:t>
      </w:r>
      <w:r w:rsidRPr="002E4CD5">
        <w:rPr>
          <w:sz w:val="22"/>
          <w:lang w:val="sk-SK"/>
        </w:rPr>
        <w:t xml:space="preserve"> vzájomn</w:t>
      </w:r>
      <w:r w:rsidR="002A56B4" w:rsidRPr="002E4CD5">
        <w:rPr>
          <w:sz w:val="22"/>
          <w:lang w:val="sk-SK"/>
        </w:rPr>
        <w:t>ý</w:t>
      </w:r>
      <w:r w:rsidRPr="002E4CD5">
        <w:rPr>
          <w:sz w:val="22"/>
          <w:lang w:val="sk-SK"/>
        </w:rPr>
        <w:t xml:space="preserve"> vzťah </w:t>
      </w:r>
      <w:r w:rsidR="00F56F72" w:rsidRPr="002E4CD5">
        <w:rPr>
          <w:sz w:val="22"/>
          <w:lang w:val="sk-SK"/>
        </w:rPr>
        <w:t xml:space="preserve">medzi alkoholovou závislosťou, depresiou a sklonom ku samovražde, odporúča sa u pacientov závislých </w:t>
      </w:r>
      <w:r w:rsidR="002A56B4" w:rsidRPr="002E4CD5">
        <w:rPr>
          <w:sz w:val="22"/>
          <w:lang w:val="sk-SK"/>
        </w:rPr>
        <w:t>od alkoholu</w:t>
      </w:r>
      <w:r w:rsidR="00F56F72" w:rsidRPr="002E4CD5">
        <w:rPr>
          <w:sz w:val="22"/>
          <w:lang w:val="sk-SK"/>
        </w:rPr>
        <w:t>, vrátane tých, ktorí sú liečení akamprosátom, monitorovať príslušné symptómy.</w:t>
      </w:r>
      <w:bookmarkEnd w:id="11"/>
    </w:p>
    <w:p w:rsidR="006E691E" w:rsidRPr="002E4CD5" w:rsidRDefault="006E691E" w:rsidP="006E691E">
      <w:pPr>
        <w:rPr>
          <w:lang w:val="sk-SK"/>
        </w:rPr>
      </w:pPr>
    </w:p>
    <w:p w:rsidR="006E691E" w:rsidRPr="002E4CD5" w:rsidRDefault="006E691E" w:rsidP="006E691E">
      <w:pPr>
        <w:rPr>
          <w:i/>
          <w:sz w:val="22"/>
          <w:szCs w:val="22"/>
          <w:lang w:val="sk-SK"/>
        </w:rPr>
      </w:pPr>
      <w:r w:rsidRPr="002E4CD5">
        <w:rPr>
          <w:i/>
          <w:sz w:val="22"/>
          <w:szCs w:val="22"/>
          <w:lang w:val="sk-SK"/>
        </w:rPr>
        <w:t>Nadmerné užívanie a závislosť</w:t>
      </w:r>
    </w:p>
    <w:p w:rsidR="006E691E" w:rsidRPr="002E4CD5" w:rsidRDefault="006E691E" w:rsidP="006E691E">
      <w:pPr>
        <w:rPr>
          <w:sz w:val="22"/>
          <w:szCs w:val="22"/>
          <w:lang w:val="sk-SK"/>
        </w:rPr>
      </w:pPr>
      <w:r w:rsidRPr="002E4CD5">
        <w:rPr>
          <w:sz w:val="22"/>
          <w:szCs w:val="22"/>
          <w:lang w:val="sk-SK"/>
        </w:rPr>
        <w:t xml:space="preserve">Neklinické štúdie potvrdzujú, že akamprosát má minimálny alebo </w:t>
      </w:r>
      <w:r w:rsidR="002A56B4" w:rsidRPr="002E4CD5">
        <w:rPr>
          <w:sz w:val="22"/>
          <w:szCs w:val="22"/>
          <w:lang w:val="sk-SK"/>
        </w:rPr>
        <w:t xml:space="preserve">nemá </w:t>
      </w:r>
      <w:r w:rsidRPr="002E4CD5">
        <w:rPr>
          <w:sz w:val="22"/>
          <w:szCs w:val="22"/>
          <w:lang w:val="sk-SK"/>
        </w:rPr>
        <w:t xml:space="preserve">žiadny potenciál nadmerného užívania. Klinické štúdie, v priebehu ktorých nebol dokázaný vznik závislosti </w:t>
      </w:r>
      <w:r w:rsidR="002A56B4" w:rsidRPr="002E4CD5">
        <w:rPr>
          <w:sz w:val="22"/>
          <w:szCs w:val="22"/>
          <w:lang w:val="sk-SK"/>
        </w:rPr>
        <w:t>od</w:t>
      </w:r>
      <w:r w:rsidRPr="002E4CD5">
        <w:rPr>
          <w:sz w:val="22"/>
          <w:szCs w:val="22"/>
          <w:lang w:val="sk-SK"/>
        </w:rPr>
        <w:t xml:space="preserve"> akamprosát</w:t>
      </w:r>
      <w:r w:rsidR="00F06EE3" w:rsidRPr="002E4CD5">
        <w:rPr>
          <w:sz w:val="22"/>
          <w:szCs w:val="22"/>
          <w:lang w:val="sk-SK"/>
        </w:rPr>
        <w:t>u</w:t>
      </w:r>
      <w:r w:rsidRPr="002E4CD5">
        <w:rPr>
          <w:sz w:val="22"/>
          <w:szCs w:val="22"/>
          <w:lang w:val="sk-SK"/>
        </w:rPr>
        <w:t>, poukazujú na bezvýznamný potenciál vzniku závislosti u akamprosátu.</w:t>
      </w:r>
    </w:p>
    <w:p w:rsidR="006E691E" w:rsidRPr="002E4CD5" w:rsidRDefault="006E691E" w:rsidP="006E691E">
      <w:pPr>
        <w:rPr>
          <w:lang w:val="sk-SK"/>
        </w:rPr>
      </w:pPr>
    </w:p>
    <w:p w:rsidR="00AC5AE4" w:rsidRPr="002E4CD5" w:rsidRDefault="00AC5AE4" w:rsidP="00AC5AE4">
      <w:pPr>
        <w:rPr>
          <w:i/>
          <w:sz w:val="22"/>
          <w:szCs w:val="22"/>
          <w:lang w:val="sk-SK"/>
        </w:rPr>
      </w:pPr>
      <w:r w:rsidRPr="002E4CD5">
        <w:rPr>
          <w:i/>
          <w:sz w:val="22"/>
          <w:szCs w:val="22"/>
          <w:lang w:val="sk-SK"/>
        </w:rPr>
        <w:t>Pomocné látky so známym účinkom</w:t>
      </w:r>
      <w:r w:rsidRPr="002E4CD5" w:rsidDel="00AC5AE4">
        <w:rPr>
          <w:i/>
          <w:sz w:val="22"/>
          <w:szCs w:val="22"/>
          <w:lang w:val="sk-SK"/>
        </w:rPr>
        <w:t xml:space="preserve"> </w:t>
      </w:r>
    </w:p>
    <w:p w:rsidR="003823B8" w:rsidRPr="00AC5AE4" w:rsidRDefault="003823B8" w:rsidP="00AC5AE4">
      <w:pPr>
        <w:rPr>
          <w:lang w:val="sk-SK"/>
        </w:rPr>
      </w:pPr>
      <w:r w:rsidRPr="00AC5AE4">
        <w:rPr>
          <w:sz w:val="22"/>
          <w:szCs w:val="22"/>
          <w:lang w:val="sk-SK"/>
        </w:rPr>
        <w:t>Tento liek obsahuje menej ako 1 mmol (23 mg) sodíka v jednej dávke, t. j. v podstate zanedbateľné množstvo sodíka.</w:t>
      </w:r>
    </w:p>
    <w:p w:rsidR="00F56F72" w:rsidRPr="002E4CD5" w:rsidRDefault="00F56F72">
      <w:pPr>
        <w:rPr>
          <w:sz w:val="22"/>
          <w:lang w:val="sk-SK"/>
        </w:rPr>
      </w:pP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  <w:bookmarkStart w:id="12" w:name="_Toc428259864"/>
      <w:r w:rsidRPr="002E4CD5">
        <w:rPr>
          <w:rFonts w:ascii="Times New Roman" w:hAnsi="Times New Roman"/>
          <w:i w:val="0"/>
          <w:sz w:val="22"/>
          <w:lang w:val="sk-SK"/>
        </w:rPr>
        <w:t>4.5</w:t>
      </w:r>
      <w:r w:rsidR="00E83713" w:rsidRPr="002E4CD5">
        <w:rPr>
          <w:rFonts w:ascii="Times New Roman" w:hAnsi="Times New Roman"/>
          <w:i w:val="0"/>
          <w:sz w:val="22"/>
          <w:lang w:val="sk-SK"/>
        </w:rPr>
        <w:tab/>
      </w:r>
      <w:r w:rsidRPr="002E4CD5">
        <w:rPr>
          <w:rFonts w:ascii="Times New Roman" w:hAnsi="Times New Roman"/>
          <w:i w:val="0"/>
          <w:sz w:val="22"/>
          <w:lang w:val="sk-SK"/>
        </w:rPr>
        <w:t>Liekové a iné interakcie</w:t>
      </w:r>
      <w:bookmarkEnd w:id="12"/>
    </w:p>
    <w:p w:rsidR="006E691E" w:rsidRPr="002E4CD5" w:rsidRDefault="006E691E" w:rsidP="006E691E">
      <w:pPr>
        <w:rPr>
          <w:lang w:val="sk-SK"/>
        </w:rPr>
      </w:pPr>
    </w:p>
    <w:p w:rsidR="006E691E" w:rsidRPr="002E4CD5" w:rsidRDefault="006E691E" w:rsidP="00933D04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>Nebola zaznamenaná žiadna zmena frekvencie výskytu klinických a/alebo biologických nežiad</w:t>
      </w:r>
      <w:r w:rsidR="004579D5" w:rsidRPr="002E4CD5">
        <w:rPr>
          <w:rFonts w:ascii="Times New Roman" w:hAnsi="Times New Roman"/>
          <w:spacing w:val="0"/>
          <w:sz w:val="22"/>
          <w:lang w:val="sk-SK"/>
        </w:rPr>
        <w:t>u</w:t>
      </w:r>
      <w:r w:rsidRPr="002E4CD5">
        <w:rPr>
          <w:rFonts w:ascii="Times New Roman" w:hAnsi="Times New Roman"/>
          <w:spacing w:val="0"/>
          <w:sz w:val="22"/>
          <w:lang w:val="sk-SK"/>
        </w:rPr>
        <w:t>cich účinkov pri súčasnom užívaní akamprosátu a disulfiramu, oxazepamu, tetrabamátu alebo</w:t>
      </w:r>
      <w:r w:rsidR="00933D04" w:rsidRPr="002E4CD5">
        <w:rPr>
          <w:rFonts w:ascii="Times New Roman" w:hAnsi="Times New Roman"/>
          <w:spacing w:val="0"/>
          <w:sz w:val="22"/>
          <w:lang w:val="sk-SK"/>
        </w:rPr>
        <w:t xml:space="preserve"> </w:t>
      </w:r>
      <w:r w:rsidRPr="002E4CD5">
        <w:rPr>
          <w:rFonts w:ascii="Times New Roman" w:hAnsi="Times New Roman"/>
          <w:spacing w:val="0"/>
          <w:sz w:val="22"/>
          <w:lang w:val="sk-SK"/>
        </w:rPr>
        <w:t>meprobamátu.</w:t>
      </w:r>
    </w:p>
    <w:p w:rsidR="006E691E" w:rsidRPr="002E4CD5" w:rsidRDefault="006E691E" w:rsidP="006E691E">
      <w:pPr>
        <w:pStyle w:val="Zkladntext2"/>
        <w:spacing w:before="0"/>
        <w:rPr>
          <w:rFonts w:ascii="Times New Roman" w:hAnsi="Times New Roman"/>
          <w:spacing w:val="0"/>
          <w:sz w:val="22"/>
          <w:lang w:val="sk-SK"/>
        </w:rPr>
      </w:pPr>
    </w:p>
    <w:p w:rsidR="006E691E" w:rsidRPr="002E4CD5" w:rsidRDefault="006E691E" w:rsidP="00933D04">
      <w:pPr>
        <w:pStyle w:val="Zkladntext2"/>
        <w:spacing w:before="0"/>
        <w:jc w:val="left"/>
        <w:rPr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>V priebehu klinických štúdií bol akamprosát bezpečne podávaný v kombinácii s antidepresívami, anxiolytikami, hypnotikami, sedatívami a neopioidnými analgetikami.</w:t>
      </w:r>
    </w:p>
    <w:p w:rsidR="00F56F72" w:rsidRPr="002E4CD5" w:rsidRDefault="006E691E" w:rsidP="00933D04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 xml:space="preserve">Súčasný príjem </w:t>
      </w:r>
      <w:r w:rsidR="00F56F72" w:rsidRPr="002E4CD5">
        <w:rPr>
          <w:rFonts w:ascii="Times New Roman" w:hAnsi="Times New Roman"/>
          <w:spacing w:val="0"/>
          <w:sz w:val="22"/>
          <w:lang w:val="sk-SK"/>
        </w:rPr>
        <w:t xml:space="preserve">alkoholu </w:t>
      </w:r>
      <w:r w:rsidRPr="002E4CD5">
        <w:rPr>
          <w:rFonts w:ascii="Times New Roman" w:hAnsi="Times New Roman"/>
          <w:spacing w:val="0"/>
          <w:sz w:val="22"/>
          <w:lang w:val="sk-SK"/>
        </w:rPr>
        <w:t xml:space="preserve">a </w:t>
      </w:r>
      <w:r w:rsidR="00F56F72" w:rsidRPr="002E4CD5">
        <w:rPr>
          <w:rFonts w:ascii="Times New Roman" w:hAnsi="Times New Roman"/>
          <w:spacing w:val="0"/>
          <w:sz w:val="22"/>
          <w:lang w:val="sk-SK"/>
        </w:rPr>
        <w:t>Campral</w:t>
      </w:r>
      <w:r w:rsidRPr="002E4CD5">
        <w:rPr>
          <w:rFonts w:ascii="Times New Roman" w:hAnsi="Times New Roman"/>
          <w:spacing w:val="0"/>
          <w:sz w:val="22"/>
          <w:lang w:val="sk-SK"/>
        </w:rPr>
        <w:t>u</w:t>
      </w:r>
      <w:r w:rsidR="00F56F72" w:rsidRPr="002E4CD5">
        <w:rPr>
          <w:rFonts w:ascii="Times New Roman" w:hAnsi="Times New Roman"/>
          <w:spacing w:val="0"/>
          <w:sz w:val="22"/>
          <w:lang w:val="sk-SK"/>
        </w:rPr>
        <w:t xml:space="preserve"> nemení farmakokinetické charakteristiky </w:t>
      </w:r>
      <w:r w:rsidR="00842050" w:rsidRPr="002E4CD5">
        <w:rPr>
          <w:rFonts w:ascii="Times New Roman" w:hAnsi="Times New Roman"/>
          <w:spacing w:val="0"/>
          <w:sz w:val="22"/>
          <w:lang w:val="sk-SK"/>
        </w:rPr>
        <w:t xml:space="preserve">ani </w:t>
      </w:r>
      <w:r w:rsidR="00F56F72" w:rsidRPr="002E4CD5">
        <w:rPr>
          <w:rFonts w:ascii="Times New Roman" w:hAnsi="Times New Roman"/>
          <w:spacing w:val="0"/>
          <w:sz w:val="22"/>
          <w:lang w:val="sk-SK"/>
        </w:rPr>
        <w:t xml:space="preserve">alkoholu </w:t>
      </w:r>
      <w:r w:rsidR="0080507A" w:rsidRPr="002E4CD5">
        <w:rPr>
          <w:rFonts w:ascii="Times New Roman" w:hAnsi="Times New Roman"/>
          <w:spacing w:val="0"/>
          <w:sz w:val="22"/>
          <w:lang w:val="sk-SK"/>
        </w:rPr>
        <w:t xml:space="preserve">ani </w:t>
      </w:r>
      <w:r w:rsidR="00F56F72" w:rsidRPr="002E4CD5">
        <w:rPr>
          <w:rFonts w:ascii="Times New Roman" w:hAnsi="Times New Roman"/>
          <w:spacing w:val="0"/>
          <w:sz w:val="22"/>
          <w:lang w:val="sk-SK"/>
        </w:rPr>
        <w:t>akampros</w:t>
      </w:r>
      <w:r w:rsidR="00B976E6" w:rsidRPr="002E4CD5">
        <w:rPr>
          <w:rFonts w:ascii="Times New Roman" w:hAnsi="Times New Roman"/>
          <w:spacing w:val="0"/>
          <w:sz w:val="22"/>
          <w:lang w:val="sk-SK"/>
        </w:rPr>
        <w:t>á</w:t>
      </w:r>
      <w:r w:rsidR="00F56F72" w:rsidRPr="002E4CD5">
        <w:rPr>
          <w:rFonts w:ascii="Times New Roman" w:hAnsi="Times New Roman"/>
          <w:spacing w:val="0"/>
          <w:sz w:val="22"/>
          <w:lang w:val="sk-SK"/>
        </w:rPr>
        <w:t>tu.</w:t>
      </w:r>
    </w:p>
    <w:p w:rsidR="00F56F72" w:rsidRPr="002E4CD5" w:rsidRDefault="00F56F72" w:rsidP="00933D04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>Podávanie Campralu spolu s jedlom znižuje jeho biologickú dostupnosť v porovnaní s podaním nalačno.</w:t>
      </w: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  <w:bookmarkStart w:id="13" w:name="_Toc428259865"/>
      <w:r w:rsidRPr="002E4CD5">
        <w:rPr>
          <w:rFonts w:ascii="Times New Roman" w:hAnsi="Times New Roman"/>
          <w:i w:val="0"/>
          <w:sz w:val="22"/>
          <w:lang w:val="sk-SK"/>
        </w:rPr>
        <w:t>4.6</w:t>
      </w:r>
      <w:r w:rsidR="00E83713" w:rsidRPr="002E4CD5">
        <w:rPr>
          <w:rFonts w:ascii="Times New Roman" w:hAnsi="Times New Roman"/>
          <w:i w:val="0"/>
          <w:sz w:val="22"/>
          <w:lang w:val="sk-SK"/>
        </w:rPr>
        <w:tab/>
      </w:r>
      <w:r w:rsidR="00514A7A" w:rsidRPr="002E4CD5">
        <w:rPr>
          <w:rFonts w:ascii="Times New Roman" w:hAnsi="Times New Roman"/>
          <w:i w:val="0"/>
          <w:sz w:val="22"/>
          <w:lang w:val="sk-SK"/>
        </w:rPr>
        <w:t>Fertilita, g</w:t>
      </w:r>
      <w:r w:rsidRPr="002E4CD5">
        <w:rPr>
          <w:rFonts w:ascii="Times New Roman" w:hAnsi="Times New Roman"/>
          <w:i w:val="0"/>
          <w:sz w:val="22"/>
          <w:lang w:val="sk-SK"/>
        </w:rPr>
        <w:t>ravidita a</w:t>
      </w:r>
      <w:bookmarkEnd w:id="13"/>
      <w:r w:rsidR="00E25191" w:rsidRPr="002E4CD5">
        <w:rPr>
          <w:rFonts w:ascii="Times New Roman" w:hAnsi="Times New Roman"/>
          <w:i w:val="0"/>
          <w:sz w:val="22"/>
          <w:lang w:val="sk-SK"/>
        </w:rPr>
        <w:t xml:space="preserve"> laktácia</w:t>
      </w:r>
    </w:p>
    <w:p w:rsidR="00F56F72" w:rsidRPr="002E4CD5" w:rsidRDefault="00F56F72">
      <w:pPr>
        <w:pStyle w:val="Zkladntext2"/>
        <w:spacing w:before="0"/>
        <w:rPr>
          <w:rFonts w:ascii="Times New Roman" w:hAnsi="Times New Roman"/>
          <w:spacing w:val="0"/>
          <w:sz w:val="22"/>
          <w:lang w:val="sk-SK"/>
        </w:rPr>
      </w:pPr>
    </w:p>
    <w:p w:rsidR="00842050" w:rsidRPr="002E4CD5" w:rsidRDefault="00842050">
      <w:pPr>
        <w:pStyle w:val="Zkladntext2"/>
        <w:spacing w:before="0"/>
        <w:rPr>
          <w:rFonts w:ascii="Times New Roman" w:hAnsi="Times New Roman"/>
          <w:spacing w:val="0"/>
          <w:sz w:val="22"/>
          <w:u w:val="single"/>
          <w:lang w:val="sk-SK"/>
        </w:rPr>
      </w:pPr>
      <w:r w:rsidRPr="002E4CD5">
        <w:rPr>
          <w:rFonts w:ascii="Times New Roman" w:hAnsi="Times New Roman"/>
          <w:spacing w:val="0"/>
          <w:sz w:val="22"/>
          <w:u w:val="single"/>
          <w:lang w:val="sk-SK"/>
        </w:rPr>
        <w:t>Gravidita</w:t>
      </w:r>
    </w:p>
    <w:p w:rsidR="00F56F72" w:rsidRPr="002E4CD5" w:rsidRDefault="00842050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 xml:space="preserve">Neexistujú relevantné údaje o užívaní Campralu počas gravidity. Štúdie na zvieratách </w:t>
      </w:r>
      <w:r w:rsidR="00D56BC5" w:rsidRPr="002E4CD5">
        <w:rPr>
          <w:rFonts w:ascii="Times New Roman" w:hAnsi="Times New Roman"/>
          <w:spacing w:val="0"/>
          <w:sz w:val="22"/>
          <w:lang w:val="sk-SK"/>
        </w:rPr>
        <w:t xml:space="preserve">nepreukázali  žiadnu </w:t>
      </w:r>
      <w:r w:rsidR="00F56F72" w:rsidRPr="002E4CD5">
        <w:rPr>
          <w:rFonts w:ascii="Times New Roman" w:hAnsi="Times New Roman"/>
          <w:spacing w:val="0"/>
          <w:sz w:val="22"/>
          <w:lang w:val="sk-SK"/>
        </w:rPr>
        <w:t>fetotoxicit</w:t>
      </w:r>
      <w:r w:rsidR="00D56BC5" w:rsidRPr="002E4CD5">
        <w:rPr>
          <w:rFonts w:ascii="Times New Roman" w:hAnsi="Times New Roman"/>
          <w:spacing w:val="0"/>
          <w:sz w:val="22"/>
          <w:lang w:val="sk-SK"/>
        </w:rPr>
        <w:t>u</w:t>
      </w:r>
      <w:r w:rsidR="00F56F72" w:rsidRPr="002E4CD5">
        <w:rPr>
          <w:rFonts w:ascii="Times New Roman" w:hAnsi="Times New Roman"/>
          <w:spacing w:val="0"/>
          <w:sz w:val="22"/>
          <w:lang w:val="sk-SK"/>
        </w:rPr>
        <w:t xml:space="preserve"> </w:t>
      </w:r>
      <w:r w:rsidR="00D56BC5" w:rsidRPr="002E4CD5">
        <w:rPr>
          <w:rFonts w:ascii="Times New Roman" w:hAnsi="Times New Roman"/>
          <w:spacing w:val="0"/>
          <w:sz w:val="22"/>
          <w:lang w:val="sk-SK"/>
        </w:rPr>
        <w:t xml:space="preserve">či </w:t>
      </w:r>
      <w:r w:rsidR="00F56F72" w:rsidRPr="002E4CD5">
        <w:rPr>
          <w:rFonts w:ascii="Times New Roman" w:hAnsi="Times New Roman"/>
          <w:spacing w:val="0"/>
          <w:sz w:val="22"/>
          <w:lang w:val="sk-SK"/>
        </w:rPr>
        <w:t>teratogeni</w:t>
      </w:r>
      <w:r w:rsidR="00933D04" w:rsidRPr="002E4CD5">
        <w:rPr>
          <w:rFonts w:ascii="Times New Roman" w:hAnsi="Times New Roman"/>
          <w:spacing w:val="0"/>
          <w:sz w:val="22"/>
          <w:lang w:val="sk-SK"/>
        </w:rPr>
        <w:t>tu</w:t>
      </w:r>
      <w:r w:rsidR="00F56F72" w:rsidRPr="002E4CD5">
        <w:rPr>
          <w:rFonts w:ascii="Times New Roman" w:hAnsi="Times New Roman"/>
          <w:spacing w:val="0"/>
          <w:sz w:val="22"/>
          <w:lang w:val="sk-SK"/>
        </w:rPr>
        <w:t xml:space="preserve"> akamprosátu</w:t>
      </w:r>
      <w:r w:rsidR="00D56BC5" w:rsidRPr="002E4CD5">
        <w:rPr>
          <w:rFonts w:ascii="Times New Roman" w:hAnsi="Times New Roman"/>
          <w:spacing w:val="0"/>
          <w:sz w:val="22"/>
          <w:lang w:val="sk-SK"/>
        </w:rPr>
        <w:t>.</w:t>
      </w:r>
      <w:r w:rsidR="00F56F72" w:rsidRPr="002E4CD5">
        <w:rPr>
          <w:rFonts w:ascii="Times New Roman" w:hAnsi="Times New Roman"/>
          <w:spacing w:val="0"/>
          <w:sz w:val="22"/>
          <w:lang w:val="sk-SK"/>
        </w:rPr>
        <w:t xml:space="preserve"> </w:t>
      </w:r>
      <w:r w:rsidR="00D56BC5" w:rsidRPr="002E4CD5">
        <w:rPr>
          <w:rFonts w:ascii="Times New Roman" w:hAnsi="Times New Roman"/>
          <w:spacing w:val="0"/>
          <w:sz w:val="22"/>
          <w:lang w:val="sk-SK"/>
        </w:rPr>
        <w:t xml:space="preserve">Campral </w:t>
      </w:r>
      <w:r w:rsidR="0080507A" w:rsidRPr="002E4CD5">
        <w:rPr>
          <w:rFonts w:ascii="Times New Roman" w:hAnsi="Times New Roman"/>
          <w:spacing w:val="0"/>
          <w:sz w:val="22"/>
          <w:lang w:val="sk-SK"/>
        </w:rPr>
        <w:t xml:space="preserve">sa </w:t>
      </w:r>
      <w:r w:rsidR="00933D04" w:rsidRPr="002E4CD5">
        <w:rPr>
          <w:rFonts w:ascii="Times New Roman" w:hAnsi="Times New Roman"/>
          <w:spacing w:val="0"/>
          <w:sz w:val="22"/>
          <w:lang w:val="sk-SK"/>
        </w:rPr>
        <w:t>smie</w:t>
      </w:r>
      <w:r w:rsidR="0080507A" w:rsidRPr="002E4CD5">
        <w:rPr>
          <w:rFonts w:ascii="Times New Roman" w:hAnsi="Times New Roman"/>
          <w:spacing w:val="0"/>
          <w:sz w:val="22"/>
          <w:lang w:val="sk-SK"/>
        </w:rPr>
        <w:t xml:space="preserve"> podávať</w:t>
      </w:r>
      <w:r w:rsidR="00D56BC5" w:rsidRPr="002E4CD5">
        <w:rPr>
          <w:rFonts w:ascii="Times New Roman" w:hAnsi="Times New Roman"/>
          <w:spacing w:val="0"/>
          <w:sz w:val="22"/>
          <w:lang w:val="sk-SK"/>
        </w:rPr>
        <w:t xml:space="preserve"> v priebehu gravidity len po dôkladnom </w:t>
      </w:r>
      <w:r w:rsidR="00D41121" w:rsidRPr="002E4CD5">
        <w:rPr>
          <w:rFonts w:ascii="Times New Roman" w:hAnsi="Times New Roman"/>
          <w:spacing w:val="0"/>
          <w:sz w:val="22"/>
          <w:lang w:val="sk-SK"/>
        </w:rPr>
        <w:t>zvážení rizika a prínosu, v prípade keď pacientka nemôže abstinovať od alkoholu bez liečby Campralom a v prípade následného rizika fetotoxicity a teratogenity v dôsledku požívania alkoholu.</w:t>
      </w:r>
    </w:p>
    <w:p w:rsidR="00D41121" w:rsidRPr="002E4CD5" w:rsidRDefault="00D41121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</w:p>
    <w:p w:rsidR="00D41121" w:rsidRPr="002E4CD5" w:rsidRDefault="00F1084A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u w:val="single"/>
          <w:lang w:val="sk-SK"/>
        </w:rPr>
      </w:pPr>
      <w:r w:rsidRPr="002E4CD5">
        <w:rPr>
          <w:rFonts w:ascii="Times New Roman" w:hAnsi="Times New Roman"/>
          <w:spacing w:val="0"/>
          <w:sz w:val="22"/>
          <w:u w:val="single"/>
          <w:lang w:val="sk-SK"/>
        </w:rPr>
        <w:t>Dojčenie</w:t>
      </w:r>
    </w:p>
    <w:p w:rsidR="00D41121" w:rsidRPr="002E4CD5" w:rsidRDefault="00D41121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 xml:space="preserve">Je známe, že Campral </w:t>
      </w:r>
      <w:r w:rsidR="00E44D52" w:rsidRPr="002E4CD5">
        <w:rPr>
          <w:rFonts w:ascii="Times New Roman" w:hAnsi="Times New Roman"/>
          <w:spacing w:val="0"/>
          <w:sz w:val="22"/>
          <w:lang w:val="sk-SK"/>
        </w:rPr>
        <w:t xml:space="preserve">preniká do mlieka dojčiacich zvierat. </w:t>
      </w:r>
    </w:p>
    <w:p w:rsidR="00F56F72" w:rsidRPr="002E4CD5" w:rsidRDefault="00F56F72">
      <w:pPr>
        <w:rPr>
          <w:sz w:val="22"/>
          <w:lang w:val="sk-SK"/>
        </w:rPr>
      </w:pPr>
      <w:r w:rsidRPr="002E4CD5">
        <w:rPr>
          <w:sz w:val="22"/>
          <w:lang w:val="sk-SK"/>
        </w:rPr>
        <w:t xml:space="preserve">Keďže nie sú dostupné údaje o prieniku akamprosátu do materského mlieka, </w:t>
      </w:r>
      <w:r w:rsidR="001D6C38" w:rsidRPr="002E4CD5">
        <w:rPr>
          <w:sz w:val="22"/>
          <w:lang w:val="sk-SK"/>
        </w:rPr>
        <w:t xml:space="preserve">nesmie sa </w:t>
      </w:r>
      <w:r w:rsidRPr="002E4CD5">
        <w:rPr>
          <w:sz w:val="22"/>
          <w:lang w:val="sk-SK"/>
        </w:rPr>
        <w:t>podáva</w:t>
      </w:r>
      <w:r w:rsidR="001D6C38" w:rsidRPr="002E4CD5">
        <w:rPr>
          <w:sz w:val="22"/>
          <w:lang w:val="sk-SK"/>
        </w:rPr>
        <w:t>ť</w:t>
      </w:r>
      <w:r w:rsidRPr="002E4CD5">
        <w:rPr>
          <w:sz w:val="22"/>
          <w:lang w:val="sk-SK"/>
        </w:rPr>
        <w:t xml:space="preserve"> dojčiacim matkám.</w:t>
      </w:r>
    </w:p>
    <w:p w:rsidR="00E44D52" w:rsidRPr="002E4CD5" w:rsidRDefault="00E44D52">
      <w:pPr>
        <w:rPr>
          <w:sz w:val="22"/>
          <w:lang w:val="sk-SK"/>
        </w:rPr>
      </w:pPr>
      <w:r w:rsidRPr="002E4CD5">
        <w:rPr>
          <w:sz w:val="22"/>
          <w:lang w:val="sk-SK"/>
        </w:rPr>
        <w:t>Ak dojčiaca žena nemôže abstinovať od alkoholu bez liečby akamprosátom</w:t>
      </w:r>
      <w:r w:rsidR="00CA6902" w:rsidRPr="002E4CD5">
        <w:rPr>
          <w:sz w:val="22"/>
          <w:lang w:val="sk-SK"/>
        </w:rPr>
        <w:t>, je potrebné zvážiť, či preru</w:t>
      </w:r>
      <w:r w:rsidR="00A3368C" w:rsidRPr="002E4CD5">
        <w:rPr>
          <w:sz w:val="22"/>
          <w:lang w:val="sk-SK"/>
        </w:rPr>
        <w:t>š</w:t>
      </w:r>
      <w:r w:rsidR="00CA6902" w:rsidRPr="002E4CD5">
        <w:rPr>
          <w:sz w:val="22"/>
          <w:lang w:val="sk-SK"/>
        </w:rPr>
        <w:t xml:space="preserve">iť dojčenie alebo liečbu Campralom, berúc do úvahy význam liečby pre </w:t>
      </w:r>
      <w:r w:rsidR="00A3368C" w:rsidRPr="002E4CD5">
        <w:rPr>
          <w:sz w:val="22"/>
          <w:lang w:val="sk-SK"/>
        </w:rPr>
        <w:t>danú</w:t>
      </w:r>
      <w:r w:rsidR="00CA6902" w:rsidRPr="002E4CD5">
        <w:rPr>
          <w:sz w:val="22"/>
          <w:lang w:val="sk-SK"/>
        </w:rPr>
        <w:t xml:space="preserve"> pacientku.</w:t>
      </w:r>
    </w:p>
    <w:p w:rsidR="00A3368C" w:rsidRPr="002E4CD5" w:rsidRDefault="00A3368C">
      <w:pPr>
        <w:rPr>
          <w:sz w:val="22"/>
          <w:lang w:val="sk-SK"/>
        </w:rPr>
      </w:pPr>
    </w:p>
    <w:p w:rsidR="00A3368C" w:rsidRPr="002E4CD5" w:rsidRDefault="001A0EC8">
      <w:pPr>
        <w:rPr>
          <w:sz w:val="22"/>
          <w:u w:val="single"/>
          <w:lang w:val="sk-SK"/>
        </w:rPr>
      </w:pPr>
      <w:r w:rsidRPr="002E4CD5">
        <w:rPr>
          <w:sz w:val="22"/>
          <w:u w:val="single"/>
          <w:lang w:val="sk-SK"/>
        </w:rPr>
        <w:t>Fertilita</w:t>
      </w:r>
    </w:p>
    <w:p w:rsidR="00A3368C" w:rsidRPr="002E4CD5" w:rsidRDefault="00A3368C">
      <w:pPr>
        <w:rPr>
          <w:sz w:val="22"/>
          <w:lang w:val="sk-SK"/>
        </w:rPr>
      </w:pPr>
      <w:r w:rsidRPr="002E4CD5">
        <w:rPr>
          <w:sz w:val="22"/>
          <w:lang w:val="sk-SK"/>
        </w:rPr>
        <w:t>Štúdie na zvieratách nepreukázali žiadne nežiaduce účinky vo vzťahu k plodnosti. Účinky akamprosátu na fertilitu ľudí však nie sú známe.</w:t>
      </w: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  <w:bookmarkStart w:id="14" w:name="_Toc428259866"/>
      <w:r w:rsidRPr="002E4CD5">
        <w:rPr>
          <w:rFonts w:ascii="Times New Roman" w:hAnsi="Times New Roman"/>
          <w:i w:val="0"/>
          <w:sz w:val="22"/>
          <w:lang w:val="sk-SK"/>
        </w:rPr>
        <w:t>4.7</w:t>
      </w:r>
      <w:r w:rsidR="00E83713" w:rsidRPr="002E4CD5">
        <w:rPr>
          <w:rFonts w:ascii="Times New Roman" w:hAnsi="Times New Roman"/>
          <w:i w:val="0"/>
          <w:sz w:val="22"/>
          <w:lang w:val="sk-SK"/>
        </w:rPr>
        <w:tab/>
      </w:r>
      <w:r w:rsidRPr="002E4CD5">
        <w:rPr>
          <w:rFonts w:ascii="Times New Roman" w:hAnsi="Times New Roman"/>
          <w:i w:val="0"/>
          <w:sz w:val="22"/>
          <w:lang w:val="sk-SK"/>
        </w:rPr>
        <w:t>Ovplyvnenie schopnosti viesť vozidlá a obsluhovať stroje</w:t>
      </w:r>
      <w:bookmarkEnd w:id="14"/>
    </w:p>
    <w:p w:rsidR="00F56F72" w:rsidRPr="002E4CD5" w:rsidRDefault="00F56F72">
      <w:pPr>
        <w:rPr>
          <w:sz w:val="22"/>
          <w:lang w:val="sk-SK"/>
        </w:rPr>
      </w:pPr>
    </w:p>
    <w:p w:rsidR="00F56F72" w:rsidRPr="002E4CD5" w:rsidRDefault="00F56F72">
      <w:pPr>
        <w:rPr>
          <w:sz w:val="22"/>
          <w:lang w:val="sk-SK"/>
        </w:rPr>
      </w:pPr>
      <w:r w:rsidRPr="002E4CD5">
        <w:rPr>
          <w:sz w:val="22"/>
          <w:lang w:val="sk-SK"/>
        </w:rPr>
        <w:t>Campral nemá žiadny vplyv na schopnosť viesť vozidlá a obsluhovať stroje.</w:t>
      </w: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  <w:bookmarkStart w:id="15" w:name="_Toc428259867"/>
      <w:r w:rsidRPr="002E4CD5">
        <w:rPr>
          <w:rFonts w:ascii="Times New Roman" w:hAnsi="Times New Roman"/>
          <w:i w:val="0"/>
          <w:sz w:val="22"/>
          <w:lang w:val="sk-SK"/>
        </w:rPr>
        <w:t>4.8</w:t>
      </w:r>
      <w:r w:rsidR="00E83713" w:rsidRPr="002E4CD5">
        <w:rPr>
          <w:rFonts w:ascii="Times New Roman" w:hAnsi="Times New Roman"/>
          <w:i w:val="0"/>
          <w:sz w:val="22"/>
          <w:lang w:val="sk-SK"/>
        </w:rPr>
        <w:tab/>
      </w:r>
      <w:r w:rsidRPr="002E4CD5">
        <w:rPr>
          <w:rFonts w:ascii="Times New Roman" w:hAnsi="Times New Roman"/>
          <w:i w:val="0"/>
          <w:sz w:val="22"/>
          <w:lang w:val="sk-SK"/>
        </w:rPr>
        <w:t>Nežiaduce účinky</w:t>
      </w:r>
      <w:bookmarkEnd w:id="15"/>
    </w:p>
    <w:p w:rsidR="00514A7A" w:rsidRPr="002E4CD5" w:rsidRDefault="00514A7A" w:rsidP="00514A7A">
      <w:pPr>
        <w:rPr>
          <w:lang w:val="sk-SK"/>
        </w:rPr>
      </w:pPr>
    </w:p>
    <w:p w:rsidR="00766E8F" w:rsidRPr="00AC5AE4" w:rsidRDefault="0085642B">
      <w:pPr>
        <w:pStyle w:val="Zkladntext3"/>
        <w:spacing w:before="0"/>
        <w:rPr>
          <w:rFonts w:ascii="Times New Roman" w:hAnsi="Times New Roman"/>
          <w:spacing w:val="0"/>
          <w:sz w:val="22"/>
          <w:lang w:val="sk-SK"/>
        </w:rPr>
      </w:pPr>
      <w:r w:rsidRPr="00AC5AE4">
        <w:rPr>
          <w:rFonts w:ascii="Times New Roman" w:hAnsi="Times New Roman"/>
          <w:spacing w:val="0"/>
          <w:sz w:val="22"/>
          <w:lang w:val="sk-SK"/>
        </w:rPr>
        <w:t xml:space="preserve">Na základe údajov </w:t>
      </w:r>
      <w:r w:rsidR="00CA70C2" w:rsidRPr="00AC5AE4">
        <w:rPr>
          <w:rFonts w:ascii="Times New Roman" w:hAnsi="Times New Roman"/>
          <w:spacing w:val="0"/>
          <w:sz w:val="22"/>
          <w:lang w:val="sk-SK"/>
        </w:rPr>
        <w:t>zozbieraných z klinických skúšaní a spontánnych hlásení sa počas liečby Campralom vyskytli nasledujúce nežiaduce účinky.</w:t>
      </w:r>
    </w:p>
    <w:p w:rsidR="00F56F72" w:rsidRPr="00AC5AE4" w:rsidRDefault="00F56F72">
      <w:pPr>
        <w:pStyle w:val="Zkladntext3"/>
        <w:spacing w:before="0"/>
        <w:rPr>
          <w:rFonts w:ascii="Times New Roman" w:hAnsi="Times New Roman"/>
          <w:spacing w:val="0"/>
          <w:sz w:val="22"/>
          <w:lang w:val="sk-SK"/>
        </w:rPr>
      </w:pPr>
      <w:r w:rsidRPr="00AC5AE4">
        <w:rPr>
          <w:rFonts w:ascii="Times New Roman" w:hAnsi="Times New Roman"/>
          <w:spacing w:val="0"/>
          <w:sz w:val="22"/>
          <w:lang w:val="sk-SK"/>
        </w:rPr>
        <w:t>Frekvencia je definovaná takto: veľmi časté: ≥1/10; časté ≥1/100</w:t>
      </w:r>
      <w:r w:rsidR="00B43607" w:rsidRPr="00AC5AE4">
        <w:rPr>
          <w:rFonts w:ascii="Times New Roman" w:hAnsi="Times New Roman"/>
          <w:spacing w:val="0"/>
          <w:sz w:val="22"/>
          <w:lang w:val="sk-SK"/>
        </w:rPr>
        <w:t xml:space="preserve"> </w:t>
      </w:r>
      <w:r w:rsidR="001F3850" w:rsidRPr="00AC5AE4">
        <w:rPr>
          <w:rFonts w:ascii="Times New Roman" w:hAnsi="Times New Roman"/>
          <w:spacing w:val="0"/>
          <w:sz w:val="22"/>
          <w:lang w:val="sk-SK"/>
        </w:rPr>
        <w:t xml:space="preserve">až </w:t>
      </w:r>
      <w:r w:rsidRPr="00AC5AE4">
        <w:rPr>
          <w:rFonts w:ascii="Times New Roman" w:hAnsi="Times New Roman"/>
          <w:spacing w:val="0"/>
          <w:sz w:val="22"/>
          <w:lang w:val="sk-SK"/>
        </w:rPr>
        <w:t>&lt;1/10; menej časté ≥1/1000</w:t>
      </w:r>
      <w:r w:rsidR="00D81F9D" w:rsidRPr="00AC5AE4">
        <w:rPr>
          <w:rFonts w:ascii="Times New Roman" w:hAnsi="Times New Roman"/>
          <w:spacing w:val="0"/>
          <w:sz w:val="22"/>
          <w:lang w:val="sk-SK"/>
        </w:rPr>
        <w:t xml:space="preserve"> </w:t>
      </w:r>
      <w:r w:rsidR="001F3850" w:rsidRPr="00AC5AE4">
        <w:rPr>
          <w:rFonts w:ascii="Times New Roman" w:hAnsi="Times New Roman"/>
          <w:spacing w:val="0"/>
          <w:sz w:val="22"/>
          <w:lang w:val="sk-SK"/>
        </w:rPr>
        <w:t xml:space="preserve">až </w:t>
      </w:r>
      <w:r w:rsidRPr="00AC5AE4">
        <w:rPr>
          <w:rFonts w:ascii="Times New Roman" w:hAnsi="Times New Roman"/>
          <w:spacing w:val="0"/>
          <w:sz w:val="22"/>
          <w:lang w:val="sk-SK"/>
        </w:rPr>
        <w:t>&lt;1/100; zriedkavé ≥1/10 000</w:t>
      </w:r>
      <w:r w:rsidR="00D81F9D" w:rsidRPr="00AC5AE4">
        <w:rPr>
          <w:rFonts w:ascii="Times New Roman" w:hAnsi="Times New Roman"/>
          <w:spacing w:val="0"/>
          <w:sz w:val="22"/>
          <w:lang w:val="sk-SK"/>
        </w:rPr>
        <w:t xml:space="preserve"> </w:t>
      </w:r>
      <w:r w:rsidR="001F3850" w:rsidRPr="00AC5AE4">
        <w:rPr>
          <w:rFonts w:ascii="Times New Roman" w:hAnsi="Times New Roman"/>
          <w:spacing w:val="0"/>
          <w:sz w:val="22"/>
          <w:lang w:val="sk-SK"/>
        </w:rPr>
        <w:t xml:space="preserve">až </w:t>
      </w:r>
      <w:r w:rsidRPr="00AC5AE4">
        <w:rPr>
          <w:rFonts w:ascii="Times New Roman" w:hAnsi="Times New Roman"/>
          <w:spacing w:val="0"/>
          <w:sz w:val="22"/>
          <w:lang w:val="sk-SK"/>
        </w:rPr>
        <w:t xml:space="preserve">&lt;1/1 000; veľmi zriedkavé &lt;1/10 000. </w:t>
      </w:r>
      <w:r w:rsidRPr="002E4CD5">
        <w:rPr>
          <w:rFonts w:ascii="Times New Roman" w:hAnsi="Times New Roman"/>
          <w:spacing w:val="0"/>
          <w:sz w:val="22"/>
          <w:lang w:val="sk-SK"/>
        </w:rPr>
        <w:t>Neznáme (</w:t>
      </w:r>
      <w:r w:rsidR="008204D1" w:rsidRPr="002E4CD5">
        <w:rPr>
          <w:rFonts w:ascii="Times New Roman" w:hAnsi="Times New Roman"/>
          <w:spacing w:val="0"/>
          <w:sz w:val="22"/>
          <w:lang w:val="sk-SK"/>
        </w:rPr>
        <w:t xml:space="preserve">nemožno odhadnúť </w:t>
      </w:r>
      <w:r w:rsidRPr="002E4CD5">
        <w:rPr>
          <w:rFonts w:ascii="Times New Roman" w:hAnsi="Times New Roman"/>
          <w:spacing w:val="0"/>
          <w:sz w:val="22"/>
          <w:lang w:val="sk-SK"/>
        </w:rPr>
        <w:t>z dostupných údajov).</w:t>
      </w:r>
    </w:p>
    <w:p w:rsidR="00F56F72" w:rsidRPr="00AC5AE4" w:rsidRDefault="00F56F72" w:rsidP="00CB5773">
      <w:pPr>
        <w:rPr>
          <w:sz w:val="22"/>
          <w:lang w:val="sk-SK"/>
        </w:rPr>
      </w:pPr>
      <w:bookmarkStart w:id="16" w:name="_Toc428258065"/>
      <w:r w:rsidRPr="00AC5AE4">
        <w:rPr>
          <w:sz w:val="22"/>
          <w:lang w:val="sk-SK"/>
        </w:rPr>
        <w:t>V rámci jednotlivých skupín frekvencií sú nežiaduce účinky usporiadané v poradí klesajúcej závažnosti</w:t>
      </w:r>
      <w:r w:rsidR="00B976E6" w:rsidRPr="00AC5AE4">
        <w:rPr>
          <w:sz w:val="22"/>
          <w:lang w:val="sk-SK"/>
        </w:rPr>
        <w:t>.</w:t>
      </w:r>
      <w:bookmarkEnd w:id="16"/>
    </w:p>
    <w:p w:rsidR="00F56F72" w:rsidRPr="00AC5AE4" w:rsidRDefault="00F56F72">
      <w:pPr>
        <w:rPr>
          <w:i/>
          <w:sz w:val="22"/>
          <w:lang w:val="sk-SK"/>
        </w:rPr>
      </w:pPr>
      <w:r w:rsidRPr="00AC5AE4">
        <w:rPr>
          <w:b/>
          <w:i/>
          <w:sz w:val="22"/>
          <w:lang w:val="sk-SK"/>
        </w:rPr>
        <w:t>Poruchy gastrointestinálneho traktu</w:t>
      </w:r>
    </w:p>
    <w:p w:rsidR="00F56F72" w:rsidRPr="00AC5AE4" w:rsidRDefault="00F56F72">
      <w:pPr>
        <w:rPr>
          <w:sz w:val="22"/>
          <w:lang w:val="sk-SK"/>
        </w:rPr>
      </w:pPr>
      <w:r w:rsidRPr="00AC5AE4">
        <w:rPr>
          <w:sz w:val="22"/>
          <w:lang w:val="sk-SK"/>
        </w:rPr>
        <w:lastRenderedPageBreak/>
        <w:t>Veľmi časté: hnačka</w:t>
      </w:r>
      <w:r w:rsidR="00DA73FE" w:rsidRPr="00AC5AE4">
        <w:rPr>
          <w:sz w:val="22"/>
          <w:lang w:val="sk-SK"/>
        </w:rPr>
        <w:t>.</w:t>
      </w:r>
    </w:p>
    <w:p w:rsidR="00F56F72" w:rsidRPr="00AC5AE4" w:rsidRDefault="00F56F72">
      <w:pPr>
        <w:rPr>
          <w:sz w:val="22"/>
          <w:lang w:val="sk-SK"/>
        </w:rPr>
      </w:pPr>
      <w:r w:rsidRPr="00AC5AE4">
        <w:rPr>
          <w:sz w:val="22"/>
          <w:lang w:val="sk-SK"/>
        </w:rPr>
        <w:t>Časté: bolesti brucha, nauzea, vracanie</w:t>
      </w:r>
      <w:r w:rsidR="008204D1" w:rsidRPr="00AC5AE4">
        <w:rPr>
          <w:sz w:val="22"/>
          <w:lang w:val="sk-SK"/>
        </w:rPr>
        <w:t>, meteorizmus</w:t>
      </w:r>
      <w:r w:rsidRPr="00AC5AE4">
        <w:rPr>
          <w:sz w:val="22"/>
          <w:lang w:val="sk-SK"/>
        </w:rPr>
        <w:t>.</w:t>
      </w:r>
    </w:p>
    <w:p w:rsidR="00F56F72" w:rsidRPr="00AC5AE4" w:rsidRDefault="00F56F72">
      <w:pPr>
        <w:rPr>
          <w:sz w:val="22"/>
          <w:lang w:val="sk-SK"/>
        </w:rPr>
      </w:pPr>
      <w:r w:rsidRPr="00AC5AE4">
        <w:rPr>
          <w:sz w:val="22"/>
          <w:lang w:val="sk-SK"/>
        </w:rPr>
        <w:t xml:space="preserve"> </w:t>
      </w:r>
      <w:r w:rsidRPr="00AC5AE4">
        <w:rPr>
          <w:b/>
          <w:i/>
          <w:sz w:val="22"/>
          <w:lang w:val="sk-SK"/>
        </w:rPr>
        <w:t>Poruchy kože a podkožného tkaniva</w:t>
      </w:r>
    </w:p>
    <w:p w:rsidR="00F56F72" w:rsidRPr="00AC5AE4" w:rsidRDefault="00F56F72">
      <w:pPr>
        <w:rPr>
          <w:sz w:val="22"/>
          <w:lang w:val="sk-SK"/>
        </w:rPr>
      </w:pPr>
      <w:r w:rsidRPr="00AC5AE4">
        <w:rPr>
          <w:sz w:val="22"/>
          <w:lang w:val="sk-SK"/>
        </w:rPr>
        <w:t>Časté: svrbenie, makulopapulárna vyrážka.</w:t>
      </w:r>
    </w:p>
    <w:p w:rsidR="008204D1" w:rsidRPr="00AC5AE4" w:rsidRDefault="008204D1">
      <w:pPr>
        <w:rPr>
          <w:sz w:val="22"/>
          <w:lang w:val="sk-SK"/>
        </w:rPr>
      </w:pPr>
      <w:r w:rsidRPr="00AC5AE4">
        <w:rPr>
          <w:sz w:val="22"/>
          <w:lang w:val="sk-SK"/>
        </w:rPr>
        <w:t>Neznáme: vezikulob</w:t>
      </w:r>
      <w:r w:rsidR="009D2156" w:rsidRPr="00AC5AE4">
        <w:rPr>
          <w:sz w:val="22"/>
          <w:lang w:val="sk-SK"/>
        </w:rPr>
        <w:t>u</w:t>
      </w:r>
      <w:r w:rsidRPr="00AC5AE4">
        <w:rPr>
          <w:sz w:val="22"/>
          <w:lang w:val="sk-SK"/>
        </w:rPr>
        <w:t>lózn</w:t>
      </w:r>
      <w:r w:rsidR="009D2156" w:rsidRPr="00AC5AE4">
        <w:rPr>
          <w:sz w:val="22"/>
          <w:lang w:val="sk-SK"/>
        </w:rPr>
        <w:t>y</w:t>
      </w:r>
      <w:r w:rsidRPr="00AC5AE4">
        <w:rPr>
          <w:sz w:val="22"/>
          <w:lang w:val="sk-SK"/>
        </w:rPr>
        <w:t xml:space="preserve"> </w:t>
      </w:r>
      <w:r w:rsidR="009D2156" w:rsidRPr="00AC5AE4">
        <w:rPr>
          <w:sz w:val="22"/>
          <w:lang w:val="sk-SK"/>
        </w:rPr>
        <w:t>výsev</w:t>
      </w:r>
      <w:r w:rsidR="00DA73FE" w:rsidRPr="00AC5AE4">
        <w:rPr>
          <w:sz w:val="22"/>
          <w:lang w:val="sk-SK"/>
        </w:rPr>
        <w:t>.</w:t>
      </w:r>
    </w:p>
    <w:p w:rsidR="00F56F72" w:rsidRPr="00AC5AE4" w:rsidRDefault="00F56F72">
      <w:pPr>
        <w:rPr>
          <w:b/>
          <w:sz w:val="22"/>
          <w:lang w:val="sk-SK"/>
        </w:rPr>
      </w:pPr>
      <w:r w:rsidRPr="00AC5AE4">
        <w:rPr>
          <w:b/>
          <w:i/>
          <w:sz w:val="22"/>
          <w:lang w:val="sk-SK"/>
        </w:rPr>
        <w:t>Poruchy imunitného systému</w:t>
      </w:r>
    </w:p>
    <w:p w:rsidR="00F56F72" w:rsidRPr="00AC5AE4" w:rsidRDefault="00F56F72">
      <w:pPr>
        <w:rPr>
          <w:sz w:val="22"/>
          <w:lang w:val="sk-SK"/>
        </w:rPr>
      </w:pPr>
      <w:r w:rsidRPr="00AC5AE4">
        <w:rPr>
          <w:sz w:val="22"/>
          <w:lang w:val="sk-SK"/>
        </w:rPr>
        <w:t>Veľmi zriedkavé: hypersenzitívna reakcia zahŕňajúca utrikáriu, angioedém alebo anafylaktickú reakciu.</w:t>
      </w:r>
    </w:p>
    <w:p w:rsidR="00F56F72" w:rsidRPr="00AC5AE4" w:rsidRDefault="00F56F72">
      <w:pPr>
        <w:rPr>
          <w:i/>
          <w:sz w:val="22"/>
          <w:lang w:val="sk-SK"/>
        </w:rPr>
      </w:pPr>
      <w:r w:rsidRPr="00AC5AE4">
        <w:rPr>
          <w:b/>
          <w:i/>
          <w:sz w:val="22"/>
          <w:lang w:val="sk-SK"/>
        </w:rPr>
        <w:t>Poruchy reprodukčného systému a prsníkov</w:t>
      </w:r>
    </w:p>
    <w:p w:rsidR="00F56F72" w:rsidRPr="00AC5AE4" w:rsidRDefault="00F56F72">
      <w:pPr>
        <w:rPr>
          <w:sz w:val="22"/>
          <w:lang w:val="sk-SK"/>
        </w:rPr>
      </w:pPr>
      <w:r w:rsidRPr="00AC5AE4">
        <w:rPr>
          <w:sz w:val="22"/>
          <w:lang w:val="sk-SK"/>
        </w:rPr>
        <w:t>Častá: frigidita</w:t>
      </w:r>
      <w:r w:rsidR="009D2156" w:rsidRPr="00AC5AE4">
        <w:rPr>
          <w:sz w:val="22"/>
          <w:lang w:val="sk-SK"/>
        </w:rPr>
        <w:t xml:space="preserve"> alebo</w:t>
      </w:r>
      <w:r w:rsidRPr="00AC5AE4">
        <w:rPr>
          <w:sz w:val="22"/>
          <w:lang w:val="sk-SK"/>
        </w:rPr>
        <w:t xml:space="preserve"> impotencia.</w:t>
      </w:r>
    </w:p>
    <w:p w:rsidR="00F56F72" w:rsidRPr="00AC5AE4" w:rsidRDefault="00F56F72">
      <w:pPr>
        <w:rPr>
          <w:b/>
          <w:i/>
          <w:sz w:val="22"/>
          <w:lang w:val="sk-SK"/>
        </w:rPr>
      </w:pPr>
      <w:r w:rsidRPr="00AC5AE4">
        <w:rPr>
          <w:b/>
          <w:i/>
          <w:sz w:val="22"/>
          <w:lang w:val="sk-SK"/>
        </w:rPr>
        <w:t>Psychické poruchy</w:t>
      </w:r>
    </w:p>
    <w:p w:rsidR="00F56F72" w:rsidRPr="00AC5AE4" w:rsidRDefault="00F56F72">
      <w:pPr>
        <w:rPr>
          <w:sz w:val="22"/>
          <w:lang w:val="sk-SK"/>
        </w:rPr>
      </w:pPr>
      <w:r w:rsidRPr="00AC5AE4">
        <w:rPr>
          <w:sz w:val="22"/>
          <w:lang w:val="sk-SK"/>
        </w:rPr>
        <w:t>Časté: zníženie libida</w:t>
      </w:r>
      <w:r w:rsidR="00DA73FE" w:rsidRPr="00AC5AE4">
        <w:rPr>
          <w:sz w:val="22"/>
          <w:lang w:val="sk-SK"/>
        </w:rPr>
        <w:t>.</w:t>
      </w:r>
    </w:p>
    <w:p w:rsidR="00F56F72" w:rsidRPr="00AC5AE4" w:rsidRDefault="00F56F72">
      <w:pPr>
        <w:rPr>
          <w:sz w:val="22"/>
          <w:lang w:val="sk-SK"/>
        </w:rPr>
      </w:pPr>
      <w:r w:rsidRPr="00AC5AE4">
        <w:rPr>
          <w:sz w:val="22"/>
          <w:lang w:val="sk-SK"/>
        </w:rPr>
        <w:t>Menej časté: zvýšenie libida</w:t>
      </w:r>
      <w:r w:rsidR="00DA73FE" w:rsidRPr="00AC5AE4">
        <w:rPr>
          <w:sz w:val="22"/>
          <w:lang w:val="sk-SK"/>
        </w:rPr>
        <w:t>.</w:t>
      </w:r>
    </w:p>
    <w:p w:rsidR="00F56F72" w:rsidRPr="00AC5AE4" w:rsidRDefault="00F56F72">
      <w:pPr>
        <w:rPr>
          <w:sz w:val="22"/>
          <w:lang w:val="sk-SK"/>
        </w:rPr>
      </w:pPr>
    </w:p>
    <w:p w:rsidR="002C22F2" w:rsidRPr="002E4CD5" w:rsidRDefault="002C22F2" w:rsidP="002C22F2">
      <w:pPr>
        <w:suppressLineNumbers/>
        <w:autoSpaceDE w:val="0"/>
        <w:autoSpaceDN w:val="0"/>
        <w:adjustRightInd w:val="0"/>
        <w:rPr>
          <w:sz w:val="22"/>
          <w:szCs w:val="22"/>
          <w:u w:val="single"/>
          <w:lang w:val="sk-SK"/>
        </w:rPr>
      </w:pPr>
      <w:r w:rsidRPr="002E4CD5">
        <w:rPr>
          <w:sz w:val="22"/>
          <w:szCs w:val="22"/>
          <w:u w:val="single"/>
          <w:lang w:val="sk-SK"/>
        </w:rPr>
        <w:t>Hlásenie podozrení na nežiaduce reakcie</w:t>
      </w:r>
    </w:p>
    <w:p w:rsidR="002C22F2" w:rsidRPr="00AC5AE4" w:rsidRDefault="002C22F2" w:rsidP="003823B8">
      <w:pPr>
        <w:suppressLineNumbers/>
        <w:autoSpaceDE w:val="0"/>
        <w:autoSpaceDN w:val="0"/>
        <w:adjustRightInd w:val="0"/>
        <w:rPr>
          <w:sz w:val="22"/>
          <w:lang w:val="sk-SK"/>
        </w:rPr>
      </w:pPr>
      <w:r w:rsidRPr="002E4CD5">
        <w:rPr>
          <w:sz w:val="22"/>
          <w:szCs w:val="22"/>
          <w:lang w:val="sk-SK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3823B8" w:rsidRPr="002E4CD5">
        <w:rPr>
          <w:sz w:val="22"/>
          <w:szCs w:val="22"/>
          <w:lang w:val="sk-SK"/>
        </w:rPr>
        <w:t xml:space="preserve">na </w:t>
      </w:r>
      <w:r w:rsidR="003823B8" w:rsidRPr="00AC5AE4">
        <w:rPr>
          <w:sz w:val="22"/>
          <w:szCs w:val="22"/>
          <w:highlight w:val="lightGray"/>
          <w:lang w:val="sk-SK"/>
        </w:rPr>
        <w:t>národné centrum hlásenia uvedené v </w:t>
      </w:r>
      <w:hyperlink r:id="rId8" w:history="1">
        <w:r w:rsidR="003823B8" w:rsidRPr="00AC5AE4">
          <w:rPr>
            <w:sz w:val="22"/>
            <w:szCs w:val="22"/>
            <w:highlight w:val="lightGray"/>
            <w:lang w:val="sk-SK"/>
          </w:rPr>
          <w:t>Prílohe V</w:t>
        </w:r>
      </w:hyperlink>
      <w:r w:rsidR="003823B8" w:rsidRPr="00AC5AE4">
        <w:rPr>
          <w:sz w:val="22"/>
          <w:szCs w:val="22"/>
          <w:highlight w:val="lightGray"/>
          <w:lang w:val="sk-SK"/>
        </w:rPr>
        <w:t>.</w:t>
      </w:r>
    </w:p>
    <w:p w:rsidR="002C22F2" w:rsidRPr="00AC5AE4" w:rsidRDefault="002C22F2">
      <w:pPr>
        <w:rPr>
          <w:sz w:val="22"/>
          <w:lang w:val="sk-SK"/>
        </w:rPr>
      </w:pP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  <w:bookmarkStart w:id="17" w:name="_Toc428259868"/>
      <w:r w:rsidRPr="002E4CD5">
        <w:rPr>
          <w:rFonts w:ascii="Times New Roman" w:hAnsi="Times New Roman"/>
          <w:i w:val="0"/>
          <w:sz w:val="22"/>
          <w:lang w:val="sk-SK"/>
        </w:rPr>
        <w:t>4.9</w:t>
      </w:r>
      <w:r w:rsidR="00E83713" w:rsidRPr="002E4CD5">
        <w:rPr>
          <w:rFonts w:ascii="Times New Roman" w:hAnsi="Times New Roman"/>
          <w:i w:val="0"/>
          <w:sz w:val="22"/>
          <w:lang w:val="sk-SK"/>
        </w:rPr>
        <w:tab/>
      </w:r>
      <w:r w:rsidRPr="002E4CD5">
        <w:rPr>
          <w:rFonts w:ascii="Times New Roman" w:hAnsi="Times New Roman"/>
          <w:i w:val="0"/>
          <w:sz w:val="22"/>
          <w:lang w:val="sk-SK"/>
        </w:rPr>
        <w:t>Predávkovanie</w:t>
      </w:r>
      <w:bookmarkEnd w:id="17"/>
    </w:p>
    <w:p w:rsidR="00F56F72" w:rsidRPr="002E4CD5" w:rsidRDefault="00F56F72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</w:p>
    <w:p w:rsidR="00F56F72" w:rsidRPr="002E4CD5" w:rsidRDefault="00F56F72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>Akútne predávkovanie je zvyčajne mierne. V zaznamenaných prípadoch</w:t>
      </w:r>
      <w:r w:rsidR="00127EBF" w:rsidRPr="002E4CD5">
        <w:rPr>
          <w:rFonts w:ascii="Times New Roman" w:hAnsi="Times New Roman"/>
          <w:spacing w:val="0"/>
          <w:sz w:val="22"/>
          <w:lang w:val="sk-SK"/>
        </w:rPr>
        <w:t>,</w:t>
      </w:r>
      <w:r w:rsidRPr="002E4CD5">
        <w:rPr>
          <w:rFonts w:ascii="Times New Roman" w:hAnsi="Times New Roman"/>
          <w:spacing w:val="0"/>
          <w:sz w:val="22"/>
          <w:lang w:val="sk-SK"/>
        </w:rPr>
        <w:t xml:space="preserve"> </w:t>
      </w:r>
      <w:r w:rsidR="009D2156" w:rsidRPr="002E4CD5">
        <w:rPr>
          <w:rFonts w:ascii="Times New Roman" w:hAnsi="Times New Roman"/>
          <w:spacing w:val="0"/>
          <w:sz w:val="22"/>
          <w:lang w:val="sk-SK"/>
        </w:rPr>
        <w:t xml:space="preserve">bola </w:t>
      </w:r>
      <w:r w:rsidR="007B6C90" w:rsidRPr="002E4CD5">
        <w:rPr>
          <w:rFonts w:ascii="Times New Roman" w:hAnsi="Times New Roman"/>
          <w:spacing w:val="0"/>
          <w:sz w:val="22"/>
          <w:lang w:val="sk-SK"/>
        </w:rPr>
        <w:t xml:space="preserve">hnačka </w:t>
      </w:r>
      <w:r w:rsidRPr="002E4CD5">
        <w:rPr>
          <w:rFonts w:ascii="Times New Roman" w:hAnsi="Times New Roman"/>
          <w:spacing w:val="0"/>
          <w:sz w:val="22"/>
          <w:lang w:val="sk-SK"/>
        </w:rPr>
        <w:t xml:space="preserve">jediným symptómom </w:t>
      </w:r>
      <w:r w:rsidR="009D2156" w:rsidRPr="002E4CD5">
        <w:rPr>
          <w:rFonts w:ascii="Times New Roman" w:hAnsi="Times New Roman"/>
          <w:spacing w:val="0"/>
          <w:sz w:val="22"/>
          <w:lang w:val="sk-SK"/>
        </w:rPr>
        <w:t>odôvodnene spájaným s</w:t>
      </w:r>
      <w:r w:rsidR="00127EBF" w:rsidRPr="002E4CD5">
        <w:rPr>
          <w:rFonts w:ascii="Times New Roman" w:hAnsi="Times New Roman"/>
          <w:spacing w:val="0"/>
          <w:sz w:val="22"/>
          <w:lang w:val="sk-SK"/>
        </w:rPr>
        <w:t> </w:t>
      </w:r>
      <w:r w:rsidRPr="002E4CD5">
        <w:rPr>
          <w:rFonts w:ascii="Times New Roman" w:hAnsi="Times New Roman"/>
          <w:spacing w:val="0"/>
          <w:sz w:val="22"/>
          <w:lang w:val="sk-SK"/>
        </w:rPr>
        <w:t>predávkovan</w:t>
      </w:r>
      <w:r w:rsidR="009D2156" w:rsidRPr="002E4CD5">
        <w:rPr>
          <w:rFonts w:ascii="Times New Roman" w:hAnsi="Times New Roman"/>
          <w:spacing w:val="0"/>
          <w:sz w:val="22"/>
          <w:lang w:val="sk-SK"/>
        </w:rPr>
        <w:t>ím</w:t>
      </w:r>
      <w:r w:rsidRPr="002E4CD5">
        <w:rPr>
          <w:rFonts w:ascii="Times New Roman" w:hAnsi="Times New Roman"/>
          <w:spacing w:val="0"/>
          <w:sz w:val="22"/>
          <w:lang w:val="sk-SK"/>
        </w:rPr>
        <w:t>. Nebol zaznamenaný žiadny prípad hyperkalciémie.</w:t>
      </w:r>
    </w:p>
    <w:p w:rsidR="00F56F72" w:rsidRPr="002E4CD5" w:rsidRDefault="00F56F72" w:rsidP="00CB5773">
      <w:pPr>
        <w:rPr>
          <w:bCs/>
          <w:sz w:val="22"/>
          <w:lang w:val="sk-SK"/>
        </w:rPr>
      </w:pPr>
      <w:bookmarkStart w:id="18" w:name="_Toc428258067"/>
      <w:r w:rsidRPr="002E4CD5">
        <w:rPr>
          <w:bCs/>
          <w:sz w:val="22"/>
          <w:lang w:val="sk-SK"/>
        </w:rPr>
        <w:t>Liečba predávkovania je zameraná na potlačenie symptómov</w:t>
      </w:r>
      <w:r w:rsidR="00DA73FE" w:rsidRPr="002E4CD5">
        <w:rPr>
          <w:bCs/>
          <w:sz w:val="22"/>
          <w:lang w:val="sk-SK"/>
        </w:rPr>
        <w:t>.</w:t>
      </w:r>
      <w:bookmarkEnd w:id="18"/>
    </w:p>
    <w:p w:rsidR="00F56F72" w:rsidRPr="002E4CD5" w:rsidRDefault="00F56F72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</w:p>
    <w:p w:rsidR="00F56F72" w:rsidRPr="002E4CD5" w:rsidRDefault="00F56F7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2"/>
          <w:lang w:val="sk-SK"/>
        </w:rPr>
      </w:pPr>
    </w:p>
    <w:p w:rsidR="00F56F72" w:rsidRPr="002E4CD5" w:rsidRDefault="00F56F7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lang w:val="sk-SK"/>
        </w:rPr>
      </w:pPr>
      <w:bookmarkStart w:id="19" w:name="_Toc428259869"/>
      <w:r w:rsidRPr="002E4CD5">
        <w:rPr>
          <w:rFonts w:ascii="Times New Roman" w:hAnsi="Times New Roman"/>
          <w:sz w:val="22"/>
          <w:lang w:val="sk-SK"/>
        </w:rPr>
        <w:t>5.</w:t>
      </w:r>
      <w:r w:rsidR="00E83713" w:rsidRPr="002E4CD5">
        <w:rPr>
          <w:rFonts w:ascii="Times New Roman" w:hAnsi="Times New Roman"/>
          <w:sz w:val="22"/>
          <w:lang w:val="sk-SK"/>
        </w:rPr>
        <w:tab/>
      </w:r>
      <w:r w:rsidRPr="002E4CD5">
        <w:rPr>
          <w:rFonts w:ascii="Times New Roman" w:hAnsi="Times New Roman"/>
          <w:sz w:val="22"/>
          <w:lang w:val="sk-SK"/>
        </w:rPr>
        <w:t>FARMAKOLOGICKÉ VLASTNOSTI</w:t>
      </w:r>
      <w:bookmarkEnd w:id="19"/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  <w:bookmarkStart w:id="20" w:name="_Toc428259870"/>
      <w:r w:rsidRPr="002E4CD5">
        <w:rPr>
          <w:rFonts w:ascii="Times New Roman" w:hAnsi="Times New Roman"/>
          <w:i w:val="0"/>
          <w:sz w:val="22"/>
          <w:lang w:val="sk-SK"/>
        </w:rPr>
        <w:t>5.1</w:t>
      </w:r>
      <w:r w:rsidR="00E83713" w:rsidRPr="002E4CD5">
        <w:rPr>
          <w:rFonts w:ascii="Times New Roman" w:hAnsi="Times New Roman"/>
          <w:i w:val="0"/>
          <w:sz w:val="22"/>
          <w:lang w:val="sk-SK"/>
        </w:rPr>
        <w:tab/>
      </w:r>
      <w:r w:rsidRPr="002E4CD5">
        <w:rPr>
          <w:rFonts w:ascii="Times New Roman" w:hAnsi="Times New Roman"/>
          <w:i w:val="0"/>
          <w:sz w:val="22"/>
          <w:lang w:val="sk-SK"/>
        </w:rPr>
        <w:t>Farmakodynamické vlastnost</w:t>
      </w:r>
      <w:r w:rsidR="00514A7A" w:rsidRPr="002E4CD5">
        <w:rPr>
          <w:rFonts w:ascii="Times New Roman" w:hAnsi="Times New Roman"/>
          <w:i w:val="0"/>
          <w:sz w:val="22"/>
          <w:lang w:val="sk-SK"/>
        </w:rPr>
        <w:t>i</w:t>
      </w:r>
      <w:bookmarkEnd w:id="20"/>
    </w:p>
    <w:p w:rsidR="00F56F72" w:rsidRPr="002E4CD5" w:rsidRDefault="00F56F72">
      <w:pPr>
        <w:pStyle w:val="Zkladntext2"/>
        <w:spacing w:before="0"/>
        <w:rPr>
          <w:rFonts w:ascii="Times New Roman" w:hAnsi="Times New Roman"/>
          <w:spacing w:val="0"/>
          <w:sz w:val="22"/>
          <w:lang w:val="sk-SK"/>
        </w:rPr>
      </w:pPr>
    </w:p>
    <w:p w:rsidR="00F56F72" w:rsidRPr="002E4CD5" w:rsidRDefault="00F56F72">
      <w:pPr>
        <w:pStyle w:val="Zkladntext2"/>
        <w:spacing w:before="0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 xml:space="preserve">Farmakoterapeutická skupina: </w:t>
      </w:r>
      <w:r w:rsidR="00CB66C5" w:rsidRPr="002E4CD5">
        <w:rPr>
          <w:rFonts w:ascii="Times New Roman" w:hAnsi="Times New Roman"/>
          <w:spacing w:val="0"/>
          <w:sz w:val="22"/>
          <w:lang w:val="sk-SK"/>
        </w:rPr>
        <w:t xml:space="preserve">Iné liečivá na centrálnu nervovú sústavu, </w:t>
      </w:r>
      <w:r w:rsidRPr="002E4CD5">
        <w:rPr>
          <w:rFonts w:ascii="Times New Roman" w:hAnsi="Times New Roman"/>
          <w:spacing w:val="0"/>
          <w:sz w:val="22"/>
          <w:lang w:val="sk-SK"/>
        </w:rPr>
        <w:t>Liečivá na terapiu závislostí ATC kód: N07BB03</w:t>
      </w:r>
    </w:p>
    <w:p w:rsidR="00F56F72" w:rsidRPr="002E4CD5" w:rsidRDefault="00F56F72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 xml:space="preserve">Akamprosát (calcium acetylhomotaurinát) má chemickú štruktúru podobnú štruktúre amino-kyselínových neuromediátorov ako je </w:t>
      </w:r>
      <w:r w:rsidR="008B7758" w:rsidRPr="002E4CD5">
        <w:rPr>
          <w:rFonts w:ascii="Times New Roman" w:hAnsi="Times New Roman"/>
          <w:spacing w:val="0"/>
          <w:sz w:val="22"/>
          <w:lang w:val="sk-SK"/>
        </w:rPr>
        <w:t xml:space="preserve">taurín </w:t>
      </w:r>
      <w:r w:rsidRPr="002E4CD5">
        <w:rPr>
          <w:rFonts w:ascii="Times New Roman" w:hAnsi="Times New Roman"/>
          <w:spacing w:val="0"/>
          <w:sz w:val="22"/>
          <w:lang w:val="sk-SK"/>
        </w:rPr>
        <w:t xml:space="preserve">alebo kyselina gamaaminomaslová (GABA), a to včítane acetylácie, čo umožňuje prestup cez hematoencefalickú bariéru. Bolo preukázané, že </w:t>
      </w:r>
      <w:r w:rsidR="008B7758" w:rsidRPr="002E4CD5">
        <w:rPr>
          <w:rFonts w:ascii="Times New Roman" w:hAnsi="Times New Roman"/>
          <w:spacing w:val="0"/>
          <w:sz w:val="22"/>
          <w:lang w:val="sk-SK"/>
        </w:rPr>
        <w:t xml:space="preserve">akamprosát </w:t>
      </w:r>
      <w:r w:rsidRPr="002E4CD5">
        <w:rPr>
          <w:rFonts w:ascii="Times New Roman" w:hAnsi="Times New Roman"/>
          <w:spacing w:val="0"/>
          <w:sz w:val="22"/>
          <w:lang w:val="sk-SK"/>
        </w:rPr>
        <w:t>zvyšuje GABA-ergickú inhibičnú aktivitu a antagonizuje excitačné aminokyseliny, hlavne kyselinu glutámovú.</w:t>
      </w:r>
    </w:p>
    <w:p w:rsidR="00F56F72" w:rsidRPr="002E4CD5" w:rsidRDefault="00F56F72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>Štúdie na zvieratách preukázali špecifické ovplyvnenie závislosti od alkoholu akamprosátom - akamprosát znižoval aktívny príjem alkoholu u potkanov závislých od alkoholu.</w:t>
      </w: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  <w:bookmarkStart w:id="21" w:name="_Toc428259871"/>
      <w:r w:rsidRPr="002E4CD5">
        <w:rPr>
          <w:rFonts w:ascii="Times New Roman" w:hAnsi="Times New Roman"/>
          <w:i w:val="0"/>
          <w:sz w:val="22"/>
          <w:lang w:val="sk-SK"/>
        </w:rPr>
        <w:t>5.2</w:t>
      </w:r>
      <w:r w:rsidR="00E83713" w:rsidRPr="002E4CD5">
        <w:rPr>
          <w:rFonts w:ascii="Times New Roman" w:hAnsi="Times New Roman"/>
          <w:i w:val="0"/>
          <w:sz w:val="22"/>
          <w:lang w:val="sk-SK"/>
        </w:rPr>
        <w:tab/>
      </w:r>
      <w:r w:rsidRPr="002E4CD5">
        <w:rPr>
          <w:rFonts w:ascii="Times New Roman" w:hAnsi="Times New Roman"/>
          <w:i w:val="0"/>
          <w:sz w:val="22"/>
          <w:lang w:val="sk-SK"/>
        </w:rPr>
        <w:t>Farmakokinetické vlastnosti</w:t>
      </w:r>
      <w:bookmarkEnd w:id="21"/>
    </w:p>
    <w:p w:rsidR="00F56F72" w:rsidRPr="002E4CD5" w:rsidRDefault="00F56F72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</w:p>
    <w:p w:rsidR="00F56F72" w:rsidRPr="002E4CD5" w:rsidRDefault="00F56F72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>Absorpcia akamprosátu z gastrointestinálneho traktu je mierna, pomalá a rovnomerná. Vykazuje vysokú interindividuálnu variabilitu. Príjem potravy absorpciu znižuje. Rovnovážny stav sa dosahuje na siedmy deň podávania akamprosátu.</w:t>
      </w:r>
    </w:p>
    <w:p w:rsidR="00F56F72" w:rsidRPr="002E4CD5" w:rsidRDefault="00F56F72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>Akamprosát sa neviaže na bielkoviny.</w:t>
      </w:r>
    </w:p>
    <w:p w:rsidR="00F56F72" w:rsidRPr="002E4CD5" w:rsidRDefault="00F56F72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>50</w:t>
      </w:r>
      <w:r w:rsidR="007B6C90" w:rsidRPr="002E4CD5">
        <w:rPr>
          <w:rFonts w:ascii="Times New Roman" w:hAnsi="Times New Roman"/>
          <w:spacing w:val="0"/>
          <w:sz w:val="22"/>
          <w:lang w:val="sk-SK"/>
        </w:rPr>
        <w:t xml:space="preserve"> </w:t>
      </w:r>
      <w:r w:rsidRPr="002E4CD5">
        <w:rPr>
          <w:rFonts w:ascii="Times New Roman" w:hAnsi="Times New Roman"/>
          <w:spacing w:val="0"/>
          <w:sz w:val="22"/>
          <w:lang w:val="sk-SK"/>
        </w:rPr>
        <w:t>% akamprosátu je eliminované močom v nezmenej forme. Medzi klírensom kreatinínu a  celkovým plazmatickým klírensom, renálnym klírensom a plazmatickým polčasom akamprosátu je lineárna závislosť.</w:t>
      </w:r>
    </w:p>
    <w:p w:rsidR="00F56F72" w:rsidRPr="002E4CD5" w:rsidRDefault="00F56F72">
      <w:pPr>
        <w:jc w:val="both"/>
        <w:rPr>
          <w:sz w:val="22"/>
          <w:lang w:val="sk-SK"/>
        </w:rPr>
      </w:pPr>
      <w:r w:rsidRPr="002E4CD5">
        <w:rPr>
          <w:sz w:val="22"/>
          <w:lang w:val="sk-SK"/>
        </w:rPr>
        <w:t xml:space="preserve">Hepatálna dysfunkcia neovplyvňuje farmakokinetické charakteristiky akamprosátu. </w:t>
      </w: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  <w:bookmarkStart w:id="22" w:name="_Toc428259872"/>
      <w:r w:rsidRPr="002E4CD5">
        <w:rPr>
          <w:rFonts w:ascii="Times New Roman" w:hAnsi="Times New Roman"/>
          <w:i w:val="0"/>
          <w:sz w:val="22"/>
          <w:lang w:val="sk-SK"/>
        </w:rPr>
        <w:t>5.3</w:t>
      </w:r>
      <w:r w:rsidR="00E83713" w:rsidRPr="002E4CD5">
        <w:rPr>
          <w:rFonts w:ascii="Times New Roman" w:hAnsi="Times New Roman"/>
          <w:i w:val="0"/>
          <w:sz w:val="22"/>
          <w:lang w:val="sk-SK"/>
        </w:rPr>
        <w:tab/>
      </w:r>
      <w:r w:rsidRPr="002E4CD5">
        <w:rPr>
          <w:rFonts w:ascii="Times New Roman" w:hAnsi="Times New Roman"/>
          <w:i w:val="0"/>
          <w:sz w:val="22"/>
          <w:lang w:val="sk-SK"/>
        </w:rPr>
        <w:t>Predklinické údaje o bezpečnosti</w:t>
      </w:r>
      <w:bookmarkEnd w:id="22"/>
    </w:p>
    <w:p w:rsidR="00F56F72" w:rsidRPr="002E4CD5" w:rsidRDefault="00F56F72">
      <w:pPr>
        <w:pStyle w:val="Zkladntext2"/>
        <w:spacing w:before="0"/>
        <w:rPr>
          <w:rFonts w:ascii="Times New Roman" w:hAnsi="Times New Roman"/>
          <w:spacing w:val="0"/>
          <w:sz w:val="22"/>
          <w:lang w:val="sk-SK"/>
        </w:rPr>
      </w:pPr>
    </w:p>
    <w:p w:rsidR="00F56F72" w:rsidRPr="002E4CD5" w:rsidRDefault="00F56F72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  <w:r w:rsidRPr="002E4CD5">
        <w:rPr>
          <w:rFonts w:ascii="Times New Roman" w:hAnsi="Times New Roman"/>
          <w:spacing w:val="0"/>
          <w:sz w:val="22"/>
          <w:lang w:val="sk-SK"/>
        </w:rPr>
        <w:t>V predklinických štúdiách sa prejavy toxicity vzťahovali na excesívny príjem vápnika a nie na príjem acetylhomotaurínu. Boli pozorované prejavy poruchy metabolizmu fosforu/kalcia ako hnačky, kalcifikácia mäkkých tkanív, renálne a kardiálne lézie.</w:t>
      </w:r>
    </w:p>
    <w:p w:rsidR="00F56F72" w:rsidRPr="002E4CD5" w:rsidRDefault="00F56F72">
      <w:pPr>
        <w:rPr>
          <w:sz w:val="22"/>
          <w:lang w:val="sk-SK"/>
        </w:rPr>
      </w:pPr>
      <w:r w:rsidRPr="002E4CD5">
        <w:rPr>
          <w:sz w:val="22"/>
          <w:lang w:val="sk-SK"/>
        </w:rPr>
        <w:t>Akamprosát nemá mutagénny ani karcinogénny účinok, v animálnych štúdiách nebol zistený teratogénny vplyv ani nežiaduce účinky na samčí i samičí reprodukčný systém.</w:t>
      </w:r>
    </w:p>
    <w:p w:rsidR="00F56F72" w:rsidRPr="002E4CD5" w:rsidRDefault="00F56F7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lang w:val="sk-SK"/>
        </w:rPr>
      </w:pPr>
    </w:p>
    <w:p w:rsidR="00F56F72" w:rsidRPr="002E4CD5" w:rsidRDefault="00F56F72">
      <w:pPr>
        <w:rPr>
          <w:sz w:val="22"/>
          <w:lang w:val="sk-SK"/>
        </w:rPr>
      </w:pPr>
    </w:p>
    <w:p w:rsidR="00F56F72" w:rsidRPr="002E4CD5" w:rsidRDefault="00F56F7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lang w:val="sk-SK"/>
        </w:rPr>
      </w:pPr>
      <w:bookmarkStart w:id="23" w:name="_Toc428259873"/>
      <w:r w:rsidRPr="002E4CD5">
        <w:rPr>
          <w:rFonts w:ascii="Times New Roman" w:hAnsi="Times New Roman"/>
          <w:sz w:val="22"/>
          <w:lang w:val="sk-SK"/>
        </w:rPr>
        <w:t>6.</w:t>
      </w:r>
      <w:r w:rsidR="00E83713" w:rsidRPr="002E4CD5">
        <w:rPr>
          <w:rFonts w:ascii="Times New Roman" w:hAnsi="Times New Roman"/>
          <w:sz w:val="22"/>
          <w:lang w:val="sk-SK"/>
        </w:rPr>
        <w:tab/>
      </w:r>
      <w:r w:rsidRPr="002E4CD5">
        <w:rPr>
          <w:rFonts w:ascii="Times New Roman" w:hAnsi="Times New Roman"/>
          <w:sz w:val="22"/>
          <w:lang w:val="sk-SK"/>
        </w:rPr>
        <w:t>FARMACEUTICKÉ INFORMÁCIE</w:t>
      </w:r>
      <w:bookmarkEnd w:id="23"/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  <w:bookmarkStart w:id="24" w:name="_Toc428259874"/>
      <w:r w:rsidRPr="002E4CD5">
        <w:rPr>
          <w:rFonts w:ascii="Times New Roman" w:hAnsi="Times New Roman"/>
          <w:i w:val="0"/>
          <w:sz w:val="22"/>
          <w:lang w:val="sk-SK"/>
        </w:rPr>
        <w:t>6.1</w:t>
      </w:r>
      <w:r w:rsidR="00E83713" w:rsidRPr="002E4CD5">
        <w:rPr>
          <w:rFonts w:ascii="Times New Roman" w:hAnsi="Times New Roman"/>
          <w:i w:val="0"/>
          <w:sz w:val="22"/>
          <w:lang w:val="sk-SK"/>
        </w:rPr>
        <w:tab/>
      </w:r>
      <w:r w:rsidRPr="002E4CD5">
        <w:rPr>
          <w:rFonts w:ascii="Times New Roman" w:hAnsi="Times New Roman"/>
          <w:i w:val="0"/>
          <w:sz w:val="22"/>
          <w:lang w:val="sk-SK"/>
        </w:rPr>
        <w:t>Zoznam pomocných látok</w:t>
      </w:r>
      <w:bookmarkEnd w:id="24"/>
    </w:p>
    <w:p w:rsidR="00F56F72" w:rsidRPr="002E4CD5" w:rsidRDefault="00F56F72">
      <w:pPr>
        <w:pStyle w:val="Zkladntext2"/>
        <w:spacing w:before="0"/>
        <w:jc w:val="left"/>
        <w:rPr>
          <w:rFonts w:ascii="Times New Roman" w:hAnsi="Times New Roman"/>
          <w:spacing w:val="0"/>
          <w:sz w:val="22"/>
          <w:lang w:val="sk-SK"/>
        </w:rPr>
      </w:pPr>
    </w:p>
    <w:p w:rsidR="00095590" w:rsidRPr="002E4CD5" w:rsidRDefault="00095590">
      <w:pPr>
        <w:rPr>
          <w:sz w:val="22"/>
          <w:szCs w:val="22"/>
          <w:lang w:val="sk-SK"/>
        </w:rPr>
      </w:pPr>
      <w:r w:rsidRPr="002E4CD5">
        <w:rPr>
          <w:sz w:val="22"/>
          <w:szCs w:val="22"/>
          <w:lang w:val="sk-SK"/>
        </w:rPr>
        <w:t>krospovidón</w:t>
      </w:r>
      <w:r w:rsidR="00F56F72" w:rsidRPr="002E4CD5">
        <w:rPr>
          <w:sz w:val="22"/>
          <w:szCs w:val="22"/>
          <w:lang w:val="sk-SK"/>
        </w:rPr>
        <w:t xml:space="preserve">, </w:t>
      </w:r>
    </w:p>
    <w:p w:rsidR="00095590" w:rsidRPr="002E4CD5" w:rsidRDefault="00F56F72">
      <w:pPr>
        <w:rPr>
          <w:sz w:val="22"/>
          <w:szCs w:val="22"/>
          <w:lang w:val="sk-SK"/>
        </w:rPr>
      </w:pPr>
      <w:r w:rsidRPr="002E4CD5">
        <w:rPr>
          <w:sz w:val="22"/>
          <w:szCs w:val="22"/>
          <w:lang w:val="sk-SK"/>
        </w:rPr>
        <w:t xml:space="preserve">mikrokryštalická celulóza, </w:t>
      </w:r>
    </w:p>
    <w:p w:rsidR="00095590" w:rsidRPr="002E4CD5" w:rsidRDefault="00F56F72">
      <w:pPr>
        <w:rPr>
          <w:sz w:val="22"/>
          <w:szCs w:val="22"/>
          <w:lang w:val="sk-SK"/>
        </w:rPr>
      </w:pPr>
      <w:r w:rsidRPr="002E4CD5">
        <w:rPr>
          <w:sz w:val="22"/>
          <w:szCs w:val="22"/>
          <w:lang w:val="sk-SK"/>
        </w:rPr>
        <w:t xml:space="preserve">trikremičitan horečnatý, </w:t>
      </w:r>
    </w:p>
    <w:p w:rsidR="00095590" w:rsidRPr="002E4CD5" w:rsidRDefault="00F56F72">
      <w:pPr>
        <w:rPr>
          <w:sz w:val="22"/>
          <w:szCs w:val="22"/>
          <w:lang w:val="sk-SK"/>
        </w:rPr>
      </w:pPr>
      <w:r w:rsidRPr="002E4CD5">
        <w:rPr>
          <w:sz w:val="22"/>
          <w:szCs w:val="22"/>
          <w:lang w:val="sk-SK"/>
        </w:rPr>
        <w:t xml:space="preserve">sodná soľ karboxymetylškrobu, </w:t>
      </w:r>
    </w:p>
    <w:p w:rsidR="00095590" w:rsidRPr="002E4CD5" w:rsidRDefault="00F56F72">
      <w:pPr>
        <w:rPr>
          <w:sz w:val="22"/>
          <w:szCs w:val="22"/>
          <w:lang w:val="sk-SK"/>
        </w:rPr>
      </w:pPr>
      <w:r w:rsidRPr="002E4CD5">
        <w:rPr>
          <w:sz w:val="22"/>
          <w:szCs w:val="22"/>
          <w:lang w:val="sk-SK"/>
        </w:rPr>
        <w:t xml:space="preserve">koloidný </w:t>
      </w:r>
      <w:r w:rsidR="00FD140B" w:rsidRPr="002E4CD5">
        <w:rPr>
          <w:sz w:val="22"/>
          <w:szCs w:val="22"/>
          <w:lang w:val="sk-SK"/>
        </w:rPr>
        <w:t xml:space="preserve">bezvodý </w:t>
      </w:r>
      <w:r w:rsidRPr="002E4CD5">
        <w:rPr>
          <w:sz w:val="22"/>
          <w:szCs w:val="22"/>
          <w:lang w:val="sk-SK"/>
        </w:rPr>
        <w:t xml:space="preserve">oxid </w:t>
      </w:r>
      <w:r w:rsidR="00FD140B" w:rsidRPr="002E4CD5">
        <w:rPr>
          <w:sz w:val="22"/>
          <w:szCs w:val="22"/>
          <w:lang w:val="sk-SK"/>
        </w:rPr>
        <w:t>kremičitý</w:t>
      </w:r>
      <w:r w:rsidRPr="002E4CD5">
        <w:rPr>
          <w:sz w:val="22"/>
          <w:szCs w:val="22"/>
          <w:lang w:val="sk-SK"/>
        </w:rPr>
        <w:t xml:space="preserve">, </w:t>
      </w:r>
    </w:p>
    <w:p w:rsidR="003823B8" w:rsidRPr="00AC5AE4" w:rsidRDefault="003823B8" w:rsidP="003823B8">
      <w:pPr>
        <w:tabs>
          <w:tab w:val="left" w:pos="567"/>
        </w:tabs>
        <w:spacing w:line="260" w:lineRule="exact"/>
        <w:rPr>
          <w:sz w:val="22"/>
          <w:szCs w:val="22"/>
          <w:lang w:val="sk-SK" w:eastAsia="en-US"/>
        </w:rPr>
      </w:pPr>
      <w:r w:rsidRPr="00AC5AE4">
        <w:rPr>
          <w:sz w:val="22"/>
          <w:szCs w:val="22"/>
          <w:lang w:val="sk-SK" w:eastAsia="en-US"/>
        </w:rPr>
        <w:t>stearát horečnatý,</w:t>
      </w:r>
    </w:p>
    <w:p w:rsidR="00095590" w:rsidRPr="002E4CD5" w:rsidRDefault="00095590">
      <w:pPr>
        <w:rPr>
          <w:sz w:val="22"/>
          <w:szCs w:val="22"/>
          <w:lang w:val="sk-SK"/>
        </w:rPr>
      </w:pPr>
    </w:p>
    <w:p w:rsidR="00095590" w:rsidRPr="002E4CD5" w:rsidRDefault="00F56F72">
      <w:pPr>
        <w:rPr>
          <w:sz w:val="22"/>
          <w:szCs w:val="22"/>
          <w:lang w:val="sk-SK"/>
        </w:rPr>
      </w:pPr>
      <w:r w:rsidRPr="002E4CD5">
        <w:rPr>
          <w:sz w:val="22"/>
          <w:szCs w:val="22"/>
          <w:lang w:val="sk-SK"/>
        </w:rPr>
        <w:t xml:space="preserve">disperzia metakrylátového kopolyméru, </w:t>
      </w:r>
    </w:p>
    <w:p w:rsidR="00095590" w:rsidRPr="002E4CD5" w:rsidRDefault="00F56F72">
      <w:pPr>
        <w:rPr>
          <w:sz w:val="22"/>
          <w:szCs w:val="22"/>
          <w:lang w:val="sk-SK"/>
        </w:rPr>
      </w:pPr>
      <w:r w:rsidRPr="002E4CD5">
        <w:rPr>
          <w:sz w:val="22"/>
          <w:szCs w:val="22"/>
          <w:lang w:val="sk-SK"/>
        </w:rPr>
        <w:t xml:space="preserve">mastenec, </w:t>
      </w:r>
    </w:p>
    <w:p w:rsidR="00F56F72" w:rsidRPr="002E4CD5" w:rsidRDefault="00F56F72">
      <w:pPr>
        <w:rPr>
          <w:rFonts w:ascii="Arial" w:hAnsi="Arial"/>
          <w:lang w:val="sk-SK"/>
        </w:rPr>
      </w:pPr>
      <w:r w:rsidRPr="002E4CD5">
        <w:rPr>
          <w:sz w:val="22"/>
          <w:szCs w:val="22"/>
          <w:lang w:val="sk-SK"/>
        </w:rPr>
        <w:t>propylénglykol.</w:t>
      </w: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  <w:bookmarkStart w:id="25" w:name="_Toc428259875"/>
      <w:r w:rsidRPr="002E4CD5">
        <w:rPr>
          <w:rFonts w:ascii="Times New Roman" w:hAnsi="Times New Roman"/>
          <w:i w:val="0"/>
          <w:sz w:val="22"/>
          <w:lang w:val="sk-SK"/>
        </w:rPr>
        <w:t>6.2</w:t>
      </w:r>
      <w:r w:rsidR="00E83713" w:rsidRPr="002E4CD5">
        <w:rPr>
          <w:rFonts w:ascii="Times New Roman" w:hAnsi="Times New Roman"/>
          <w:i w:val="0"/>
          <w:sz w:val="22"/>
          <w:lang w:val="sk-SK"/>
        </w:rPr>
        <w:tab/>
      </w:r>
      <w:r w:rsidRPr="002E4CD5">
        <w:rPr>
          <w:rFonts w:ascii="Times New Roman" w:hAnsi="Times New Roman"/>
          <w:i w:val="0"/>
          <w:sz w:val="22"/>
          <w:lang w:val="sk-SK"/>
        </w:rPr>
        <w:t>Inkompatibility</w:t>
      </w:r>
      <w:bookmarkEnd w:id="25"/>
    </w:p>
    <w:p w:rsidR="004769C5" w:rsidRPr="00AC5AE4" w:rsidRDefault="004769C5" w:rsidP="004769C5">
      <w:pPr>
        <w:keepNext/>
        <w:tabs>
          <w:tab w:val="left" w:pos="720"/>
        </w:tabs>
        <w:rPr>
          <w:lang w:val="sk-SK"/>
        </w:rPr>
      </w:pPr>
    </w:p>
    <w:p w:rsidR="004769C5" w:rsidRPr="00AC5AE4" w:rsidRDefault="004769C5" w:rsidP="004769C5">
      <w:pPr>
        <w:keepNext/>
        <w:tabs>
          <w:tab w:val="left" w:pos="720"/>
        </w:tabs>
        <w:rPr>
          <w:sz w:val="22"/>
          <w:szCs w:val="22"/>
          <w:lang w:val="sk-SK"/>
        </w:rPr>
      </w:pPr>
      <w:r w:rsidRPr="00AC5AE4">
        <w:rPr>
          <w:sz w:val="22"/>
          <w:szCs w:val="22"/>
          <w:lang w:val="sk-SK"/>
        </w:rPr>
        <w:t>Neaplikovateľné.</w:t>
      </w:r>
    </w:p>
    <w:p w:rsidR="00D36597" w:rsidRPr="00AC5AE4" w:rsidRDefault="00D36597" w:rsidP="004769C5">
      <w:pPr>
        <w:keepNext/>
        <w:tabs>
          <w:tab w:val="left" w:pos="720"/>
        </w:tabs>
        <w:rPr>
          <w:szCs w:val="22"/>
          <w:lang w:val="sk-SK"/>
        </w:rPr>
      </w:pP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  <w:bookmarkStart w:id="26" w:name="_Toc428259876"/>
      <w:r w:rsidRPr="002E4CD5">
        <w:rPr>
          <w:rFonts w:ascii="Times New Roman" w:hAnsi="Times New Roman"/>
          <w:i w:val="0"/>
          <w:sz w:val="22"/>
          <w:lang w:val="sk-SK"/>
        </w:rPr>
        <w:t>6.3</w:t>
      </w:r>
      <w:r w:rsidR="00E83713" w:rsidRPr="002E4CD5">
        <w:rPr>
          <w:rFonts w:ascii="Times New Roman" w:hAnsi="Times New Roman"/>
          <w:i w:val="0"/>
          <w:sz w:val="22"/>
          <w:lang w:val="sk-SK"/>
        </w:rPr>
        <w:tab/>
      </w:r>
      <w:r w:rsidRPr="002E4CD5">
        <w:rPr>
          <w:rFonts w:ascii="Times New Roman" w:hAnsi="Times New Roman"/>
          <w:i w:val="0"/>
          <w:sz w:val="22"/>
          <w:lang w:val="sk-SK"/>
        </w:rPr>
        <w:t>Čas použiteľnosti</w:t>
      </w:r>
      <w:bookmarkEnd w:id="26"/>
    </w:p>
    <w:p w:rsidR="00F56F72" w:rsidRPr="002E4CD5" w:rsidRDefault="00F56F72">
      <w:pPr>
        <w:rPr>
          <w:sz w:val="22"/>
          <w:lang w:val="sk-SK"/>
        </w:rPr>
      </w:pPr>
    </w:p>
    <w:p w:rsidR="00F56F72" w:rsidRPr="002E4CD5" w:rsidRDefault="00F56F72">
      <w:pPr>
        <w:rPr>
          <w:b/>
          <w:sz w:val="22"/>
          <w:lang w:val="sk-SK"/>
        </w:rPr>
      </w:pPr>
      <w:r w:rsidRPr="002E4CD5">
        <w:rPr>
          <w:sz w:val="22"/>
          <w:lang w:val="sk-SK"/>
        </w:rPr>
        <w:t>3 roky</w:t>
      </w: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  <w:bookmarkStart w:id="27" w:name="_Toc428259877"/>
      <w:r w:rsidRPr="002E4CD5">
        <w:rPr>
          <w:rFonts w:ascii="Times New Roman" w:hAnsi="Times New Roman"/>
          <w:i w:val="0"/>
          <w:sz w:val="22"/>
          <w:lang w:val="sk-SK"/>
        </w:rPr>
        <w:t>6.4</w:t>
      </w:r>
      <w:r w:rsidR="00E83713" w:rsidRPr="002E4CD5">
        <w:rPr>
          <w:rFonts w:ascii="Times New Roman" w:hAnsi="Times New Roman"/>
          <w:i w:val="0"/>
          <w:sz w:val="22"/>
          <w:lang w:val="sk-SK"/>
        </w:rPr>
        <w:tab/>
      </w:r>
      <w:r w:rsidRPr="002E4CD5">
        <w:rPr>
          <w:rFonts w:ascii="Times New Roman" w:hAnsi="Times New Roman"/>
          <w:i w:val="0"/>
          <w:sz w:val="22"/>
          <w:lang w:val="sk-SK"/>
        </w:rPr>
        <w:t>Špeciálne upozornenia na uchovávanie</w:t>
      </w:r>
      <w:bookmarkEnd w:id="27"/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b w:val="0"/>
          <w:i w:val="0"/>
          <w:sz w:val="22"/>
          <w:lang w:val="sk-SK"/>
        </w:rPr>
      </w:pPr>
    </w:p>
    <w:p w:rsidR="00F56F72" w:rsidRPr="002E4CD5" w:rsidRDefault="00F56F72" w:rsidP="00CB5773">
      <w:pPr>
        <w:rPr>
          <w:sz w:val="22"/>
          <w:lang w:val="sk-SK"/>
        </w:rPr>
      </w:pPr>
      <w:bookmarkStart w:id="28" w:name="_Toc428258077"/>
      <w:r w:rsidRPr="002E4CD5">
        <w:rPr>
          <w:sz w:val="22"/>
          <w:lang w:val="sk-SK"/>
        </w:rPr>
        <w:t>Uchovávať pri teplote do 25</w:t>
      </w:r>
      <w:r w:rsidR="007B6C90" w:rsidRPr="002E4CD5">
        <w:rPr>
          <w:sz w:val="22"/>
          <w:lang w:val="sk-SK"/>
        </w:rPr>
        <w:t xml:space="preserve"> </w:t>
      </w:r>
      <w:r w:rsidRPr="002E4CD5">
        <w:rPr>
          <w:sz w:val="22"/>
          <w:vertAlign w:val="superscript"/>
          <w:lang w:val="sk-SK"/>
        </w:rPr>
        <w:t xml:space="preserve">o </w:t>
      </w:r>
      <w:r w:rsidRPr="002E4CD5">
        <w:rPr>
          <w:sz w:val="22"/>
          <w:lang w:val="sk-SK"/>
        </w:rPr>
        <w:t>C</w:t>
      </w:r>
      <w:r w:rsidR="00FD140B" w:rsidRPr="002E4CD5">
        <w:rPr>
          <w:sz w:val="22"/>
          <w:lang w:val="sk-SK"/>
        </w:rPr>
        <w:t>.</w:t>
      </w:r>
      <w:bookmarkEnd w:id="28"/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</w:p>
    <w:p w:rsidR="00F56F72" w:rsidRPr="002E4CD5" w:rsidRDefault="00F56F72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lang w:val="sk-SK"/>
        </w:rPr>
      </w:pPr>
      <w:bookmarkStart w:id="29" w:name="_Toc428259878"/>
      <w:r w:rsidRPr="002E4CD5">
        <w:rPr>
          <w:rFonts w:ascii="Times New Roman" w:hAnsi="Times New Roman"/>
          <w:i w:val="0"/>
          <w:sz w:val="22"/>
          <w:lang w:val="sk-SK"/>
        </w:rPr>
        <w:t>6.5</w:t>
      </w:r>
      <w:r w:rsidR="00E83713" w:rsidRPr="002E4CD5">
        <w:rPr>
          <w:rFonts w:ascii="Times New Roman" w:hAnsi="Times New Roman"/>
          <w:i w:val="0"/>
          <w:sz w:val="22"/>
          <w:lang w:val="sk-SK"/>
        </w:rPr>
        <w:tab/>
      </w:r>
      <w:r w:rsidRPr="002E4CD5">
        <w:rPr>
          <w:rFonts w:ascii="Times New Roman" w:hAnsi="Times New Roman"/>
          <w:i w:val="0"/>
          <w:sz w:val="22"/>
          <w:lang w:val="sk-SK"/>
        </w:rPr>
        <w:t>Druh obalu a obsah balenia</w:t>
      </w:r>
      <w:bookmarkEnd w:id="29"/>
    </w:p>
    <w:p w:rsidR="00F56F72" w:rsidRPr="002E4CD5" w:rsidRDefault="00F56F72">
      <w:pPr>
        <w:rPr>
          <w:sz w:val="22"/>
          <w:lang w:val="sk-SK"/>
        </w:rPr>
      </w:pPr>
    </w:p>
    <w:p w:rsidR="00F56F72" w:rsidRPr="002E4CD5" w:rsidRDefault="00F56F72">
      <w:pPr>
        <w:rPr>
          <w:sz w:val="22"/>
          <w:lang w:val="sk-SK"/>
        </w:rPr>
      </w:pPr>
      <w:r w:rsidRPr="002E4CD5">
        <w:rPr>
          <w:sz w:val="22"/>
          <w:lang w:val="sk-SK"/>
        </w:rPr>
        <w:t>Al/PVC/PVDC blister</w:t>
      </w:r>
      <w:r w:rsidR="00FD140B" w:rsidRPr="002E4CD5">
        <w:rPr>
          <w:sz w:val="22"/>
          <w:lang w:val="sk-SK"/>
        </w:rPr>
        <w:t xml:space="preserve">, papierová </w:t>
      </w:r>
      <w:r w:rsidRPr="002E4CD5">
        <w:rPr>
          <w:sz w:val="22"/>
          <w:lang w:val="sk-SK"/>
        </w:rPr>
        <w:t xml:space="preserve">škatuľa, písomná informácia pre používateľov. </w:t>
      </w:r>
    </w:p>
    <w:p w:rsidR="00F56F72" w:rsidRPr="002E4CD5" w:rsidRDefault="00F56F72">
      <w:pPr>
        <w:rPr>
          <w:b/>
          <w:sz w:val="22"/>
          <w:lang w:val="sk-SK"/>
        </w:rPr>
      </w:pPr>
      <w:r w:rsidRPr="002E4CD5">
        <w:rPr>
          <w:sz w:val="22"/>
          <w:lang w:val="sk-SK"/>
        </w:rPr>
        <w:t xml:space="preserve">Veľkosť balenia: 84 </w:t>
      </w:r>
      <w:r w:rsidR="00FD140B" w:rsidRPr="002E4CD5">
        <w:rPr>
          <w:sz w:val="22"/>
          <w:lang w:val="sk-SK"/>
        </w:rPr>
        <w:t xml:space="preserve">gastrorezistentných </w:t>
      </w:r>
      <w:r w:rsidRPr="002E4CD5">
        <w:rPr>
          <w:sz w:val="22"/>
          <w:lang w:val="sk-SK"/>
        </w:rPr>
        <w:t>tabliet</w:t>
      </w:r>
      <w:r w:rsidR="00FD140B" w:rsidRPr="002E4CD5">
        <w:rPr>
          <w:sz w:val="22"/>
          <w:lang w:val="sk-SK"/>
        </w:rPr>
        <w:t>.</w:t>
      </w:r>
      <w:r w:rsidRPr="002E4CD5">
        <w:rPr>
          <w:sz w:val="22"/>
          <w:lang w:val="sk-SK"/>
        </w:rPr>
        <w:t xml:space="preserve"> </w:t>
      </w:r>
    </w:p>
    <w:p w:rsidR="00F56F72" w:rsidRPr="002E4CD5" w:rsidRDefault="00F56F7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lang w:val="sk-SK"/>
        </w:rPr>
      </w:pPr>
    </w:p>
    <w:p w:rsidR="00F56F72" w:rsidRPr="002E4CD5" w:rsidRDefault="00F56F72">
      <w:pPr>
        <w:rPr>
          <w:sz w:val="22"/>
          <w:lang w:val="sk-SK"/>
        </w:rPr>
      </w:pPr>
    </w:p>
    <w:p w:rsidR="00F56F72" w:rsidRPr="002E4CD5" w:rsidRDefault="00F56F7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lang w:val="sk-SK"/>
        </w:rPr>
      </w:pPr>
      <w:bookmarkStart w:id="30" w:name="_Toc428259879"/>
      <w:r w:rsidRPr="002E4CD5">
        <w:rPr>
          <w:rFonts w:ascii="Times New Roman" w:hAnsi="Times New Roman"/>
          <w:sz w:val="22"/>
          <w:lang w:val="sk-SK"/>
        </w:rPr>
        <w:t>7.</w:t>
      </w:r>
      <w:r w:rsidR="00E83713" w:rsidRPr="002E4CD5">
        <w:rPr>
          <w:rFonts w:ascii="Times New Roman" w:hAnsi="Times New Roman"/>
          <w:sz w:val="22"/>
          <w:lang w:val="sk-SK"/>
        </w:rPr>
        <w:tab/>
      </w:r>
      <w:r w:rsidRPr="002E4CD5">
        <w:rPr>
          <w:rFonts w:ascii="Times New Roman" w:hAnsi="Times New Roman"/>
          <w:sz w:val="22"/>
          <w:lang w:val="sk-SK"/>
        </w:rPr>
        <w:t>DRŽITEĽ ROZHODNUTIA O REGISTRÁCII</w:t>
      </w:r>
      <w:bookmarkEnd w:id="30"/>
    </w:p>
    <w:p w:rsidR="00F56F72" w:rsidRPr="002E4CD5" w:rsidRDefault="00F56F72">
      <w:pPr>
        <w:rPr>
          <w:sz w:val="22"/>
          <w:lang w:val="sk-SK"/>
        </w:rPr>
      </w:pPr>
    </w:p>
    <w:p w:rsidR="00F56F72" w:rsidRPr="002E4CD5" w:rsidRDefault="00B976E6">
      <w:pPr>
        <w:rPr>
          <w:sz w:val="22"/>
          <w:lang w:val="sk-SK"/>
        </w:rPr>
      </w:pPr>
      <w:r w:rsidRPr="002E4CD5">
        <w:rPr>
          <w:sz w:val="22"/>
          <w:lang w:val="sk-SK"/>
        </w:rPr>
        <w:t>Merck Santé s.a.s., 37 rue Saint Romain, Lyon</w:t>
      </w:r>
      <w:r w:rsidR="00E83713" w:rsidRPr="002E4CD5">
        <w:rPr>
          <w:sz w:val="22"/>
          <w:lang w:val="sk-SK"/>
        </w:rPr>
        <w:t xml:space="preserve">, </w:t>
      </w:r>
      <w:r w:rsidR="00F56F72" w:rsidRPr="002E4CD5">
        <w:rPr>
          <w:sz w:val="22"/>
          <w:lang w:val="sk-SK"/>
        </w:rPr>
        <w:t>Francúzsko</w:t>
      </w:r>
    </w:p>
    <w:p w:rsidR="004769C5" w:rsidRPr="002E4CD5" w:rsidRDefault="004769C5">
      <w:pPr>
        <w:rPr>
          <w:sz w:val="22"/>
          <w:lang w:val="sk-SK"/>
        </w:rPr>
      </w:pPr>
    </w:p>
    <w:p w:rsidR="00D526B5" w:rsidRPr="002E4CD5" w:rsidRDefault="00D526B5">
      <w:pPr>
        <w:rPr>
          <w:sz w:val="22"/>
          <w:lang w:val="sk-SK"/>
        </w:rPr>
      </w:pPr>
    </w:p>
    <w:p w:rsidR="00F56F72" w:rsidRPr="002E4CD5" w:rsidRDefault="00F56F7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lang w:val="sk-SK"/>
        </w:rPr>
      </w:pPr>
      <w:bookmarkStart w:id="31" w:name="_Toc428259880"/>
      <w:r w:rsidRPr="002E4CD5">
        <w:rPr>
          <w:rFonts w:ascii="Times New Roman" w:hAnsi="Times New Roman"/>
          <w:sz w:val="22"/>
          <w:lang w:val="sk-SK"/>
        </w:rPr>
        <w:t>8.</w:t>
      </w:r>
      <w:r w:rsidR="00E83713" w:rsidRPr="002E4CD5">
        <w:rPr>
          <w:rFonts w:ascii="Times New Roman" w:hAnsi="Times New Roman"/>
          <w:sz w:val="22"/>
          <w:lang w:val="sk-SK"/>
        </w:rPr>
        <w:tab/>
      </w:r>
      <w:r w:rsidRPr="002E4CD5">
        <w:rPr>
          <w:rFonts w:ascii="Times New Roman" w:hAnsi="Times New Roman"/>
          <w:sz w:val="22"/>
          <w:lang w:val="sk-SK"/>
        </w:rPr>
        <w:t>REGISTRAČNÉ ČÍSLO</w:t>
      </w:r>
      <w:bookmarkEnd w:id="31"/>
      <w:r w:rsidRPr="002E4CD5">
        <w:rPr>
          <w:rFonts w:ascii="Times New Roman" w:hAnsi="Times New Roman"/>
          <w:sz w:val="22"/>
          <w:lang w:val="sk-SK"/>
        </w:rPr>
        <w:t xml:space="preserve"> </w:t>
      </w:r>
    </w:p>
    <w:p w:rsidR="00F56F72" w:rsidRPr="002E4CD5" w:rsidRDefault="00F56F72">
      <w:pPr>
        <w:rPr>
          <w:sz w:val="22"/>
          <w:lang w:val="sk-SK"/>
        </w:rPr>
      </w:pPr>
    </w:p>
    <w:p w:rsidR="00F56F72" w:rsidRPr="002E4CD5" w:rsidRDefault="00F56F72">
      <w:pPr>
        <w:rPr>
          <w:sz w:val="22"/>
          <w:lang w:val="sk-SK"/>
        </w:rPr>
      </w:pPr>
      <w:r w:rsidRPr="002E4CD5">
        <w:rPr>
          <w:sz w:val="22"/>
          <w:lang w:val="sk-SK"/>
        </w:rPr>
        <w:t>87/0170/99-S</w:t>
      </w:r>
    </w:p>
    <w:p w:rsidR="00F56F72" w:rsidRPr="002E4CD5" w:rsidRDefault="00F56F72">
      <w:pPr>
        <w:rPr>
          <w:sz w:val="22"/>
          <w:lang w:val="sk-SK"/>
        </w:rPr>
      </w:pPr>
    </w:p>
    <w:p w:rsidR="00D526B5" w:rsidRPr="002E4CD5" w:rsidRDefault="00D526B5">
      <w:pPr>
        <w:rPr>
          <w:sz w:val="22"/>
          <w:lang w:val="sk-SK"/>
        </w:rPr>
      </w:pPr>
    </w:p>
    <w:p w:rsidR="00F56F72" w:rsidRPr="002E4CD5" w:rsidRDefault="00F56F7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lang w:val="sk-SK"/>
        </w:rPr>
      </w:pPr>
      <w:bookmarkStart w:id="32" w:name="_Toc428259881"/>
      <w:r w:rsidRPr="002E4CD5">
        <w:rPr>
          <w:rFonts w:ascii="Times New Roman" w:hAnsi="Times New Roman"/>
          <w:sz w:val="22"/>
          <w:lang w:val="sk-SK"/>
        </w:rPr>
        <w:t>9.</w:t>
      </w:r>
      <w:r w:rsidR="00E83713" w:rsidRPr="002E4CD5">
        <w:rPr>
          <w:rFonts w:ascii="Times New Roman" w:hAnsi="Times New Roman"/>
          <w:sz w:val="22"/>
          <w:lang w:val="sk-SK"/>
        </w:rPr>
        <w:tab/>
      </w:r>
      <w:r w:rsidRPr="002E4CD5">
        <w:rPr>
          <w:rFonts w:ascii="Times New Roman" w:hAnsi="Times New Roman"/>
          <w:sz w:val="22"/>
          <w:lang w:val="sk-SK"/>
        </w:rPr>
        <w:t>DÁTUM PRVEJ REGISTRÁCIE/</w:t>
      </w:r>
      <w:r w:rsidR="00766E8F" w:rsidRPr="002E4CD5">
        <w:rPr>
          <w:rFonts w:ascii="Times New Roman" w:hAnsi="Times New Roman"/>
          <w:sz w:val="22"/>
          <w:lang w:val="sk-SK"/>
        </w:rPr>
        <w:t xml:space="preserve">PREDĹŽENIA </w:t>
      </w:r>
      <w:r w:rsidRPr="002E4CD5">
        <w:rPr>
          <w:rFonts w:ascii="Times New Roman" w:hAnsi="Times New Roman"/>
          <w:sz w:val="22"/>
          <w:lang w:val="sk-SK"/>
        </w:rPr>
        <w:t>REGISTRÁCIE</w:t>
      </w:r>
      <w:bookmarkEnd w:id="32"/>
    </w:p>
    <w:p w:rsidR="00F56F72" w:rsidRPr="002E4CD5" w:rsidRDefault="00F56F7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lang w:val="sk-SK"/>
        </w:rPr>
      </w:pPr>
    </w:p>
    <w:p w:rsidR="00744E18" w:rsidRPr="002E4CD5" w:rsidRDefault="00744E18" w:rsidP="00766E8F">
      <w:pPr>
        <w:rPr>
          <w:sz w:val="22"/>
          <w:lang w:val="sk-SK"/>
        </w:rPr>
      </w:pPr>
      <w:r w:rsidRPr="002E4CD5">
        <w:rPr>
          <w:sz w:val="22"/>
          <w:szCs w:val="22"/>
          <w:lang w:val="sk-SK"/>
        </w:rPr>
        <w:t xml:space="preserve">Dátum </w:t>
      </w:r>
      <w:r w:rsidR="002C22F2" w:rsidRPr="002E4CD5">
        <w:rPr>
          <w:noProof/>
          <w:sz w:val="22"/>
          <w:szCs w:val="22"/>
          <w:lang w:val="sk-SK"/>
        </w:rPr>
        <w:t>prvej</w:t>
      </w:r>
      <w:r w:rsidR="002C22F2" w:rsidRPr="002E4CD5">
        <w:rPr>
          <w:sz w:val="22"/>
          <w:szCs w:val="22"/>
          <w:lang w:val="sk-SK"/>
        </w:rPr>
        <w:t xml:space="preserve"> </w:t>
      </w:r>
      <w:r w:rsidRPr="002E4CD5">
        <w:rPr>
          <w:sz w:val="22"/>
          <w:szCs w:val="22"/>
          <w:lang w:val="sk-SK"/>
        </w:rPr>
        <w:t xml:space="preserve">registrácie: </w:t>
      </w:r>
      <w:r w:rsidR="00F56F72" w:rsidRPr="002E4CD5">
        <w:rPr>
          <w:sz w:val="22"/>
          <w:lang w:val="sk-SK"/>
        </w:rPr>
        <w:t>28.</w:t>
      </w:r>
      <w:r w:rsidR="00CB66C5" w:rsidRPr="002E4CD5">
        <w:rPr>
          <w:sz w:val="22"/>
          <w:lang w:val="sk-SK"/>
        </w:rPr>
        <w:t xml:space="preserve"> </w:t>
      </w:r>
      <w:r w:rsidR="00E25191" w:rsidRPr="002E4CD5">
        <w:rPr>
          <w:sz w:val="22"/>
          <w:lang w:val="sk-SK"/>
        </w:rPr>
        <w:t>októbra</w:t>
      </w:r>
      <w:r w:rsidR="008F3C11" w:rsidRPr="002E4CD5">
        <w:rPr>
          <w:sz w:val="22"/>
          <w:lang w:val="sk-SK"/>
        </w:rPr>
        <w:t xml:space="preserve"> </w:t>
      </w:r>
      <w:r w:rsidR="00F56F72" w:rsidRPr="002E4CD5">
        <w:rPr>
          <w:sz w:val="22"/>
          <w:lang w:val="sk-SK"/>
        </w:rPr>
        <w:t>1999</w:t>
      </w:r>
    </w:p>
    <w:p w:rsidR="00766E8F" w:rsidRPr="00AC5AE4" w:rsidRDefault="00744E18" w:rsidP="00766E8F">
      <w:pPr>
        <w:rPr>
          <w:sz w:val="22"/>
          <w:szCs w:val="22"/>
          <w:lang w:val="sk-SK"/>
        </w:rPr>
      </w:pPr>
      <w:r w:rsidRPr="002E4CD5">
        <w:rPr>
          <w:sz w:val="22"/>
          <w:szCs w:val="22"/>
          <w:lang w:val="sk-SK"/>
        </w:rPr>
        <w:t xml:space="preserve">Dátum </w:t>
      </w:r>
      <w:r w:rsidR="002C22F2" w:rsidRPr="002E4CD5">
        <w:rPr>
          <w:noProof/>
          <w:sz w:val="22"/>
          <w:szCs w:val="22"/>
          <w:lang w:val="sk-SK"/>
        </w:rPr>
        <w:t xml:space="preserve">posledného </w:t>
      </w:r>
      <w:r w:rsidRPr="002E4CD5">
        <w:rPr>
          <w:sz w:val="22"/>
          <w:szCs w:val="22"/>
          <w:lang w:val="sk-SK"/>
        </w:rPr>
        <w:t>predĺženia registrácie: 05.</w:t>
      </w:r>
      <w:r w:rsidR="008F3C11" w:rsidRPr="002E4CD5">
        <w:rPr>
          <w:sz w:val="22"/>
          <w:szCs w:val="22"/>
          <w:lang w:val="sk-SK"/>
        </w:rPr>
        <w:t xml:space="preserve"> </w:t>
      </w:r>
      <w:r w:rsidR="00E25191" w:rsidRPr="002E4CD5">
        <w:rPr>
          <w:sz w:val="22"/>
          <w:szCs w:val="22"/>
          <w:lang w:val="sk-SK"/>
        </w:rPr>
        <w:t>marca</w:t>
      </w:r>
      <w:r w:rsidR="008F3C11" w:rsidRPr="002E4CD5">
        <w:rPr>
          <w:sz w:val="22"/>
          <w:szCs w:val="22"/>
          <w:lang w:val="sk-SK"/>
        </w:rPr>
        <w:t xml:space="preserve"> </w:t>
      </w:r>
      <w:r w:rsidRPr="002E4CD5">
        <w:rPr>
          <w:sz w:val="22"/>
          <w:szCs w:val="22"/>
          <w:lang w:val="sk-SK"/>
        </w:rPr>
        <w:t xml:space="preserve">2009 </w:t>
      </w:r>
    </w:p>
    <w:p w:rsidR="002C22F2" w:rsidRPr="00AC5AE4" w:rsidRDefault="002C22F2" w:rsidP="00766E8F">
      <w:pPr>
        <w:rPr>
          <w:sz w:val="22"/>
          <w:szCs w:val="22"/>
          <w:lang w:val="sk-SK"/>
        </w:rPr>
      </w:pPr>
    </w:p>
    <w:p w:rsidR="00F56F72" w:rsidRPr="002E4CD5" w:rsidRDefault="00F56F72">
      <w:pPr>
        <w:rPr>
          <w:sz w:val="22"/>
          <w:lang w:val="sk-SK"/>
        </w:rPr>
      </w:pPr>
    </w:p>
    <w:p w:rsidR="00F56F72" w:rsidRPr="002E4CD5" w:rsidRDefault="00F56F7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lang w:val="sk-SK"/>
        </w:rPr>
      </w:pPr>
      <w:bookmarkStart w:id="33" w:name="_Toc428259882"/>
      <w:r w:rsidRPr="002E4CD5">
        <w:rPr>
          <w:rFonts w:ascii="Times New Roman" w:hAnsi="Times New Roman"/>
          <w:sz w:val="22"/>
          <w:lang w:val="sk-SK"/>
        </w:rPr>
        <w:t>10.</w:t>
      </w:r>
      <w:r w:rsidR="00E83713" w:rsidRPr="002E4CD5">
        <w:rPr>
          <w:rFonts w:ascii="Times New Roman" w:hAnsi="Times New Roman"/>
          <w:sz w:val="22"/>
          <w:lang w:val="sk-SK"/>
        </w:rPr>
        <w:tab/>
      </w:r>
      <w:r w:rsidRPr="002E4CD5">
        <w:rPr>
          <w:rFonts w:ascii="Times New Roman" w:hAnsi="Times New Roman"/>
          <w:sz w:val="22"/>
          <w:lang w:val="sk-SK"/>
        </w:rPr>
        <w:t>DÁTUM REVÍZIE TEXTU</w:t>
      </w:r>
      <w:bookmarkEnd w:id="33"/>
    </w:p>
    <w:p w:rsidR="00D6040D" w:rsidRPr="002E4CD5" w:rsidRDefault="00D6040D">
      <w:pPr>
        <w:rPr>
          <w:sz w:val="22"/>
          <w:lang w:val="sk-SK"/>
        </w:rPr>
      </w:pPr>
    </w:p>
    <w:p w:rsidR="00F56F72" w:rsidRPr="002E4CD5" w:rsidRDefault="00AC5AE4">
      <w:pPr>
        <w:rPr>
          <w:sz w:val="22"/>
          <w:lang w:val="sk-SK"/>
        </w:rPr>
      </w:pPr>
      <w:r>
        <w:rPr>
          <w:sz w:val="22"/>
          <w:lang w:val="sk-SK"/>
        </w:rPr>
        <w:t>10/2020</w:t>
      </w:r>
    </w:p>
    <w:sectPr w:rsidR="00F56F72" w:rsidRPr="002E4CD5" w:rsidSect="002E4CD5">
      <w:headerReference w:type="default" r:id="rId9"/>
      <w:footerReference w:type="even" r:id="rId10"/>
      <w:footerReference w:type="default" r:id="rId11"/>
      <w:pgSz w:w="11907" w:h="16840" w:code="9"/>
      <w:pgMar w:top="1418" w:right="1134" w:bottom="1418" w:left="1134" w:header="737" w:footer="737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B1" w:rsidRDefault="00AA10B1">
      <w:r>
        <w:separator/>
      </w:r>
    </w:p>
  </w:endnote>
  <w:endnote w:type="continuationSeparator" w:id="0">
    <w:p w:rsidR="00AA10B1" w:rsidRDefault="00AA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3E" w:rsidRDefault="00FE053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5</w:t>
    </w:r>
    <w:r>
      <w:rPr>
        <w:rStyle w:val="slostrany"/>
      </w:rPr>
      <w:fldChar w:fldCharType="end"/>
    </w:r>
  </w:p>
  <w:p w:rsidR="00FE053E" w:rsidRDefault="00FE053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3E" w:rsidRPr="00A602A6" w:rsidRDefault="00FE053E">
    <w:pPr>
      <w:pStyle w:val="Pta"/>
      <w:framePr w:wrap="around" w:vAnchor="text" w:hAnchor="margin" w:xAlign="center" w:y="1"/>
      <w:rPr>
        <w:rStyle w:val="slostrany"/>
        <w:sz w:val="18"/>
        <w:szCs w:val="18"/>
      </w:rPr>
    </w:pPr>
    <w:r w:rsidRPr="00A602A6">
      <w:rPr>
        <w:rStyle w:val="slostrany"/>
        <w:sz w:val="18"/>
        <w:szCs w:val="18"/>
      </w:rPr>
      <w:fldChar w:fldCharType="begin"/>
    </w:r>
    <w:r w:rsidRPr="00A602A6">
      <w:rPr>
        <w:rStyle w:val="slostrany"/>
        <w:sz w:val="18"/>
        <w:szCs w:val="18"/>
      </w:rPr>
      <w:instrText xml:space="preserve">PAGE  </w:instrText>
    </w:r>
    <w:r w:rsidRPr="00A602A6">
      <w:rPr>
        <w:rStyle w:val="slostrany"/>
        <w:sz w:val="18"/>
        <w:szCs w:val="18"/>
      </w:rPr>
      <w:fldChar w:fldCharType="separate"/>
    </w:r>
    <w:r w:rsidR="002E4CD5">
      <w:rPr>
        <w:rStyle w:val="slostrany"/>
        <w:noProof/>
        <w:sz w:val="18"/>
        <w:szCs w:val="18"/>
      </w:rPr>
      <w:t>2</w:t>
    </w:r>
    <w:r w:rsidRPr="00A602A6">
      <w:rPr>
        <w:rStyle w:val="slostrany"/>
        <w:sz w:val="18"/>
        <w:szCs w:val="18"/>
      </w:rPr>
      <w:fldChar w:fldCharType="end"/>
    </w:r>
  </w:p>
  <w:p w:rsidR="00FE053E" w:rsidRDefault="00FE053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B1" w:rsidRDefault="00AA10B1">
      <w:r>
        <w:separator/>
      </w:r>
    </w:p>
  </w:footnote>
  <w:footnote w:type="continuationSeparator" w:id="0">
    <w:p w:rsidR="00AA10B1" w:rsidRDefault="00AA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AE4" w:rsidRPr="008F3C11" w:rsidRDefault="00AC5AE4" w:rsidP="00AC5AE4">
    <w:pPr>
      <w:pStyle w:val="Nzov"/>
      <w:spacing w:before="0"/>
      <w:jc w:val="left"/>
      <w:rPr>
        <w:rFonts w:ascii="Times New Roman" w:hAnsi="Times New Roman"/>
        <w:b w:val="0"/>
        <w:spacing w:val="0"/>
        <w:sz w:val="18"/>
        <w:szCs w:val="18"/>
      </w:rPr>
    </w:pPr>
    <w:r w:rsidRPr="00720A15">
      <w:rPr>
        <w:rFonts w:ascii="Times New Roman" w:hAnsi="Times New Roman"/>
        <w:b w:val="0"/>
        <w:spacing w:val="0"/>
        <w:sz w:val="18"/>
        <w:szCs w:val="18"/>
      </w:rPr>
      <w:t xml:space="preserve">Príloha č.1 k notifikácii </w:t>
    </w:r>
    <w:r>
      <w:rPr>
        <w:rFonts w:ascii="Times New Roman" w:hAnsi="Times New Roman"/>
        <w:b w:val="0"/>
        <w:spacing w:val="0"/>
        <w:sz w:val="18"/>
        <w:szCs w:val="18"/>
      </w:rPr>
      <w:t xml:space="preserve">o zmene, </w:t>
    </w:r>
    <w:r w:rsidRPr="00720A15">
      <w:rPr>
        <w:rFonts w:ascii="Times New Roman" w:hAnsi="Times New Roman"/>
        <w:b w:val="0"/>
        <w:spacing w:val="0"/>
        <w:sz w:val="18"/>
        <w:szCs w:val="18"/>
      </w:rPr>
      <w:t xml:space="preserve">ev.č.: </w:t>
    </w:r>
    <w:r>
      <w:rPr>
        <w:rFonts w:ascii="Times New Roman" w:hAnsi="Times New Roman"/>
        <w:b w:val="0"/>
        <w:spacing w:val="0"/>
        <w:sz w:val="18"/>
        <w:szCs w:val="18"/>
      </w:rPr>
      <w:t>2020/05507</w:t>
    </w:r>
    <w:r w:rsidRPr="008F3C11">
      <w:rPr>
        <w:rFonts w:ascii="Times New Roman" w:hAnsi="Times New Roman"/>
        <w:b w:val="0"/>
        <w:sz w:val="18"/>
        <w:szCs w:val="18"/>
      </w:rPr>
      <w:t>-ZIB</w:t>
    </w:r>
  </w:p>
  <w:p w:rsidR="00AC5AE4" w:rsidRDefault="00AC5A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170" w:legacyIndent="0"/>
      <w:lvlJc w:val="left"/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Nadpis2"/>
      <w:lvlText w:val="%1.%2"/>
      <w:legacy w:legacy="1" w:legacySpace="170" w:legacyIndent="0"/>
      <w:lvlJc w:val="left"/>
    </w:lvl>
    <w:lvl w:ilvl="2">
      <w:start w:val="1"/>
      <w:numFmt w:val="decimal"/>
      <w:pStyle w:val="Nadpis3"/>
      <w:lvlText w:val="%1.%2.%3"/>
      <w:legacy w:legacy="1" w:legacySpace="170" w:legacyIndent="0"/>
      <w:lvlJc w:val="left"/>
    </w:lvl>
    <w:lvl w:ilvl="3">
      <w:start w:val="1"/>
      <w:numFmt w:val="decimal"/>
      <w:pStyle w:val="Nadpis4"/>
      <w:lvlText w:val="%1.%2.%3.%4"/>
      <w:legacy w:legacy="1" w:legacySpace="0" w:legacyIndent="0"/>
      <w:lvlJc w:val="left"/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1DB27807"/>
    <w:multiLevelType w:val="hybridMultilevel"/>
    <w:tmpl w:val="FDDA3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AAF"/>
    <w:multiLevelType w:val="hybridMultilevel"/>
    <w:tmpl w:val="F816FB6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11"/>
    <w:rsid w:val="0000090D"/>
    <w:rsid w:val="00011736"/>
    <w:rsid w:val="00014EF4"/>
    <w:rsid w:val="00052997"/>
    <w:rsid w:val="000718A8"/>
    <w:rsid w:val="00084D55"/>
    <w:rsid w:val="00095590"/>
    <w:rsid w:val="000F0931"/>
    <w:rsid w:val="000F2FEA"/>
    <w:rsid w:val="00127EBF"/>
    <w:rsid w:val="00171811"/>
    <w:rsid w:val="00174780"/>
    <w:rsid w:val="0018399E"/>
    <w:rsid w:val="001978BE"/>
    <w:rsid w:val="001A0EC8"/>
    <w:rsid w:val="001D6C38"/>
    <w:rsid w:val="001E02D5"/>
    <w:rsid w:val="001E7A77"/>
    <w:rsid w:val="001F3850"/>
    <w:rsid w:val="00240CF7"/>
    <w:rsid w:val="00246B88"/>
    <w:rsid w:val="00281447"/>
    <w:rsid w:val="002A56B4"/>
    <w:rsid w:val="002C22F2"/>
    <w:rsid w:val="002E4CD5"/>
    <w:rsid w:val="002F1557"/>
    <w:rsid w:val="003007F4"/>
    <w:rsid w:val="00320CB9"/>
    <w:rsid w:val="003422BB"/>
    <w:rsid w:val="00372046"/>
    <w:rsid w:val="00373CA3"/>
    <w:rsid w:val="003823B8"/>
    <w:rsid w:val="00386039"/>
    <w:rsid w:val="003C10F7"/>
    <w:rsid w:val="00443DFC"/>
    <w:rsid w:val="004579D5"/>
    <w:rsid w:val="00466772"/>
    <w:rsid w:val="004769C5"/>
    <w:rsid w:val="004D2543"/>
    <w:rsid w:val="00514A7A"/>
    <w:rsid w:val="0057565C"/>
    <w:rsid w:val="005A7C3F"/>
    <w:rsid w:val="005C3FEE"/>
    <w:rsid w:val="005D3480"/>
    <w:rsid w:val="005F57A8"/>
    <w:rsid w:val="00653D69"/>
    <w:rsid w:val="00671E43"/>
    <w:rsid w:val="006817A2"/>
    <w:rsid w:val="00683465"/>
    <w:rsid w:val="006954B6"/>
    <w:rsid w:val="006E2107"/>
    <w:rsid w:val="006E691E"/>
    <w:rsid w:val="00700570"/>
    <w:rsid w:val="0072062B"/>
    <w:rsid w:val="00720A15"/>
    <w:rsid w:val="00727AFB"/>
    <w:rsid w:val="00744E18"/>
    <w:rsid w:val="00766E8F"/>
    <w:rsid w:val="007979E0"/>
    <w:rsid w:val="007A5564"/>
    <w:rsid w:val="007B6C90"/>
    <w:rsid w:val="007D5552"/>
    <w:rsid w:val="00803587"/>
    <w:rsid w:val="0080507A"/>
    <w:rsid w:val="008204D1"/>
    <w:rsid w:val="00832D11"/>
    <w:rsid w:val="00842050"/>
    <w:rsid w:val="0085642B"/>
    <w:rsid w:val="008627AD"/>
    <w:rsid w:val="00892479"/>
    <w:rsid w:val="008B7758"/>
    <w:rsid w:val="008E01A7"/>
    <w:rsid w:val="008F3C11"/>
    <w:rsid w:val="0092321E"/>
    <w:rsid w:val="00933D04"/>
    <w:rsid w:val="00936373"/>
    <w:rsid w:val="00946E65"/>
    <w:rsid w:val="00955635"/>
    <w:rsid w:val="00960BEA"/>
    <w:rsid w:val="009A5FBB"/>
    <w:rsid w:val="009C1EC7"/>
    <w:rsid w:val="009D2156"/>
    <w:rsid w:val="009D7D20"/>
    <w:rsid w:val="00A3368C"/>
    <w:rsid w:val="00A602A6"/>
    <w:rsid w:val="00AA10B1"/>
    <w:rsid w:val="00AB39C5"/>
    <w:rsid w:val="00AB4E2D"/>
    <w:rsid w:val="00AC5AE4"/>
    <w:rsid w:val="00AC7FE9"/>
    <w:rsid w:val="00B177B7"/>
    <w:rsid w:val="00B20A4C"/>
    <w:rsid w:val="00B2116A"/>
    <w:rsid w:val="00B43607"/>
    <w:rsid w:val="00B46168"/>
    <w:rsid w:val="00B70C41"/>
    <w:rsid w:val="00B91BD8"/>
    <w:rsid w:val="00B976E6"/>
    <w:rsid w:val="00BD7FCB"/>
    <w:rsid w:val="00C01BB7"/>
    <w:rsid w:val="00C05E0C"/>
    <w:rsid w:val="00C1227C"/>
    <w:rsid w:val="00C16ADD"/>
    <w:rsid w:val="00C548C6"/>
    <w:rsid w:val="00C7611E"/>
    <w:rsid w:val="00CA2208"/>
    <w:rsid w:val="00CA6902"/>
    <w:rsid w:val="00CA70C2"/>
    <w:rsid w:val="00CB5773"/>
    <w:rsid w:val="00CB66C5"/>
    <w:rsid w:val="00CD03CF"/>
    <w:rsid w:val="00CF0B02"/>
    <w:rsid w:val="00D31103"/>
    <w:rsid w:val="00D36597"/>
    <w:rsid w:val="00D36C1B"/>
    <w:rsid w:val="00D41121"/>
    <w:rsid w:val="00D526B5"/>
    <w:rsid w:val="00D56BC5"/>
    <w:rsid w:val="00D6040D"/>
    <w:rsid w:val="00D630FF"/>
    <w:rsid w:val="00D81F9D"/>
    <w:rsid w:val="00DA73FE"/>
    <w:rsid w:val="00DB1D80"/>
    <w:rsid w:val="00DF3F46"/>
    <w:rsid w:val="00E25191"/>
    <w:rsid w:val="00E27229"/>
    <w:rsid w:val="00E33BA3"/>
    <w:rsid w:val="00E40825"/>
    <w:rsid w:val="00E43828"/>
    <w:rsid w:val="00E44D52"/>
    <w:rsid w:val="00E53048"/>
    <w:rsid w:val="00E645B3"/>
    <w:rsid w:val="00E827B1"/>
    <w:rsid w:val="00E83713"/>
    <w:rsid w:val="00E86D8E"/>
    <w:rsid w:val="00ED77AD"/>
    <w:rsid w:val="00F06EE3"/>
    <w:rsid w:val="00F1084A"/>
    <w:rsid w:val="00F22AF4"/>
    <w:rsid w:val="00F30AB3"/>
    <w:rsid w:val="00F36FFA"/>
    <w:rsid w:val="00F56F72"/>
    <w:rsid w:val="00F676A1"/>
    <w:rsid w:val="00F70388"/>
    <w:rsid w:val="00FC70F8"/>
    <w:rsid w:val="00FD140B"/>
    <w:rsid w:val="00FE053E"/>
    <w:rsid w:val="00F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8FF180-A59E-4143-8540-DDAFD4CA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1">
    <w:name w:val="Styl1"/>
    <w:basedOn w:val="Zkladntext"/>
    <w:pPr>
      <w:spacing w:before="120" w:line="360" w:lineRule="auto"/>
    </w:pPr>
    <w:rPr>
      <w:rFonts w:ascii="Arial" w:hAnsi="Arial"/>
      <w:spacing w:val="20"/>
      <w:sz w:val="22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Nzov">
    <w:name w:val="Title"/>
    <w:basedOn w:val="Normlny"/>
    <w:qFormat/>
    <w:pPr>
      <w:spacing w:before="120"/>
      <w:jc w:val="center"/>
    </w:pPr>
    <w:rPr>
      <w:rFonts w:ascii="Arial" w:hAnsi="Arial"/>
      <w:b/>
      <w:spacing w:val="8"/>
      <w:sz w:val="28"/>
    </w:rPr>
  </w:style>
  <w:style w:type="paragraph" w:styleId="Zkladntext2">
    <w:name w:val="Body Text 2"/>
    <w:basedOn w:val="Normlny"/>
    <w:semiHidden/>
    <w:pPr>
      <w:spacing w:before="120"/>
      <w:jc w:val="both"/>
    </w:pPr>
    <w:rPr>
      <w:rFonts w:ascii="Arial" w:hAnsi="Arial"/>
      <w:spacing w:val="8"/>
      <w:sz w:val="24"/>
    </w:rPr>
  </w:style>
  <w:style w:type="paragraph" w:styleId="Zkladntext3">
    <w:name w:val="Body Text 3"/>
    <w:basedOn w:val="Normlny"/>
    <w:semiHidden/>
    <w:pPr>
      <w:spacing w:before="120"/>
    </w:pPr>
    <w:rPr>
      <w:rFonts w:ascii="Arial" w:hAnsi="Arial"/>
      <w:spacing w:val="8"/>
      <w:sz w:val="24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customStyle="1" w:styleId="Textbubliny1">
    <w:name w:val="Text bubliny1"/>
    <w:basedOn w:val="Normlny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E01A7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uiPriority w:val="99"/>
    <w:rsid w:val="008E01A7"/>
    <w:rPr>
      <w:lang w:val="cs-CZ"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E2107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en-US"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6E2107"/>
  </w:style>
  <w:style w:type="paragraph" w:styleId="Obsah2">
    <w:name w:val="toc 2"/>
    <w:basedOn w:val="Normlny"/>
    <w:next w:val="Normlny"/>
    <w:autoRedefine/>
    <w:uiPriority w:val="39"/>
    <w:unhideWhenUsed/>
    <w:rsid w:val="006E2107"/>
    <w:pPr>
      <w:ind w:left="200"/>
    </w:pPr>
  </w:style>
  <w:style w:type="character" w:styleId="Hypertextovprepojenie">
    <w:name w:val="Hyperlink"/>
    <w:uiPriority w:val="99"/>
    <w:unhideWhenUsed/>
    <w:rsid w:val="006E2107"/>
    <w:rPr>
      <w:color w:val="0563C1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C22F2"/>
    <w:pPr>
      <w:spacing w:after="120"/>
      <w:ind w:left="360"/>
    </w:pPr>
  </w:style>
  <w:style w:type="character" w:customStyle="1" w:styleId="ZarkazkladnhotextuChar">
    <w:name w:val="Zarážka základného textu Char"/>
    <w:link w:val="Zarkazkladnhotextu"/>
    <w:uiPriority w:val="99"/>
    <w:semiHidden/>
    <w:rsid w:val="002C22F2"/>
    <w:rPr>
      <w:lang w:val="cs-CZ" w:eastAsia="sk-SK"/>
    </w:rPr>
  </w:style>
  <w:style w:type="character" w:styleId="Odkaznakomentr">
    <w:name w:val="annotation reference"/>
    <w:uiPriority w:val="99"/>
    <w:semiHidden/>
    <w:unhideWhenUsed/>
    <w:rsid w:val="00CB66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66C5"/>
  </w:style>
  <w:style w:type="character" w:customStyle="1" w:styleId="TextkomentraChar">
    <w:name w:val="Text komentára Char"/>
    <w:link w:val="Textkomentra"/>
    <w:uiPriority w:val="99"/>
    <w:semiHidden/>
    <w:rsid w:val="00CB66C5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66C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B66C5"/>
    <w:rPr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4545-660F-4226-9ECD-D28470C4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SPC</vt:lpstr>
      <vt:lpstr>SPC</vt:lpstr>
    </vt:vector>
  </TitlesOfParts>
  <Company>MERCK</Company>
  <LinksUpToDate>false</LinksUpToDate>
  <CharactersWithSpaces>8241</CharactersWithSpaces>
  <SharedDoc>false</SharedDoc>
  <HLinks>
    <vt:vector size="12" baseType="variant"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</dc:title>
  <dc:subject>acmprosat</dc:subject>
  <dc:creator>Uhnakova</dc:creator>
  <cp:keywords>acamprosat</cp:keywords>
  <cp:lastModifiedBy>zuzana molnarova</cp:lastModifiedBy>
  <cp:revision>3</cp:revision>
  <cp:lastPrinted>2020-10-13T10:35:00Z</cp:lastPrinted>
  <dcterms:created xsi:type="dcterms:W3CDTF">2020-10-13T10:35:00Z</dcterms:created>
  <dcterms:modified xsi:type="dcterms:W3CDTF">2020-10-13T10:35:00Z</dcterms:modified>
</cp:coreProperties>
</file>