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C732A" w14:textId="77777777" w:rsidR="003E5CE6" w:rsidRPr="00221FC6" w:rsidRDefault="003E5CE6" w:rsidP="00B42AE7">
      <w:pPr>
        <w:pStyle w:val="Nzov"/>
        <w:spacing w:before="0"/>
        <w:rPr>
          <w:rFonts w:ascii="Times New Roman" w:hAnsi="Times New Roman"/>
          <w:bCs/>
          <w:caps/>
          <w:sz w:val="22"/>
          <w:szCs w:val="22"/>
          <w:lang w:val="sk-SK"/>
        </w:rPr>
      </w:pPr>
      <w:r w:rsidRPr="00221FC6">
        <w:rPr>
          <w:rFonts w:ascii="Times New Roman" w:hAnsi="Times New Roman"/>
          <w:bCs/>
          <w:caps/>
          <w:sz w:val="22"/>
          <w:szCs w:val="22"/>
          <w:lang w:val="sk-SK"/>
        </w:rPr>
        <w:t>Súhrn charakteristických vlastností lieku</w:t>
      </w:r>
    </w:p>
    <w:p w14:paraId="03DACE6E" w14:textId="77777777" w:rsidR="003E5CE6" w:rsidRPr="00221FC6" w:rsidRDefault="003E5CE6" w:rsidP="00B42AE7">
      <w:pPr>
        <w:rPr>
          <w:rFonts w:ascii="Times New Roman" w:hAnsi="Times New Roman"/>
          <w:i/>
          <w:szCs w:val="22"/>
        </w:rPr>
      </w:pPr>
    </w:p>
    <w:p w14:paraId="7C2DFFF7" w14:textId="77777777" w:rsidR="003E5CE6" w:rsidRPr="00221FC6" w:rsidRDefault="003E5CE6" w:rsidP="00B42AE7">
      <w:pPr>
        <w:rPr>
          <w:rFonts w:ascii="Times New Roman" w:hAnsi="Times New Roman"/>
          <w:i/>
          <w:szCs w:val="22"/>
        </w:rPr>
      </w:pPr>
    </w:p>
    <w:p w14:paraId="0BC194CE" w14:textId="77777777" w:rsidR="003E5CE6" w:rsidRPr="00221FC6" w:rsidRDefault="003E5CE6" w:rsidP="00B42AE7">
      <w:pPr>
        <w:numPr>
          <w:ilvl w:val="0"/>
          <w:numId w:val="1"/>
        </w:numPr>
        <w:tabs>
          <w:tab w:val="num" w:pos="567"/>
        </w:tabs>
        <w:ind w:left="0" w:firstLine="0"/>
        <w:rPr>
          <w:rFonts w:ascii="Times New Roman" w:hAnsi="Times New Roman"/>
          <w:b/>
          <w:szCs w:val="22"/>
        </w:rPr>
      </w:pPr>
      <w:r w:rsidRPr="00221FC6">
        <w:rPr>
          <w:rFonts w:ascii="Times New Roman" w:hAnsi="Times New Roman"/>
          <w:b/>
          <w:szCs w:val="22"/>
        </w:rPr>
        <w:t>NÁZOV LIEKU</w:t>
      </w:r>
    </w:p>
    <w:p w14:paraId="1C764FDF" w14:textId="77777777" w:rsidR="003E5CE6" w:rsidRPr="00221FC6" w:rsidRDefault="003E5CE6" w:rsidP="00B42AE7">
      <w:pPr>
        <w:rPr>
          <w:rFonts w:ascii="Times New Roman" w:hAnsi="Times New Roman"/>
          <w:szCs w:val="22"/>
        </w:rPr>
      </w:pPr>
    </w:p>
    <w:p w14:paraId="01E2D7DC" w14:textId="62E189CB" w:rsidR="003E5CE6" w:rsidRPr="00221FC6" w:rsidRDefault="00865D36" w:rsidP="00B42AE7">
      <w:pPr>
        <w:rPr>
          <w:rFonts w:ascii="Times New Roman" w:hAnsi="Times New Roman"/>
          <w:szCs w:val="22"/>
        </w:rPr>
      </w:pPr>
      <w:r>
        <w:rPr>
          <w:rFonts w:ascii="Times New Roman" w:hAnsi="Times New Roman"/>
          <w:szCs w:val="22"/>
        </w:rPr>
        <w:t>Aladez</w:t>
      </w:r>
    </w:p>
    <w:p w14:paraId="203879BB" w14:textId="44B66F6E" w:rsidR="003E5CE6" w:rsidRPr="00221FC6" w:rsidRDefault="00714AA2" w:rsidP="00B42AE7">
      <w:pPr>
        <w:rPr>
          <w:rFonts w:ascii="Times New Roman" w:hAnsi="Times New Roman"/>
          <w:szCs w:val="22"/>
        </w:rPr>
      </w:pPr>
      <w:r w:rsidRPr="00221FC6">
        <w:rPr>
          <w:rFonts w:ascii="Times New Roman" w:hAnsi="Times New Roman"/>
          <w:szCs w:val="22"/>
        </w:rPr>
        <w:t xml:space="preserve">600 mg </w:t>
      </w:r>
      <w:r w:rsidR="00E202B7" w:rsidRPr="00221FC6">
        <w:rPr>
          <w:rFonts w:ascii="Times New Roman" w:hAnsi="Times New Roman"/>
          <w:szCs w:val="22"/>
        </w:rPr>
        <w:t>filmom obalené tablety</w:t>
      </w:r>
    </w:p>
    <w:p w14:paraId="31A2B35B" w14:textId="77777777" w:rsidR="003E5CE6" w:rsidRPr="00221FC6" w:rsidRDefault="003E5CE6" w:rsidP="00B42AE7">
      <w:pPr>
        <w:rPr>
          <w:rFonts w:ascii="Times New Roman" w:hAnsi="Times New Roman"/>
          <w:szCs w:val="22"/>
        </w:rPr>
      </w:pPr>
    </w:p>
    <w:p w14:paraId="49C77B48" w14:textId="77777777" w:rsidR="003E5CE6" w:rsidRPr="00221FC6" w:rsidRDefault="003E5CE6" w:rsidP="00B42AE7">
      <w:pPr>
        <w:numPr>
          <w:ilvl w:val="0"/>
          <w:numId w:val="1"/>
        </w:numPr>
        <w:tabs>
          <w:tab w:val="num" w:pos="567"/>
        </w:tabs>
        <w:ind w:left="0" w:firstLine="0"/>
        <w:rPr>
          <w:rFonts w:ascii="Times New Roman" w:hAnsi="Times New Roman"/>
          <w:b/>
          <w:szCs w:val="22"/>
        </w:rPr>
      </w:pPr>
      <w:r w:rsidRPr="00221FC6">
        <w:rPr>
          <w:rFonts w:ascii="Times New Roman" w:hAnsi="Times New Roman"/>
          <w:b/>
          <w:szCs w:val="22"/>
        </w:rPr>
        <w:t>KVALITATÍVNE A KVANTITATÍVNE ZLOŽENIE</w:t>
      </w:r>
    </w:p>
    <w:p w14:paraId="04D14F1A" w14:textId="77777777" w:rsidR="003E5CE6" w:rsidRPr="00221FC6" w:rsidRDefault="003E5CE6" w:rsidP="00B42AE7">
      <w:pPr>
        <w:rPr>
          <w:rFonts w:ascii="Times New Roman" w:hAnsi="Times New Roman"/>
          <w:szCs w:val="22"/>
        </w:rPr>
      </w:pPr>
    </w:p>
    <w:p w14:paraId="6CD45908" w14:textId="10D46EDD" w:rsidR="003E5CE6" w:rsidRPr="00221FC6" w:rsidRDefault="00865D36" w:rsidP="00B42AE7">
      <w:pPr>
        <w:rPr>
          <w:rFonts w:ascii="Times New Roman" w:hAnsi="Times New Roman"/>
          <w:szCs w:val="22"/>
        </w:rPr>
      </w:pPr>
      <w:r>
        <w:rPr>
          <w:rFonts w:ascii="Times New Roman" w:hAnsi="Times New Roman"/>
          <w:szCs w:val="22"/>
        </w:rPr>
        <w:t>Každá</w:t>
      </w:r>
      <w:r w:rsidR="003E5CE6" w:rsidRPr="00221FC6">
        <w:rPr>
          <w:rFonts w:ascii="Times New Roman" w:hAnsi="Times New Roman"/>
          <w:szCs w:val="22"/>
        </w:rPr>
        <w:t xml:space="preserve"> filmom obalená tableta obsahuje 600 mg kyseliny tioktovej.</w:t>
      </w:r>
    </w:p>
    <w:p w14:paraId="296877C7" w14:textId="77777777" w:rsidR="003E5CE6" w:rsidRPr="00221FC6" w:rsidRDefault="003E5CE6" w:rsidP="00B42AE7">
      <w:pPr>
        <w:rPr>
          <w:rFonts w:ascii="Times New Roman" w:hAnsi="Times New Roman"/>
          <w:noProof/>
          <w:szCs w:val="22"/>
        </w:rPr>
      </w:pPr>
    </w:p>
    <w:p w14:paraId="20B19137" w14:textId="0E48BF1F" w:rsidR="00F83223" w:rsidRDefault="00F83223" w:rsidP="00B42AE7">
      <w:pPr>
        <w:rPr>
          <w:rFonts w:ascii="Times New Roman" w:hAnsi="Times New Roman"/>
          <w:noProof/>
          <w:szCs w:val="22"/>
        </w:rPr>
      </w:pPr>
      <w:r>
        <w:rPr>
          <w:rFonts w:ascii="Times New Roman" w:hAnsi="Times New Roman"/>
          <w:noProof/>
          <w:szCs w:val="22"/>
          <w:u w:val="single"/>
        </w:rPr>
        <w:t>Pomocná látka so známým účinkom:</w:t>
      </w:r>
    </w:p>
    <w:p w14:paraId="17D8CF99" w14:textId="0475C34E" w:rsidR="00F83223" w:rsidRPr="00F83223" w:rsidRDefault="00F83223" w:rsidP="00B42AE7">
      <w:pPr>
        <w:rPr>
          <w:rFonts w:ascii="Times New Roman" w:hAnsi="Times New Roman"/>
          <w:noProof/>
          <w:szCs w:val="22"/>
        </w:rPr>
      </w:pPr>
      <w:r>
        <w:rPr>
          <w:rFonts w:ascii="Times New Roman" w:hAnsi="Times New Roman"/>
          <w:noProof/>
          <w:szCs w:val="22"/>
        </w:rPr>
        <w:t>Každá filmom obalená tableta obsahuje 2,968 mg laktózy (ve forme monohydrátu).</w:t>
      </w:r>
    </w:p>
    <w:p w14:paraId="00E93551" w14:textId="77777777" w:rsidR="00F83223" w:rsidRDefault="00F83223" w:rsidP="00B42AE7">
      <w:pPr>
        <w:rPr>
          <w:rFonts w:ascii="Times New Roman" w:hAnsi="Times New Roman"/>
          <w:noProof/>
          <w:szCs w:val="22"/>
        </w:rPr>
      </w:pPr>
    </w:p>
    <w:p w14:paraId="3654CA91" w14:textId="34D240A8" w:rsidR="003E5CE6" w:rsidRPr="00221FC6" w:rsidRDefault="003E5CE6" w:rsidP="00B42AE7">
      <w:pPr>
        <w:rPr>
          <w:rFonts w:ascii="Times New Roman" w:hAnsi="Times New Roman"/>
          <w:szCs w:val="22"/>
        </w:rPr>
      </w:pPr>
      <w:r w:rsidRPr="00221FC6">
        <w:rPr>
          <w:rFonts w:ascii="Times New Roman" w:hAnsi="Times New Roman"/>
          <w:noProof/>
          <w:szCs w:val="22"/>
        </w:rPr>
        <w:t>Úplný zoznam pomocných látok, pozri časť 6.1.</w:t>
      </w:r>
    </w:p>
    <w:p w14:paraId="6DEBE1D5" w14:textId="77777777" w:rsidR="003E5CE6" w:rsidRDefault="003E5CE6" w:rsidP="00B42AE7">
      <w:pPr>
        <w:rPr>
          <w:rFonts w:ascii="Times New Roman" w:hAnsi="Times New Roman"/>
          <w:szCs w:val="22"/>
        </w:rPr>
      </w:pPr>
    </w:p>
    <w:p w14:paraId="2BE6EF23" w14:textId="77777777" w:rsidR="00F57DF8" w:rsidRPr="00221FC6" w:rsidRDefault="00F57DF8" w:rsidP="00B42AE7">
      <w:pPr>
        <w:rPr>
          <w:rFonts w:ascii="Times New Roman" w:hAnsi="Times New Roman"/>
          <w:szCs w:val="22"/>
        </w:rPr>
      </w:pPr>
    </w:p>
    <w:p w14:paraId="0D439B53" w14:textId="77777777" w:rsidR="003E5CE6" w:rsidRPr="00221FC6" w:rsidRDefault="003E5CE6" w:rsidP="00B42AE7">
      <w:pPr>
        <w:numPr>
          <w:ilvl w:val="0"/>
          <w:numId w:val="1"/>
        </w:numPr>
        <w:tabs>
          <w:tab w:val="num" w:pos="567"/>
        </w:tabs>
        <w:ind w:left="0" w:firstLine="0"/>
        <w:rPr>
          <w:rFonts w:ascii="Times New Roman" w:hAnsi="Times New Roman"/>
          <w:b/>
          <w:szCs w:val="22"/>
        </w:rPr>
      </w:pPr>
      <w:r w:rsidRPr="00221FC6">
        <w:rPr>
          <w:rFonts w:ascii="Times New Roman" w:hAnsi="Times New Roman"/>
          <w:b/>
          <w:szCs w:val="22"/>
        </w:rPr>
        <w:t>LIEKOVÁ FORMA</w:t>
      </w:r>
    </w:p>
    <w:p w14:paraId="75AA64D7" w14:textId="77777777" w:rsidR="003E5CE6" w:rsidRPr="00221FC6" w:rsidRDefault="003E5CE6" w:rsidP="00B42AE7">
      <w:pPr>
        <w:rPr>
          <w:rFonts w:ascii="Times New Roman" w:hAnsi="Times New Roman"/>
          <w:szCs w:val="22"/>
        </w:rPr>
      </w:pPr>
    </w:p>
    <w:p w14:paraId="24EB73F5" w14:textId="77777777" w:rsidR="003E5CE6" w:rsidRPr="00221FC6" w:rsidRDefault="003E5CE6" w:rsidP="00B42AE7">
      <w:pPr>
        <w:rPr>
          <w:rFonts w:ascii="Times New Roman" w:hAnsi="Times New Roman"/>
          <w:szCs w:val="22"/>
        </w:rPr>
      </w:pPr>
      <w:r w:rsidRPr="00221FC6">
        <w:rPr>
          <w:rFonts w:ascii="Times New Roman" w:hAnsi="Times New Roman"/>
          <w:szCs w:val="22"/>
        </w:rPr>
        <w:t xml:space="preserve">Filmom </w:t>
      </w:r>
      <w:r w:rsidR="009C4DB4" w:rsidRPr="00221FC6">
        <w:rPr>
          <w:rFonts w:ascii="Times New Roman" w:hAnsi="Times New Roman"/>
          <w:szCs w:val="22"/>
        </w:rPr>
        <w:t>obalená tableta</w:t>
      </w:r>
    </w:p>
    <w:p w14:paraId="77CC4E8C" w14:textId="6446BFB4" w:rsidR="003E5CE6" w:rsidRPr="00221FC6" w:rsidRDefault="009E5178" w:rsidP="00B42AE7">
      <w:pPr>
        <w:rPr>
          <w:rFonts w:ascii="Times New Roman" w:hAnsi="Times New Roman"/>
          <w:szCs w:val="22"/>
        </w:rPr>
      </w:pPr>
      <w:r>
        <w:rPr>
          <w:rFonts w:ascii="Times New Roman" w:hAnsi="Times New Roman"/>
          <w:szCs w:val="22"/>
        </w:rPr>
        <w:t>Žltá oválna b</w:t>
      </w:r>
      <w:r w:rsidR="00575375" w:rsidRPr="00221FC6">
        <w:rPr>
          <w:rFonts w:ascii="Times New Roman" w:hAnsi="Times New Roman"/>
          <w:szCs w:val="22"/>
        </w:rPr>
        <w:t>ikonvexn</w:t>
      </w:r>
      <w:r>
        <w:rPr>
          <w:rFonts w:ascii="Times New Roman" w:hAnsi="Times New Roman"/>
          <w:szCs w:val="22"/>
        </w:rPr>
        <w:t>á</w:t>
      </w:r>
      <w:r w:rsidR="00575375" w:rsidRPr="00221FC6">
        <w:rPr>
          <w:rFonts w:ascii="Times New Roman" w:hAnsi="Times New Roman"/>
          <w:szCs w:val="22"/>
        </w:rPr>
        <w:t xml:space="preserve"> filmom obalen</w:t>
      </w:r>
      <w:r>
        <w:rPr>
          <w:rFonts w:ascii="Times New Roman" w:hAnsi="Times New Roman"/>
          <w:szCs w:val="22"/>
        </w:rPr>
        <w:t>á</w:t>
      </w:r>
      <w:r w:rsidR="00575375" w:rsidRPr="00221FC6">
        <w:rPr>
          <w:rFonts w:ascii="Times New Roman" w:hAnsi="Times New Roman"/>
          <w:szCs w:val="22"/>
        </w:rPr>
        <w:t xml:space="preserve"> tablet</w:t>
      </w:r>
      <w:r>
        <w:rPr>
          <w:rFonts w:ascii="Times New Roman" w:hAnsi="Times New Roman"/>
          <w:szCs w:val="22"/>
        </w:rPr>
        <w:t>a z oboch strán hladká</w:t>
      </w:r>
      <w:r w:rsidR="00575375" w:rsidRPr="00221FC6">
        <w:rPr>
          <w:rFonts w:ascii="Times New Roman" w:hAnsi="Times New Roman"/>
          <w:szCs w:val="22"/>
        </w:rPr>
        <w:t>.</w:t>
      </w:r>
    </w:p>
    <w:p w14:paraId="79DB6CF6" w14:textId="29741A09" w:rsidR="009E5178" w:rsidRPr="00221FC6" w:rsidRDefault="009E5178" w:rsidP="00B42AE7">
      <w:pPr>
        <w:rPr>
          <w:rFonts w:ascii="Times New Roman" w:hAnsi="Times New Roman"/>
          <w:szCs w:val="22"/>
        </w:rPr>
      </w:pPr>
      <w:r w:rsidRPr="009E5178">
        <w:rPr>
          <w:rFonts w:ascii="Times New Roman" w:hAnsi="Times New Roman"/>
          <w:szCs w:val="22"/>
        </w:rPr>
        <w:t>Hrúbka: 6,4 mm ± 0,2 mm, Dĺžka: 21,0 mm ± 0,4 mm, Šírka: 9,7 mm ± 0,4 mm</w:t>
      </w:r>
    </w:p>
    <w:p w14:paraId="1A2CB32E" w14:textId="77777777" w:rsidR="00575375" w:rsidRDefault="00575375" w:rsidP="00B42AE7">
      <w:pPr>
        <w:rPr>
          <w:rFonts w:ascii="Times New Roman" w:hAnsi="Times New Roman"/>
          <w:szCs w:val="22"/>
        </w:rPr>
      </w:pPr>
    </w:p>
    <w:p w14:paraId="5570D8F8" w14:textId="77777777" w:rsidR="00F57DF8" w:rsidRPr="00221FC6" w:rsidRDefault="00F57DF8" w:rsidP="00B42AE7">
      <w:pPr>
        <w:rPr>
          <w:rFonts w:ascii="Times New Roman" w:hAnsi="Times New Roman"/>
          <w:szCs w:val="22"/>
        </w:rPr>
      </w:pPr>
    </w:p>
    <w:p w14:paraId="3FE2997E" w14:textId="77777777" w:rsidR="003E5CE6" w:rsidRPr="00221FC6" w:rsidRDefault="003E5CE6" w:rsidP="00B42AE7">
      <w:pPr>
        <w:numPr>
          <w:ilvl w:val="0"/>
          <w:numId w:val="1"/>
        </w:numPr>
        <w:tabs>
          <w:tab w:val="num" w:pos="567"/>
        </w:tabs>
        <w:ind w:left="0" w:firstLine="0"/>
        <w:rPr>
          <w:rFonts w:ascii="Times New Roman" w:hAnsi="Times New Roman"/>
          <w:b/>
          <w:szCs w:val="22"/>
        </w:rPr>
      </w:pPr>
      <w:r w:rsidRPr="00221FC6">
        <w:rPr>
          <w:rFonts w:ascii="Times New Roman" w:hAnsi="Times New Roman"/>
          <w:b/>
          <w:szCs w:val="22"/>
        </w:rPr>
        <w:t>KLINICKÉ ÚDAJE</w:t>
      </w:r>
    </w:p>
    <w:p w14:paraId="73274FEF" w14:textId="77777777" w:rsidR="003E5CE6" w:rsidRPr="00221FC6" w:rsidRDefault="003E5CE6" w:rsidP="00B42AE7">
      <w:pPr>
        <w:rPr>
          <w:rFonts w:ascii="Times New Roman" w:hAnsi="Times New Roman"/>
          <w:szCs w:val="22"/>
        </w:rPr>
      </w:pPr>
    </w:p>
    <w:p w14:paraId="463289DF" w14:textId="77777777" w:rsidR="003E5CE6" w:rsidRPr="00221FC6" w:rsidRDefault="003E5CE6" w:rsidP="00B42AE7">
      <w:pPr>
        <w:tabs>
          <w:tab w:val="left" w:pos="567"/>
        </w:tabs>
        <w:rPr>
          <w:rFonts w:ascii="Times New Roman" w:hAnsi="Times New Roman"/>
          <w:b/>
          <w:szCs w:val="22"/>
        </w:rPr>
      </w:pPr>
      <w:r w:rsidRPr="00221FC6">
        <w:rPr>
          <w:rFonts w:ascii="Times New Roman" w:hAnsi="Times New Roman"/>
          <w:b/>
          <w:szCs w:val="22"/>
        </w:rPr>
        <w:t>4.1</w:t>
      </w:r>
      <w:r w:rsidRPr="00221FC6">
        <w:rPr>
          <w:rFonts w:ascii="Times New Roman" w:hAnsi="Times New Roman"/>
          <w:b/>
          <w:szCs w:val="22"/>
        </w:rPr>
        <w:tab/>
        <w:t>Terapeutické indikácie</w:t>
      </w:r>
    </w:p>
    <w:p w14:paraId="1BE00834" w14:textId="77777777" w:rsidR="003E5CE6" w:rsidRPr="00221FC6" w:rsidRDefault="003E5CE6" w:rsidP="00B42AE7">
      <w:pPr>
        <w:rPr>
          <w:rFonts w:ascii="Times New Roman" w:hAnsi="Times New Roman"/>
          <w:szCs w:val="22"/>
        </w:rPr>
      </w:pPr>
    </w:p>
    <w:p w14:paraId="7CA784B5" w14:textId="0A126B9B" w:rsidR="003E5CE6" w:rsidRPr="00221FC6" w:rsidRDefault="003E5CE6" w:rsidP="00B42AE7">
      <w:pPr>
        <w:rPr>
          <w:rFonts w:ascii="Times New Roman" w:hAnsi="Times New Roman"/>
          <w:szCs w:val="22"/>
        </w:rPr>
      </w:pPr>
      <w:r w:rsidRPr="00221FC6">
        <w:rPr>
          <w:rFonts w:ascii="Times New Roman" w:hAnsi="Times New Roman"/>
          <w:szCs w:val="22"/>
        </w:rPr>
        <w:t>Terapia symptómov periférnej diabetickej polyneuropatie</w:t>
      </w:r>
      <w:r w:rsidR="007842F6" w:rsidRPr="00221FC6">
        <w:rPr>
          <w:rFonts w:ascii="Times New Roman" w:hAnsi="Times New Roman"/>
          <w:szCs w:val="22"/>
        </w:rPr>
        <w:t xml:space="preserve"> u dospelých</w:t>
      </w:r>
      <w:r w:rsidRPr="00221FC6">
        <w:rPr>
          <w:rFonts w:ascii="Times New Roman" w:hAnsi="Times New Roman"/>
          <w:szCs w:val="22"/>
        </w:rPr>
        <w:t>.</w:t>
      </w:r>
    </w:p>
    <w:p w14:paraId="419B2172" w14:textId="77777777" w:rsidR="003E5CE6" w:rsidRPr="00221FC6" w:rsidRDefault="003E5CE6" w:rsidP="00B42AE7">
      <w:pPr>
        <w:rPr>
          <w:rFonts w:ascii="Times New Roman" w:hAnsi="Times New Roman"/>
          <w:szCs w:val="22"/>
        </w:rPr>
      </w:pPr>
    </w:p>
    <w:p w14:paraId="775ED878" w14:textId="77777777" w:rsidR="003E5CE6" w:rsidRPr="00221FC6" w:rsidRDefault="003E5CE6" w:rsidP="00B42AE7">
      <w:pPr>
        <w:tabs>
          <w:tab w:val="left" w:pos="567"/>
        </w:tabs>
        <w:rPr>
          <w:rFonts w:ascii="Times New Roman" w:hAnsi="Times New Roman"/>
          <w:b/>
          <w:szCs w:val="22"/>
        </w:rPr>
      </w:pPr>
      <w:r w:rsidRPr="00221FC6">
        <w:rPr>
          <w:rFonts w:ascii="Times New Roman" w:hAnsi="Times New Roman"/>
          <w:b/>
          <w:szCs w:val="22"/>
        </w:rPr>
        <w:t>4.2</w:t>
      </w:r>
      <w:r w:rsidRPr="00221FC6">
        <w:rPr>
          <w:rFonts w:ascii="Times New Roman" w:hAnsi="Times New Roman"/>
          <w:b/>
          <w:szCs w:val="22"/>
        </w:rPr>
        <w:tab/>
        <w:t>Dávkovanie a spôsob podávania</w:t>
      </w:r>
    </w:p>
    <w:p w14:paraId="0CA36D6E" w14:textId="77777777" w:rsidR="003E5CE6" w:rsidRPr="00221FC6" w:rsidRDefault="003E5CE6" w:rsidP="00B42AE7">
      <w:pPr>
        <w:rPr>
          <w:rFonts w:ascii="Times New Roman" w:hAnsi="Times New Roman"/>
          <w:szCs w:val="22"/>
        </w:rPr>
      </w:pPr>
    </w:p>
    <w:p w14:paraId="74A9D5EC" w14:textId="77777777" w:rsidR="00BC6E2A" w:rsidRPr="00221FC6" w:rsidRDefault="00BC6E2A" w:rsidP="00B42AE7">
      <w:pPr>
        <w:rPr>
          <w:rFonts w:ascii="Times New Roman" w:hAnsi="Times New Roman"/>
          <w:szCs w:val="22"/>
          <w:u w:val="single"/>
        </w:rPr>
      </w:pPr>
      <w:r w:rsidRPr="00221FC6">
        <w:rPr>
          <w:rFonts w:ascii="Times New Roman" w:hAnsi="Times New Roman"/>
          <w:szCs w:val="22"/>
          <w:u w:val="single"/>
        </w:rPr>
        <w:t>Dávkovanie</w:t>
      </w:r>
    </w:p>
    <w:p w14:paraId="3280AB15" w14:textId="4D741633" w:rsidR="003E5CE6" w:rsidRPr="00221FC6" w:rsidRDefault="00533800" w:rsidP="00B42AE7">
      <w:pPr>
        <w:rPr>
          <w:rFonts w:ascii="Times New Roman" w:hAnsi="Times New Roman"/>
          <w:szCs w:val="22"/>
        </w:rPr>
      </w:pPr>
      <w:r w:rsidRPr="00533800">
        <w:rPr>
          <w:rFonts w:ascii="Times New Roman" w:hAnsi="Times New Roman"/>
          <w:szCs w:val="22"/>
        </w:rPr>
        <w:t>Odporúčané dávkovanie Aladez</w:t>
      </w:r>
      <w:r w:rsidR="00E26580">
        <w:rPr>
          <w:rFonts w:ascii="Times New Roman" w:hAnsi="Times New Roman"/>
          <w:szCs w:val="22"/>
        </w:rPr>
        <w:t>u</w:t>
      </w:r>
      <w:r w:rsidRPr="00533800">
        <w:rPr>
          <w:rFonts w:ascii="Times New Roman" w:hAnsi="Times New Roman"/>
          <w:szCs w:val="22"/>
        </w:rPr>
        <w:t xml:space="preserve"> je 1 tableta (čo zodpovedá 600 mg kyseliny </w:t>
      </w:r>
      <w:r w:rsidR="004C4CA0">
        <w:rPr>
          <w:rFonts w:ascii="Times New Roman" w:hAnsi="Times New Roman"/>
          <w:szCs w:val="22"/>
        </w:rPr>
        <w:t>tioktovej</w:t>
      </w:r>
      <w:r w:rsidRPr="00533800">
        <w:rPr>
          <w:rFonts w:ascii="Times New Roman" w:hAnsi="Times New Roman"/>
          <w:szCs w:val="22"/>
        </w:rPr>
        <w:t>) raz denne.</w:t>
      </w:r>
    </w:p>
    <w:p w14:paraId="0813CA08" w14:textId="232041D0" w:rsidR="003E5CE6" w:rsidRPr="00221FC6" w:rsidRDefault="003E5CE6" w:rsidP="00B42AE7">
      <w:pPr>
        <w:rPr>
          <w:rFonts w:ascii="Times New Roman" w:hAnsi="Times New Roman"/>
          <w:szCs w:val="22"/>
        </w:rPr>
      </w:pPr>
      <w:r w:rsidRPr="00221FC6">
        <w:rPr>
          <w:rFonts w:ascii="Times New Roman" w:hAnsi="Times New Roman"/>
          <w:szCs w:val="22"/>
        </w:rPr>
        <w:t>V prípade závažných symptómov periférnej diabetickej neuropatie sa môže liečba začať</w:t>
      </w:r>
      <w:r w:rsidR="00B42AE7">
        <w:rPr>
          <w:rFonts w:ascii="Times New Roman" w:hAnsi="Times New Roman"/>
          <w:szCs w:val="22"/>
        </w:rPr>
        <w:t xml:space="preserve"> </w:t>
      </w:r>
      <w:r w:rsidRPr="00221FC6">
        <w:rPr>
          <w:rFonts w:ascii="Times New Roman" w:hAnsi="Times New Roman"/>
          <w:szCs w:val="22"/>
        </w:rPr>
        <w:t>prostredníctvom infúznej liečby kyselinou tioktovou.</w:t>
      </w:r>
    </w:p>
    <w:p w14:paraId="7A3A4455" w14:textId="119270C2" w:rsidR="003E5CE6" w:rsidRDefault="003E5CE6" w:rsidP="00B42AE7">
      <w:pPr>
        <w:rPr>
          <w:rFonts w:ascii="Times New Roman" w:hAnsi="Times New Roman"/>
          <w:szCs w:val="22"/>
        </w:rPr>
      </w:pPr>
    </w:p>
    <w:p w14:paraId="39FC8251" w14:textId="62038CB3" w:rsidR="006C6DC3" w:rsidRPr="006C6DC3" w:rsidRDefault="006C6DC3" w:rsidP="00B42AE7">
      <w:pPr>
        <w:rPr>
          <w:rFonts w:ascii="Times New Roman" w:hAnsi="Times New Roman"/>
          <w:szCs w:val="22"/>
          <w:u w:val="single"/>
        </w:rPr>
      </w:pPr>
      <w:r w:rsidRPr="006C6DC3">
        <w:rPr>
          <w:rFonts w:ascii="Times New Roman" w:hAnsi="Times New Roman"/>
          <w:szCs w:val="22"/>
          <w:u w:val="single"/>
        </w:rPr>
        <w:t>Spôsob podávania</w:t>
      </w:r>
    </w:p>
    <w:p w14:paraId="7B7ABC55" w14:textId="7984928B" w:rsidR="007268D2" w:rsidRPr="007268D2" w:rsidRDefault="00A32BC7" w:rsidP="007268D2">
      <w:pPr>
        <w:rPr>
          <w:rFonts w:ascii="Times New Roman" w:hAnsi="Times New Roman"/>
          <w:szCs w:val="22"/>
        </w:rPr>
      </w:pPr>
      <w:r>
        <w:rPr>
          <w:rFonts w:ascii="Times New Roman" w:hAnsi="Times New Roman"/>
          <w:szCs w:val="22"/>
        </w:rPr>
        <w:t>Liek</w:t>
      </w:r>
      <w:r w:rsidRPr="007268D2">
        <w:rPr>
          <w:rFonts w:ascii="Times New Roman" w:hAnsi="Times New Roman"/>
          <w:szCs w:val="22"/>
        </w:rPr>
        <w:t xml:space="preserve"> </w:t>
      </w:r>
      <w:r w:rsidR="007268D2" w:rsidRPr="007268D2">
        <w:rPr>
          <w:rFonts w:ascii="Times New Roman" w:hAnsi="Times New Roman"/>
          <w:szCs w:val="22"/>
        </w:rPr>
        <w:t xml:space="preserve">Aladez má byť prednostne užívaný vcelku s trochou tekutiny a nalačno. Užívanie spolu s jedlom môže znížiť vstrebávanie kyseliny </w:t>
      </w:r>
      <w:r w:rsidR="00EC601B">
        <w:rPr>
          <w:rFonts w:ascii="Times New Roman" w:hAnsi="Times New Roman"/>
          <w:szCs w:val="22"/>
        </w:rPr>
        <w:t>tioktovej</w:t>
      </w:r>
      <w:r w:rsidR="007268D2" w:rsidRPr="007268D2">
        <w:rPr>
          <w:rFonts w:ascii="Times New Roman" w:hAnsi="Times New Roman"/>
          <w:szCs w:val="22"/>
        </w:rPr>
        <w:t>. Preto sa odporúča užívať celú dennú dávku pol hodiny pred raňajkami, najmä u pacientov so spomaleným vyprázdňovaním žalúdka.</w:t>
      </w:r>
    </w:p>
    <w:p w14:paraId="2E97F441" w14:textId="70A99545" w:rsidR="007268D2" w:rsidRPr="007268D2" w:rsidRDefault="007268D2" w:rsidP="007268D2">
      <w:pPr>
        <w:rPr>
          <w:rFonts w:ascii="Times New Roman" w:hAnsi="Times New Roman"/>
          <w:szCs w:val="22"/>
        </w:rPr>
      </w:pPr>
      <w:r w:rsidRPr="007268D2">
        <w:rPr>
          <w:rFonts w:ascii="Times New Roman" w:hAnsi="Times New Roman"/>
          <w:szCs w:val="22"/>
        </w:rPr>
        <w:t xml:space="preserve">Pretože </w:t>
      </w:r>
      <w:r w:rsidR="00A42783" w:rsidRPr="007268D2">
        <w:rPr>
          <w:rFonts w:ascii="Times New Roman" w:hAnsi="Times New Roman"/>
          <w:szCs w:val="22"/>
        </w:rPr>
        <w:t>periférn</w:t>
      </w:r>
      <w:r w:rsidR="00AA0CE3">
        <w:rPr>
          <w:rFonts w:ascii="Times New Roman" w:hAnsi="Times New Roman"/>
          <w:szCs w:val="22"/>
        </w:rPr>
        <w:t>a</w:t>
      </w:r>
      <w:r w:rsidRPr="007268D2">
        <w:rPr>
          <w:rFonts w:ascii="Times New Roman" w:hAnsi="Times New Roman"/>
          <w:szCs w:val="22"/>
        </w:rPr>
        <w:t xml:space="preserve"> </w:t>
      </w:r>
      <w:r w:rsidR="00A32BC7" w:rsidRPr="007268D2">
        <w:rPr>
          <w:rFonts w:ascii="Times New Roman" w:hAnsi="Times New Roman"/>
          <w:szCs w:val="22"/>
        </w:rPr>
        <w:t>polyneuropati</w:t>
      </w:r>
      <w:r w:rsidR="00A32BC7">
        <w:rPr>
          <w:rFonts w:ascii="Times New Roman" w:hAnsi="Times New Roman"/>
          <w:szCs w:val="22"/>
        </w:rPr>
        <w:t xml:space="preserve">a </w:t>
      </w:r>
      <w:r w:rsidRPr="007268D2">
        <w:rPr>
          <w:rFonts w:ascii="Times New Roman" w:hAnsi="Times New Roman"/>
          <w:szCs w:val="22"/>
        </w:rPr>
        <w:t>je chronické ochorenie, môže vyžadovať dlhodobú liečbu.</w:t>
      </w:r>
    </w:p>
    <w:p w14:paraId="268E9746" w14:textId="16822055" w:rsidR="007268D2" w:rsidRDefault="007268D2" w:rsidP="007268D2">
      <w:pPr>
        <w:rPr>
          <w:rFonts w:ascii="Times New Roman" w:hAnsi="Times New Roman"/>
          <w:szCs w:val="22"/>
        </w:rPr>
      </w:pPr>
      <w:r w:rsidRPr="007268D2">
        <w:rPr>
          <w:rFonts w:ascii="Times New Roman" w:hAnsi="Times New Roman"/>
          <w:szCs w:val="22"/>
        </w:rPr>
        <w:t>Liečba diabetickej polyneuropatie je založená na optimálnej glykemickej kontrole.</w:t>
      </w:r>
    </w:p>
    <w:p w14:paraId="1B397D48" w14:textId="666BF147" w:rsidR="007268D2" w:rsidRDefault="007268D2" w:rsidP="00B42AE7">
      <w:pPr>
        <w:rPr>
          <w:rFonts w:ascii="Times New Roman" w:hAnsi="Times New Roman"/>
          <w:szCs w:val="22"/>
        </w:rPr>
      </w:pPr>
    </w:p>
    <w:p w14:paraId="5614241B" w14:textId="31813410" w:rsidR="00114F3C" w:rsidRPr="00114F3C" w:rsidRDefault="00114F3C" w:rsidP="00B42AE7">
      <w:pPr>
        <w:rPr>
          <w:rFonts w:ascii="Times New Roman" w:hAnsi="Times New Roman"/>
          <w:i/>
          <w:iCs/>
          <w:szCs w:val="22"/>
        </w:rPr>
      </w:pPr>
      <w:r w:rsidRPr="00114F3C">
        <w:rPr>
          <w:rFonts w:ascii="Times New Roman" w:hAnsi="Times New Roman"/>
          <w:i/>
          <w:iCs/>
          <w:szCs w:val="22"/>
        </w:rPr>
        <w:t>Pediatrická populácia</w:t>
      </w:r>
    </w:p>
    <w:p w14:paraId="20A2FCD3" w14:textId="4CC83F96" w:rsidR="00245B85" w:rsidRPr="00245B85" w:rsidRDefault="00245B85" w:rsidP="00245B85">
      <w:pPr>
        <w:keepNext/>
        <w:rPr>
          <w:rFonts w:ascii="Times New Roman" w:hAnsi="Times New Roman"/>
          <w:szCs w:val="22"/>
          <w:lang w:eastAsia="de-DE"/>
        </w:rPr>
      </w:pPr>
      <w:r w:rsidRPr="00245B85">
        <w:rPr>
          <w:rFonts w:ascii="Times New Roman" w:hAnsi="Times New Roman"/>
          <w:szCs w:val="22"/>
          <w:lang w:eastAsia="de-DE"/>
        </w:rPr>
        <w:t>Podávanie Aladez</w:t>
      </w:r>
      <w:r w:rsidR="000A5B88">
        <w:rPr>
          <w:rFonts w:ascii="Times New Roman" w:hAnsi="Times New Roman"/>
          <w:szCs w:val="22"/>
          <w:lang w:eastAsia="de-DE"/>
        </w:rPr>
        <w:t>u</w:t>
      </w:r>
      <w:r w:rsidR="00A32BC7">
        <w:rPr>
          <w:rFonts w:ascii="Times New Roman" w:hAnsi="Times New Roman"/>
          <w:szCs w:val="22"/>
          <w:lang w:eastAsia="de-DE"/>
        </w:rPr>
        <w:t xml:space="preserve"> sa</w:t>
      </w:r>
      <w:r w:rsidRPr="00245B85">
        <w:rPr>
          <w:rFonts w:ascii="Times New Roman" w:hAnsi="Times New Roman"/>
          <w:szCs w:val="22"/>
          <w:lang w:eastAsia="de-DE"/>
        </w:rPr>
        <w:t xml:space="preserve"> kvôli nedostatočným klinickým údajom u detí a dospievajúcich neodporúča.</w:t>
      </w:r>
    </w:p>
    <w:p w14:paraId="27C9F9DA" w14:textId="77777777" w:rsidR="00245B85" w:rsidRPr="00245B85" w:rsidRDefault="00245B85" w:rsidP="00245B85">
      <w:pPr>
        <w:keepNext/>
        <w:rPr>
          <w:rFonts w:ascii="Times New Roman" w:hAnsi="Times New Roman"/>
          <w:szCs w:val="22"/>
          <w:lang w:eastAsia="de-DE"/>
        </w:rPr>
      </w:pPr>
    </w:p>
    <w:p w14:paraId="0A82F9D0" w14:textId="77777777" w:rsidR="00245B85" w:rsidRPr="00245B85" w:rsidRDefault="00245B85" w:rsidP="00245B85">
      <w:pPr>
        <w:keepNext/>
        <w:rPr>
          <w:rFonts w:ascii="Times New Roman" w:hAnsi="Times New Roman"/>
          <w:szCs w:val="22"/>
          <w:lang w:eastAsia="de-DE"/>
        </w:rPr>
      </w:pPr>
      <w:r w:rsidRPr="00245B85">
        <w:rPr>
          <w:rFonts w:ascii="Times New Roman" w:hAnsi="Times New Roman"/>
          <w:szCs w:val="22"/>
          <w:lang w:eastAsia="de-DE"/>
        </w:rPr>
        <w:t>Porucha funkcie obličiek</w:t>
      </w:r>
    </w:p>
    <w:p w14:paraId="5DB65D54" w14:textId="143779D4" w:rsidR="00245B85" w:rsidRPr="00245B85" w:rsidRDefault="00245B85" w:rsidP="00245B85">
      <w:pPr>
        <w:keepNext/>
        <w:rPr>
          <w:rFonts w:ascii="Times New Roman" w:hAnsi="Times New Roman"/>
          <w:szCs w:val="22"/>
          <w:lang w:eastAsia="de-DE"/>
        </w:rPr>
      </w:pPr>
      <w:r w:rsidRPr="00245B85">
        <w:rPr>
          <w:rFonts w:ascii="Times New Roman" w:hAnsi="Times New Roman"/>
          <w:szCs w:val="22"/>
          <w:lang w:eastAsia="de-DE"/>
        </w:rPr>
        <w:t>Aladez nemajú užívať pacienti s</w:t>
      </w:r>
      <w:r w:rsidR="00F57DF8">
        <w:rPr>
          <w:rFonts w:ascii="Times New Roman" w:hAnsi="Times New Roman"/>
          <w:szCs w:val="22"/>
          <w:lang w:eastAsia="de-DE"/>
        </w:rPr>
        <w:t xml:space="preserve"> insuficienciou </w:t>
      </w:r>
      <w:r w:rsidR="00F57DF8" w:rsidRPr="00245B85">
        <w:rPr>
          <w:rFonts w:ascii="Times New Roman" w:hAnsi="Times New Roman"/>
          <w:szCs w:val="22"/>
          <w:lang w:eastAsia="de-DE"/>
        </w:rPr>
        <w:t>oblič</w:t>
      </w:r>
      <w:r w:rsidR="00F57DF8">
        <w:rPr>
          <w:rFonts w:ascii="Times New Roman" w:hAnsi="Times New Roman"/>
          <w:szCs w:val="22"/>
          <w:lang w:eastAsia="de-DE"/>
        </w:rPr>
        <w:t>iek</w:t>
      </w:r>
      <w:r w:rsidRPr="00245B85">
        <w:rPr>
          <w:rFonts w:ascii="Times New Roman" w:hAnsi="Times New Roman"/>
          <w:szCs w:val="22"/>
          <w:lang w:eastAsia="de-DE"/>
        </w:rPr>
        <w:t>. Nie sú k dispozícii dostatočné údaje.</w:t>
      </w:r>
    </w:p>
    <w:p w14:paraId="38274545" w14:textId="77777777" w:rsidR="00245B85" w:rsidRPr="00245B85" w:rsidRDefault="00245B85" w:rsidP="00245B85">
      <w:pPr>
        <w:keepNext/>
        <w:rPr>
          <w:rFonts w:ascii="Times New Roman" w:hAnsi="Times New Roman"/>
          <w:szCs w:val="22"/>
          <w:lang w:eastAsia="de-DE"/>
        </w:rPr>
      </w:pPr>
    </w:p>
    <w:p w14:paraId="5599352B" w14:textId="2F498552" w:rsidR="00245B85" w:rsidRPr="00245B85" w:rsidRDefault="00A32BC7" w:rsidP="00245B85">
      <w:pPr>
        <w:keepNext/>
        <w:rPr>
          <w:rFonts w:ascii="Times New Roman" w:hAnsi="Times New Roman"/>
          <w:szCs w:val="22"/>
          <w:lang w:eastAsia="de-DE"/>
        </w:rPr>
      </w:pPr>
      <w:r>
        <w:rPr>
          <w:rFonts w:ascii="Times New Roman" w:hAnsi="Times New Roman"/>
          <w:szCs w:val="22"/>
          <w:lang w:eastAsia="de-DE"/>
        </w:rPr>
        <w:t>Porucha</w:t>
      </w:r>
      <w:r w:rsidRPr="00245B85">
        <w:rPr>
          <w:rFonts w:ascii="Times New Roman" w:hAnsi="Times New Roman"/>
          <w:szCs w:val="22"/>
          <w:lang w:eastAsia="de-DE"/>
        </w:rPr>
        <w:t xml:space="preserve"> </w:t>
      </w:r>
      <w:r w:rsidR="00245B85" w:rsidRPr="00245B85">
        <w:rPr>
          <w:rFonts w:ascii="Times New Roman" w:hAnsi="Times New Roman"/>
          <w:szCs w:val="22"/>
          <w:lang w:eastAsia="de-DE"/>
        </w:rPr>
        <w:t>funkcie pečene</w:t>
      </w:r>
    </w:p>
    <w:p w14:paraId="71588200" w14:textId="325D29D7" w:rsidR="00767559" w:rsidRPr="00221FC6" w:rsidRDefault="00245B85" w:rsidP="00245B85">
      <w:pPr>
        <w:keepNext/>
        <w:rPr>
          <w:rFonts w:ascii="Times New Roman" w:hAnsi="Times New Roman"/>
          <w:szCs w:val="22"/>
        </w:rPr>
      </w:pPr>
      <w:r w:rsidRPr="00245B85">
        <w:rPr>
          <w:rFonts w:ascii="Times New Roman" w:hAnsi="Times New Roman"/>
          <w:szCs w:val="22"/>
          <w:lang w:eastAsia="de-DE"/>
        </w:rPr>
        <w:t xml:space="preserve">Aladez sa nesmie podávať u pacientov s pečeňovou </w:t>
      </w:r>
      <w:r w:rsidRPr="00F57DF8">
        <w:rPr>
          <w:rFonts w:ascii="Times New Roman" w:hAnsi="Times New Roman"/>
          <w:szCs w:val="22"/>
          <w:lang w:eastAsia="de-DE"/>
        </w:rPr>
        <w:t>insuficienciou</w:t>
      </w:r>
      <w:r w:rsidRPr="00245B85">
        <w:rPr>
          <w:rFonts w:ascii="Times New Roman" w:hAnsi="Times New Roman"/>
          <w:szCs w:val="22"/>
          <w:lang w:eastAsia="de-DE"/>
        </w:rPr>
        <w:t>. Nie sú k dispozícii dostatočné údaje</w:t>
      </w:r>
    </w:p>
    <w:p w14:paraId="6B802FB6" w14:textId="77777777" w:rsidR="003E5CE6" w:rsidRPr="00221FC6" w:rsidRDefault="003E5CE6" w:rsidP="00B42AE7">
      <w:pPr>
        <w:rPr>
          <w:rFonts w:ascii="Times New Roman" w:hAnsi="Times New Roman"/>
          <w:szCs w:val="22"/>
        </w:rPr>
      </w:pPr>
    </w:p>
    <w:p w14:paraId="2FB340BF" w14:textId="77777777" w:rsidR="003E5CE6" w:rsidRPr="00221FC6" w:rsidRDefault="003E5CE6" w:rsidP="00B42AE7">
      <w:pPr>
        <w:rPr>
          <w:rFonts w:ascii="Times New Roman" w:hAnsi="Times New Roman"/>
          <w:b/>
          <w:szCs w:val="22"/>
        </w:rPr>
      </w:pPr>
      <w:r w:rsidRPr="00221FC6">
        <w:rPr>
          <w:rFonts w:ascii="Times New Roman" w:hAnsi="Times New Roman"/>
          <w:b/>
          <w:szCs w:val="22"/>
        </w:rPr>
        <w:t>4.3</w:t>
      </w:r>
      <w:r w:rsidRPr="00221FC6">
        <w:rPr>
          <w:rFonts w:ascii="Times New Roman" w:hAnsi="Times New Roman"/>
          <w:b/>
          <w:szCs w:val="22"/>
        </w:rPr>
        <w:tab/>
        <w:t>Kontraindikácie</w:t>
      </w:r>
    </w:p>
    <w:p w14:paraId="0AC79AF5" w14:textId="77777777" w:rsidR="003E5CE6" w:rsidRPr="00221FC6" w:rsidRDefault="003E5CE6" w:rsidP="00B42AE7">
      <w:pPr>
        <w:rPr>
          <w:rFonts w:ascii="Times New Roman" w:hAnsi="Times New Roman"/>
          <w:szCs w:val="22"/>
        </w:rPr>
      </w:pPr>
    </w:p>
    <w:p w14:paraId="26906BFE" w14:textId="77777777" w:rsidR="003E4A93" w:rsidRPr="00221FC6" w:rsidRDefault="003E4A93" w:rsidP="00B42AE7">
      <w:pPr>
        <w:rPr>
          <w:rFonts w:ascii="Times New Roman" w:hAnsi="Times New Roman"/>
          <w:szCs w:val="22"/>
        </w:rPr>
      </w:pPr>
      <w:r w:rsidRPr="00221FC6">
        <w:rPr>
          <w:rFonts w:ascii="Times New Roman" w:hAnsi="Times New Roman"/>
          <w:szCs w:val="22"/>
        </w:rPr>
        <w:t>Precitlivenosť na liečivo alebo na ktorúkoľvek z pomocných látok uvedených v časti 6.1.</w:t>
      </w:r>
    </w:p>
    <w:p w14:paraId="0D8BB197" w14:textId="77777777" w:rsidR="003E5CE6" w:rsidRPr="00221FC6" w:rsidRDefault="003E5CE6" w:rsidP="00B42AE7">
      <w:pPr>
        <w:rPr>
          <w:rFonts w:ascii="Times New Roman" w:hAnsi="Times New Roman"/>
          <w:szCs w:val="22"/>
        </w:rPr>
      </w:pPr>
    </w:p>
    <w:p w14:paraId="432897D1" w14:textId="77777777" w:rsidR="003E5CE6" w:rsidRPr="00221FC6" w:rsidRDefault="003E5CE6" w:rsidP="00B42AE7">
      <w:pPr>
        <w:tabs>
          <w:tab w:val="left" w:pos="567"/>
        </w:tabs>
        <w:rPr>
          <w:rFonts w:ascii="Times New Roman" w:hAnsi="Times New Roman"/>
          <w:noProof/>
          <w:szCs w:val="22"/>
        </w:rPr>
      </w:pPr>
      <w:r w:rsidRPr="00221FC6">
        <w:rPr>
          <w:rFonts w:ascii="Times New Roman" w:hAnsi="Times New Roman"/>
          <w:b/>
          <w:noProof/>
          <w:szCs w:val="22"/>
        </w:rPr>
        <w:t>4.4</w:t>
      </w:r>
      <w:r w:rsidRPr="00221FC6">
        <w:rPr>
          <w:rFonts w:ascii="Times New Roman" w:hAnsi="Times New Roman"/>
          <w:b/>
          <w:noProof/>
          <w:szCs w:val="22"/>
        </w:rPr>
        <w:tab/>
        <w:t>Osobitné upozornenia a opatrenia pri používaní</w:t>
      </w:r>
    </w:p>
    <w:p w14:paraId="0754FBFB" w14:textId="77777777" w:rsidR="003E5CE6" w:rsidRPr="00221FC6" w:rsidRDefault="003E5CE6" w:rsidP="00B42AE7">
      <w:pPr>
        <w:rPr>
          <w:rFonts w:ascii="Times New Roman" w:hAnsi="Times New Roman"/>
          <w:szCs w:val="22"/>
          <w:u w:val="single"/>
        </w:rPr>
      </w:pPr>
    </w:p>
    <w:p w14:paraId="6253717F" w14:textId="0E38D84B" w:rsidR="003E5CE6" w:rsidRPr="00221FC6" w:rsidRDefault="00A32BC7" w:rsidP="00B42AE7">
      <w:pPr>
        <w:rPr>
          <w:rFonts w:ascii="Times New Roman" w:hAnsi="Times New Roman"/>
          <w:szCs w:val="22"/>
        </w:rPr>
      </w:pPr>
      <w:r>
        <w:rPr>
          <w:rFonts w:ascii="Times New Roman" w:hAnsi="Times New Roman"/>
          <w:szCs w:val="22"/>
        </w:rPr>
        <w:t>Liečba d</w:t>
      </w:r>
      <w:r w:rsidR="00256B4E" w:rsidRPr="00256B4E">
        <w:rPr>
          <w:rFonts w:ascii="Times New Roman" w:hAnsi="Times New Roman"/>
          <w:szCs w:val="22"/>
        </w:rPr>
        <w:t>iabetick</w:t>
      </w:r>
      <w:r>
        <w:rPr>
          <w:rFonts w:ascii="Times New Roman" w:hAnsi="Times New Roman"/>
          <w:szCs w:val="22"/>
        </w:rPr>
        <w:t>ej</w:t>
      </w:r>
      <w:r w:rsidR="00256B4E" w:rsidRPr="00256B4E">
        <w:rPr>
          <w:rFonts w:ascii="Times New Roman" w:hAnsi="Times New Roman"/>
          <w:szCs w:val="22"/>
        </w:rPr>
        <w:t xml:space="preserve"> periférn</w:t>
      </w:r>
      <w:r>
        <w:rPr>
          <w:rFonts w:ascii="Times New Roman" w:hAnsi="Times New Roman"/>
          <w:szCs w:val="22"/>
        </w:rPr>
        <w:t>ej</w:t>
      </w:r>
      <w:r w:rsidR="00256B4E" w:rsidRPr="00256B4E">
        <w:rPr>
          <w:rFonts w:ascii="Times New Roman" w:hAnsi="Times New Roman"/>
          <w:szCs w:val="22"/>
        </w:rPr>
        <w:t xml:space="preserve"> </w:t>
      </w:r>
      <w:r w:rsidRPr="00256B4E">
        <w:rPr>
          <w:rFonts w:ascii="Times New Roman" w:hAnsi="Times New Roman"/>
          <w:szCs w:val="22"/>
        </w:rPr>
        <w:t>neuropati</w:t>
      </w:r>
      <w:r>
        <w:rPr>
          <w:rFonts w:ascii="Times New Roman" w:hAnsi="Times New Roman"/>
          <w:szCs w:val="22"/>
        </w:rPr>
        <w:t>e sa</w:t>
      </w:r>
      <w:r w:rsidRPr="00256B4E">
        <w:rPr>
          <w:rFonts w:ascii="Times New Roman" w:hAnsi="Times New Roman"/>
          <w:szCs w:val="22"/>
        </w:rPr>
        <w:t xml:space="preserve"> </w:t>
      </w:r>
      <w:r w:rsidR="00256B4E" w:rsidRPr="00256B4E">
        <w:rPr>
          <w:rFonts w:ascii="Times New Roman" w:hAnsi="Times New Roman"/>
          <w:szCs w:val="22"/>
        </w:rPr>
        <w:t>má začať a</w:t>
      </w:r>
      <w:r>
        <w:rPr>
          <w:rFonts w:ascii="Times New Roman" w:hAnsi="Times New Roman"/>
          <w:szCs w:val="22"/>
        </w:rPr>
        <w:t xml:space="preserve"> byť </w:t>
      </w:r>
      <w:r w:rsidR="00256B4E" w:rsidRPr="00256B4E">
        <w:rPr>
          <w:rFonts w:ascii="Times New Roman" w:hAnsi="Times New Roman"/>
          <w:szCs w:val="22"/>
        </w:rPr>
        <w:t>monitorova</w:t>
      </w:r>
      <w:r>
        <w:rPr>
          <w:rFonts w:ascii="Times New Roman" w:hAnsi="Times New Roman"/>
          <w:szCs w:val="22"/>
        </w:rPr>
        <w:t>ná</w:t>
      </w:r>
      <w:r w:rsidR="00256B4E" w:rsidRPr="00256B4E">
        <w:rPr>
          <w:rFonts w:ascii="Times New Roman" w:hAnsi="Times New Roman"/>
          <w:szCs w:val="22"/>
        </w:rPr>
        <w:t xml:space="preserve"> špecialistami so skúsenosťami v diagnostike a liečbe neuropati</w:t>
      </w:r>
      <w:r>
        <w:rPr>
          <w:rFonts w:ascii="Times New Roman" w:hAnsi="Times New Roman"/>
          <w:szCs w:val="22"/>
        </w:rPr>
        <w:t>e</w:t>
      </w:r>
      <w:r w:rsidR="00256B4E" w:rsidRPr="00256B4E">
        <w:rPr>
          <w:rFonts w:ascii="Times New Roman" w:hAnsi="Times New Roman"/>
          <w:szCs w:val="22"/>
        </w:rPr>
        <w:t xml:space="preserve"> podľa súčasných štandardov.</w:t>
      </w:r>
    </w:p>
    <w:p w14:paraId="36360083" w14:textId="77777777" w:rsidR="003E5CE6" w:rsidRPr="00221FC6" w:rsidRDefault="003E5CE6" w:rsidP="00B42AE7">
      <w:pPr>
        <w:rPr>
          <w:rFonts w:ascii="Times New Roman" w:hAnsi="Times New Roman"/>
          <w:szCs w:val="22"/>
          <w:u w:val="single"/>
        </w:rPr>
      </w:pPr>
    </w:p>
    <w:p w14:paraId="50BE603B" w14:textId="77777777" w:rsidR="007F777E" w:rsidRPr="00C16DB0" w:rsidRDefault="007F777E" w:rsidP="00B42AE7">
      <w:pPr>
        <w:pStyle w:val="Default"/>
        <w:rPr>
          <w:rFonts w:ascii="Times New Roman" w:hAnsi="Times New Roman" w:cs="Times New Roman"/>
          <w:sz w:val="22"/>
          <w:szCs w:val="22"/>
        </w:rPr>
      </w:pPr>
      <w:r w:rsidRPr="00C16DB0">
        <w:rPr>
          <w:rFonts w:ascii="Times New Roman" w:hAnsi="Times New Roman" w:cs="Times New Roman"/>
          <w:sz w:val="22"/>
          <w:szCs w:val="22"/>
        </w:rPr>
        <w:t xml:space="preserve">Počas liečby kyselinou tioktovou boli hlásené prípady inzulínového autoimunitného syndrómu (IAS). Na vznik IAS pri liečbe kyselinou tioktovou sú náchylnejší pacienti s ľudským leukocytovým antigénovým genotypom, ako sú alely HLA-DRB1*04:06 a HLA-DRB1*04:03. Alela HLA-DRB1*04:03 (náchylnosť na IAS, pomer rizika: 1,6) sa nachádza najmä u belošskej rasy, s vyšším výskytom v južnej Európe v porovnaní so severnou Európou, a alela HLA-DRB1*04:06 (náchylnosť na IAS, pomer rizika: 56,6) sa nachádza najmä u japonských a kórejských pacientov. </w:t>
      </w:r>
    </w:p>
    <w:p w14:paraId="327E8B94" w14:textId="77777777" w:rsidR="007F777E" w:rsidRPr="00C16DB0" w:rsidRDefault="007F777E" w:rsidP="00B42AE7">
      <w:pPr>
        <w:pStyle w:val="Default"/>
        <w:rPr>
          <w:rFonts w:ascii="Times New Roman" w:hAnsi="Times New Roman" w:cs="Times New Roman"/>
          <w:sz w:val="22"/>
          <w:szCs w:val="22"/>
        </w:rPr>
      </w:pPr>
    </w:p>
    <w:p w14:paraId="3BBD85EE" w14:textId="0B100F88" w:rsidR="00714AA2" w:rsidRPr="00C16DB0" w:rsidRDefault="007F777E" w:rsidP="00B42AE7">
      <w:pPr>
        <w:rPr>
          <w:rFonts w:ascii="Times New Roman" w:hAnsi="Times New Roman"/>
          <w:szCs w:val="22"/>
        </w:rPr>
      </w:pPr>
      <w:r w:rsidRPr="00C16DB0">
        <w:rPr>
          <w:rFonts w:ascii="Times New Roman" w:hAnsi="Times New Roman"/>
          <w:szCs w:val="22"/>
        </w:rPr>
        <w:t>IAS treba zvážiť pri diferenciálnej diagnostike spontánnej hypoglykémie u pacientov užívajúcich kyselinu tioktovú (pozri časť 4.8).</w:t>
      </w:r>
    </w:p>
    <w:p w14:paraId="373007C6" w14:textId="09404B00" w:rsidR="00C16DB0" w:rsidRPr="00C16DB0" w:rsidRDefault="00C16DB0" w:rsidP="00C16DB0">
      <w:pPr>
        <w:rPr>
          <w:rFonts w:ascii="Times New Roman" w:hAnsi="Times New Roman"/>
          <w:szCs w:val="22"/>
        </w:rPr>
      </w:pPr>
    </w:p>
    <w:p w14:paraId="1A0062F0" w14:textId="7222AE0B" w:rsidR="00C16DB0" w:rsidRPr="00C16DB0" w:rsidRDefault="00C16DB0" w:rsidP="00C16DB0">
      <w:pPr>
        <w:rPr>
          <w:rFonts w:ascii="Times New Roman" w:hAnsi="Times New Roman"/>
          <w:szCs w:val="22"/>
        </w:rPr>
      </w:pPr>
      <w:r w:rsidRPr="00C16DB0">
        <w:rPr>
          <w:rFonts w:ascii="Times New Roman" w:hAnsi="Times New Roman"/>
          <w:szCs w:val="22"/>
        </w:rPr>
        <w:t>Tento liek obsahuje laktózu. Pacienti so zriedkavými dedičnými problémami intoleranci</w:t>
      </w:r>
      <w:r w:rsidR="00D41274">
        <w:rPr>
          <w:rFonts w:ascii="Times New Roman" w:hAnsi="Times New Roman"/>
          <w:szCs w:val="22"/>
        </w:rPr>
        <w:t xml:space="preserve">e </w:t>
      </w:r>
      <w:r w:rsidR="00F57DF8">
        <w:rPr>
          <w:rFonts w:ascii="Times New Roman" w:hAnsi="Times New Roman"/>
          <w:szCs w:val="22"/>
        </w:rPr>
        <w:t xml:space="preserve">fruktózy, intolerancie </w:t>
      </w:r>
      <w:r w:rsidRPr="00C16DB0">
        <w:rPr>
          <w:rFonts w:ascii="Times New Roman" w:hAnsi="Times New Roman"/>
          <w:szCs w:val="22"/>
        </w:rPr>
        <w:t xml:space="preserve">galaktózy, </w:t>
      </w:r>
      <w:r w:rsidR="00F57DF8">
        <w:rPr>
          <w:rFonts w:ascii="Times New Roman" w:hAnsi="Times New Roman"/>
          <w:szCs w:val="22"/>
        </w:rPr>
        <w:t xml:space="preserve">galaktozémie alebo glukózo-galaktózovej </w:t>
      </w:r>
      <w:r w:rsidRPr="00C16DB0">
        <w:rPr>
          <w:rFonts w:ascii="Times New Roman" w:hAnsi="Times New Roman"/>
          <w:szCs w:val="22"/>
        </w:rPr>
        <w:t>malabsorpci</w:t>
      </w:r>
      <w:r w:rsidR="00F57DF8">
        <w:rPr>
          <w:rFonts w:ascii="Times New Roman" w:hAnsi="Times New Roman"/>
          <w:szCs w:val="22"/>
        </w:rPr>
        <w:t>e</w:t>
      </w:r>
      <w:r w:rsidRPr="00C16DB0">
        <w:rPr>
          <w:rFonts w:ascii="Times New Roman" w:hAnsi="Times New Roman"/>
          <w:szCs w:val="22"/>
        </w:rPr>
        <w:t xml:space="preserve"> glukózy</w:t>
      </w:r>
      <w:r w:rsidR="00F57DF8">
        <w:rPr>
          <w:rFonts w:ascii="Times New Roman" w:hAnsi="Times New Roman"/>
          <w:szCs w:val="22"/>
        </w:rPr>
        <w:t xml:space="preserve"> nemajú </w:t>
      </w:r>
      <w:r w:rsidRPr="00C16DB0">
        <w:rPr>
          <w:rFonts w:ascii="Times New Roman" w:hAnsi="Times New Roman"/>
          <w:szCs w:val="22"/>
        </w:rPr>
        <w:t>tento liek užívať.</w:t>
      </w:r>
    </w:p>
    <w:p w14:paraId="70C7DB24" w14:textId="77777777" w:rsidR="007F777E" w:rsidRPr="00221FC6" w:rsidRDefault="007F777E" w:rsidP="00B42AE7">
      <w:pPr>
        <w:rPr>
          <w:rFonts w:ascii="Times New Roman" w:hAnsi="Times New Roman"/>
          <w:szCs w:val="22"/>
          <w:u w:val="single"/>
        </w:rPr>
      </w:pPr>
    </w:p>
    <w:p w14:paraId="3E2EF28F" w14:textId="77777777" w:rsidR="003E5CE6" w:rsidRPr="00221FC6" w:rsidRDefault="003E5CE6" w:rsidP="00B42AE7">
      <w:pPr>
        <w:tabs>
          <w:tab w:val="left" w:pos="567"/>
        </w:tabs>
        <w:rPr>
          <w:rFonts w:ascii="Times New Roman" w:hAnsi="Times New Roman"/>
          <w:b/>
          <w:szCs w:val="22"/>
        </w:rPr>
      </w:pPr>
      <w:r w:rsidRPr="00221FC6">
        <w:rPr>
          <w:rFonts w:ascii="Times New Roman" w:hAnsi="Times New Roman"/>
          <w:b/>
          <w:szCs w:val="22"/>
        </w:rPr>
        <w:t>4.5</w:t>
      </w:r>
      <w:r w:rsidRPr="00221FC6">
        <w:rPr>
          <w:rFonts w:ascii="Times New Roman" w:hAnsi="Times New Roman"/>
          <w:b/>
          <w:szCs w:val="22"/>
        </w:rPr>
        <w:tab/>
        <w:t>Liekové a iné interakcie</w:t>
      </w:r>
    </w:p>
    <w:p w14:paraId="2A1C22CE" w14:textId="77777777" w:rsidR="003E5CE6" w:rsidRPr="00221FC6" w:rsidRDefault="003E5CE6" w:rsidP="00B42AE7">
      <w:pPr>
        <w:rPr>
          <w:rFonts w:ascii="Times New Roman" w:hAnsi="Times New Roman"/>
          <w:szCs w:val="22"/>
        </w:rPr>
      </w:pPr>
    </w:p>
    <w:p w14:paraId="146FFDEC" w14:textId="4B17C034" w:rsidR="003E5CE6" w:rsidRPr="00C16DB0" w:rsidRDefault="003E5CE6" w:rsidP="00C16DB0">
      <w:pPr>
        <w:pStyle w:val="Normln1"/>
        <w:jc w:val="both"/>
      </w:pPr>
      <w:r w:rsidRPr="00C16DB0">
        <w:t>Účinok cisplatiny sa môže znížiť, ak sa používa súbežne s </w:t>
      </w:r>
      <w:r w:rsidR="00C16DB0" w:rsidRPr="00C16DB0">
        <w:t xml:space="preserve">filmom obalenými tabletami kyseliny </w:t>
      </w:r>
      <w:r w:rsidR="00C16DB0">
        <w:t>tioktovej</w:t>
      </w:r>
      <w:r w:rsidR="00C16DB0" w:rsidRPr="00C16DB0">
        <w:t xml:space="preserve"> 600 mg.</w:t>
      </w:r>
    </w:p>
    <w:p w14:paraId="276D0C58" w14:textId="77777777" w:rsidR="003E5CE6" w:rsidRPr="00221FC6" w:rsidRDefault="003E5CE6" w:rsidP="00B42AE7">
      <w:pPr>
        <w:rPr>
          <w:rFonts w:ascii="Times New Roman" w:hAnsi="Times New Roman"/>
          <w:szCs w:val="22"/>
        </w:rPr>
      </w:pPr>
    </w:p>
    <w:p w14:paraId="1D7F5BFF" w14:textId="2B947B10" w:rsidR="003E5CE6" w:rsidRDefault="003E5CE6" w:rsidP="00B42AE7">
      <w:pPr>
        <w:rPr>
          <w:rFonts w:ascii="Times New Roman" w:hAnsi="Times New Roman"/>
          <w:szCs w:val="22"/>
        </w:rPr>
      </w:pPr>
      <w:r w:rsidRPr="00221FC6">
        <w:rPr>
          <w:rFonts w:ascii="Times New Roman" w:hAnsi="Times New Roman"/>
          <w:szCs w:val="22"/>
        </w:rPr>
        <w:t xml:space="preserve">Kyselina tioktová tvorí s kovmi cheláty, a preto sa zvyčajne nemá podávať spolu s liekmi, ktoré obsahujú kovy (napr. prípravky železa, prípravky magnézia a mliečne výrobky, pretože tie obsahujú vápnik). Ak sa celková denná dávka </w:t>
      </w:r>
      <w:r w:rsidR="00687B94">
        <w:rPr>
          <w:rFonts w:ascii="Times New Roman" w:hAnsi="Times New Roman"/>
          <w:szCs w:val="22"/>
        </w:rPr>
        <w:t>Aladezu</w:t>
      </w:r>
      <w:r w:rsidRPr="00221FC6">
        <w:rPr>
          <w:rFonts w:ascii="Times New Roman" w:hAnsi="Times New Roman"/>
          <w:szCs w:val="22"/>
        </w:rPr>
        <w:t xml:space="preserve"> užíva 30 minút pred raňajkami, prípravky obsahujúce magnézium a/alebo železo sa môžu užiť až na obed alebo večer.</w:t>
      </w:r>
    </w:p>
    <w:p w14:paraId="7A41CF1A" w14:textId="49B324C9" w:rsidR="005E2667" w:rsidRDefault="005E2667" w:rsidP="00B42AE7">
      <w:pPr>
        <w:rPr>
          <w:rFonts w:ascii="Times New Roman" w:hAnsi="Times New Roman"/>
          <w:szCs w:val="22"/>
        </w:rPr>
      </w:pPr>
    </w:p>
    <w:p w14:paraId="1F6E1FBA" w14:textId="216E73BC" w:rsidR="003E5CE6" w:rsidRPr="00221FC6" w:rsidRDefault="005E2667" w:rsidP="00B42AE7">
      <w:pPr>
        <w:rPr>
          <w:rFonts w:ascii="Times New Roman" w:hAnsi="Times New Roman"/>
          <w:szCs w:val="22"/>
        </w:rPr>
      </w:pPr>
      <w:r w:rsidRPr="005E2667">
        <w:rPr>
          <w:rFonts w:ascii="Times New Roman" w:hAnsi="Times New Roman"/>
          <w:szCs w:val="22"/>
        </w:rPr>
        <w:t xml:space="preserve">Vzhľadom </w:t>
      </w:r>
      <w:r w:rsidR="00A32BC7">
        <w:rPr>
          <w:rFonts w:ascii="Times New Roman" w:hAnsi="Times New Roman"/>
          <w:szCs w:val="22"/>
        </w:rPr>
        <w:t>na</w:t>
      </w:r>
      <w:r w:rsidR="00A32BC7" w:rsidRPr="005E2667">
        <w:rPr>
          <w:rFonts w:ascii="Times New Roman" w:hAnsi="Times New Roman"/>
          <w:szCs w:val="22"/>
        </w:rPr>
        <w:t xml:space="preserve"> </w:t>
      </w:r>
      <w:r w:rsidRPr="005E2667">
        <w:rPr>
          <w:rFonts w:ascii="Times New Roman" w:hAnsi="Times New Roman"/>
          <w:szCs w:val="22"/>
        </w:rPr>
        <w:t>to, že filmom obalené tablety kyseliny tioktovej 600 mg môžu posilniť účinok inzulínu a perorálnych antidiabetík pri znižovaní hladiny glukózy v krvi, odporúča sa pravidelné monitorovanie hladiny glukózy v krvi, najmä na začiatku liečby Aladez</w:t>
      </w:r>
      <w:r w:rsidR="00AD549B">
        <w:rPr>
          <w:rFonts w:ascii="Times New Roman" w:hAnsi="Times New Roman"/>
          <w:szCs w:val="22"/>
        </w:rPr>
        <w:t>om</w:t>
      </w:r>
      <w:r w:rsidRPr="005E2667">
        <w:rPr>
          <w:rFonts w:ascii="Times New Roman" w:hAnsi="Times New Roman"/>
          <w:szCs w:val="22"/>
        </w:rPr>
        <w:t>.</w:t>
      </w:r>
      <w:r w:rsidR="008433BF">
        <w:rPr>
          <w:rFonts w:ascii="Times New Roman" w:hAnsi="Times New Roman"/>
          <w:szCs w:val="22"/>
        </w:rPr>
        <w:t xml:space="preserve"> </w:t>
      </w:r>
      <w:r w:rsidR="003E5CE6" w:rsidRPr="00221FC6">
        <w:rPr>
          <w:rFonts w:ascii="Times New Roman" w:hAnsi="Times New Roman"/>
          <w:szCs w:val="22"/>
        </w:rPr>
        <w:t>V ojedinelých prípadoch môže byť nevyhnutné zníženie dávky inzulínu a/alebo perorálneho antidiabetika, aby sa zamedzilo vzniku symptómov hypoglykémie.</w:t>
      </w:r>
    </w:p>
    <w:p w14:paraId="5EC3E614" w14:textId="77777777" w:rsidR="003E5CE6" w:rsidRPr="00221FC6" w:rsidRDefault="003E5CE6" w:rsidP="00B42AE7">
      <w:pPr>
        <w:rPr>
          <w:rFonts w:ascii="Times New Roman" w:hAnsi="Times New Roman"/>
          <w:iCs/>
          <w:szCs w:val="22"/>
          <w:u w:val="single"/>
        </w:rPr>
      </w:pPr>
    </w:p>
    <w:p w14:paraId="1C5E805C" w14:textId="77777777" w:rsidR="00CF7388" w:rsidRPr="00221FC6" w:rsidRDefault="003E5CE6" w:rsidP="00B42AE7">
      <w:pPr>
        <w:rPr>
          <w:rFonts w:ascii="Times New Roman" w:hAnsi="Times New Roman"/>
          <w:iCs/>
          <w:szCs w:val="22"/>
          <w:u w:val="single"/>
        </w:rPr>
      </w:pPr>
      <w:r w:rsidRPr="00221FC6">
        <w:rPr>
          <w:rFonts w:ascii="Times New Roman" w:hAnsi="Times New Roman"/>
          <w:iCs/>
          <w:szCs w:val="22"/>
          <w:u w:val="single"/>
        </w:rPr>
        <w:t>Varovanie:</w:t>
      </w:r>
    </w:p>
    <w:p w14:paraId="706EFCE5" w14:textId="7E7E0B46" w:rsidR="003E5CE6" w:rsidRPr="00221FC6" w:rsidRDefault="003E5CE6" w:rsidP="00B42AE7">
      <w:pPr>
        <w:rPr>
          <w:rFonts w:ascii="Times New Roman" w:hAnsi="Times New Roman"/>
          <w:szCs w:val="22"/>
        </w:rPr>
      </w:pPr>
      <w:r w:rsidRPr="00221FC6">
        <w:rPr>
          <w:rFonts w:ascii="Times New Roman" w:hAnsi="Times New Roman"/>
          <w:szCs w:val="22"/>
        </w:rPr>
        <w:t xml:space="preserve">Pravidelné požívanie alkoholu predstavuje významný rizikový faktor vývoja a progresie neuropatického klinického obrazu a môže mať preto negatívny vplyv aj na úspešnosť liečby </w:t>
      </w:r>
      <w:r w:rsidR="00993C89">
        <w:rPr>
          <w:rFonts w:ascii="Times New Roman" w:hAnsi="Times New Roman"/>
          <w:szCs w:val="22"/>
        </w:rPr>
        <w:t xml:space="preserve">kyselinou tioktovou 600 mg </w:t>
      </w:r>
      <w:r w:rsidR="00DB0FAE">
        <w:rPr>
          <w:rFonts w:ascii="Times New Roman" w:hAnsi="Times New Roman"/>
          <w:szCs w:val="22"/>
        </w:rPr>
        <w:t xml:space="preserve">vo </w:t>
      </w:r>
      <w:r w:rsidR="00DB0FAE" w:rsidRPr="00275628">
        <w:rPr>
          <w:rFonts w:ascii="Times New Roman" w:hAnsi="Times New Roman"/>
          <w:szCs w:val="22"/>
        </w:rPr>
        <w:t xml:space="preserve">forme </w:t>
      </w:r>
      <w:r w:rsidR="00993C89" w:rsidRPr="00275628">
        <w:rPr>
          <w:rFonts w:ascii="Times New Roman" w:hAnsi="Times New Roman"/>
          <w:szCs w:val="22"/>
        </w:rPr>
        <w:t>filmom obalen</w:t>
      </w:r>
      <w:r w:rsidR="00DB0FAE" w:rsidRPr="00275628">
        <w:rPr>
          <w:rFonts w:ascii="Times New Roman" w:hAnsi="Times New Roman"/>
          <w:szCs w:val="22"/>
        </w:rPr>
        <w:t>ých</w:t>
      </w:r>
      <w:r w:rsidR="00993C89" w:rsidRPr="00275628">
        <w:rPr>
          <w:rFonts w:ascii="Times New Roman" w:hAnsi="Times New Roman"/>
          <w:szCs w:val="22"/>
        </w:rPr>
        <w:t xml:space="preserve"> tabl</w:t>
      </w:r>
      <w:r w:rsidR="00DB0FAE" w:rsidRPr="00275628">
        <w:rPr>
          <w:rFonts w:ascii="Times New Roman" w:hAnsi="Times New Roman"/>
          <w:szCs w:val="22"/>
        </w:rPr>
        <w:t>iet</w:t>
      </w:r>
      <w:r w:rsidRPr="00275628">
        <w:rPr>
          <w:rFonts w:ascii="Times New Roman" w:hAnsi="Times New Roman"/>
          <w:szCs w:val="22"/>
        </w:rPr>
        <w:t>.</w:t>
      </w:r>
      <w:r w:rsidRPr="00221FC6">
        <w:rPr>
          <w:rFonts w:ascii="Times New Roman" w:hAnsi="Times New Roman"/>
          <w:szCs w:val="22"/>
        </w:rPr>
        <w:t xml:space="preserve"> Z tohto dôvodu sa preto pacientom s</w:t>
      </w:r>
      <w:r w:rsidR="00721507">
        <w:rPr>
          <w:rFonts w:ascii="Times New Roman" w:hAnsi="Times New Roman"/>
          <w:szCs w:val="22"/>
        </w:rPr>
        <w:t> diabetickou polyneuropatiou</w:t>
      </w:r>
      <w:r w:rsidRPr="00221FC6">
        <w:rPr>
          <w:rFonts w:ascii="Times New Roman" w:hAnsi="Times New Roman"/>
          <w:szCs w:val="22"/>
        </w:rPr>
        <w:t xml:space="preserve"> odporúča vyhnúť sa požívaniu alkoholu. To sa vzťahuje aj na intervaly, keď je liečba prerušená.</w:t>
      </w:r>
    </w:p>
    <w:p w14:paraId="6CE8D539" w14:textId="77777777" w:rsidR="003E5CE6" w:rsidRPr="00221FC6" w:rsidRDefault="003E5CE6" w:rsidP="00B42AE7">
      <w:pPr>
        <w:rPr>
          <w:rFonts w:ascii="Times New Roman" w:hAnsi="Times New Roman"/>
          <w:szCs w:val="22"/>
        </w:rPr>
      </w:pPr>
    </w:p>
    <w:p w14:paraId="3B48EB9C" w14:textId="77777777" w:rsidR="003E5CE6" w:rsidRPr="00221FC6" w:rsidRDefault="003E5CE6" w:rsidP="00B42AE7">
      <w:pPr>
        <w:tabs>
          <w:tab w:val="left" w:pos="567"/>
        </w:tabs>
        <w:rPr>
          <w:rFonts w:ascii="Times New Roman" w:hAnsi="Times New Roman"/>
          <w:szCs w:val="22"/>
        </w:rPr>
      </w:pPr>
      <w:r w:rsidRPr="00221FC6">
        <w:rPr>
          <w:rFonts w:ascii="Times New Roman" w:hAnsi="Times New Roman"/>
          <w:b/>
          <w:noProof/>
          <w:szCs w:val="22"/>
        </w:rPr>
        <w:t>4.6</w:t>
      </w:r>
      <w:r w:rsidRPr="00221FC6">
        <w:rPr>
          <w:rFonts w:ascii="Times New Roman" w:hAnsi="Times New Roman"/>
          <w:b/>
          <w:noProof/>
          <w:szCs w:val="22"/>
        </w:rPr>
        <w:tab/>
        <w:t>Fertilita, gravidita a laktácia</w:t>
      </w:r>
    </w:p>
    <w:p w14:paraId="77839BE8" w14:textId="72E821C0" w:rsidR="003E5CE6" w:rsidRDefault="003E5CE6" w:rsidP="00B42AE7">
      <w:pPr>
        <w:rPr>
          <w:rFonts w:ascii="Times New Roman" w:hAnsi="Times New Roman"/>
          <w:szCs w:val="22"/>
        </w:rPr>
      </w:pPr>
    </w:p>
    <w:p w14:paraId="50864F14" w14:textId="7CE92BB4" w:rsidR="00930E18" w:rsidRPr="00930E18" w:rsidRDefault="00930E18" w:rsidP="00930E18">
      <w:pPr>
        <w:rPr>
          <w:rFonts w:ascii="Times New Roman" w:hAnsi="Times New Roman"/>
          <w:szCs w:val="22"/>
          <w:u w:val="single"/>
        </w:rPr>
      </w:pPr>
      <w:r w:rsidRPr="00930E18">
        <w:rPr>
          <w:rFonts w:ascii="Times New Roman" w:hAnsi="Times New Roman"/>
          <w:szCs w:val="22"/>
          <w:u w:val="single"/>
        </w:rPr>
        <w:t>Gravidita</w:t>
      </w:r>
    </w:p>
    <w:p w14:paraId="183E936D" w14:textId="033185F3" w:rsidR="00930E18" w:rsidRDefault="005848A4" w:rsidP="00930E18">
      <w:pPr>
        <w:rPr>
          <w:rFonts w:ascii="Times New Roman" w:hAnsi="Times New Roman"/>
          <w:szCs w:val="22"/>
        </w:rPr>
      </w:pPr>
      <w:r w:rsidRPr="005848A4">
        <w:rPr>
          <w:rFonts w:ascii="Times New Roman" w:hAnsi="Times New Roman"/>
          <w:szCs w:val="22"/>
        </w:rPr>
        <w:t xml:space="preserve">Údaje o použití kyseliny </w:t>
      </w:r>
      <w:r w:rsidR="00721507">
        <w:rPr>
          <w:rFonts w:ascii="Times New Roman" w:hAnsi="Times New Roman"/>
          <w:szCs w:val="22"/>
        </w:rPr>
        <w:t>tioktovej u</w:t>
      </w:r>
      <w:r w:rsidR="00721507" w:rsidRPr="005848A4">
        <w:rPr>
          <w:rFonts w:ascii="Times New Roman" w:hAnsi="Times New Roman"/>
          <w:szCs w:val="22"/>
        </w:rPr>
        <w:t xml:space="preserve"> </w:t>
      </w:r>
      <w:r w:rsidRPr="005848A4">
        <w:rPr>
          <w:rFonts w:ascii="Times New Roman" w:hAnsi="Times New Roman"/>
          <w:szCs w:val="22"/>
        </w:rPr>
        <w:t xml:space="preserve">gravidných žien nie sú k dispozícii. Aladez </w:t>
      </w:r>
      <w:r w:rsidR="00721507">
        <w:rPr>
          <w:rFonts w:ascii="Times New Roman" w:hAnsi="Times New Roman"/>
          <w:szCs w:val="22"/>
        </w:rPr>
        <w:t xml:space="preserve">je </w:t>
      </w:r>
      <w:r w:rsidRPr="005848A4">
        <w:rPr>
          <w:rFonts w:ascii="Times New Roman" w:hAnsi="Times New Roman"/>
          <w:szCs w:val="22"/>
        </w:rPr>
        <w:t>možné podávať počas tehotenstva len po dôkladnom zvážení indikácií.</w:t>
      </w:r>
    </w:p>
    <w:p w14:paraId="2E15C981" w14:textId="77777777" w:rsidR="00930E18" w:rsidRPr="00930E18" w:rsidRDefault="00930E18" w:rsidP="00930E18">
      <w:pPr>
        <w:rPr>
          <w:rFonts w:ascii="Times New Roman" w:hAnsi="Times New Roman"/>
          <w:szCs w:val="22"/>
        </w:rPr>
      </w:pPr>
    </w:p>
    <w:p w14:paraId="4B94929F" w14:textId="46304334" w:rsidR="00930E18" w:rsidRPr="00C915BD" w:rsidRDefault="00930E18" w:rsidP="00930E18">
      <w:pPr>
        <w:rPr>
          <w:rFonts w:ascii="Times New Roman" w:hAnsi="Times New Roman"/>
          <w:szCs w:val="22"/>
          <w:u w:val="single"/>
        </w:rPr>
      </w:pPr>
      <w:r w:rsidRPr="00C915BD">
        <w:rPr>
          <w:rFonts w:ascii="Times New Roman" w:hAnsi="Times New Roman"/>
          <w:szCs w:val="22"/>
          <w:u w:val="single"/>
        </w:rPr>
        <w:t>Dojčenie</w:t>
      </w:r>
    </w:p>
    <w:p w14:paraId="448EFB94" w14:textId="4BAD7C0E" w:rsidR="00EC1F7B" w:rsidRDefault="00EC1F7B" w:rsidP="00930E18">
      <w:pPr>
        <w:rPr>
          <w:rFonts w:ascii="Times New Roman" w:hAnsi="Times New Roman"/>
          <w:szCs w:val="22"/>
        </w:rPr>
      </w:pPr>
      <w:r w:rsidRPr="00EC1F7B">
        <w:rPr>
          <w:rFonts w:ascii="Times New Roman" w:hAnsi="Times New Roman"/>
          <w:szCs w:val="22"/>
        </w:rPr>
        <w:t xml:space="preserve">Nie je známe, či sa kyselina </w:t>
      </w:r>
      <w:r w:rsidR="00C94F6D">
        <w:rPr>
          <w:rFonts w:ascii="Times New Roman" w:hAnsi="Times New Roman"/>
          <w:szCs w:val="22"/>
        </w:rPr>
        <w:t>tioktová</w:t>
      </w:r>
      <w:r w:rsidRPr="00EC1F7B">
        <w:rPr>
          <w:rFonts w:ascii="Times New Roman" w:hAnsi="Times New Roman"/>
          <w:szCs w:val="22"/>
        </w:rPr>
        <w:t xml:space="preserve"> vylučuje do ľudského materského mlieka. Riziko pre dojčené dieťa nemožno vylúčiť. Aladez </w:t>
      </w:r>
      <w:r w:rsidR="00721507">
        <w:rPr>
          <w:rFonts w:ascii="Times New Roman" w:hAnsi="Times New Roman"/>
          <w:szCs w:val="22"/>
        </w:rPr>
        <w:t xml:space="preserve">sa </w:t>
      </w:r>
      <w:r w:rsidRPr="00EC1F7B">
        <w:rPr>
          <w:rFonts w:ascii="Times New Roman" w:hAnsi="Times New Roman"/>
          <w:szCs w:val="22"/>
        </w:rPr>
        <w:t>môže podávať len po dôkladnom zvážení indikácií.</w:t>
      </w:r>
    </w:p>
    <w:p w14:paraId="54E96DEA" w14:textId="77777777" w:rsidR="00EC1F7B" w:rsidRPr="00930E18" w:rsidRDefault="00EC1F7B" w:rsidP="00930E18">
      <w:pPr>
        <w:rPr>
          <w:rFonts w:ascii="Times New Roman" w:hAnsi="Times New Roman"/>
          <w:szCs w:val="22"/>
        </w:rPr>
      </w:pPr>
    </w:p>
    <w:p w14:paraId="4E63ADBF" w14:textId="124BAB89" w:rsidR="00930E18" w:rsidRPr="00C94F6D" w:rsidRDefault="00930E18" w:rsidP="00930E18">
      <w:pPr>
        <w:rPr>
          <w:rFonts w:ascii="Times New Roman" w:hAnsi="Times New Roman"/>
          <w:szCs w:val="22"/>
          <w:u w:val="single"/>
        </w:rPr>
      </w:pPr>
      <w:r w:rsidRPr="00C94F6D">
        <w:rPr>
          <w:rFonts w:ascii="Times New Roman" w:hAnsi="Times New Roman"/>
          <w:szCs w:val="22"/>
          <w:u w:val="single"/>
        </w:rPr>
        <w:t>Fertilita</w:t>
      </w:r>
    </w:p>
    <w:p w14:paraId="595029B8" w14:textId="0A9A52FC" w:rsidR="00767559" w:rsidRPr="00221FC6" w:rsidRDefault="00C94F6D" w:rsidP="00B42AE7">
      <w:pPr>
        <w:rPr>
          <w:rFonts w:ascii="Times New Roman" w:hAnsi="Times New Roman"/>
          <w:bCs/>
          <w:szCs w:val="22"/>
        </w:rPr>
      </w:pPr>
      <w:r w:rsidRPr="00C94F6D">
        <w:rPr>
          <w:rFonts w:ascii="Times New Roman" w:hAnsi="Times New Roman"/>
          <w:szCs w:val="22"/>
        </w:rPr>
        <w:lastRenderedPageBreak/>
        <w:t>Hoci počas štúdií reprodukčnej toxicity na zvieratách nebol pozorovaný žiadny nepriaznivý účinok na plodnosť alebo plod v skorých štádiách embryonálneho vývoja, môže byť podaný len po dôkladnom zvážení indikácií.</w:t>
      </w:r>
    </w:p>
    <w:p w14:paraId="735D5580" w14:textId="77777777" w:rsidR="00103957" w:rsidRPr="00221FC6" w:rsidRDefault="00103957" w:rsidP="00B42AE7">
      <w:pPr>
        <w:rPr>
          <w:rFonts w:ascii="Times New Roman" w:eastAsia="TimesNewRoman" w:hAnsi="Times New Roman"/>
          <w:szCs w:val="22"/>
          <w:lang w:eastAsia="sk-SK"/>
        </w:rPr>
      </w:pPr>
    </w:p>
    <w:p w14:paraId="5EA611A6" w14:textId="77777777" w:rsidR="003E5CE6" w:rsidRPr="00221FC6" w:rsidRDefault="003E5CE6" w:rsidP="00B42AE7">
      <w:pPr>
        <w:tabs>
          <w:tab w:val="left" w:pos="567"/>
        </w:tabs>
        <w:rPr>
          <w:rFonts w:ascii="Times New Roman" w:hAnsi="Times New Roman"/>
          <w:noProof/>
          <w:szCs w:val="22"/>
        </w:rPr>
      </w:pPr>
      <w:r w:rsidRPr="00221FC6">
        <w:rPr>
          <w:rFonts w:ascii="Times New Roman" w:hAnsi="Times New Roman"/>
          <w:b/>
          <w:noProof/>
          <w:szCs w:val="22"/>
        </w:rPr>
        <w:t>4.7</w:t>
      </w:r>
      <w:r w:rsidRPr="00221FC6">
        <w:rPr>
          <w:rFonts w:ascii="Times New Roman" w:hAnsi="Times New Roman"/>
          <w:b/>
          <w:noProof/>
          <w:szCs w:val="22"/>
        </w:rPr>
        <w:tab/>
        <w:t>Ovplyvnenie schopnosti viesť vozidlá a obsluhovať stroje</w:t>
      </w:r>
    </w:p>
    <w:p w14:paraId="23FFFAC7" w14:textId="77777777" w:rsidR="003E5CE6" w:rsidRPr="00221FC6" w:rsidRDefault="003E5CE6" w:rsidP="00B42AE7">
      <w:pPr>
        <w:rPr>
          <w:rFonts w:ascii="Times New Roman" w:hAnsi="Times New Roman"/>
          <w:noProof/>
          <w:szCs w:val="22"/>
        </w:rPr>
      </w:pPr>
    </w:p>
    <w:p w14:paraId="2E44663B" w14:textId="3B7EE99C" w:rsidR="00714AA2" w:rsidRPr="00221FC6" w:rsidRDefault="00EB1939" w:rsidP="00B42AE7">
      <w:pPr>
        <w:rPr>
          <w:rFonts w:ascii="Times New Roman" w:hAnsi="Times New Roman"/>
          <w:szCs w:val="22"/>
        </w:rPr>
      </w:pPr>
      <w:r w:rsidRPr="00EB1939">
        <w:rPr>
          <w:rFonts w:ascii="Times New Roman" w:hAnsi="Times New Roman"/>
          <w:szCs w:val="22"/>
        </w:rPr>
        <w:t xml:space="preserve">Aladez nemá žiadny alebo má zanedbateľný vplyv na schopnosť viesť </w:t>
      </w:r>
      <w:r w:rsidR="00F57DF8">
        <w:rPr>
          <w:rFonts w:ascii="Times New Roman" w:hAnsi="Times New Roman"/>
          <w:szCs w:val="22"/>
        </w:rPr>
        <w:t xml:space="preserve">vozidlá </w:t>
      </w:r>
      <w:r w:rsidRPr="00EB1939">
        <w:rPr>
          <w:rFonts w:ascii="Times New Roman" w:hAnsi="Times New Roman"/>
          <w:szCs w:val="22"/>
        </w:rPr>
        <w:t>a obsluhovať stroje.</w:t>
      </w:r>
    </w:p>
    <w:p w14:paraId="1112B948" w14:textId="77777777" w:rsidR="003E5CE6" w:rsidRPr="00221FC6" w:rsidRDefault="003E5CE6" w:rsidP="00B42AE7">
      <w:pPr>
        <w:rPr>
          <w:rFonts w:ascii="Times New Roman" w:hAnsi="Times New Roman"/>
          <w:szCs w:val="22"/>
        </w:rPr>
      </w:pPr>
    </w:p>
    <w:p w14:paraId="165ABC73" w14:textId="77777777" w:rsidR="003E5CE6" w:rsidRPr="00221FC6" w:rsidRDefault="003E5CE6" w:rsidP="00B42AE7">
      <w:pPr>
        <w:tabs>
          <w:tab w:val="left" w:pos="567"/>
        </w:tabs>
        <w:rPr>
          <w:rFonts w:ascii="Times New Roman" w:hAnsi="Times New Roman"/>
          <w:b/>
          <w:szCs w:val="22"/>
        </w:rPr>
      </w:pPr>
      <w:r w:rsidRPr="00221FC6">
        <w:rPr>
          <w:rFonts w:ascii="Times New Roman" w:hAnsi="Times New Roman"/>
          <w:b/>
          <w:szCs w:val="22"/>
        </w:rPr>
        <w:t>4.8</w:t>
      </w:r>
      <w:r w:rsidRPr="00221FC6">
        <w:rPr>
          <w:rFonts w:ascii="Times New Roman" w:hAnsi="Times New Roman"/>
          <w:b/>
          <w:szCs w:val="22"/>
        </w:rPr>
        <w:tab/>
        <w:t>Nežiaduce účinky</w:t>
      </w:r>
    </w:p>
    <w:p w14:paraId="31FC5195" w14:textId="77777777" w:rsidR="00B23164" w:rsidRPr="00221FC6" w:rsidRDefault="00B23164" w:rsidP="00B42AE7">
      <w:pPr>
        <w:rPr>
          <w:rFonts w:ascii="Times New Roman" w:hAnsi="Times New Roman"/>
          <w:szCs w:val="22"/>
        </w:rPr>
      </w:pPr>
    </w:p>
    <w:p w14:paraId="37D297BF" w14:textId="77777777" w:rsidR="003E5CE6" w:rsidRPr="00221FC6" w:rsidRDefault="00714AA2" w:rsidP="00B42AE7">
      <w:pPr>
        <w:pStyle w:val="Nzov"/>
        <w:spacing w:before="0"/>
        <w:jc w:val="both"/>
        <w:rPr>
          <w:rFonts w:ascii="Times New Roman" w:hAnsi="Times New Roman"/>
          <w:b w:val="0"/>
          <w:sz w:val="22"/>
          <w:szCs w:val="22"/>
          <w:lang w:val="sk-SK"/>
        </w:rPr>
      </w:pPr>
      <w:r w:rsidRPr="00221FC6">
        <w:rPr>
          <w:rFonts w:ascii="Times New Roman" w:hAnsi="Times New Roman"/>
          <w:b w:val="0"/>
          <w:sz w:val="22"/>
          <w:szCs w:val="22"/>
          <w:lang w:val="sk-SK"/>
        </w:rPr>
        <w:t xml:space="preserve">Klasifikácia nežiaducich účinkov je vytvorená pomocou nasledovnej konvencie: </w:t>
      </w:r>
    </w:p>
    <w:p w14:paraId="25145354" w14:textId="77777777" w:rsidR="00D301A8" w:rsidRPr="00221FC6" w:rsidRDefault="003E5CE6" w:rsidP="00B42AE7">
      <w:pPr>
        <w:pStyle w:val="Nzov"/>
        <w:spacing w:before="0"/>
        <w:jc w:val="both"/>
        <w:rPr>
          <w:rFonts w:ascii="Times New Roman" w:hAnsi="Times New Roman"/>
          <w:b w:val="0"/>
          <w:sz w:val="22"/>
          <w:szCs w:val="22"/>
          <w:lang w:val="sk-SK"/>
        </w:rPr>
      </w:pPr>
      <w:r w:rsidRPr="00221FC6">
        <w:rPr>
          <w:rFonts w:ascii="Times New Roman" w:hAnsi="Times New Roman"/>
          <w:b w:val="0"/>
          <w:sz w:val="22"/>
          <w:szCs w:val="22"/>
          <w:lang w:val="sk-SK"/>
        </w:rPr>
        <w:t>Veľmi časté (</w:t>
      </w:r>
      <w:r w:rsidRPr="00221FC6">
        <w:rPr>
          <w:rFonts w:ascii="Times New Roman" w:hAnsi="Times New Roman"/>
          <w:b w:val="0"/>
          <w:sz w:val="22"/>
          <w:szCs w:val="22"/>
          <w:lang w:val="sk-SK"/>
        </w:rPr>
        <w:sym w:font="Symbol" w:char="F0B3"/>
      </w:r>
      <w:r w:rsidRPr="00221FC6">
        <w:rPr>
          <w:rFonts w:ascii="Times New Roman" w:hAnsi="Times New Roman"/>
          <w:b w:val="0"/>
          <w:sz w:val="22"/>
          <w:szCs w:val="22"/>
          <w:lang w:val="sk-SK"/>
        </w:rPr>
        <w:t>1/10)</w:t>
      </w:r>
    </w:p>
    <w:p w14:paraId="17CD884C" w14:textId="77777777" w:rsidR="003E5CE6" w:rsidRPr="00221FC6" w:rsidRDefault="003E5CE6" w:rsidP="00B42AE7">
      <w:pPr>
        <w:pStyle w:val="Nzov"/>
        <w:spacing w:before="0"/>
        <w:jc w:val="both"/>
        <w:rPr>
          <w:rFonts w:ascii="Times New Roman" w:hAnsi="Times New Roman"/>
          <w:b w:val="0"/>
          <w:sz w:val="22"/>
          <w:szCs w:val="22"/>
          <w:lang w:val="sk-SK"/>
        </w:rPr>
      </w:pPr>
      <w:r w:rsidRPr="00221FC6">
        <w:rPr>
          <w:rFonts w:ascii="Times New Roman" w:hAnsi="Times New Roman"/>
          <w:b w:val="0"/>
          <w:sz w:val="22"/>
          <w:szCs w:val="22"/>
          <w:lang w:val="sk-SK"/>
        </w:rPr>
        <w:t>Časté (</w:t>
      </w:r>
      <w:r w:rsidRPr="00221FC6">
        <w:rPr>
          <w:rFonts w:ascii="Times New Roman" w:hAnsi="Times New Roman"/>
          <w:b w:val="0"/>
          <w:sz w:val="22"/>
          <w:szCs w:val="22"/>
          <w:lang w:val="sk-SK"/>
        </w:rPr>
        <w:sym w:font="Symbol" w:char="F0B3"/>
      </w:r>
      <w:r w:rsidRPr="00221FC6">
        <w:rPr>
          <w:rFonts w:ascii="Times New Roman" w:hAnsi="Times New Roman"/>
          <w:b w:val="0"/>
          <w:sz w:val="22"/>
          <w:szCs w:val="22"/>
          <w:lang w:val="sk-SK"/>
        </w:rPr>
        <w:t>1/100 až &lt;1/10)</w:t>
      </w:r>
    </w:p>
    <w:p w14:paraId="42F289BA" w14:textId="77777777" w:rsidR="003E5CE6" w:rsidRPr="00221FC6" w:rsidRDefault="003E5CE6" w:rsidP="00B42AE7">
      <w:pPr>
        <w:pStyle w:val="Nzov"/>
        <w:spacing w:before="0"/>
        <w:jc w:val="both"/>
        <w:rPr>
          <w:rFonts w:ascii="Times New Roman" w:hAnsi="Times New Roman"/>
          <w:b w:val="0"/>
          <w:sz w:val="22"/>
          <w:szCs w:val="22"/>
          <w:lang w:val="sk-SK"/>
        </w:rPr>
      </w:pPr>
      <w:r w:rsidRPr="00221FC6">
        <w:rPr>
          <w:rFonts w:ascii="Times New Roman" w:hAnsi="Times New Roman"/>
          <w:b w:val="0"/>
          <w:sz w:val="22"/>
          <w:szCs w:val="22"/>
          <w:lang w:val="sk-SK"/>
        </w:rPr>
        <w:t>Menej časté (</w:t>
      </w:r>
      <w:r w:rsidRPr="00221FC6">
        <w:rPr>
          <w:rFonts w:ascii="Times New Roman" w:hAnsi="Times New Roman"/>
          <w:b w:val="0"/>
          <w:sz w:val="22"/>
          <w:szCs w:val="22"/>
          <w:lang w:val="sk-SK"/>
        </w:rPr>
        <w:sym w:font="Symbol" w:char="F0B3"/>
      </w:r>
      <w:r w:rsidRPr="00221FC6">
        <w:rPr>
          <w:rFonts w:ascii="Times New Roman" w:hAnsi="Times New Roman"/>
          <w:b w:val="0"/>
          <w:sz w:val="22"/>
          <w:szCs w:val="22"/>
          <w:lang w:val="sk-SK"/>
        </w:rPr>
        <w:t>1/1 000 až &lt;1/100)</w:t>
      </w:r>
    </w:p>
    <w:p w14:paraId="6D9A6E4C" w14:textId="77777777" w:rsidR="003E5CE6" w:rsidRPr="00221FC6" w:rsidRDefault="003E5CE6" w:rsidP="00B42AE7">
      <w:pPr>
        <w:pStyle w:val="Nzov"/>
        <w:spacing w:before="0"/>
        <w:jc w:val="both"/>
        <w:rPr>
          <w:rFonts w:ascii="Times New Roman" w:hAnsi="Times New Roman"/>
          <w:b w:val="0"/>
          <w:sz w:val="22"/>
          <w:szCs w:val="22"/>
          <w:lang w:val="sk-SK"/>
        </w:rPr>
      </w:pPr>
      <w:r w:rsidRPr="00221FC6">
        <w:rPr>
          <w:rFonts w:ascii="Times New Roman" w:hAnsi="Times New Roman"/>
          <w:b w:val="0"/>
          <w:sz w:val="22"/>
          <w:szCs w:val="22"/>
          <w:lang w:val="sk-SK"/>
        </w:rPr>
        <w:t>Zriedkavé (</w:t>
      </w:r>
      <w:r w:rsidRPr="00221FC6">
        <w:rPr>
          <w:rFonts w:ascii="Times New Roman" w:hAnsi="Times New Roman"/>
          <w:b w:val="0"/>
          <w:sz w:val="22"/>
          <w:szCs w:val="22"/>
          <w:lang w:val="sk-SK"/>
        </w:rPr>
        <w:sym w:font="Symbol" w:char="F0B3"/>
      </w:r>
      <w:r w:rsidRPr="00221FC6">
        <w:rPr>
          <w:rFonts w:ascii="Times New Roman" w:hAnsi="Times New Roman"/>
          <w:b w:val="0"/>
          <w:sz w:val="22"/>
          <w:szCs w:val="22"/>
          <w:lang w:val="sk-SK"/>
        </w:rPr>
        <w:t>1/10 000 až &lt;1/1 000)</w:t>
      </w:r>
    </w:p>
    <w:p w14:paraId="58864F9F" w14:textId="77777777" w:rsidR="00877ABF" w:rsidRPr="00221FC6" w:rsidRDefault="003E5CE6" w:rsidP="00B42AE7">
      <w:pPr>
        <w:rPr>
          <w:rFonts w:ascii="Times New Roman" w:hAnsi="Times New Roman"/>
          <w:bCs/>
          <w:szCs w:val="22"/>
        </w:rPr>
      </w:pPr>
      <w:r w:rsidRPr="00221FC6">
        <w:rPr>
          <w:rFonts w:ascii="Times New Roman" w:hAnsi="Times New Roman"/>
          <w:bCs/>
          <w:szCs w:val="22"/>
        </w:rPr>
        <w:t>Veľmi zriedkavé (&lt;1/10 000)</w:t>
      </w:r>
    </w:p>
    <w:p w14:paraId="33A963E6" w14:textId="77777777" w:rsidR="003E5CE6" w:rsidRPr="00221FC6" w:rsidRDefault="00877ABF" w:rsidP="00B42AE7">
      <w:pPr>
        <w:rPr>
          <w:rFonts w:ascii="Times New Roman" w:hAnsi="Times New Roman"/>
          <w:bCs/>
          <w:szCs w:val="22"/>
        </w:rPr>
      </w:pPr>
      <w:r w:rsidRPr="00221FC6">
        <w:rPr>
          <w:rFonts w:ascii="Times New Roman" w:hAnsi="Times New Roman"/>
          <w:bCs/>
          <w:szCs w:val="22"/>
        </w:rPr>
        <w:t>N</w:t>
      </w:r>
      <w:r w:rsidR="003E5CE6" w:rsidRPr="00221FC6">
        <w:rPr>
          <w:rFonts w:ascii="Times New Roman" w:hAnsi="Times New Roman"/>
          <w:bCs/>
          <w:szCs w:val="22"/>
        </w:rPr>
        <w:t>eznáme (z dostupných údajov)</w:t>
      </w:r>
    </w:p>
    <w:p w14:paraId="046A3FEE" w14:textId="0CEBC15D" w:rsidR="001727E4" w:rsidRDefault="001727E4" w:rsidP="00B42AE7">
      <w:pPr>
        <w:pStyle w:val="knZulassung02"/>
        <w:ind w:left="0" w:right="0"/>
        <w:rPr>
          <w:rFonts w:ascii="Times New Roman" w:hAnsi="Times New Roman"/>
          <w:sz w:val="22"/>
          <w:szCs w:val="22"/>
          <w:lang w:val="sk-SK" w:eastAsia="ar-SA"/>
        </w:rPr>
      </w:pPr>
    </w:p>
    <w:p w14:paraId="4B65B9E4" w14:textId="46BE6155" w:rsidR="002000A9" w:rsidRPr="002000A9" w:rsidRDefault="002000A9" w:rsidP="00B42AE7">
      <w:pPr>
        <w:pStyle w:val="knZulassung02"/>
        <w:ind w:left="0" w:right="0"/>
        <w:rPr>
          <w:rFonts w:ascii="Times New Roman" w:hAnsi="Times New Roman"/>
          <w:b/>
          <w:bCs/>
          <w:i/>
          <w:iCs/>
          <w:sz w:val="22"/>
          <w:szCs w:val="22"/>
          <w:lang w:val="sk-SK" w:eastAsia="ar-SA"/>
        </w:rPr>
      </w:pPr>
      <w:r w:rsidRPr="002000A9">
        <w:rPr>
          <w:rFonts w:ascii="Times New Roman" w:hAnsi="Times New Roman"/>
          <w:b/>
          <w:bCs/>
          <w:i/>
          <w:iCs/>
          <w:sz w:val="22"/>
          <w:szCs w:val="22"/>
          <w:lang w:val="sk-SK" w:eastAsia="ar-SA"/>
        </w:rPr>
        <w:t>Poruchy gastrointestinálneho traktu</w:t>
      </w:r>
    </w:p>
    <w:p w14:paraId="79E5DD35" w14:textId="77777777" w:rsidR="002000A9" w:rsidRPr="002000A9" w:rsidRDefault="002000A9" w:rsidP="002000A9">
      <w:pPr>
        <w:pStyle w:val="knZulassung02"/>
        <w:ind w:left="0"/>
        <w:rPr>
          <w:rFonts w:ascii="Times New Roman" w:hAnsi="Times New Roman"/>
          <w:sz w:val="22"/>
          <w:szCs w:val="22"/>
          <w:lang w:val="sk-SK" w:eastAsia="ar-SA"/>
        </w:rPr>
      </w:pPr>
      <w:r w:rsidRPr="002000A9">
        <w:rPr>
          <w:rFonts w:ascii="Times New Roman" w:hAnsi="Times New Roman"/>
          <w:sz w:val="22"/>
          <w:szCs w:val="22"/>
          <w:lang w:val="sk-SK" w:eastAsia="ar-SA"/>
        </w:rPr>
        <w:t>Časté: nauzea</w:t>
      </w:r>
    </w:p>
    <w:p w14:paraId="10A8DD76" w14:textId="1DEC7546" w:rsidR="002000A9" w:rsidRDefault="002000A9" w:rsidP="002000A9">
      <w:pPr>
        <w:pStyle w:val="knZulassung02"/>
        <w:ind w:left="0" w:right="0"/>
        <w:rPr>
          <w:rFonts w:ascii="Times New Roman" w:hAnsi="Times New Roman"/>
          <w:sz w:val="22"/>
          <w:szCs w:val="22"/>
          <w:lang w:val="sk-SK" w:eastAsia="ar-SA"/>
        </w:rPr>
      </w:pPr>
      <w:r w:rsidRPr="002000A9">
        <w:rPr>
          <w:rFonts w:ascii="Times New Roman" w:hAnsi="Times New Roman"/>
          <w:sz w:val="22"/>
          <w:szCs w:val="22"/>
          <w:lang w:val="sk-SK" w:eastAsia="ar-SA"/>
        </w:rPr>
        <w:t>Veľmi zriedkavé:</w:t>
      </w:r>
      <w:r w:rsidR="00AA3F57">
        <w:rPr>
          <w:rFonts w:ascii="Times New Roman" w:hAnsi="Times New Roman"/>
          <w:sz w:val="22"/>
          <w:szCs w:val="22"/>
          <w:lang w:val="sk-SK" w:eastAsia="ar-SA"/>
        </w:rPr>
        <w:t xml:space="preserve"> </w:t>
      </w:r>
      <w:r w:rsidR="00AA3F57" w:rsidRPr="00AA3F57">
        <w:rPr>
          <w:rFonts w:ascii="Times New Roman" w:hAnsi="Times New Roman"/>
          <w:sz w:val="22"/>
          <w:szCs w:val="22"/>
          <w:lang w:val="sk-SK" w:eastAsia="ar-SA"/>
        </w:rPr>
        <w:t xml:space="preserve">boli pozorované gastrointestinálne poruchy, napr. zvracanie, </w:t>
      </w:r>
      <w:r w:rsidR="00F57DF8" w:rsidRPr="00AA3F57">
        <w:rPr>
          <w:rFonts w:ascii="Times New Roman" w:hAnsi="Times New Roman"/>
          <w:sz w:val="22"/>
          <w:szCs w:val="22"/>
          <w:lang w:val="sk-SK" w:eastAsia="ar-SA"/>
        </w:rPr>
        <w:t>gastrointestináln</w:t>
      </w:r>
      <w:r w:rsidR="00F57DF8">
        <w:rPr>
          <w:rFonts w:ascii="Times New Roman" w:hAnsi="Times New Roman"/>
          <w:sz w:val="22"/>
          <w:szCs w:val="22"/>
          <w:lang w:val="sk-SK" w:eastAsia="ar-SA"/>
        </w:rPr>
        <w:t>a</w:t>
      </w:r>
      <w:r w:rsidR="00F57DF8" w:rsidRPr="00AA3F57">
        <w:rPr>
          <w:rFonts w:ascii="Times New Roman" w:hAnsi="Times New Roman"/>
          <w:sz w:val="22"/>
          <w:szCs w:val="22"/>
          <w:lang w:val="sk-SK" w:eastAsia="ar-SA"/>
        </w:rPr>
        <w:t xml:space="preserve"> </w:t>
      </w:r>
      <w:r w:rsidR="00AA3F57" w:rsidRPr="00AA3F57">
        <w:rPr>
          <w:rFonts w:ascii="Times New Roman" w:hAnsi="Times New Roman"/>
          <w:sz w:val="22"/>
          <w:szCs w:val="22"/>
          <w:lang w:val="sk-SK" w:eastAsia="ar-SA"/>
        </w:rPr>
        <w:t>bolesť a hnačka</w:t>
      </w:r>
    </w:p>
    <w:p w14:paraId="4B45CFC6" w14:textId="0017370F" w:rsidR="002000A9" w:rsidRDefault="002000A9" w:rsidP="00B42AE7">
      <w:pPr>
        <w:pStyle w:val="knZulassung02"/>
        <w:ind w:left="0" w:right="0"/>
        <w:rPr>
          <w:rFonts w:ascii="Times New Roman" w:hAnsi="Times New Roman"/>
          <w:sz w:val="22"/>
          <w:szCs w:val="22"/>
          <w:lang w:val="sk-SK" w:eastAsia="ar-SA"/>
        </w:rPr>
      </w:pPr>
    </w:p>
    <w:p w14:paraId="2A536344" w14:textId="77777777" w:rsidR="00AA3F57" w:rsidRPr="00AA3F57" w:rsidRDefault="00AA3F57" w:rsidP="00AA3F57">
      <w:pPr>
        <w:pStyle w:val="knZulassung02"/>
        <w:ind w:left="0"/>
        <w:rPr>
          <w:rFonts w:ascii="Times New Roman" w:hAnsi="Times New Roman"/>
          <w:sz w:val="22"/>
          <w:szCs w:val="22"/>
          <w:lang w:val="sk-SK" w:eastAsia="ar-SA"/>
        </w:rPr>
      </w:pPr>
      <w:r w:rsidRPr="00AA3F57">
        <w:rPr>
          <w:rFonts w:ascii="Times New Roman" w:hAnsi="Times New Roman"/>
          <w:b/>
          <w:bCs/>
          <w:i/>
          <w:iCs/>
          <w:sz w:val="22"/>
          <w:szCs w:val="22"/>
          <w:lang w:val="sk-SK" w:eastAsia="ar-SA"/>
        </w:rPr>
        <w:t>Poruchy kože a podkožného tkaniva</w:t>
      </w:r>
      <w:r w:rsidRPr="00AA3F57">
        <w:rPr>
          <w:rFonts w:ascii="Times New Roman" w:hAnsi="Times New Roman"/>
          <w:sz w:val="22"/>
          <w:szCs w:val="22"/>
          <w:lang w:val="sk-SK" w:eastAsia="ar-SA"/>
        </w:rPr>
        <w:t>:</w:t>
      </w:r>
    </w:p>
    <w:p w14:paraId="15A7E5E9" w14:textId="41D3D94F" w:rsidR="00AA3F57" w:rsidRDefault="00AA3F57" w:rsidP="00AA3F57">
      <w:pPr>
        <w:pStyle w:val="knZulassung02"/>
        <w:ind w:left="0" w:right="0"/>
        <w:rPr>
          <w:rFonts w:ascii="Times New Roman" w:hAnsi="Times New Roman"/>
          <w:sz w:val="22"/>
          <w:szCs w:val="22"/>
          <w:lang w:val="sk-SK" w:eastAsia="ar-SA"/>
        </w:rPr>
      </w:pPr>
      <w:r w:rsidRPr="00AA3F57">
        <w:rPr>
          <w:rFonts w:ascii="Times New Roman" w:hAnsi="Times New Roman"/>
          <w:sz w:val="22"/>
          <w:szCs w:val="22"/>
          <w:lang w:val="sk-SK" w:eastAsia="ar-SA"/>
        </w:rPr>
        <w:t xml:space="preserve">Veľmi zriedkavé: </w:t>
      </w:r>
      <w:r w:rsidR="00C0056E" w:rsidRPr="00C0056E">
        <w:rPr>
          <w:rFonts w:ascii="Times New Roman" w:hAnsi="Times New Roman"/>
          <w:sz w:val="22"/>
          <w:szCs w:val="22"/>
          <w:lang w:val="sk-SK" w:eastAsia="ar-SA"/>
        </w:rPr>
        <w:t>vyskytli sa alergické kožné reakcie vrátane kožnej vyrážky</w:t>
      </w:r>
      <w:r w:rsidRPr="00AA3F57">
        <w:rPr>
          <w:rFonts w:ascii="Times New Roman" w:hAnsi="Times New Roman"/>
          <w:sz w:val="22"/>
          <w:szCs w:val="22"/>
          <w:lang w:val="sk-SK" w:eastAsia="ar-SA"/>
        </w:rPr>
        <w:t xml:space="preserve">, </w:t>
      </w:r>
      <w:r w:rsidR="00BF6A60" w:rsidRPr="004C4CA0">
        <w:rPr>
          <w:rFonts w:ascii="Times New Roman" w:hAnsi="Times New Roman"/>
          <w:sz w:val="22"/>
          <w:szCs w:val="22"/>
          <w:lang w:val="sk-SK"/>
        </w:rPr>
        <w:t>žihľavka a svrbenie</w:t>
      </w:r>
    </w:p>
    <w:p w14:paraId="7664A389" w14:textId="0DE2BB87" w:rsidR="00F70EA6" w:rsidRDefault="00F70EA6" w:rsidP="00AA3F57">
      <w:pPr>
        <w:pStyle w:val="knZulassung02"/>
        <w:ind w:left="0" w:right="0"/>
        <w:rPr>
          <w:rFonts w:ascii="Times New Roman" w:hAnsi="Times New Roman"/>
          <w:sz w:val="22"/>
          <w:szCs w:val="22"/>
          <w:lang w:val="sk-SK" w:eastAsia="ar-SA"/>
        </w:rPr>
      </w:pPr>
    </w:p>
    <w:p w14:paraId="5F2C1FE1" w14:textId="77777777" w:rsidR="00F70EA6" w:rsidRPr="00F70EA6" w:rsidRDefault="00F70EA6" w:rsidP="00F70EA6">
      <w:pPr>
        <w:pStyle w:val="knZulassung02"/>
        <w:ind w:left="0"/>
        <w:rPr>
          <w:rFonts w:ascii="Times New Roman" w:hAnsi="Times New Roman"/>
          <w:b/>
          <w:bCs/>
          <w:i/>
          <w:iCs/>
          <w:sz w:val="22"/>
          <w:szCs w:val="22"/>
          <w:lang w:val="sk-SK" w:eastAsia="ar-SA"/>
        </w:rPr>
      </w:pPr>
      <w:r w:rsidRPr="00F70EA6">
        <w:rPr>
          <w:rFonts w:ascii="Times New Roman" w:hAnsi="Times New Roman"/>
          <w:b/>
          <w:bCs/>
          <w:i/>
          <w:iCs/>
          <w:sz w:val="22"/>
          <w:szCs w:val="22"/>
          <w:lang w:val="sk-SK" w:eastAsia="ar-SA"/>
        </w:rPr>
        <w:t xml:space="preserve">Poruchy nervového systému </w:t>
      </w:r>
    </w:p>
    <w:p w14:paraId="3ACFEC41" w14:textId="53CAD841" w:rsidR="00F70EA6" w:rsidRPr="00F70EA6" w:rsidRDefault="00F70EA6" w:rsidP="00F70EA6">
      <w:pPr>
        <w:pStyle w:val="knZulassung02"/>
        <w:ind w:left="0"/>
        <w:rPr>
          <w:rFonts w:ascii="Times New Roman" w:hAnsi="Times New Roman"/>
          <w:sz w:val="22"/>
          <w:szCs w:val="22"/>
          <w:lang w:val="sk-SK" w:eastAsia="ar-SA"/>
        </w:rPr>
      </w:pPr>
      <w:r w:rsidRPr="00F70EA6">
        <w:rPr>
          <w:rFonts w:ascii="Times New Roman" w:hAnsi="Times New Roman"/>
          <w:sz w:val="22"/>
          <w:szCs w:val="22"/>
          <w:lang w:val="sk-SK" w:eastAsia="ar-SA"/>
        </w:rPr>
        <w:t xml:space="preserve">Časté: </w:t>
      </w:r>
      <w:r w:rsidR="0017189D" w:rsidRPr="0017189D">
        <w:rPr>
          <w:rFonts w:ascii="Times New Roman" w:hAnsi="Times New Roman"/>
          <w:sz w:val="22"/>
          <w:szCs w:val="22"/>
          <w:lang w:val="sk-SK" w:eastAsia="ar-SA"/>
        </w:rPr>
        <w:t>zmeny a/alebo poruchy chuti</w:t>
      </w:r>
    </w:p>
    <w:p w14:paraId="4E40EE27" w14:textId="54190CF8" w:rsidR="00F70EA6" w:rsidRDefault="00F70EA6" w:rsidP="00F70EA6">
      <w:pPr>
        <w:pStyle w:val="knZulassung02"/>
        <w:ind w:left="0" w:right="0"/>
        <w:rPr>
          <w:rFonts w:ascii="Times New Roman" w:hAnsi="Times New Roman"/>
          <w:sz w:val="22"/>
          <w:szCs w:val="22"/>
          <w:lang w:val="sk-SK" w:eastAsia="ar-SA"/>
        </w:rPr>
      </w:pPr>
      <w:r w:rsidRPr="00F70EA6">
        <w:rPr>
          <w:rFonts w:ascii="Times New Roman" w:hAnsi="Times New Roman"/>
          <w:sz w:val="22"/>
          <w:szCs w:val="22"/>
          <w:lang w:val="sk-SK" w:eastAsia="ar-SA"/>
        </w:rPr>
        <w:t xml:space="preserve">Veľmi zriedkavé: </w:t>
      </w:r>
      <w:r w:rsidR="0017189D" w:rsidRPr="0017189D">
        <w:rPr>
          <w:rFonts w:ascii="Times New Roman" w:hAnsi="Times New Roman"/>
          <w:sz w:val="22"/>
          <w:szCs w:val="22"/>
          <w:lang w:val="sk-SK" w:eastAsia="ar-SA"/>
        </w:rPr>
        <w:t>kŕče, bolesti hlavy * a zvýšené potenie *</w:t>
      </w:r>
    </w:p>
    <w:p w14:paraId="5EBB204F" w14:textId="77777777" w:rsidR="00AA3F57" w:rsidRPr="00221FC6" w:rsidRDefault="00AA3F57" w:rsidP="00B42AE7">
      <w:pPr>
        <w:pStyle w:val="knZulassung02"/>
        <w:ind w:left="0" w:right="0"/>
        <w:rPr>
          <w:rFonts w:ascii="Times New Roman" w:hAnsi="Times New Roman"/>
          <w:sz w:val="22"/>
          <w:szCs w:val="22"/>
          <w:lang w:val="sk-SK" w:eastAsia="ar-SA"/>
        </w:rPr>
      </w:pPr>
    </w:p>
    <w:p w14:paraId="7B234AF9" w14:textId="77777777" w:rsidR="00E92E38" w:rsidRPr="002000A9" w:rsidRDefault="00E92E38" w:rsidP="00B42AE7">
      <w:pPr>
        <w:pStyle w:val="Default"/>
        <w:rPr>
          <w:rFonts w:ascii="Times New Roman" w:hAnsi="Times New Roman" w:cs="Times New Roman"/>
          <w:b/>
          <w:bCs/>
          <w:i/>
          <w:iCs/>
          <w:sz w:val="22"/>
          <w:szCs w:val="22"/>
        </w:rPr>
      </w:pPr>
      <w:r w:rsidRPr="002000A9">
        <w:rPr>
          <w:rFonts w:ascii="Times New Roman" w:hAnsi="Times New Roman" w:cs="Times New Roman"/>
          <w:b/>
          <w:bCs/>
          <w:i/>
          <w:iCs/>
          <w:sz w:val="22"/>
          <w:szCs w:val="22"/>
        </w:rPr>
        <w:t xml:space="preserve">Poruchy imunitného systému </w:t>
      </w:r>
    </w:p>
    <w:p w14:paraId="675F26A8" w14:textId="77777777" w:rsidR="00E92E38" w:rsidRPr="00221FC6" w:rsidRDefault="00E92E38" w:rsidP="00B42AE7">
      <w:pPr>
        <w:pStyle w:val="Default"/>
        <w:rPr>
          <w:rFonts w:ascii="Times New Roman" w:hAnsi="Times New Roman" w:cs="Times New Roman"/>
          <w:sz w:val="22"/>
          <w:szCs w:val="22"/>
        </w:rPr>
      </w:pPr>
      <w:r w:rsidRPr="00221FC6">
        <w:rPr>
          <w:rFonts w:ascii="Times New Roman" w:hAnsi="Times New Roman" w:cs="Times New Roman"/>
          <w:sz w:val="22"/>
          <w:szCs w:val="22"/>
        </w:rPr>
        <w:t xml:space="preserve">Neznáma frekvencia: inzulínový autoimunitný syndróm (pozri časť 4.4) </w:t>
      </w:r>
    </w:p>
    <w:p w14:paraId="485AFB75" w14:textId="744AADAC" w:rsidR="00E92E38" w:rsidRDefault="00E92E38" w:rsidP="00B42AE7">
      <w:pPr>
        <w:pStyle w:val="Default"/>
        <w:rPr>
          <w:rFonts w:ascii="Times New Roman" w:hAnsi="Times New Roman" w:cs="Times New Roman"/>
          <w:sz w:val="22"/>
          <w:szCs w:val="22"/>
        </w:rPr>
      </w:pPr>
    </w:p>
    <w:p w14:paraId="06373DF3" w14:textId="2DE84100" w:rsidR="00A527DB" w:rsidRPr="00A527DB" w:rsidRDefault="00A527DB" w:rsidP="00A527DB">
      <w:pPr>
        <w:pStyle w:val="Default"/>
        <w:rPr>
          <w:rFonts w:ascii="Times New Roman" w:hAnsi="Times New Roman" w:cs="Times New Roman"/>
          <w:b/>
          <w:bCs/>
          <w:i/>
          <w:iCs/>
          <w:sz w:val="22"/>
          <w:szCs w:val="22"/>
        </w:rPr>
      </w:pPr>
      <w:r w:rsidRPr="00A527DB">
        <w:rPr>
          <w:rFonts w:ascii="Times New Roman" w:hAnsi="Times New Roman" w:cs="Times New Roman"/>
          <w:b/>
          <w:bCs/>
          <w:i/>
          <w:iCs/>
          <w:sz w:val="22"/>
          <w:szCs w:val="22"/>
        </w:rPr>
        <w:t>Poruchy zraku</w:t>
      </w:r>
    </w:p>
    <w:p w14:paraId="6FF59B43" w14:textId="10504482" w:rsidR="00A527DB" w:rsidRDefault="00A527DB" w:rsidP="00A527DB">
      <w:pPr>
        <w:pStyle w:val="Default"/>
        <w:rPr>
          <w:rFonts w:ascii="Times New Roman" w:hAnsi="Times New Roman" w:cs="Times New Roman"/>
          <w:sz w:val="22"/>
          <w:szCs w:val="22"/>
        </w:rPr>
      </w:pPr>
      <w:r w:rsidRPr="00221FC6">
        <w:rPr>
          <w:rFonts w:ascii="Times New Roman" w:hAnsi="Times New Roman" w:cs="Times New Roman"/>
          <w:sz w:val="22"/>
          <w:szCs w:val="22"/>
        </w:rPr>
        <w:t>Veľmi zriedkavé: rozmazané videnie*</w:t>
      </w:r>
    </w:p>
    <w:p w14:paraId="3EA97696" w14:textId="77777777" w:rsidR="00A527DB" w:rsidRPr="00221FC6" w:rsidRDefault="00A527DB" w:rsidP="00B42AE7">
      <w:pPr>
        <w:pStyle w:val="Default"/>
        <w:rPr>
          <w:rFonts w:ascii="Times New Roman" w:hAnsi="Times New Roman" w:cs="Times New Roman"/>
          <w:sz w:val="22"/>
          <w:szCs w:val="22"/>
        </w:rPr>
      </w:pPr>
    </w:p>
    <w:p w14:paraId="3FFB0507" w14:textId="77777777" w:rsidR="002D5F63" w:rsidRDefault="002D5F63" w:rsidP="00B42AE7">
      <w:pPr>
        <w:pStyle w:val="Default"/>
        <w:rPr>
          <w:rFonts w:ascii="Times New Roman" w:hAnsi="Times New Roman" w:cs="Times New Roman"/>
          <w:b/>
          <w:bCs/>
          <w:i/>
          <w:iCs/>
          <w:sz w:val="22"/>
          <w:szCs w:val="22"/>
        </w:rPr>
      </w:pPr>
      <w:r w:rsidRPr="002D5F63">
        <w:rPr>
          <w:rFonts w:ascii="Times New Roman" w:hAnsi="Times New Roman" w:cs="Times New Roman"/>
          <w:b/>
          <w:bCs/>
          <w:i/>
          <w:iCs/>
          <w:sz w:val="22"/>
          <w:szCs w:val="22"/>
        </w:rPr>
        <w:t>Celkové poruchy a reakcie v mieste podania</w:t>
      </w:r>
    </w:p>
    <w:p w14:paraId="14A8A054" w14:textId="135BC88A" w:rsidR="002D5F63" w:rsidRPr="002D5F63" w:rsidRDefault="00E92E38" w:rsidP="002D5F63">
      <w:pPr>
        <w:pStyle w:val="Default"/>
        <w:rPr>
          <w:rFonts w:ascii="Times New Roman" w:hAnsi="Times New Roman" w:cs="Times New Roman"/>
          <w:sz w:val="22"/>
          <w:szCs w:val="22"/>
        </w:rPr>
      </w:pPr>
      <w:r w:rsidRPr="00221FC6">
        <w:rPr>
          <w:rFonts w:ascii="Times New Roman" w:hAnsi="Times New Roman" w:cs="Times New Roman"/>
          <w:sz w:val="22"/>
          <w:szCs w:val="22"/>
        </w:rPr>
        <w:t xml:space="preserve">Veľmi zriedkavé: </w:t>
      </w:r>
      <w:r w:rsidR="002D5F63" w:rsidRPr="002D5F63">
        <w:rPr>
          <w:rFonts w:ascii="Times New Roman" w:hAnsi="Times New Roman" w:cs="Times New Roman"/>
          <w:sz w:val="22"/>
          <w:szCs w:val="22"/>
        </w:rPr>
        <w:t xml:space="preserve">glukóza v krvi sa môže znížiť vďaka zlepšeniu </w:t>
      </w:r>
      <w:r w:rsidR="00F57DF8" w:rsidRPr="002D5F63">
        <w:rPr>
          <w:rFonts w:ascii="Times New Roman" w:hAnsi="Times New Roman" w:cs="Times New Roman"/>
          <w:sz w:val="22"/>
          <w:szCs w:val="22"/>
        </w:rPr>
        <w:t>využiti</w:t>
      </w:r>
      <w:r w:rsidR="00F57DF8">
        <w:rPr>
          <w:rFonts w:ascii="Times New Roman" w:hAnsi="Times New Roman" w:cs="Times New Roman"/>
          <w:sz w:val="22"/>
          <w:szCs w:val="22"/>
        </w:rPr>
        <w:t>a</w:t>
      </w:r>
      <w:r w:rsidR="00F57DF8" w:rsidRPr="002D5F63">
        <w:rPr>
          <w:rFonts w:ascii="Times New Roman" w:hAnsi="Times New Roman" w:cs="Times New Roman"/>
          <w:sz w:val="22"/>
          <w:szCs w:val="22"/>
        </w:rPr>
        <w:t xml:space="preserve"> </w:t>
      </w:r>
      <w:r w:rsidR="002D5F63" w:rsidRPr="002D5F63">
        <w:rPr>
          <w:rFonts w:ascii="Times New Roman" w:hAnsi="Times New Roman" w:cs="Times New Roman"/>
          <w:sz w:val="22"/>
          <w:szCs w:val="22"/>
        </w:rPr>
        <w:t>glukózy</w:t>
      </w:r>
    </w:p>
    <w:p w14:paraId="241B637A" w14:textId="77777777" w:rsidR="002D5F63" w:rsidRPr="002D5F63" w:rsidRDefault="002D5F63" w:rsidP="002D5F63">
      <w:pPr>
        <w:pStyle w:val="Default"/>
        <w:rPr>
          <w:rFonts w:ascii="Times New Roman" w:hAnsi="Times New Roman" w:cs="Times New Roman"/>
          <w:sz w:val="22"/>
          <w:szCs w:val="22"/>
        </w:rPr>
      </w:pPr>
    </w:p>
    <w:p w14:paraId="4A5F08E3" w14:textId="49C3F232" w:rsidR="00E92E38" w:rsidRPr="00221FC6" w:rsidRDefault="002D5F63" w:rsidP="002D5F63">
      <w:pPr>
        <w:pStyle w:val="Default"/>
        <w:rPr>
          <w:rFonts w:ascii="Times New Roman" w:hAnsi="Times New Roman" w:cs="Times New Roman"/>
          <w:sz w:val="22"/>
          <w:szCs w:val="22"/>
        </w:rPr>
      </w:pPr>
      <w:r w:rsidRPr="002D5F63">
        <w:rPr>
          <w:rFonts w:ascii="Times New Roman" w:hAnsi="Times New Roman" w:cs="Times New Roman"/>
          <w:sz w:val="22"/>
          <w:szCs w:val="22"/>
        </w:rPr>
        <w:t>* V týchto prípadoch boli pozorované podobné príznaky ako hypoglykémia, vrátane závratov, potenia, bolesti hlavy a porúch videnia.</w:t>
      </w:r>
    </w:p>
    <w:p w14:paraId="623522E6" w14:textId="77777777" w:rsidR="003E5CE6" w:rsidRPr="00221FC6" w:rsidRDefault="003E5CE6" w:rsidP="00B42AE7">
      <w:pPr>
        <w:rPr>
          <w:rFonts w:ascii="Times New Roman" w:hAnsi="Times New Roman"/>
          <w:szCs w:val="22"/>
        </w:rPr>
      </w:pPr>
    </w:p>
    <w:p w14:paraId="2B88B895" w14:textId="77777777" w:rsidR="005063B5" w:rsidRPr="00221FC6" w:rsidRDefault="005063B5" w:rsidP="00B42AE7">
      <w:pPr>
        <w:autoSpaceDE w:val="0"/>
        <w:autoSpaceDN w:val="0"/>
        <w:adjustRightInd w:val="0"/>
        <w:rPr>
          <w:rFonts w:ascii="Times New Roman" w:hAnsi="Times New Roman"/>
          <w:szCs w:val="22"/>
          <w:u w:val="single"/>
        </w:rPr>
      </w:pPr>
      <w:r w:rsidRPr="00221FC6">
        <w:rPr>
          <w:rFonts w:ascii="Times New Roman" w:hAnsi="Times New Roman"/>
          <w:szCs w:val="22"/>
          <w:u w:val="single"/>
        </w:rPr>
        <w:t>Hlásenie podozrení na nežiaduce reakcie</w:t>
      </w:r>
    </w:p>
    <w:p w14:paraId="371DFC9A" w14:textId="77777777" w:rsidR="005063B5" w:rsidRPr="00221FC6" w:rsidRDefault="005063B5" w:rsidP="00B42AE7">
      <w:pPr>
        <w:autoSpaceDE w:val="0"/>
        <w:autoSpaceDN w:val="0"/>
        <w:adjustRightInd w:val="0"/>
        <w:rPr>
          <w:rFonts w:ascii="Times New Roman" w:hAnsi="Times New Roman"/>
          <w:szCs w:val="22"/>
        </w:rPr>
      </w:pPr>
      <w:r w:rsidRPr="00221FC6">
        <w:rPr>
          <w:rFonts w:ascii="Times New Roman" w:hAnsi="Times New Roman"/>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295B40" w:rsidRPr="00221FC6">
        <w:rPr>
          <w:rFonts w:ascii="Times New Roman" w:hAnsi="Times New Roman"/>
          <w:szCs w:val="22"/>
        </w:rPr>
        <w:t>na</w:t>
      </w:r>
      <w:r w:rsidRPr="00221FC6">
        <w:rPr>
          <w:rFonts w:ascii="Times New Roman" w:hAnsi="Times New Roman"/>
          <w:szCs w:val="22"/>
        </w:rPr>
        <w:t xml:space="preserve"> </w:t>
      </w:r>
      <w:r w:rsidRPr="00221FC6">
        <w:rPr>
          <w:rFonts w:ascii="Times New Roman" w:hAnsi="Times New Roman"/>
          <w:szCs w:val="22"/>
          <w:highlight w:val="lightGray"/>
        </w:rPr>
        <w:t xml:space="preserve">národné </w:t>
      </w:r>
      <w:r w:rsidR="00295B40" w:rsidRPr="00221FC6">
        <w:rPr>
          <w:rFonts w:ascii="Times New Roman" w:hAnsi="Times New Roman"/>
          <w:szCs w:val="22"/>
          <w:highlight w:val="lightGray"/>
        </w:rPr>
        <w:t xml:space="preserve">centrum </w:t>
      </w:r>
      <w:r w:rsidRPr="00221FC6">
        <w:rPr>
          <w:rFonts w:ascii="Times New Roman" w:hAnsi="Times New Roman"/>
          <w:szCs w:val="22"/>
          <w:highlight w:val="lightGray"/>
        </w:rPr>
        <w:t>hlásenia uvedené v </w:t>
      </w:r>
      <w:hyperlink r:id="rId8" w:history="1">
        <w:r w:rsidRPr="00221FC6">
          <w:rPr>
            <w:rStyle w:val="Hypertextovprepojenie"/>
            <w:rFonts w:ascii="Times New Roman" w:hAnsi="Times New Roman"/>
            <w:szCs w:val="22"/>
            <w:highlight w:val="lightGray"/>
          </w:rPr>
          <w:t>Prílohe V</w:t>
        </w:r>
      </w:hyperlink>
      <w:r w:rsidRPr="00221FC6">
        <w:rPr>
          <w:rFonts w:ascii="Times New Roman" w:hAnsi="Times New Roman"/>
          <w:szCs w:val="22"/>
        </w:rPr>
        <w:t>.</w:t>
      </w:r>
    </w:p>
    <w:p w14:paraId="14707CEF" w14:textId="77777777" w:rsidR="005063B5" w:rsidRPr="00221FC6" w:rsidRDefault="005063B5" w:rsidP="00B42AE7">
      <w:pPr>
        <w:rPr>
          <w:rFonts w:ascii="Times New Roman" w:hAnsi="Times New Roman"/>
          <w:szCs w:val="22"/>
        </w:rPr>
      </w:pPr>
    </w:p>
    <w:p w14:paraId="3A75A043" w14:textId="77777777" w:rsidR="003E5CE6" w:rsidRPr="00221FC6" w:rsidRDefault="003E5CE6" w:rsidP="00B42AE7">
      <w:pPr>
        <w:tabs>
          <w:tab w:val="left" w:pos="567"/>
        </w:tabs>
        <w:rPr>
          <w:rFonts w:ascii="Times New Roman" w:hAnsi="Times New Roman"/>
          <w:b/>
          <w:szCs w:val="22"/>
        </w:rPr>
      </w:pPr>
      <w:r w:rsidRPr="00221FC6">
        <w:rPr>
          <w:rFonts w:ascii="Times New Roman" w:hAnsi="Times New Roman"/>
          <w:b/>
          <w:szCs w:val="22"/>
        </w:rPr>
        <w:t>4.9</w:t>
      </w:r>
      <w:r w:rsidRPr="00221FC6">
        <w:rPr>
          <w:rFonts w:ascii="Times New Roman" w:hAnsi="Times New Roman"/>
          <w:b/>
          <w:szCs w:val="22"/>
        </w:rPr>
        <w:tab/>
        <w:t>Predávkovanie</w:t>
      </w:r>
    </w:p>
    <w:p w14:paraId="4D91F019" w14:textId="77777777" w:rsidR="003E5CE6" w:rsidRPr="00221FC6" w:rsidRDefault="003E5CE6" w:rsidP="00B42AE7">
      <w:pPr>
        <w:rPr>
          <w:rFonts w:ascii="Times New Roman" w:hAnsi="Times New Roman"/>
          <w:szCs w:val="22"/>
        </w:rPr>
      </w:pPr>
    </w:p>
    <w:p w14:paraId="72B4CD0A" w14:textId="77777777" w:rsidR="003E5CE6" w:rsidRPr="00221FC6" w:rsidRDefault="003E5CE6" w:rsidP="00B42AE7">
      <w:pPr>
        <w:rPr>
          <w:rFonts w:ascii="Times New Roman" w:hAnsi="Times New Roman"/>
          <w:szCs w:val="22"/>
        </w:rPr>
      </w:pPr>
      <w:r w:rsidRPr="00221FC6">
        <w:rPr>
          <w:rFonts w:ascii="Times New Roman" w:hAnsi="Times New Roman"/>
          <w:szCs w:val="22"/>
        </w:rPr>
        <w:t>V prípade predávkovania sa môže vyskytnúť nevoľnosť, vracanie a bolesť hlavy.</w:t>
      </w:r>
    </w:p>
    <w:p w14:paraId="1D2AF04C" w14:textId="4FF4C3CD" w:rsidR="003E5CE6" w:rsidRDefault="003E5CE6" w:rsidP="00B42AE7">
      <w:pPr>
        <w:rPr>
          <w:rFonts w:ascii="Times New Roman" w:hAnsi="Times New Roman"/>
          <w:szCs w:val="22"/>
        </w:rPr>
      </w:pPr>
    </w:p>
    <w:p w14:paraId="7C085C7F" w14:textId="11036E30" w:rsidR="00664B18" w:rsidRPr="00664B18" w:rsidRDefault="00664B18" w:rsidP="00B42AE7">
      <w:pPr>
        <w:rPr>
          <w:rFonts w:ascii="Times New Roman" w:hAnsi="Times New Roman"/>
          <w:i/>
          <w:iCs/>
          <w:szCs w:val="22"/>
          <w:u w:val="single"/>
        </w:rPr>
      </w:pPr>
      <w:r w:rsidRPr="00664B18">
        <w:rPr>
          <w:rFonts w:ascii="Times New Roman" w:hAnsi="Times New Roman"/>
          <w:i/>
          <w:iCs/>
          <w:szCs w:val="22"/>
          <w:u w:val="single"/>
        </w:rPr>
        <w:t>Príznaky</w:t>
      </w:r>
    </w:p>
    <w:p w14:paraId="4E937C23" w14:textId="77777777" w:rsidR="00942F54" w:rsidRDefault="003E5CE6" w:rsidP="00B42AE7">
      <w:pPr>
        <w:rPr>
          <w:rFonts w:ascii="Times New Roman" w:hAnsi="Times New Roman"/>
          <w:szCs w:val="22"/>
        </w:rPr>
      </w:pPr>
      <w:r w:rsidRPr="00221FC6">
        <w:rPr>
          <w:rFonts w:ascii="Times New Roman" w:hAnsi="Times New Roman"/>
          <w:szCs w:val="22"/>
        </w:rPr>
        <w:t xml:space="preserve">Pri náhodnom alebo suicidálnom užití perorálnych dávok v rozsahu 10 až </w:t>
      </w:r>
      <w:smartTag w:uri="urn:schemas-microsoft-com:office:smarttags" w:element="metricconverter">
        <w:smartTagPr>
          <w:attr w:name="ProductID" w:val="40 g"/>
        </w:smartTagPr>
        <w:r w:rsidRPr="00221FC6">
          <w:rPr>
            <w:rFonts w:ascii="Times New Roman" w:hAnsi="Times New Roman"/>
            <w:szCs w:val="22"/>
          </w:rPr>
          <w:t>40 g</w:t>
        </w:r>
      </w:smartTag>
      <w:r w:rsidRPr="00221FC6">
        <w:rPr>
          <w:rFonts w:ascii="Times New Roman" w:hAnsi="Times New Roman"/>
          <w:szCs w:val="22"/>
        </w:rPr>
        <w:t xml:space="preserve"> kyseliny tioktovej spolu s </w:t>
      </w:r>
      <w:r w:rsidR="000D5294" w:rsidRPr="00221FC6">
        <w:rPr>
          <w:rFonts w:ascii="Times New Roman" w:hAnsi="Times New Roman"/>
          <w:szCs w:val="22"/>
        </w:rPr>
        <w:t xml:space="preserve">konzumáciou </w:t>
      </w:r>
      <w:r w:rsidRPr="00221FC6">
        <w:rPr>
          <w:rFonts w:ascii="Times New Roman" w:hAnsi="Times New Roman"/>
          <w:szCs w:val="22"/>
        </w:rPr>
        <w:t>alkohol</w:t>
      </w:r>
      <w:r w:rsidR="000D5294" w:rsidRPr="00221FC6">
        <w:rPr>
          <w:rFonts w:ascii="Times New Roman" w:hAnsi="Times New Roman"/>
          <w:szCs w:val="22"/>
        </w:rPr>
        <w:t>u</w:t>
      </w:r>
      <w:r w:rsidRPr="00221FC6">
        <w:rPr>
          <w:rFonts w:ascii="Times New Roman" w:hAnsi="Times New Roman"/>
          <w:szCs w:val="22"/>
        </w:rPr>
        <w:t xml:space="preserve"> sa pozorovali závažné príznaky intoxikácie, ktoré sa v niektorých prípadoch skončili </w:t>
      </w:r>
      <w:r w:rsidRPr="00221FC6">
        <w:rPr>
          <w:rFonts w:ascii="Times New Roman" w:hAnsi="Times New Roman"/>
          <w:szCs w:val="22"/>
        </w:rPr>
        <w:lastRenderedPageBreak/>
        <w:t xml:space="preserve">smrťou. Klinický obraz takejto intoxikácie môže na začiatku zahŕňať psychomotorický nepokoj alebo zastrené vedomie. V ďalšej fáze sa zvyčajne vyvinú generalizované kŕče a laktátová acidóza. </w:t>
      </w:r>
    </w:p>
    <w:p w14:paraId="13514A3C" w14:textId="704BD534" w:rsidR="003E5CE6" w:rsidRPr="00221FC6" w:rsidRDefault="003E5CE6" w:rsidP="00B42AE7">
      <w:pPr>
        <w:rPr>
          <w:rFonts w:ascii="Times New Roman" w:hAnsi="Times New Roman"/>
          <w:szCs w:val="22"/>
        </w:rPr>
      </w:pPr>
      <w:r w:rsidRPr="00221FC6">
        <w:rPr>
          <w:rFonts w:ascii="Times New Roman" w:hAnsi="Times New Roman"/>
          <w:szCs w:val="22"/>
        </w:rPr>
        <w:t>V dôsledku intoxikácie vysokými dávkami kyseliny tioktovej sa ďalej hlásila hypoglykémia, šok, rabdomyolýza, hemolýza, diseminovaná intravaskulárna koaguláci</w:t>
      </w:r>
      <w:r w:rsidR="00942F54">
        <w:rPr>
          <w:rFonts w:ascii="Times New Roman" w:hAnsi="Times New Roman"/>
          <w:szCs w:val="22"/>
        </w:rPr>
        <w:t>a</w:t>
      </w:r>
      <w:r w:rsidRPr="00221FC6">
        <w:rPr>
          <w:rFonts w:ascii="Times New Roman" w:hAnsi="Times New Roman"/>
          <w:szCs w:val="22"/>
        </w:rPr>
        <w:t>, útlm kostnej drene a multiorgánové zlyhanie.</w:t>
      </w:r>
    </w:p>
    <w:p w14:paraId="3099A33C" w14:textId="77777777" w:rsidR="003E5CE6" w:rsidRPr="00221FC6" w:rsidRDefault="003E5CE6" w:rsidP="00B42AE7">
      <w:pPr>
        <w:rPr>
          <w:rFonts w:ascii="Times New Roman" w:hAnsi="Times New Roman"/>
          <w:szCs w:val="22"/>
        </w:rPr>
      </w:pPr>
    </w:p>
    <w:p w14:paraId="1117FA8F" w14:textId="4A71CAEE" w:rsidR="003E5CE6" w:rsidRPr="00221FC6" w:rsidRDefault="00BB6A89" w:rsidP="00B42AE7">
      <w:pPr>
        <w:rPr>
          <w:rFonts w:ascii="Times New Roman" w:hAnsi="Times New Roman"/>
          <w:iCs/>
          <w:szCs w:val="22"/>
        </w:rPr>
      </w:pPr>
      <w:r w:rsidRPr="00BB6A89">
        <w:rPr>
          <w:rFonts w:ascii="Times New Roman" w:hAnsi="Times New Roman"/>
          <w:i/>
          <w:szCs w:val="22"/>
          <w:u w:val="single"/>
        </w:rPr>
        <w:t>O</w:t>
      </w:r>
      <w:r w:rsidR="003E5CE6" w:rsidRPr="00BB6A89">
        <w:rPr>
          <w:rFonts w:ascii="Times New Roman" w:hAnsi="Times New Roman"/>
          <w:i/>
          <w:szCs w:val="22"/>
          <w:u w:val="single"/>
        </w:rPr>
        <w:t>patrenia v prípade intoxikácie</w:t>
      </w:r>
    </w:p>
    <w:p w14:paraId="405A5FE2" w14:textId="1596A5D7" w:rsidR="003E5CE6" w:rsidRPr="00221FC6" w:rsidRDefault="003E5CE6" w:rsidP="00B42AE7">
      <w:pPr>
        <w:rPr>
          <w:rFonts w:ascii="Times New Roman" w:hAnsi="Times New Roman"/>
          <w:szCs w:val="22"/>
        </w:rPr>
      </w:pPr>
      <w:r w:rsidRPr="00221FC6">
        <w:rPr>
          <w:rFonts w:ascii="Times New Roman" w:hAnsi="Times New Roman"/>
          <w:szCs w:val="22"/>
        </w:rPr>
        <w:t xml:space="preserve">Ak existuje i najmenšie podozrenie na závažnú intoxikáciu </w:t>
      </w:r>
      <w:r w:rsidR="00353F9A">
        <w:rPr>
          <w:rFonts w:ascii="Times New Roman" w:hAnsi="Times New Roman"/>
          <w:szCs w:val="22"/>
        </w:rPr>
        <w:t>kyselinou tioktovou</w:t>
      </w:r>
      <w:r w:rsidRPr="00221FC6">
        <w:rPr>
          <w:rFonts w:ascii="Times New Roman" w:hAnsi="Times New Roman"/>
          <w:szCs w:val="22"/>
        </w:rPr>
        <w:t xml:space="preserve"> (t.j. po užití viac ako 10 tabliet s obsahom 600 mg kyseliny tioktovej u dospelých alebo po dávke viac ako 50 mg/kg telesnej hmotnosti u detí) je potrebná okamžitá hospitalizácia a začatie všeobecných liečebných opatrení pre prípady otravy (t.j. vyvolanie vracania, výplach žalúdka, aktívne uhlie, atď.). Liečba generalizovaných kŕčov, laktátovej acidózy a všetkých ďalších život ohrozujúcich následkov intoxikácie sa musí zakladať na princípoch modernej intenzívnej starostlivosti a musí sa vykonať symptomaticky</w:t>
      </w:r>
      <w:r w:rsidR="00974680" w:rsidRPr="00221FC6">
        <w:rPr>
          <w:rFonts w:ascii="Times New Roman" w:hAnsi="Times New Roman"/>
          <w:szCs w:val="22"/>
        </w:rPr>
        <w:t>.</w:t>
      </w:r>
      <w:r w:rsidR="00353F9A">
        <w:rPr>
          <w:rFonts w:ascii="Times New Roman" w:hAnsi="Times New Roman"/>
          <w:szCs w:val="22"/>
        </w:rPr>
        <w:t xml:space="preserve"> </w:t>
      </w:r>
      <w:r w:rsidRPr="00221FC6">
        <w:rPr>
          <w:rFonts w:ascii="Times New Roman" w:hAnsi="Times New Roman"/>
          <w:szCs w:val="22"/>
        </w:rPr>
        <w:t>V súčasnosti ešte nie je potvrdený pozitívny prínos hemodialýzy, hemoperfúzie alebo filtračných techník na urýchlenie eliminácie kyseliny tioktovej.</w:t>
      </w:r>
    </w:p>
    <w:p w14:paraId="661D2AFB" w14:textId="77777777" w:rsidR="003E5CE6" w:rsidRDefault="003E5CE6" w:rsidP="00B42AE7">
      <w:pPr>
        <w:rPr>
          <w:rFonts w:ascii="Times New Roman" w:hAnsi="Times New Roman"/>
          <w:szCs w:val="22"/>
        </w:rPr>
      </w:pPr>
    </w:p>
    <w:p w14:paraId="791A3117" w14:textId="77777777" w:rsidR="0019212D" w:rsidRPr="00221FC6" w:rsidRDefault="0019212D" w:rsidP="00B42AE7">
      <w:pPr>
        <w:rPr>
          <w:rFonts w:ascii="Times New Roman" w:hAnsi="Times New Roman"/>
          <w:szCs w:val="22"/>
        </w:rPr>
      </w:pPr>
    </w:p>
    <w:p w14:paraId="0806BCC6" w14:textId="77777777" w:rsidR="003E5CE6" w:rsidRPr="00221FC6" w:rsidRDefault="003E5CE6" w:rsidP="00B42AE7">
      <w:pPr>
        <w:numPr>
          <w:ilvl w:val="0"/>
          <w:numId w:val="1"/>
        </w:numPr>
        <w:tabs>
          <w:tab w:val="left" w:pos="567"/>
        </w:tabs>
        <w:ind w:left="0" w:firstLine="0"/>
        <w:rPr>
          <w:rFonts w:ascii="Times New Roman" w:hAnsi="Times New Roman"/>
          <w:b/>
          <w:szCs w:val="22"/>
        </w:rPr>
      </w:pPr>
      <w:r w:rsidRPr="00221FC6">
        <w:rPr>
          <w:rFonts w:ascii="Times New Roman" w:hAnsi="Times New Roman"/>
          <w:b/>
          <w:szCs w:val="22"/>
        </w:rPr>
        <w:t>FARMAKOLOGICKÉ VLASTNOSTI</w:t>
      </w:r>
    </w:p>
    <w:p w14:paraId="0584A664" w14:textId="77777777" w:rsidR="003E5CE6" w:rsidRPr="00221FC6" w:rsidRDefault="003E5CE6" w:rsidP="00B42AE7">
      <w:pPr>
        <w:rPr>
          <w:rFonts w:ascii="Times New Roman" w:hAnsi="Times New Roman"/>
          <w:szCs w:val="22"/>
        </w:rPr>
      </w:pPr>
    </w:p>
    <w:p w14:paraId="4CEFEF1E" w14:textId="77777777" w:rsidR="003E5CE6" w:rsidRPr="00221FC6" w:rsidRDefault="003E5CE6" w:rsidP="00B42AE7">
      <w:pPr>
        <w:tabs>
          <w:tab w:val="left" w:pos="567"/>
        </w:tabs>
        <w:rPr>
          <w:rFonts w:ascii="Times New Roman" w:hAnsi="Times New Roman"/>
          <w:b/>
          <w:szCs w:val="22"/>
        </w:rPr>
      </w:pPr>
      <w:r w:rsidRPr="00221FC6">
        <w:rPr>
          <w:rFonts w:ascii="Times New Roman" w:hAnsi="Times New Roman"/>
          <w:b/>
          <w:szCs w:val="22"/>
        </w:rPr>
        <w:t>5.1</w:t>
      </w:r>
      <w:r w:rsidRPr="00221FC6">
        <w:rPr>
          <w:rFonts w:ascii="Times New Roman" w:hAnsi="Times New Roman"/>
          <w:b/>
          <w:szCs w:val="22"/>
        </w:rPr>
        <w:tab/>
        <w:t>Farmakodynamické vlastnosti</w:t>
      </w:r>
    </w:p>
    <w:p w14:paraId="2BB532DB" w14:textId="77777777" w:rsidR="003E5CE6" w:rsidRPr="00221FC6" w:rsidRDefault="003E5CE6" w:rsidP="00B42AE7">
      <w:pPr>
        <w:rPr>
          <w:rFonts w:ascii="Times New Roman" w:hAnsi="Times New Roman"/>
          <w:szCs w:val="22"/>
        </w:rPr>
      </w:pPr>
    </w:p>
    <w:p w14:paraId="616CD70B" w14:textId="77777777" w:rsidR="003E5CE6" w:rsidRPr="00221FC6" w:rsidRDefault="003E5CE6" w:rsidP="00B42AE7">
      <w:pPr>
        <w:rPr>
          <w:rFonts w:ascii="Times New Roman" w:hAnsi="Times New Roman"/>
          <w:szCs w:val="22"/>
        </w:rPr>
      </w:pPr>
      <w:r w:rsidRPr="00221FC6">
        <w:rPr>
          <w:rFonts w:ascii="Times New Roman" w:hAnsi="Times New Roman"/>
          <w:szCs w:val="22"/>
        </w:rPr>
        <w:t xml:space="preserve">Farmakoterapeutická skupina: </w:t>
      </w:r>
      <w:bookmarkStart w:id="0" w:name="_Hlk529257256"/>
      <w:r w:rsidR="00EF1A87" w:rsidRPr="00221FC6">
        <w:rPr>
          <w:rFonts w:ascii="Times New Roman" w:hAnsi="Times New Roman"/>
          <w:szCs w:val="22"/>
        </w:rPr>
        <w:t>Iné liečivá pre tráviaci trakt a metabolizmus</w:t>
      </w:r>
      <w:r w:rsidR="00295D05" w:rsidRPr="00221FC6">
        <w:rPr>
          <w:rFonts w:ascii="Times New Roman" w:hAnsi="Times New Roman"/>
          <w:szCs w:val="22"/>
        </w:rPr>
        <w:t xml:space="preserve">, </w:t>
      </w:r>
      <w:r w:rsidR="00EF1A87" w:rsidRPr="00221FC6">
        <w:rPr>
          <w:rFonts w:ascii="Times New Roman" w:hAnsi="Times New Roman"/>
          <w:szCs w:val="22"/>
        </w:rPr>
        <w:t xml:space="preserve">rôzne liečivá tráviaceho traktu a metabolizmu; </w:t>
      </w:r>
      <w:r w:rsidRPr="00221FC6">
        <w:rPr>
          <w:rFonts w:ascii="Times New Roman" w:hAnsi="Times New Roman"/>
          <w:szCs w:val="22"/>
        </w:rPr>
        <w:t>ATC kód: A16AX01</w:t>
      </w:r>
      <w:bookmarkEnd w:id="0"/>
    </w:p>
    <w:p w14:paraId="2782B8E2" w14:textId="31795C89" w:rsidR="003E5CE6" w:rsidRDefault="003E5CE6" w:rsidP="00B42AE7">
      <w:pPr>
        <w:rPr>
          <w:rFonts w:ascii="Times New Roman" w:hAnsi="Times New Roman"/>
          <w:szCs w:val="22"/>
        </w:rPr>
      </w:pPr>
    </w:p>
    <w:p w14:paraId="17DFCBE3" w14:textId="2E4554B6" w:rsidR="00D40735" w:rsidRPr="005D363F" w:rsidRDefault="005D363F" w:rsidP="00B42AE7">
      <w:pPr>
        <w:rPr>
          <w:rFonts w:ascii="Times New Roman" w:hAnsi="Times New Roman"/>
          <w:szCs w:val="22"/>
          <w:u w:val="single"/>
        </w:rPr>
      </w:pPr>
      <w:r>
        <w:rPr>
          <w:rFonts w:ascii="Times New Roman" w:hAnsi="Times New Roman"/>
          <w:szCs w:val="22"/>
          <w:u w:val="single"/>
        </w:rPr>
        <w:t>Mechanizmus účinku</w:t>
      </w:r>
    </w:p>
    <w:p w14:paraId="5CFB818E" w14:textId="19C6E74F" w:rsidR="003E5CE6" w:rsidRPr="00221FC6" w:rsidRDefault="003E5CE6" w:rsidP="00B42AE7">
      <w:pPr>
        <w:rPr>
          <w:rFonts w:ascii="Times New Roman" w:hAnsi="Times New Roman"/>
          <w:szCs w:val="22"/>
        </w:rPr>
      </w:pPr>
      <w:r w:rsidRPr="00221FC6">
        <w:rPr>
          <w:rFonts w:ascii="Times New Roman" w:hAnsi="Times New Roman"/>
          <w:szCs w:val="22"/>
        </w:rPr>
        <w:t>Kyselina tioktová je vitamínu</w:t>
      </w:r>
      <w:r w:rsidR="0019212D" w:rsidRPr="0019212D">
        <w:rPr>
          <w:rFonts w:ascii="Times New Roman" w:hAnsi="Times New Roman"/>
          <w:szCs w:val="22"/>
        </w:rPr>
        <w:t xml:space="preserve"> </w:t>
      </w:r>
      <w:r w:rsidR="0019212D" w:rsidRPr="00221FC6">
        <w:rPr>
          <w:rFonts w:ascii="Times New Roman" w:hAnsi="Times New Roman"/>
          <w:szCs w:val="22"/>
        </w:rPr>
        <w:t>podobná</w:t>
      </w:r>
      <w:r w:rsidRPr="00221FC6">
        <w:rPr>
          <w:rFonts w:ascii="Times New Roman" w:hAnsi="Times New Roman"/>
          <w:szCs w:val="22"/>
        </w:rPr>
        <w:t xml:space="preserve">, endogénna substancia </w:t>
      </w:r>
      <w:r w:rsidR="0019212D">
        <w:rPr>
          <w:rFonts w:ascii="Times New Roman" w:hAnsi="Times New Roman"/>
          <w:szCs w:val="22"/>
        </w:rPr>
        <w:t xml:space="preserve">a </w:t>
      </w:r>
      <w:r w:rsidRPr="00221FC6">
        <w:rPr>
          <w:rFonts w:ascii="Times New Roman" w:hAnsi="Times New Roman"/>
          <w:szCs w:val="22"/>
        </w:rPr>
        <w:t>má funkciu koenzýmu pri oxidatívnej dekarboxylácii alfa-ketokyselín.</w:t>
      </w:r>
    </w:p>
    <w:p w14:paraId="25F22C61" w14:textId="62F8D2D3" w:rsidR="003E5CE6" w:rsidRPr="00221FC6" w:rsidRDefault="003E5CE6" w:rsidP="00B42AE7">
      <w:pPr>
        <w:rPr>
          <w:rFonts w:ascii="Times New Roman" w:hAnsi="Times New Roman"/>
          <w:szCs w:val="22"/>
        </w:rPr>
      </w:pPr>
      <w:r w:rsidRPr="00221FC6">
        <w:rPr>
          <w:rFonts w:ascii="Times New Roman" w:hAnsi="Times New Roman"/>
          <w:szCs w:val="22"/>
        </w:rPr>
        <w:t xml:space="preserve">Hyperglykémia, </w:t>
      </w:r>
      <w:r w:rsidR="000C6218" w:rsidRPr="00221FC6">
        <w:rPr>
          <w:rFonts w:ascii="Times New Roman" w:hAnsi="Times New Roman"/>
          <w:szCs w:val="22"/>
        </w:rPr>
        <w:t>ktor</w:t>
      </w:r>
      <w:r w:rsidR="000C6218">
        <w:rPr>
          <w:rFonts w:ascii="Times New Roman" w:hAnsi="Times New Roman"/>
          <w:szCs w:val="22"/>
        </w:rPr>
        <w:t>á</w:t>
      </w:r>
      <w:r w:rsidR="000C6218" w:rsidRPr="00221FC6">
        <w:rPr>
          <w:rFonts w:ascii="Times New Roman" w:hAnsi="Times New Roman"/>
          <w:szCs w:val="22"/>
        </w:rPr>
        <w:t xml:space="preserve"> </w:t>
      </w:r>
      <w:r w:rsidRPr="00221FC6">
        <w:rPr>
          <w:rFonts w:ascii="Times New Roman" w:hAnsi="Times New Roman"/>
          <w:szCs w:val="22"/>
        </w:rPr>
        <w:t>je vyvolaná diabetes mellitus vedie ku hromadeniu glukózy v matrixových proteínoch krvných ciev a následnej tvorbe takzvaných “koncových produktov pokročilej glykozylácie”</w:t>
      </w:r>
      <w:r w:rsidR="00FB72F9">
        <w:rPr>
          <w:rFonts w:ascii="Times New Roman" w:hAnsi="Times New Roman"/>
          <w:szCs w:val="22"/>
        </w:rPr>
        <w:t xml:space="preserve"> </w:t>
      </w:r>
      <w:r w:rsidR="00FB72F9" w:rsidRPr="002724D3">
        <w:rPr>
          <w:rFonts w:ascii="Times New Roman" w:hAnsi="Times New Roman"/>
          <w:szCs w:val="22"/>
        </w:rPr>
        <w:t>AGEP (</w:t>
      </w:r>
      <w:r w:rsidR="00FB72F9" w:rsidRPr="00275628">
        <w:rPr>
          <w:rFonts w:ascii="Times New Roman" w:hAnsi="Times New Roman"/>
          <w:szCs w:val="22"/>
        </w:rPr>
        <w:t>Advanced Glycosylation End Products</w:t>
      </w:r>
      <w:r w:rsidR="00FB72F9">
        <w:rPr>
          <w:rFonts w:ascii="Times New Roman" w:hAnsi="Times New Roman"/>
          <w:szCs w:val="22"/>
        </w:rPr>
        <w:t>)</w:t>
      </w:r>
      <w:r w:rsidRPr="002724D3">
        <w:rPr>
          <w:rFonts w:ascii="Times New Roman" w:hAnsi="Times New Roman"/>
          <w:szCs w:val="22"/>
        </w:rPr>
        <w:t>.</w:t>
      </w:r>
      <w:r w:rsidRPr="00221FC6">
        <w:rPr>
          <w:rFonts w:ascii="Times New Roman" w:hAnsi="Times New Roman"/>
          <w:szCs w:val="22"/>
        </w:rPr>
        <w:t xml:space="preserve"> Tento proces vedie k zníženiu endoneurálneho krvného prietoku a k endoneurálnej hypoxii/ischémii, ktoré sú spojené so zvýšenou tvorbou voľných kyslíkových radikálov, ktoré poškodzujú </w:t>
      </w:r>
      <w:r w:rsidRPr="003D583F">
        <w:rPr>
          <w:rFonts w:ascii="Times New Roman" w:hAnsi="Times New Roman"/>
          <w:szCs w:val="22"/>
        </w:rPr>
        <w:t>periférn</w:t>
      </w:r>
      <w:r w:rsidR="003D583F">
        <w:rPr>
          <w:rFonts w:ascii="Times New Roman" w:hAnsi="Times New Roman"/>
          <w:szCs w:val="22"/>
        </w:rPr>
        <w:t>e</w:t>
      </w:r>
      <w:r w:rsidRPr="003D583F">
        <w:rPr>
          <w:rFonts w:ascii="Times New Roman" w:hAnsi="Times New Roman"/>
          <w:szCs w:val="22"/>
        </w:rPr>
        <w:t xml:space="preserve"> nerv</w:t>
      </w:r>
      <w:r w:rsidR="003D583F">
        <w:rPr>
          <w:rFonts w:ascii="Times New Roman" w:hAnsi="Times New Roman"/>
          <w:szCs w:val="22"/>
        </w:rPr>
        <w:t>y</w:t>
      </w:r>
      <w:r w:rsidRPr="00221FC6">
        <w:rPr>
          <w:rFonts w:ascii="Times New Roman" w:hAnsi="Times New Roman"/>
          <w:szCs w:val="22"/>
        </w:rPr>
        <w:t xml:space="preserve">. V </w:t>
      </w:r>
      <w:r w:rsidR="003D583F" w:rsidRPr="00221FC6">
        <w:rPr>
          <w:rFonts w:ascii="Times New Roman" w:hAnsi="Times New Roman"/>
          <w:szCs w:val="22"/>
        </w:rPr>
        <w:t>periférn</w:t>
      </w:r>
      <w:r w:rsidR="003D583F">
        <w:rPr>
          <w:rFonts w:ascii="Times New Roman" w:hAnsi="Times New Roman"/>
          <w:szCs w:val="22"/>
        </w:rPr>
        <w:t>ych</w:t>
      </w:r>
      <w:r w:rsidR="003D583F" w:rsidRPr="00221FC6">
        <w:rPr>
          <w:rFonts w:ascii="Times New Roman" w:hAnsi="Times New Roman"/>
          <w:szCs w:val="22"/>
        </w:rPr>
        <w:t xml:space="preserve"> </w:t>
      </w:r>
      <w:r w:rsidRPr="00221FC6">
        <w:rPr>
          <w:rFonts w:ascii="Times New Roman" w:hAnsi="Times New Roman"/>
          <w:szCs w:val="22"/>
        </w:rPr>
        <w:t>nerv</w:t>
      </w:r>
      <w:r w:rsidR="003D583F">
        <w:rPr>
          <w:rFonts w:ascii="Times New Roman" w:hAnsi="Times New Roman"/>
          <w:szCs w:val="22"/>
        </w:rPr>
        <w:t>och</w:t>
      </w:r>
      <w:r w:rsidRPr="00221FC6">
        <w:rPr>
          <w:rFonts w:ascii="Times New Roman" w:hAnsi="Times New Roman"/>
          <w:szCs w:val="22"/>
        </w:rPr>
        <w:t xml:space="preserve"> sa tiež pozorovala deplécia antioxidantov (ako je glutatión).</w:t>
      </w:r>
    </w:p>
    <w:p w14:paraId="569D429A" w14:textId="534A275A" w:rsidR="003E5CE6" w:rsidRDefault="003E5CE6" w:rsidP="00B42AE7">
      <w:pPr>
        <w:rPr>
          <w:rFonts w:ascii="Times New Roman" w:hAnsi="Times New Roman"/>
          <w:szCs w:val="22"/>
        </w:rPr>
      </w:pPr>
    </w:p>
    <w:p w14:paraId="5ED488A7" w14:textId="3CCFF24E" w:rsidR="001D66A5" w:rsidRPr="001D66A5" w:rsidRDefault="001D66A5" w:rsidP="00B42AE7">
      <w:pPr>
        <w:rPr>
          <w:rFonts w:ascii="Times New Roman" w:hAnsi="Times New Roman"/>
          <w:szCs w:val="22"/>
          <w:u w:val="single"/>
        </w:rPr>
      </w:pPr>
      <w:r w:rsidRPr="001D66A5">
        <w:rPr>
          <w:rFonts w:ascii="Times New Roman" w:hAnsi="Times New Roman"/>
          <w:szCs w:val="22"/>
          <w:u w:val="single"/>
        </w:rPr>
        <w:t>Farmakodynamické účinky</w:t>
      </w:r>
    </w:p>
    <w:p w14:paraId="22A65DDB" w14:textId="61A2F65E" w:rsidR="001D66A5" w:rsidRDefault="000C6218" w:rsidP="00B42AE7">
      <w:pPr>
        <w:rPr>
          <w:rFonts w:ascii="Times New Roman" w:hAnsi="Times New Roman"/>
          <w:szCs w:val="22"/>
        </w:rPr>
      </w:pPr>
      <w:r w:rsidRPr="00275628">
        <w:rPr>
          <w:rFonts w:ascii="Times New Roman" w:hAnsi="Times New Roman"/>
          <w:szCs w:val="22"/>
        </w:rPr>
        <w:t>V pokusoch uskutočnených na potkanoch kyselina tioktová interaguje s </w:t>
      </w:r>
      <w:r w:rsidR="002C64DC" w:rsidRPr="002C64DC">
        <w:rPr>
          <w:rFonts w:ascii="Times New Roman" w:hAnsi="Times New Roman"/>
          <w:szCs w:val="22"/>
        </w:rPr>
        <w:t>nasledovnými</w:t>
      </w:r>
      <w:r w:rsidRPr="00275628">
        <w:rPr>
          <w:rFonts w:ascii="Times New Roman" w:hAnsi="Times New Roman"/>
          <w:szCs w:val="22"/>
        </w:rPr>
        <w:t xml:space="preserve"> biochemickými procesmi, ktoré sú spúšťané streptozocínom indukovanou cukrovkou: zlepšuje endoneurálny prietok krvi, zv</w:t>
      </w:r>
      <w:r w:rsidR="002C64DC">
        <w:rPr>
          <w:rFonts w:ascii="Times New Roman" w:hAnsi="Times New Roman"/>
          <w:szCs w:val="22"/>
        </w:rPr>
        <w:t>y</w:t>
      </w:r>
      <w:r w:rsidRPr="00275628">
        <w:rPr>
          <w:rFonts w:ascii="Times New Roman" w:hAnsi="Times New Roman"/>
          <w:szCs w:val="22"/>
        </w:rPr>
        <w:t>šuje fyziologickú hladinu antioxidantu glutatiónu a pôsobí ako antioxidant proti voľným kyslíkovým radikálom v nerve diabetika</w:t>
      </w:r>
      <w:r w:rsidR="004F4226" w:rsidRPr="00221FC6">
        <w:rPr>
          <w:rFonts w:ascii="Times New Roman" w:hAnsi="Times New Roman"/>
          <w:szCs w:val="22"/>
        </w:rPr>
        <w:t>.</w:t>
      </w:r>
      <w:commentRangeStart w:id="1"/>
      <w:commentRangeEnd w:id="1"/>
    </w:p>
    <w:p w14:paraId="61BCA9F0" w14:textId="1199B6B7" w:rsidR="003E5CE6" w:rsidRPr="00221FC6" w:rsidRDefault="003E5CE6" w:rsidP="00B42AE7">
      <w:pPr>
        <w:rPr>
          <w:rFonts w:ascii="Times New Roman" w:hAnsi="Times New Roman"/>
          <w:szCs w:val="22"/>
        </w:rPr>
      </w:pPr>
      <w:r w:rsidRPr="00221FC6">
        <w:rPr>
          <w:rFonts w:ascii="Times New Roman" w:hAnsi="Times New Roman"/>
          <w:szCs w:val="22"/>
        </w:rPr>
        <w:t xml:space="preserve">Tieto účinky, ktoré sa pozorovali za experimentálnych podmienok, poukazujú na to, že pôsobením kyseliny tioktovej sa môže zlepšiť funkcia periférnych nervov. To sa týka senzorických porúch pri diabetickej polyneuropatii, ktoré sa môžu prejaviť parestéziou </w:t>
      </w:r>
      <w:r w:rsidR="002C64DC">
        <w:rPr>
          <w:rFonts w:ascii="Times New Roman" w:hAnsi="Times New Roman"/>
          <w:szCs w:val="22"/>
        </w:rPr>
        <w:t>(</w:t>
      </w:r>
      <w:r w:rsidRPr="00221FC6">
        <w:rPr>
          <w:rFonts w:ascii="Times New Roman" w:hAnsi="Times New Roman"/>
          <w:szCs w:val="22"/>
        </w:rPr>
        <w:t>ako je pocit pálenia, bolesť, strata citlivosti a</w:t>
      </w:r>
      <w:r w:rsidR="002C64DC">
        <w:rPr>
          <w:rFonts w:ascii="Times New Roman" w:hAnsi="Times New Roman"/>
          <w:szCs w:val="22"/>
        </w:rPr>
        <w:t> </w:t>
      </w:r>
      <w:r w:rsidRPr="00221FC6">
        <w:rPr>
          <w:rFonts w:ascii="Times New Roman" w:hAnsi="Times New Roman"/>
          <w:szCs w:val="22"/>
        </w:rPr>
        <w:t>mravčenie</w:t>
      </w:r>
      <w:r w:rsidR="002C64DC">
        <w:rPr>
          <w:rFonts w:ascii="Times New Roman" w:hAnsi="Times New Roman"/>
          <w:szCs w:val="22"/>
        </w:rPr>
        <w:t>)</w:t>
      </w:r>
      <w:r w:rsidRPr="00221FC6">
        <w:rPr>
          <w:rFonts w:ascii="Times New Roman" w:hAnsi="Times New Roman"/>
          <w:szCs w:val="22"/>
        </w:rPr>
        <w:t>.</w:t>
      </w:r>
    </w:p>
    <w:p w14:paraId="1DD049CF" w14:textId="77777777" w:rsidR="003E5CE6" w:rsidRPr="00221FC6" w:rsidRDefault="003E5CE6" w:rsidP="00B42AE7">
      <w:pPr>
        <w:rPr>
          <w:rFonts w:ascii="Times New Roman" w:hAnsi="Times New Roman"/>
          <w:szCs w:val="22"/>
        </w:rPr>
      </w:pPr>
    </w:p>
    <w:p w14:paraId="4D379628" w14:textId="5188CAA2" w:rsidR="00AC7BCC" w:rsidRPr="00AC7BCC" w:rsidRDefault="00AC7BCC" w:rsidP="00B42AE7">
      <w:pPr>
        <w:rPr>
          <w:rFonts w:ascii="Times New Roman" w:hAnsi="Times New Roman"/>
          <w:szCs w:val="22"/>
          <w:u w:val="single"/>
        </w:rPr>
      </w:pPr>
      <w:r w:rsidRPr="00AC7BCC">
        <w:rPr>
          <w:rFonts w:ascii="Times New Roman" w:hAnsi="Times New Roman"/>
          <w:szCs w:val="22"/>
          <w:u w:val="single"/>
        </w:rPr>
        <w:t>Klinická účinnosť a bezpečnosť</w:t>
      </w:r>
    </w:p>
    <w:p w14:paraId="2ED4F05C" w14:textId="0068A0BA" w:rsidR="00D03DDB" w:rsidRDefault="002724D3" w:rsidP="00B42AE7">
      <w:pPr>
        <w:rPr>
          <w:rFonts w:ascii="Times New Roman" w:hAnsi="Times New Roman"/>
          <w:szCs w:val="22"/>
        </w:rPr>
      </w:pPr>
      <w:r>
        <w:rPr>
          <w:rFonts w:ascii="Times New Roman" w:hAnsi="Times New Roman"/>
          <w:szCs w:val="22"/>
        </w:rPr>
        <w:t>Okrem</w:t>
      </w:r>
      <w:r w:rsidRPr="00D03DDB">
        <w:rPr>
          <w:rFonts w:ascii="Times New Roman" w:hAnsi="Times New Roman"/>
          <w:szCs w:val="22"/>
        </w:rPr>
        <w:t xml:space="preserve"> </w:t>
      </w:r>
      <w:r w:rsidR="00D03DDB" w:rsidRPr="00D03DDB">
        <w:rPr>
          <w:rFonts w:ascii="Times New Roman" w:hAnsi="Times New Roman"/>
          <w:szCs w:val="22"/>
        </w:rPr>
        <w:t xml:space="preserve">predchádzajúcich klinických skúseností s liečbou diabetickej polyneuropatie kyselinou </w:t>
      </w:r>
      <w:r>
        <w:rPr>
          <w:rFonts w:ascii="Times New Roman" w:hAnsi="Times New Roman"/>
          <w:szCs w:val="22"/>
        </w:rPr>
        <w:t xml:space="preserve">tioktovou </w:t>
      </w:r>
      <w:r w:rsidR="009700B7">
        <w:rPr>
          <w:rFonts w:ascii="Times New Roman" w:hAnsi="Times New Roman"/>
          <w:szCs w:val="22"/>
        </w:rPr>
        <w:t xml:space="preserve">bola </w:t>
      </w:r>
      <w:r w:rsidR="00D03DDB" w:rsidRPr="00D03DDB">
        <w:rPr>
          <w:rFonts w:ascii="Times New Roman" w:hAnsi="Times New Roman"/>
          <w:szCs w:val="22"/>
        </w:rPr>
        <w:t>tiež</w:t>
      </w:r>
      <w:r w:rsidR="009700B7" w:rsidRPr="009700B7">
        <w:rPr>
          <w:rFonts w:ascii="Times New Roman" w:hAnsi="Times New Roman"/>
          <w:szCs w:val="22"/>
        </w:rPr>
        <w:t xml:space="preserve"> </w:t>
      </w:r>
      <w:r w:rsidR="009700B7" w:rsidRPr="00D03DDB">
        <w:rPr>
          <w:rFonts w:ascii="Times New Roman" w:hAnsi="Times New Roman"/>
          <w:szCs w:val="22"/>
        </w:rPr>
        <w:t>vykonaná v roku 1995</w:t>
      </w:r>
      <w:r w:rsidR="00D03DDB" w:rsidRPr="00D03DDB">
        <w:rPr>
          <w:rFonts w:ascii="Times New Roman" w:hAnsi="Times New Roman"/>
          <w:szCs w:val="22"/>
        </w:rPr>
        <w:t xml:space="preserve"> klinická placebom kontrolovaná multicentrická štúdia. Podľa výsledkov tejto štúdie bolo preukázané, že kyselina </w:t>
      </w:r>
      <w:r w:rsidR="00297ABF">
        <w:rPr>
          <w:rFonts w:ascii="Times New Roman" w:hAnsi="Times New Roman"/>
          <w:szCs w:val="22"/>
        </w:rPr>
        <w:t>tioktová</w:t>
      </w:r>
      <w:r w:rsidR="00297ABF" w:rsidRPr="00D03DDB">
        <w:rPr>
          <w:rFonts w:ascii="Times New Roman" w:hAnsi="Times New Roman"/>
          <w:szCs w:val="22"/>
        </w:rPr>
        <w:t xml:space="preserve"> </w:t>
      </w:r>
      <w:r w:rsidR="00D03DDB" w:rsidRPr="00D03DDB">
        <w:rPr>
          <w:rFonts w:ascii="Times New Roman" w:hAnsi="Times New Roman"/>
          <w:szCs w:val="22"/>
        </w:rPr>
        <w:t>má priaznivý vplyv na testované symptómy (ako je pálenie, bolesť, znecitlivenie, brnenie).</w:t>
      </w:r>
    </w:p>
    <w:p w14:paraId="7F4B54D3" w14:textId="77777777" w:rsidR="003E5CE6" w:rsidRPr="00221FC6" w:rsidRDefault="003E5CE6" w:rsidP="00B42AE7">
      <w:pPr>
        <w:rPr>
          <w:rFonts w:ascii="Times New Roman" w:hAnsi="Times New Roman"/>
          <w:szCs w:val="22"/>
        </w:rPr>
      </w:pPr>
    </w:p>
    <w:p w14:paraId="08021CCA" w14:textId="77777777" w:rsidR="003E5CE6" w:rsidRPr="00221FC6" w:rsidRDefault="003E5CE6" w:rsidP="00B42AE7">
      <w:pPr>
        <w:tabs>
          <w:tab w:val="left" w:pos="567"/>
        </w:tabs>
        <w:rPr>
          <w:rFonts w:ascii="Times New Roman" w:hAnsi="Times New Roman"/>
          <w:b/>
          <w:szCs w:val="22"/>
        </w:rPr>
      </w:pPr>
      <w:r w:rsidRPr="00221FC6">
        <w:rPr>
          <w:rFonts w:ascii="Times New Roman" w:hAnsi="Times New Roman"/>
          <w:b/>
          <w:szCs w:val="22"/>
        </w:rPr>
        <w:t>5.2</w:t>
      </w:r>
      <w:r w:rsidRPr="00221FC6">
        <w:rPr>
          <w:rFonts w:ascii="Times New Roman" w:hAnsi="Times New Roman"/>
          <w:b/>
          <w:szCs w:val="22"/>
        </w:rPr>
        <w:tab/>
        <w:t>Farmakokinetické vlastnosti</w:t>
      </w:r>
    </w:p>
    <w:p w14:paraId="541727DB" w14:textId="77777777" w:rsidR="003E5CE6" w:rsidRPr="00221FC6" w:rsidRDefault="003E5CE6" w:rsidP="00B42AE7">
      <w:pPr>
        <w:rPr>
          <w:rFonts w:ascii="Times New Roman" w:hAnsi="Times New Roman"/>
          <w:szCs w:val="22"/>
        </w:rPr>
      </w:pPr>
    </w:p>
    <w:p w14:paraId="1760D86C" w14:textId="77777777" w:rsidR="0084506B" w:rsidRPr="00221FC6" w:rsidRDefault="0084506B" w:rsidP="00B42AE7">
      <w:pPr>
        <w:rPr>
          <w:rFonts w:ascii="Times New Roman" w:hAnsi="Times New Roman"/>
          <w:szCs w:val="22"/>
          <w:u w:val="single"/>
        </w:rPr>
      </w:pPr>
      <w:r w:rsidRPr="00221FC6">
        <w:rPr>
          <w:rFonts w:ascii="Times New Roman" w:hAnsi="Times New Roman"/>
          <w:szCs w:val="22"/>
          <w:u w:val="single"/>
        </w:rPr>
        <w:t>Absorpcia</w:t>
      </w:r>
    </w:p>
    <w:p w14:paraId="795B753B" w14:textId="3632FCC1" w:rsidR="00B655A8" w:rsidRPr="00221FC6" w:rsidRDefault="00DE60A7" w:rsidP="00B42AE7">
      <w:pPr>
        <w:rPr>
          <w:rFonts w:ascii="Times New Roman" w:hAnsi="Times New Roman"/>
          <w:szCs w:val="22"/>
        </w:rPr>
      </w:pPr>
      <w:r w:rsidRPr="00DE60A7">
        <w:rPr>
          <w:rFonts w:ascii="Times New Roman" w:hAnsi="Times New Roman"/>
          <w:szCs w:val="22"/>
        </w:rPr>
        <w:t xml:space="preserve">Kyselina </w:t>
      </w:r>
      <w:r w:rsidR="00751AEC">
        <w:rPr>
          <w:rFonts w:ascii="Times New Roman" w:hAnsi="Times New Roman"/>
          <w:szCs w:val="22"/>
        </w:rPr>
        <w:t>tiokt</w:t>
      </w:r>
      <w:r w:rsidRPr="00DE60A7">
        <w:rPr>
          <w:rFonts w:ascii="Times New Roman" w:hAnsi="Times New Roman"/>
          <w:szCs w:val="22"/>
        </w:rPr>
        <w:t xml:space="preserve">ová sa po perorálnom podaní človeku rýchlo vstrebáva. Vzhľadom </w:t>
      </w:r>
      <w:r w:rsidR="006C6641">
        <w:rPr>
          <w:rFonts w:ascii="Times New Roman" w:hAnsi="Times New Roman"/>
          <w:szCs w:val="22"/>
        </w:rPr>
        <w:t>na</w:t>
      </w:r>
      <w:r w:rsidR="006C6641" w:rsidRPr="00DE60A7">
        <w:rPr>
          <w:rFonts w:ascii="Times New Roman" w:hAnsi="Times New Roman"/>
          <w:szCs w:val="22"/>
        </w:rPr>
        <w:t xml:space="preserve"> rozsiahl</w:t>
      </w:r>
      <w:r w:rsidR="006C6641">
        <w:rPr>
          <w:rFonts w:ascii="Times New Roman" w:hAnsi="Times New Roman"/>
          <w:szCs w:val="22"/>
        </w:rPr>
        <w:t>y</w:t>
      </w:r>
      <w:r w:rsidR="006C6641" w:rsidRPr="00DE60A7">
        <w:rPr>
          <w:rFonts w:ascii="Times New Roman" w:hAnsi="Times New Roman"/>
          <w:szCs w:val="22"/>
        </w:rPr>
        <w:t xml:space="preserve"> </w:t>
      </w:r>
      <w:r w:rsidRPr="00DE60A7">
        <w:rPr>
          <w:rFonts w:ascii="Times New Roman" w:hAnsi="Times New Roman"/>
          <w:szCs w:val="22"/>
        </w:rPr>
        <w:t xml:space="preserve">efekt prvého prechodu je absolútna biologická dostupnosť </w:t>
      </w:r>
      <w:r w:rsidR="006C6641" w:rsidRPr="00DE60A7">
        <w:rPr>
          <w:rFonts w:ascii="Times New Roman" w:hAnsi="Times New Roman"/>
          <w:szCs w:val="22"/>
        </w:rPr>
        <w:t>nerozložen</w:t>
      </w:r>
      <w:r w:rsidR="006C6641">
        <w:rPr>
          <w:rFonts w:ascii="Times New Roman" w:hAnsi="Times New Roman"/>
          <w:szCs w:val="22"/>
        </w:rPr>
        <w:t>ej</w:t>
      </w:r>
      <w:r w:rsidR="006C6641" w:rsidRPr="00DE60A7">
        <w:rPr>
          <w:rFonts w:ascii="Times New Roman" w:hAnsi="Times New Roman"/>
          <w:szCs w:val="22"/>
        </w:rPr>
        <w:t xml:space="preserve"> </w:t>
      </w:r>
      <w:r w:rsidRPr="00DE60A7">
        <w:rPr>
          <w:rFonts w:ascii="Times New Roman" w:hAnsi="Times New Roman"/>
          <w:szCs w:val="22"/>
        </w:rPr>
        <w:t xml:space="preserve">kyseliny </w:t>
      </w:r>
      <w:r w:rsidR="00751AEC">
        <w:rPr>
          <w:rFonts w:ascii="Times New Roman" w:hAnsi="Times New Roman"/>
          <w:szCs w:val="22"/>
        </w:rPr>
        <w:t>tioktov</w:t>
      </w:r>
      <w:r w:rsidR="001300F4">
        <w:rPr>
          <w:rFonts w:ascii="Times New Roman" w:hAnsi="Times New Roman"/>
          <w:szCs w:val="22"/>
        </w:rPr>
        <w:t>ej</w:t>
      </w:r>
      <w:r w:rsidRPr="00DE60A7">
        <w:rPr>
          <w:rFonts w:ascii="Times New Roman" w:hAnsi="Times New Roman"/>
          <w:szCs w:val="22"/>
        </w:rPr>
        <w:t xml:space="preserve"> z</w:t>
      </w:r>
      <w:r w:rsidR="006C6641">
        <w:rPr>
          <w:rFonts w:ascii="Times New Roman" w:hAnsi="Times New Roman"/>
          <w:szCs w:val="22"/>
        </w:rPr>
        <w:t xml:space="preserve"> filmom </w:t>
      </w:r>
      <w:r w:rsidRPr="00DE60A7">
        <w:rPr>
          <w:rFonts w:ascii="Times New Roman" w:hAnsi="Times New Roman"/>
          <w:szCs w:val="22"/>
        </w:rPr>
        <w:t>obalen</w:t>
      </w:r>
      <w:r w:rsidR="006C6641">
        <w:rPr>
          <w:rFonts w:ascii="Times New Roman" w:hAnsi="Times New Roman"/>
          <w:szCs w:val="22"/>
        </w:rPr>
        <w:t>ých</w:t>
      </w:r>
      <w:r w:rsidRPr="00DE60A7">
        <w:rPr>
          <w:rFonts w:ascii="Times New Roman" w:hAnsi="Times New Roman"/>
          <w:szCs w:val="22"/>
        </w:rPr>
        <w:t xml:space="preserve"> tabl</w:t>
      </w:r>
      <w:r w:rsidR="006C6641">
        <w:rPr>
          <w:rFonts w:ascii="Times New Roman" w:hAnsi="Times New Roman"/>
          <w:szCs w:val="22"/>
        </w:rPr>
        <w:t>iet</w:t>
      </w:r>
      <w:r w:rsidRPr="00DE60A7">
        <w:rPr>
          <w:rFonts w:ascii="Times New Roman" w:hAnsi="Times New Roman"/>
          <w:szCs w:val="22"/>
        </w:rPr>
        <w:t xml:space="preserve"> (v porovnaní s i.v. podaním) približne 20%. Relatívna biologická dostupnosť </w:t>
      </w:r>
      <w:r w:rsidR="006C6641" w:rsidRPr="00DE60A7">
        <w:rPr>
          <w:rFonts w:ascii="Times New Roman" w:hAnsi="Times New Roman"/>
          <w:szCs w:val="22"/>
        </w:rPr>
        <w:t>kyselin</w:t>
      </w:r>
      <w:r w:rsidR="006C6641">
        <w:rPr>
          <w:rFonts w:ascii="Times New Roman" w:hAnsi="Times New Roman"/>
          <w:szCs w:val="22"/>
        </w:rPr>
        <w:t>y</w:t>
      </w:r>
      <w:r w:rsidR="006C6641" w:rsidRPr="00DE60A7">
        <w:rPr>
          <w:rFonts w:ascii="Times New Roman" w:hAnsi="Times New Roman"/>
          <w:szCs w:val="22"/>
        </w:rPr>
        <w:t xml:space="preserve"> </w:t>
      </w:r>
      <w:r w:rsidR="006C6641">
        <w:rPr>
          <w:rFonts w:ascii="Times New Roman" w:hAnsi="Times New Roman"/>
          <w:szCs w:val="22"/>
        </w:rPr>
        <w:t>tioktovej z</w:t>
      </w:r>
      <w:r w:rsidR="006C6641" w:rsidRPr="00DE60A7">
        <w:rPr>
          <w:rFonts w:ascii="Times New Roman" w:hAnsi="Times New Roman"/>
          <w:szCs w:val="22"/>
        </w:rPr>
        <w:t xml:space="preserve"> </w:t>
      </w:r>
      <w:r w:rsidRPr="00DE60A7">
        <w:rPr>
          <w:rFonts w:ascii="Times New Roman" w:hAnsi="Times New Roman"/>
          <w:szCs w:val="22"/>
        </w:rPr>
        <w:t>tabliet (v porovnaní s podávaným perorálnym roztokom) presahuje 60%.</w:t>
      </w:r>
    </w:p>
    <w:p w14:paraId="44AD5C02" w14:textId="77777777" w:rsidR="00B655A8" w:rsidRPr="00221FC6" w:rsidRDefault="00B655A8" w:rsidP="00B42AE7">
      <w:pPr>
        <w:rPr>
          <w:rFonts w:ascii="Times New Roman" w:hAnsi="Times New Roman"/>
          <w:szCs w:val="22"/>
        </w:rPr>
      </w:pPr>
    </w:p>
    <w:p w14:paraId="49AF9111" w14:textId="77777777" w:rsidR="00B655A8" w:rsidRPr="00221FC6" w:rsidRDefault="00B655A8" w:rsidP="00B42AE7">
      <w:pPr>
        <w:rPr>
          <w:rFonts w:ascii="Times New Roman" w:hAnsi="Times New Roman"/>
          <w:szCs w:val="22"/>
          <w:u w:val="single"/>
        </w:rPr>
      </w:pPr>
      <w:r w:rsidRPr="00221FC6">
        <w:rPr>
          <w:rFonts w:ascii="Times New Roman" w:hAnsi="Times New Roman"/>
          <w:szCs w:val="22"/>
          <w:u w:val="single"/>
        </w:rPr>
        <w:t>Distribúcia</w:t>
      </w:r>
    </w:p>
    <w:p w14:paraId="6F5D18EE" w14:textId="5D174F67" w:rsidR="00A12754" w:rsidRDefault="003E5CE6" w:rsidP="00B42AE7">
      <w:pPr>
        <w:rPr>
          <w:rFonts w:ascii="Times New Roman" w:hAnsi="Times New Roman"/>
          <w:szCs w:val="22"/>
        </w:rPr>
      </w:pPr>
      <w:r w:rsidRPr="00221FC6">
        <w:rPr>
          <w:rFonts w:ascii="Times New Roman" w:hAnsi="Times New Roman"/>
          <w:szCs w:val="22"/>
        </w:rPr>
        <w:t xml:space="preserve">V dôsledku rýchlej distribúcie do tkanív je plazmatický polčas kyseliny tioktovej u ľudí približne </w:t>
      </w:r>
      <w:r w:rsidR="009C4DB4" w:rsidRPr="00221FC6">
        <w:rPr>
          <w:rFonts w:ascii="Times New Roman" w:hAnsi="Times New Roman"/>
          <w:szCs w:val="22"/>
        </w:rPr>
        <w:t>25 </w:t>
      </w:r>
      <w:r w:rsidRPr="00221FC6">
        <w:rPr>
          <w:rFonts w:ascii="Times New Roman" w:hAnsi="Times New Roman"/>
          <w:szCs w:val="22"/>
        </w:rPr>
        <w:t xml:space="preserve">minút. </w:t>
      </w:r>
      <w:r w:rsidR="0085170A" w:rsidRPr="00221FC6">
        <w:rPr>
          <w:rFonts w:ascii="Times New Roman" w:hAnsi="Times New Roman"/>
          <w:szCs w:val="22"/>
        </w:rPr>
        <w:t xml:space="preserve">Maximálne plazmatické hladiny </w:t>
      </w:r>
      <w:r w:rsidR="006C6641">
        <w:rPr>
          <w:rFonts w:ascii="Times New Roman" w:hAnsi="Times New Roman"/>
          <w:szCs w:val="22"/>
        </w:rPr>
        <w:t xml:space="preserve">sú </w:t>
      </w:r>
      <w:r w:rsidR="0085170A" w:rsidRPr="00221FC6">
        <w:rPr>
          <w:rFonts w:ascii="Times New Roman" w:hAnsi="Times New Roman"/>
          <w:szCs w:val="22"/>
        </w:rPr>
        <w:t xml:space="preserve">približne 4 </w:t>
      </w:r>
      <w:r w:rsidR="0085170A" w:rsidRPr="00221FC6">
        <w:rPr>
          <w:rFonts w:ascii="Times New Roman" w:hAnsi="Times New Roman"/>
          <w:szCs w:val="22"/>
        </w:rPr>
        <w:sym w:font="Symbol" w:char="F06D"/>
      </w:r>
      <w:r w:rsidR="0085170A" w:rsidRPr="00221FC6">
        <w:rPr>
          <w:rFonts w:ascii="Times New Roman" w:hAnsi="Times New Roman"/>
          <w:szCs w:val="22"/>
        </w:rPr>
        <w:t>g/ml</w:t>
      </w:r>
      <w:r w:rsidR="006C6641">
        <w:rPr>
          <w:rFonts w:ascii="Times New Roman" w:hAnsi="Times New Roman"/>
          <w:szCs w:val="22"/>
        </w:rPr>
        <w:t>,</w:t>
      </w:r>
      <w:r w:rsidR="0085170A" w:rsidRPr="00221FC6">
        <w:rPr>
          <w:rFonts w:ascii="Times New Roman" w:hAnsi="Times New Roman"/>
          <w:szCs w:val="22"/>
        </w:rPr>
        <w:t xml:space="preserve"> namerané asi 0,5 h po perorálnom podaní 600 mg kyseliny tioktovej. </w:t>
      </w:r>
    </w:p>
    <w:p w14:paraId="7779B1A8" w14:textId="12A16C60" w:rsidR="003744B6" w:rsidRDefault="003744B6" w:rsidP="00B42AE7">
      <w:pPr>
        <w:rPr>
          <w:rFonts w:ascii="Times New Roman" w:hAnsi="Times New Roman"/>
          <w:szCs w:val="22"/>
        </w:rPr>
      </w:pPr>
    </w:p>
    <w:p w14:paraId="55C7598B" w14:textId="06D84BE1" w:rsidR="003744B6" w:rsidRDefault="003744B6" w:rsidP="00B42AE7">
      <w:pPr>
        <w:rPr>
          <w:rFonts w:ascii="Times New Roman" w:hAnsi="Times New Roman"/>
          <w:szCs w:val="22"/>
        </w:rPr>
      </w:pPr>
      <w:r w:rsidRPr="005565BC">
        <w:rPr>
          <w:rFonts w:ascii="Times New Roman" w:hAnsi="Times New Roman"/>
          <w:szCs w:val="22"/>
          <w:u w:val="single"/>
        </w:rPr>
        <w:t>Biotransformácia</w:t>
      </w:r>
    </w:p>
    <w:p w14:paraId="32E3AD96" w14:textId="7C8847D8" w:rsidR="00EF591F" w:rsidRPr="00EF591F" w:rsidRDefault="00452C64" w:rsidP="00B42AE7">
      <w:pPr>
        <w:rPr>
          <w:rFonts w:ascii="Times New Roman" w:hAnsi="Times New Roman"/>
          <w:szCs w:val="22"/>
        </w:rPr>
      </w:pPr>
      <w:r w:rsidRPr="00452C64">
        <w:rPr>
          <w:rFonts w:ascii="Times New Roman" w:hAnsi="Times New Roman"/>
          <w:szCs w:val="22"/>
        </w:rPr>
        <w:t>Biotransformácia prebieha prevažne cestou oxidatívneho skracovania vedľajších reťazcov (beta-oxidácia) a/alebo S-metyláciou príslušných tiolov.</w:t>
      </w:r>
    </w:p>
    <w:p w14:paraId="619267E8" w14:textId="77777777" w:rsidR="00A12754" w:rsidRPr="00221FC6" w:rsidRDefault="00A12754" w:rsidP="00B42AE7">
      <w:pPr>
        <w:rPr>
          <w:rFonts w:ascii="Times New Roman" w:hAnsi="Times New Roman"/>
          <w:szCs w:val="22"/>
        </w:rPr>
      </w:pPr>
    </w:p>
    <w:p w14:paraId="1C107586" w14:textId="77777777" w:rsidR="0085170A" w:rsidRPr="00221FC6" w:rsidRDefault="0085170A" w:rsidP="00B42AE7">
      <w:pPr>
        <w:rPr>
          <w:rFonts w:ascii="Times New Roman" w:hAnsi="Times New Roman"/>
          <w:szCs w:val="22"/>
          <w:u w:val="single"/>
        </w:rPr>
      </w:pPr>
      <w:r w:rsidRPr="00221FC6">
        <w:rPr>
          <w:rFonts w:ascii="Times New Roman" w:hAnsi="Times New Roman"/>
          <w:szCs w:val="22"/>
          <w:u w:val="single"/>
        </w:rPr>
        <w:t>Eliminácia</w:t>
      </w:r>
    </w:p>
    <w:p w14:paraId="120B35C6" w14:textId="762CA7CB" w:rsidR="002262F7" w:rsidRDefault="00B655A8" w:rsidP="00B42AE7">
      <w:pPr>
        <w:rPr>
          <w:rFonts w:ascii="Times New Roman" w:hAnsi="Times New Roman"/>
          <w:szCs w:val="22"/>
        </w:rPr>
      </w:pPr>
      <w:r w:rsidRPr="00221FC6">
        <w:rPr>
          <w:rFonts w:ascii="Times New Roman" w:hAnsi="Times New Roman"/>
          <w:szCs w:val="22"/>
        </w:rPr>
        <w:t>V pokusoch na zvieratách (potkany, psy) sa pomocou rádioaktívneho značenia dokázala prevažná eliminácia obličkami v pomere 80 – 90 % vo forme metabolitov. Aj u ľudí sa v moči dokázali len malé množstvá nezmeneného liečiva.</w:t>
      </w:r>
      <w:bookmarkStart w:id="2" w:name="_Hlk529259515"/>
    </w:p>
    <w:p w14:paraId="2A2E0CD6" w14:textId="611E5F99" w:rsidR="000A0B4F" w:rsidRDefault="000A0B4F" w:rsidP="00B42AE7">
      <w:pPr>
        <w:rPr>
          <w:rFonts w:ascii="Times New Roman" w:hAnsi="Times New Roman"/>
          <w:szCs w:val="22"/>
        </w:rPr>
      </w:pPr>
    </w:p>
    <w:p w14:paraId="6546611F" w14:textId="7E3B6FB6" w:rsidR="000A0B4F" w:rsidRPr="00275628" w:rsidRDefault="000A0B4F" w:rsidP="00B42AE7">
      <w:pPr>
        <w:rPr>
          <w:rFonts w:ascii="Times New Roman" w:hAnsi="Times New Roman"/>
          <w:szCs w:val="22"/>
          <w:u w:val="single"/>
        </w:rPr>
      </w:pPr>
      <w:r w:rsidRPr="00275628">
        <w:rPr>
          <w:rFonts w:ascii="Times New Roman" w:hAnsi="Times New Roman"/>
          <w:szCs w:val="22"/>
          <w:u w:val="single"/>
        </w:rPr>
        <w:t>Farmakokinetický/farmakodynamický vzťah</w:t>
      </w:r>
    </w:p>
    <w:p w14:paraId="493998DF" w14:textId="6BA1CE78" w:rsidR="000A0B4F" w:rsidRPr="00221FC6" w:rsidRDefault="005E0797" w:rsidP="00B42AE7">
      <w:pPr>
        <w:rPr>
          <w:rFonts w:ascii="Times New Roman" w:hAnsi="Times New Roman"/>
          <w:szCs w:val="22"/>
        </w:rPr>
      </w:pPr>
      <w:r w:rsidRPr="00275628">
        <w:rPr>
          <w:rFonts w:ascii="Times New Roman" w:hAnsi="Times New Roman"/>
          <w:szCs w:val="22"/>
        </w:rPr>
        <w:t xml:space="preserve">Kyselina </w:t>
      </w:r>
      <w:r w:rsidR="00297ABF" w:rsidRPr="00275628">
        <w:rPr>
          <w:rFonts w:ascii="Times New Roman" w:hAnsi="Times New Roman"/>
          <w:szCs w:val="22"/>
        </w:rPr>
        <w:t>tio</w:t>
      </w:r>
      <w:r w:rsidR="006C6641" w:rsidRPr="00275628">
        <w:rPr>
          <w:rFonts w:ascii="Times New Roman" w:hAnsi="Times New Roman"/>
          <w:szCs w:val="22"/>
        </w:rPr>
        <w:t xml:space="preserve">ktová </w:t>
      </w:r>
      <w:r w:rsidRPr="00275628">
        <w:rPr>
          <w:rFonts w:ascii="Times New Roman" w:hAnsi="Times New Roman"/>
          <w:szCs w:val="22"/>
        </w:rPr>
        <w:t xml:space="preserve">reaguje s komplexmi iónov kovov in vitro (napr. </w:t>
      </w:r>
      <w:r w:rsidR="009F250F" w:rsidRPr="00275628">
        <w:rPr>
          <w:rFonts w:ascii="Times New Roman" w:hAnsi="Times New Roman"/>
          <w:szCs w:val="22"/>
        </w:rPr>
        <w:t>s</w:t>
      </w:r>
      <w:r w:rsidRPr="00275628">
        <w:rPr>
          <w:rFonts w:ascii="Times New Roman" w:hAnsi="Times New Roman"/>
          <w:szCs w:val="22"/>
        </w:rPr>
        <w:t xml:space="preserve"> cyklosporínom), v kombinácii s molekulami glukózy tvorí </w:t>
      </w:r>
      <w:r w:rsidR="00E927A3" w:rsidRPr="00275628">
        <w:rPr>
          <w:rFonts w:ascii="Times New Roman" w:hAnsi="Times New Roman"/>
          <w:szCs w:val="22"/>
        </w:rPr>
        <w:t>ťažko</w:t>
      </w:r>
      <w:r w:rsidR="00084457" w:rsidRPr="00275628">
        <w:rPr>
          <w:rFonts w:ascii="Times New Roman" w:hAnsi="Times New Roman"/>
          <w:szCs w:val="22"/>
        </w:rPr>
        <w:t xml:space="preserve"> </w:t>
      </w:r>
      <w:r w:rsidRPr="00275628">
        <w:rPr>
          <w:rFonts w:ascii="Times New Roman" w:hAnsi="Times New Roman"/>
          <w:szCs w:val="22"/>
        </w:rPr>
        <w:t>rozpustný komplex.</w:t>
      </w:r>
    </w:p>
    <w:bookmarkEnd w:id="2"/>
    <w:p w14:paraId="531A9996" w14:textId="77777777" w:rsidR="002262F7" w:rsidRPr="00221FC6" w:rsidRDefault="002262F7" w:rsidP="00B42AE7">
      <w:pPr>
        <w:rPr>
          <w:rFonts w:ascii="Times New Roman" w:hAnsi="Times New Roman"/>
          <w:szCs w:val="22"/>
        </w:rPr>
      </w:pPr>
    </w:p>
    <w:p w14:paraId="3E82F339" w14:textId="77777777" w:rsidR="003E5CE6" w:rsidRPr="00221FC6" w:rsidRDefault="003E5CE6" w:rsidP="00B42AE7">
      <w:pPr>
        <w:tabs>
          <w:tab w:val="left" w:pos="567"/>
        </w:tabs>
        <w:rPr>
          <w:rFonts w:ascii="Times New Roman" w:hAnsi="Times New Roman"/>
          <w:b/>
          <w:szCs w:val="22"/>
        </w:rPr>
      </w:pPr>
      <w:r w:rsidRPr="00221FC6">
        <w:rPr>
          <w:rFonts w:ascii="Times New Roman" w:hAnsi="Times New Roman"/>
          <w:b/>
          <w:szCs w:val="22"/>
        </w:rPr>
        <w:t>5.3</w:t>
      </w:r>
      <w:r w:rsidRPr="00221FC6">
        <w:rPr>
          <w:rFonts w:ascii="Times New Roman" w:hAnsi="Times New Roman"/>
          <w:b/>
          <w:szCs w:val="22"/>
        </w:rPr>
        <w:tab/>
        <w:t>Predklinické údaje o bezpečnosti</w:t>
      </w:r>
    </w:p>
    <w:p w14:paraId="40B9A27B" w14:textId="77777777" w:rsidR="003E5CE6" w:rsidRPr="00221FC6" w:rsidRDefault="003E5CE6" w:rsidP="00B42AE7">
      <w:pPr>
        <w:rPr>
          <w:rFonts w:ascii="Times New Roman" w:hAnsi="Times New Roman"/>
          <w:szCs w:val="22"/>
        </w:rPr>
      </w:pPr>
    </w:p>
    <w:p w14:paraId="2C9B1B2E" w14:textId="51BD6868" w:rsidR="003E5CE6" w:rsidRPr="00A07C96" w:rsidRDefault="003E5CE6" w:rsidP="00B42AE7">
      <w:pPr>
        <w:tabs>
          <w:tab w:val="left" w:pos="567"/>
        </w:tabs>
        <w:rPr>
          <w:rFonts w:ascii="Times New Roman" w:hAnsi="Times New Roman"/>
          <w:i/>
          <w:iCs/>
          <w:szCs w:val="22"/>
        </w:rPr>
      </w:pPr>
      <w:r w:rsidRPr="00A07C96">
        <w:rPr>
          <w:rFonts w:ascii="Times New Roman" w:hAnsi="Times New Roman"/>
          <w:i/>
          <w:iCs/>
          <w:szCs w:val="22"/>
        </w:rPr>
        <w:t>Akútna a chronická toxicita</w:t>
      </w:r>
    </w:p>
    <w:p w14:paraId="556E8D06" w14:textId="77A4F9F3" w:rsidR="008308F5" w:rsidRPr="00221FC6" w:rsidRDefault="003E5CE6" w:rsidP="00B42AE7">
      <w:pPr>
        <w:rPr>
          <w:rFonts w:ascii="Times New Roman" w:hAnsi="Times New Roman"/>
          <w:szCs w:val="22"/>
        </w:rPr>
      </w:pPr>
      <w:r w:rsidRPr="00221FC6">
        <w:rPr>
          <w:rFonts w:ascii="Times New Roman" w:hAnsi="Times New Roman"/>
          <w:szCs w:val="22"/>
        </w:rPr>
        <w:t>Profil toxicity je charakterizovaný symptómami, ktoré sa spájajú s vegetatívnym aj centrálnym nervovým systémom</w:t>
      </w:r>
      <w:r w:rsidR="00E70EE1">
        <w:rPr>
          <w:rFonts w:ascii="Times New Roman" w:hAnsi="Times New Roman"/>
          <w:szCs w:val="22"/>
        </w:rPr>
        <w:t xml:space="preserve"> (</w:t>
      </w:r>
      <w:r w:rsidR="00084457">
        <w:rPr>
          <w:rFonts w:ascii="Times New Roman" w:hAnsi="Times New Roman"/>
          <w:szCs w:val="22"/>
        </w:rPr>
        <w:t xml:space="preserve">pozri časť </w:t>
      </w:r>
      <w:r w:rsidR="00E70EE1">
        <w:rPr>
          <w:rFonts w:ascii="Times New Roman" w:hAnsi="Times New Roman"/>
          <w:szCs w:val="22"/>
        </w:rPr>
        <w:t>4.9)</w:t>
      </w:r>
      <w:r w:rsidRPr="00221FC6">
        <w:rPr>
          <w:rFonts w:ascii="Times New Roman" w:hAnsi="Times New Roman"/>
          <w:szCs w:val="22"/>
        </w:rPr>
        <w:t>.</w:t>
      </w:r>
      <w:r w:rsidR="00E70EE1">
        <w:rPr>
          <w:rFonts w:ascii="Times New Roman" w:hAnsi="Times New Roman"/>
          <w:szCs w:val="22"/>
        </w:rPr>
        <w:t xml:space="preserve"> </w:t>
      </w:r>
      <w:r w:rsidR="00E70EE1" w:rsidRPr="00E70EE1">
        <w:rPr>
          <w:rFonts w:ascii="Times New Roman" w:hAnsi="Times New Roman"/>
          <w:szCs w:val="22"/>
        </w:rPr>
        <w:t>Po opakovanom podávaní sa zistilo, že cieľovými orgánmi sú pečeň a obličky.</w:t>
      </w:r>
    </w:p>
    <w:p w14:paraId="0D250CCE" w14:textId="77777777" w:rsidR="008308F5" w:rsidRPr="00221FC6" w:rsidRDefault="008308F5" w:rsidP="00B42AE7">
      <w:pPr>
        <w:rPr>
          <w:rFonts w:ascii="Times New Roman" w:hAnsi="Times New Roman"/>
          <w:szCs w:val="22"/>
        </w:rPr>
      </w:pPr>
    </w:p>
    <w:p w14:paraId="5C43B63A" w14:textId="7FE2BB3A" w:rsidR="003E5CE6" w:rsidRPr="00AC58B2" w:rsidRDefault="003E5CE6" w:rsidP="00B42AE7">
      <w:pPr>
        <w:rPr>
          <w:rFonts w:ascii="Times New Roman" w:hAnsi="Times New Roman"/>
          <w:i/>
          <w:iCs/>
          <w:szCs w:val="22"/>
        </w:rPr>
      </w:pPr>
      <w:r w:rsidRPr="00AC58B2">
        <w:rPr>
          <w:rFonts w:ascii="Times New Roman" w:hAnsi="Times New Roman"/>
          <w:i/>
          <w:iCs/>
          <w:szCs w:val="22"/>
        </w:rPr>
        <w:t>Mutagenita a karcinogenita</w:t>
      </w:r>
    </w:p>
    <w:p w14:paraId="2CB2B832" w14:textId="77777777" w:rsidR="003E5CE6" w:rsidRPr="00221FC6" w:rsidRDefault="003E5CE6" w:rsidP="00B42AE7">
      <w:pPr>
        <w:rPr>
          <w:rFonts w:ascii="Times New Roman" w:hAnsi="Times New Roman"/>
          <w:szCs w:val="22"/>
        </w:rPr>
      </w:pPr>
      <w:r w:rsidRPr="00221FC6">
        <w:rPr>
          <w:rFonts w:ascii="Times New Roman" w:hAnsi="Times New Roman"/>
          <w:szCs w:val="22"/>
        </w:rPr>
        <w:t>Štúdie týkajúce sa mutagénneho potenciálu neodhalili žiadne príznaky génových alebo chromozómových mutácií.</w:t>
      </w:r>
    </w:p>
    <w:p w14:paraId="5F5129EF" w14:textId="77777777" w:rsidR="003E5CE6" w:rsidRPr="00221FC6" w:rsidRDefault="003E5CE6" w:rsidP="00B42AE7">
      <w:pPr>
        <w:rPr>
          <w:rFonts w:ascii="Times New Roman" w:hAnsi="Times New Roman"/>
          <w:szCs w:val="22"/>
        </w:rPr>
      </w:pPr>
    </w:p>
    <w:p w14:paraId="47C29283" w14:textId="77777777" w:rsidR="003E5CE6" w:rsidRPr="00221FC6" w:rsidRDefault="003E5CE6" w:rsidP="00B42AE7">
      <w:pPr>
        <w:rPr>
          <w:rFonts w:ascii="Times New Roman" w:hAnsi="Times New Roman"/>
          <w:szCs w:val="22"/>
        </w:rPr>
      </w:pPr>
      <w:r w:rsidRPr="00221FC6">
        <w:rPr>
          <w:rFonts w:ascii="Times New Roman" w:hAnsi="Times New Roman"/>
          <w:szCs w:val="22"/>
        </w:rPr>
        <w:t>Po perorálnom podávaní kyseliny tioktovej potkanom sa v </w:t>
      </w:r>
      <w:r w:rsidR="00974680" w:rsidRPr="00221FC6">
        <w:rPr>
          <w:rFonts w:ascii="Times New Roman" w:hAnsi="Times New Roman"/>
          <w:szCs w:val="22"/>
        </w:rPr>
        <w:t xml:space="preserve">štúdii </w:t>
      </w:r>
      <w:r w:rsidRPr="00221FC6">
        <w:rPr>
          <w:rFonts w:ascii="Times New Roman" w:hAnsi="Times New Roman"/>
          <w:szCs w:val="22"/>
        </w:rPr>
        <w:t>karcinogenity nepozoroval karcinogénny potenciál. Štúdia týkajúca sa karcinogénneho účinku kyseliny tioktovej vo vzťahu ku karcinogénu N-nitrózo-dimetylamínu (NDEA) priniesla negatívne výsledky.</w:t>
      </w:r>
    </w:p>
    <w:p w14:paraId="0E7B7985" w14:textId="77777777" w:rsidR="003E5CE6" w:rsidRPr="00221FC6" w:rsidRDefault="003E5CE6" w:rsidP="00B42AE7">
      <w:pPr>
        <w:pStyle w:val="Nadpis1"/>
        <w:keepNext w:val="0"/>
        <w:spacing w:line="240" w:lineRule="auto"/>
        <w:rPr>
          <w:rFonts w:ascii="Times New Roman" w:hAnsi="Times New Roman"/>
          <w:b w:val="0"/>
          <w:i w:val="0"/>
          <w:sz w:val="22"/>
          <w:szCs w:val="22"/>
        </w:rPr>
      </w:pPr>
    </w:p>
    <w:p w14:paraId="31F19332" w14:textId="176A3F10" w:rsidR="003E5CE6" w:rsidRPr="00E40B09" w:rsidRDefault="003E5CE6" w:rsidP="00B42AE7">
      <w:pPr>
        <w:pStyle w:val="Nadpis1"/>
        <w:keepNext w:val="0"/>
        <w:tabs>
          <w:tab w:val="left" w:pos="567"/>
        </w:tabs>
        <w:spacing w:line="240" w:lineRule="auto"/>
        <w:rPr>
          <w:rFonts w:ascii="Times New Roman" w:hAnsi="Times New Roman"/>
          <w:b w:val="0"/>
          <w:iCs/>
          <w:sz w:val="22"/>
          <w:szCs w:val="22"/>
        </w:rPr>
      </w:pPr>
      <w:r w:rsidRPr="00E40B09">
        <w:rPr>
          <w:rFonts w:ascii="Times New Roman" w:hAnsi="Times New Roman"/>
          <w:b w:val="0"/>
          <w:iCs/>
          <w:sz w:val="22"/>
          <w:szCs w:val="22"/>
        </w:rPr>
        <w:t>Reprodukčná toxicita</w:t>
      </w:r>
    </w:p>
    <w:p w14:paraId="1BA8C1A1" w14:textId="77777777" w:rsidR="003E5CE6" w:rsidRPr="00221FC6" w:rsidRDefault="003E5CE6" w:rsidP="00B42AE7">
      <w:pPr>
        <w:rPr>
          <w:rFonts w:ascii="Times New Roman" w:hAnsi="Times New Roman"/>
          <w:szCs w:val="22"/>
        </w:rPr>
      </w:pPr>
      <w:r w:rsidRPr="00221FC6">
        <w:rPr>
          <w:rFonts w:ascii="Times New Roman" w:hAnsi="Times New Roman"/>
          <w:szCs w:val="22"/>
        </w:rPr>
        <w:t>Až do maximálnej perorálne testovanej dávky 68,1 mg/kg u potkanov kyselina tioktová neovplyvnila fertilitu alebo včasný embryonálny vývoj.</w:t>
      </w:r>
    </w:p>
    <w:p w14:paraId="22F3B5B8" w14:textId="74F11BE2" w:rsidR="003E5CE6" w:rsidRPr="00221FC6" w:rsidRDefault="003E5CE6" w:rsidP="00B42AE7">
      <w:pPr>
        <w:rPr>
          <w:rFonts w:ascii="Times New Roman" w:hAnsi="Times New Roman"/>
          <w:szCs w:val="22"/>
        </w:rPr>
      </w:pPr>
      <w:r w:rsidRPr="00221FC6">
        <w:rPr>
          <w:rFonts w:ascii="Times New Roman" w:hAnsi="Times New Roman"/>
          <w:szCs w:val="22"/>
        </w:rPr>
        <w:t>Po intravenóznom podaní sa u králikov nepozorovali teratogénne vlastnosti až do rozpätia dávok toxických pre samice.</w:t>
      </w:r>
    </w:p>
    <w:p w14:paraId="7A8F176D" w14:textId="77777777" w:rsidR="003E5CE6" w:rsidRDefault="003E5CE6" w:rsidP="00B42AE7">
      <w:pPr>
        <w:rPr>
          <w:rFonts w:ascii="Times New Roman" w:hAnsi="Times New Roman"/>
          <w:szCs w:val="22"/>
        </w:rPr>
      </w:pPr>
    </w:p>
    <w:p w14:paraId="7731507F" w14:textId="77777777" w:rsidR="00275628" w:rsidRPr="00221FC6" w:rsidRDefault="00275628" w:rsidP="00B42AE7">
      <w:pPr>
        <w:rPr>
          <w:rFonts w:ascii="Times New Roman" w:hAnsi="Times New Roman"/>
          <w:szCs w:val="22"/>
        </w:rPr>
      </w:pPr>
      <w:bookmarkStart w:id="3" w:name="_GoBack"/>
      <w:bookmarkEnd w:id="3"/>
    </w:p>
    <w:p w14:paraId="5E82AAA8" w14:textId="77777777" w:rsidR="003E5CE6" w:rsidRPr="00221FC6" w:rsidRDefault="003E5CE6" w:rsidP="00B42AE7">
      <w:pPr>
        <w:numPr>
          <w:ilvl w:val="0"/>
          <w:numId w:val="1"/>
        </w:numPr>
        <w:tabs>
          <w:tab w:val="left" w:pos="567"/>
        </w:tabs>
        <w:ind w:left="0" w:firstLine="0"/>
        <w:rPr>
          <w:rFonts w:ascii="Times New Roman" w:hAnsi="Times New Roman"/>
          <w:b/>
          <w:szCs w:val="22"/>
        </w:rPr>
      </w:pPr>
      <w:r w:rsidRPr="00221FC6">
        <w:rPr>
          <w:rFonts w:ascii="Times New Roman" w:hAnsi="Times New Roman"/>
          <w:b/>
          <w:szCs w:val="22"/>
        </w:rPr>
        <w:t>FARMACEUTICKÉ INFORMÁCIE</w:t>
      </w:r>
    </w:p>
    <w:p w14:paraId="55D9C4D3" w14:textId="77777777" w:rsidR="003E5CE6" w:rsidRPr="00221FC6" w:rsidRDefault="003E5CE6" w:rsidP="00B42AE7">
      <w:pPr>
        <w:rPr>
          <w:rFonts w:ascii="Times New Roman" w:hAnsi="Times New Roman"/>
          <w:szCs w:val="22"/>
        </w:rPr>
      </w:pPr>
    </w:p>
    <w:p w14:paraId="1E60ABAB" w14:textId="77777777" w:rsidR="003E5CE6" w:rsidRPr="00221FC6" w:rsidRDefault="003E5CE6" w:rsidP="00B42AE7">
      <w:pPr>
        <w:tabs>
          <w:tab w:val="left" w:pos="567"/>
        </w:tabs>
        <w:rPr>
          <w:rFonts w:ascii="Times New Roman" w:hAnsi="Times New Roman"/>
          <w:b/>
          <w:szCs w:val="22"/>
        </w:rPr>
      </w:pPr>
      <w:r w:rsidRPr="00221FC6">
        <w:rPr>
          <w:rFonts w:ascii="Times New Roman" w:hAnsi="Times New Roman"/>
          <w:b/>
          <w:szCs w:val="22"/>
        </w:rPr>
        <w:t>6.1</w:t>
      </w:r>
      <w:r w:rsidRPr="00221FC6">
        <w:rPr>
          <w:rFonts w:ascii="Times New Roman" w:hAnsi="Times New Roman"/>
          <w:b/>
          <w:szCs w:val="22"/>
        </w:rPr>
        <w:tab/>
        <w:t>Zoznam pomocných látok</w:t>
      </w:r>
    </w:p>
    <w:p w14:paraId="7DA690DD" w14:textId="622263B4" w:rsidR="003E5CE6" w:rsidRDefault="003E5CE6" w:rsidP="00B42AE7">
      <w:pPr>
        <w:rPr>
          <w:rFonts w:ascii="Times New Roman" w:hAnsi="Times New Roman"/>
          <w:szCs w:val="22"/>
        </w:rPr>
      </w:pPr>
    </w:p>
    <w:p w14:paraId="5C57E1C1" w14:textId="74A57165" w:rsidR="00BF0C2A" w:rsidRPr="00BF0C2A" w:rsidRDefault="00BF0C2A" w:rsidP="00B42AE7">
      <w:pPr>
        <w:rPr>
          <w:rFonts w:ascii="Times New Roman" w:hAnsi="Times New Roman"/>
          <w:szCs w:val="22"/>
          <w:u w:val="single"/>
        </w:rPr>
      </w:pPr>
      <w:r>
        <w:rPr>
          <w:rFonts w:ascii="Times New Roman" w:hAnsi="Times New Roman"/>
          <w:szCs w:val="22"/>
          <w:u w:val="single"/>
        </w:rPr>
        <w:t>Jadro tablety:</w:t>
      </w:r>
    </w:p>
    <w:p w14:paraId="1366ABE6" w14:textId="5672F4B0" w:rsidR="00BF0C2A" w:rsidRDefault="00084457" w:rsidP="00B42AE7">
      <w:pPr>
        <w:rPr>
          <w:rFonts w:ascii="Times New Roman" w:hAnsi="Times New Roman"/>
          <w:szCs w:val="22"/>
        </w:rPr>
      </w:pPr>
      <w:r>
        <w:rPr>
          <w:rFonts w:ascii="Times New Roman" w:hAnsi="Times New Roman"/>
          <w:szCs w:val="22"/>
        </w:rPr>
        <w:t>C</w:t>
      </w:r>
      <w:r w:rsidR="00BF0C2A" w:rsidRPr="00BF0C2A">
        <w:rPr>
          <w:rFonts w:ascii="Times New Roman" w:hAnsi="Times New Roman"/>
          <w:szCs w:val="22"/>
        </w:rPr>
        <w:t>elulóza</w:t>
      </w:r>
      <w:r>
        <w:rPr>
          <w:rFonts w:ascii="Times New Roman" w:hAnsi="Times New Roman"/>
          <w:szCs w:val="22"/>
        </w:rPr>
        <w:t>, m</w:t>
      </w:r>
      <w:r w:rsidRPr="00BF0C2A">
        <w:rPr>
          <w:rFonts w:ascii="Times New Roman" w:hAnsi="Times New Roman"/>
          <w:szCs w:val="22"/>
        </w:rPr>
        <w:t>ikrokryštalická</w:t>
      </w:r>
      <w:r w:rsidR="00BF0C2A">
        <w:rPr>
          <w:rFonts w:ascii="Times New Roman" w:hAnsi="Times New Roman"/>
          <w:szCs w:val="22"/>
        </w:rPr>
        <w:t xml:space="preserve"> (E460)</w:t>
      </w:r>
    </w:p>
    <w:p w14:paraId="7A107501" w14:textId="497ED094" w:rsidR="00395560" w:rsidRPr="00221FC6" w:rsidRDefault="00477BBF" w:rsidP="00B42AE7">
      <w:pPr>
        <w:rPr>
          <w:rFonts w:ascii="Times New Roman" w:hAnsi="Times New Roman"/>
          <w:szCs w:val="22"/>
        </w:rPr>
      </w:pPr>
      <w:r w:rsidRPr="00221FC6">
        <w:rPr>
          <w:rFonts w:ascii="Times New Roman" w:hAnsi="Times New Roman"/>
          <w:szCs w:val="22"/>
        </w:rPr>
        <w:t>h</w:t>
      </w:r>
      <w:r w:rsidR="00D301A8" w:rsidRPr="00221FC6">
        <w:rPr>
          <w:rFonts w:ascii="Times New Roman" w:hAnsi="Times New Roman"/>
          <w:szCs w:val="22"/>
        </w:rPr>
        <w:t>y</w:t>
      </w:r>
      <w:r w:rsidR="00084457">
        <w:rPr>
          <w:rFonts w:ascii="Times New Roman" w:hAnsi="Times New Roman"/>
          <w:szCs w:val="22"/>
        </w:rPr>
        <w:t>droxypropylcelulóza, č</w:t>
      </w:r>
      <w:r w:rsidR="00084457" w:rsidRPr="004706C5">
        <w:rPr>
          <w:rFonts w:ascii="Times New Roman" w:hAnsi="Times New Roman"/>
          <w:szCs w:val="22"/>
        </w:rPr>
        <w:t>iastočne substituovan</w:t>
      </w:r>
      <w:r w:rsidR="00084457">
        <w:rPr>
          <w:rFonts w:ascii="Times New Roman" w:hAnsi="Times New Roman"/>
          <w:szCs w:val="22"/>
        </w:rPr>
        <w:t>á</w:t>
      </w:r>
      <w:r w:rsidR="004706C5">
        <w:rPr>
          <w:rFonts w:ascii="Times New Roman" w:hAnsi="Times New Roman"/>
          <w:szCs w:val="22"/>
        </w:rPr>
        <w:t xml:space="preserve"> (E463)</w:t>
      </w:r>
    </w:p>
    <w:p w14:paraId="646597FB" w14:textId="21149FC6" w:rsidR="00395560" w:rsidRDefault="00DB7E77" w:rsidP="00B42AE7">
      <w:pPr>
        <w:rPr>
          <w:rFonts w:ascii="Times New Roman" w:hAnsi="Times New Roman"/>
          <w:szCs w:val="22"/>
        </w:rPr>
      </w:pPr>
      <w:r>
        <w:rPr>
          <w:rFonts w:ascii="Times New Roman" w:hAnsi="Times New Roman"/>
          <w:szCs w:val="22"/>
        </w:rPr>
        <w:t>S</w:t>
      </w:r>
      <w:r w:rsidR="0085170A" w:rsidRPr="00221FC6">
        <w:rPr>
          <w:rFonts w:ascii="Times New Roman" w:hAnsi="Times New Roman"/>
          <w:szCs w:val="22"/>
        </w:rPr>
        <w:t>tear</w:t>
      </w:r>
      <w:r w:rsidR="00084457">
        <w:rPr>
          <w:rFonts w:ascii="Times New Roman" w:hAnsi="Times New Roman"/>
          <w:szCs w:val="22"/>
        </w:rPr>
        <w:t>át</w:t>
      </w:r>
      <w:r w:rsidR="0085170A" w:rsidRPr="00221FC6">
        <w:rPr>
          <w:rFonts w:ascii="Times New Roman" w:hAnsi="Times New Roman"/>
          <w:szCs w:val="22"/>
        </w:rPr>
        <w:t xml:space="preserve"> horečnatý</w:t>
      </w:r>
      <w:r>
        <w:rPr>
          <w:rFonts w:ascii="Times New Roman" w:hAnsi="Times New Roman"/>
          <w:szCs w:val="22"/>
        </w:rPr>
        <w:t xml:space="preserve"> (E572)</w:t>
      </w:r>
    </w:p>
    <w:p w14:paraId="04A228A7" w14:textId="1A8D1AA8" w:rsidR="00F87557" w:rsidRDefault="00084457" w:rsidP="00B42AE7">
      <w:pPr>
        <w:rPr>
          <w:rFonts w:ascii="Times New Roman" w:hAnsi="Times New Roman"/>
          <w:szCs w:val="22"/>
        </w:rPr>
      </w:pPr>
      <w:r>
        <w:rPr>
          <w:rFonts w:ascii="Times New Roman" w:hAnsi="Times New Roman"/>
          <w:szCs w:val="22"/>
        </w:rPr>
        <w:t>O</w:t>
      </w:r>
      <w:r w:rsidR="005C09A0" w:rsidRPr="005C09A0">
        <w:rPr>
          <w:rFonts w:ascii="Times New Roman" w:hAnsi="Times New Roman"/>
          <w:szCs w:val="22"/>
        </w:rPr>
        <w:t>xid kremičitý</w:t>
      </w:r>
      <w:r>
        <w:rPr>
          <w:rFonts w:ascii="Times New Roman" w:hAnsi="Times New Roman"/>
          <w:szCs w:val="22"/>
        </w:rPr>
        <w:t>, k</w:t>
      </w:r>
      <w:r w:rsidRPr="005C09A0">
        <w:rPr>
          <w:rFonts w:ascii="Times New Roman" w:hAnsi="Times New Roman"/>
          <w:szCs w:val="22"/>
        </w:rPr>
        <w:t>oloidný bezvodý</w:t>
      </w:r>
    </w:p>
    <w:p w14:paraId="3A2098F4" w14:textId="722C5260" w:rsidR="005C09A0" w:rsidRDefault="005C09A0" w:rsidP="00B42AE7">
      <w:pPr>
        <w:rPr>
          <w:rFonts w:ascii="Times New Roman" w:hAnsi="Times New Roman"/>
          <w:szCs w:val="22"/>
        </w:rPr>
      </w:pPr>
      <w:r>
        <w:rPr>
          <w:rFonts w:ascii="Times New Roman" w:hAnsi="Times New Roman"/>
          <w:szCs w:val="22"/>
        </w:rPr>
        <w:t>Mastenec (E553b)</w:t>
      </w:r>
    </w:p>
    <w:p w14:paraId="41B59436" w14:textId="57A84835" w:rsidR="00F87557" w:rsidRDefault="00F87557" w:rsidP="00B42AE7">
      <w:pPr>
        <w:rPr>
          <w:rFonts w:ascii="Times New Roman" w:hAnsi="Times New Roman"/>
          <w:szCs w:val="22"/>
        </w:rPr>
      </w:pPr>
    </w:p>
    <w:p w14:paraId="6DE70BE4" w14:textId="32446FBB" w:rsidR="006519BB" w:rsidRPr="00FF2F61" w:rsidRDefault="006519BB" w:rsidP="00B42AE7">
      <w:pPr>
        <w:rPr>
          <w:rFonts w:ascii="Times New Roman" w:hAnsi="Times New Roman"/>
          <w:szCs w:val="22"/>
          <w:u w:val="single"/>
        </w:rPr>
      </w:pPr>
      <w:r w:rsidRPr="00FF2F61">
        <w:rPr>
          <w:rFonts w:ascii="Times New Roman" w:hAnsi="Times New Roman"/>
          <w:szCs w:val="22"/>
          <w:u w:val="single"/>
        </w:rPr>
        <w:t>Filmová vrstva (Insta coat aqua III IA –III 40382 ž</w:t>
      </w:r>
      <w:r w:rsidR="00084457">
        <w:rPr>
          <w:rFonts w:ascii="Times New Roman" w:hAnsi="Times New Roman"/>
          <w:szCs w:val="22"/>
          <w:u w:val="single"/>
        </w:rPr>
        <w:t>l</w:t>
      </w:r>
      <w:r w:rsidRPr="00FF2F61">
        <w:rPr>
          <w:rFonts w:ascii="Times New Roman" w:hAnsi="Times New Roman"/>
          <w:szCs w:val="22"/>
          <w:u w:val="single"/>
        </w:rPr>
        <w:t>tá)</w:t>
      </w:r>
      <w:r w:rsidR="00FF2F61" w:rsidRPr="00FF2F61">
        <w:rPr>
          <w:rFonts w:ascii="Times New Roman" w:hAnsi="Times New Roman"/>
          <w:szCs w:val="22"/>
          <w:u w:val="single"/>
        </w:rPr>
        <w:t>:</w:t>
      </w:r>
    </w:p>
    <w:p w14:paraId="28845253" w14:textId="0C7194A8" w:rsidR="00395560" w:rsidRPr="00221FC6" w:rsidRDefault="00DE4A6B" w:rsidP="00B42AE7">
      <w:pPr>
        <w:rPr>
          <w:rFonts w:ascii="Times New Roman" w:hAnsi="Times New Roman"/>
          <w:szCs w:val="22"/>
        </w:rPr>
      </w:pPr>
      <w:r>
        <w:rPr>
          <w:rFonts w:ascii="Times New Roman" w:hAnsi="Times New Roman"/>
          <w:szCs w:val="22"/>
        </w:rPr>
        <w:t>H</w:t>
      </w:r>
      <w:r w:rsidR="00D301A8" w:rsidRPr="00221FC6">
        <w:rPr>
          <w:rFonts w:ascii="Times New Roman" w:hAnsi="Times New Roman"/>
          <w:szCs w:val="22"/>
        </w:rPr>
        <w:t>ypromelóza</w:t>
      </w:r>
      <w:r>
        <w:rPr>
          <w:rFonts w:ascii="Times New Roman" w:hAnsi="Times New Roman"/>
          <w:szCs w:val="22"/>
        </w:rPr>
        <w:t xml:space="preserve"> (E664)</w:t>
      </w:r>
    </w:p>
    <w:p w14:paraId="542D78DE" w14:textId="51609738" w:rsidR="00DE4A6B" w:rsidRPr="00DE4A6B" w:rsidRDefault="00DE4A6B" w:rsidP="00DE4A6B">
      <w:pPr>
        <w:rPr>
          <w:rFonts w:ascii="Times New Roman" w:hAnsi="Times New Roman"/>
          <w:szCs w:val="22"/>
        </w:rPr>
      </w:pPr>
    </w:p>
    <w:p w14:paraId="22D31E0E" w14:textId="7559BCDD" w:rsidR="00DE4A6B" w:rsidRDefault="007A1908" w:rsidP="00DE4A6B">
      <w:pPr>
        <w:rPr>
          <w:rFonts w:ascii="Times New Roman" w:hAnsi="Times New Roman"/>
          <w:szCs w:val="22"/>
        </w:rPr>
      </w:pPr>
      <w:r>
        <w:rPr>
          <w:rFonts w:ascii="Times New Roman" w:hAnsi="Times New Roman"/>
          <w:szCs w:val="22"/>
        </w:rPr>
        <w:t>L</w:t>
      </w:r>
      <w:r w:rsidR="00DE4A6B" w:rsidRPr="00DE4A6B">
        <w:rPr>
          <w:rFonts w:ascii="Times New Roman" w:hAnsi="Times New Roman"/>
          <w:szCs w:val="22"/>
        </w:rPr>
        <w:t>aktóz</w:t>
      </w:r>
      <w:r>
        <w:rPr>
          <w:rFonts w:ascii="Times New Roman" w:hAnsi="Times New Roman"/>
          <w:szCs w:val="22"/>
        </w:rPr>
        <w:t>a, m</w:t>
      </w:r>
      <w:r w:rsidRPr="00DE4A6B">
        <w:rPr>
          <w:rFonts w:ascii="Times New Roman" w:hAnsi="Times New Roman"/>
          <w:szCs w:val="22"/>
        </w:rPr>
        <w:t>onohydrát</w:t>
      </w:r>
    </w:p>
    <w:p w14:paraId="1E9D8EAB" w14:textId="1CF371AE" w:rsidR="00DE4A6B" w:rsidRDefault="00DE4A6B" w:rsidP="00DE4A6B">
      <w:pPr>
        <w:rPr>
          <w:rFonts w:ascii="Times New Roman" w:hAnsi="Times New Roman"/>
          <w:szCs w:val="22"/>
        </w:rPr>
      </w:pPr>
      <w:r>
        <w:rPr>
          <w:rFonts w:ascii="Times New Roman" w:hAnsi="Times New Roman"/>
          <w:szCs w:val="22"/>
        </w:rPr>
        <w:t>O</w:t>
      </w:r>
      <w:r w:rsidRPr="00221FC6">
        <w:rPr>
          <w:rFonts w:ascii="Times New Roman" w:hAnsi="Times New Roman"/>
          <w:szCs w:val="22"/>
        </w:rPr>
        <w:t>xid titaničitý (E171)</w:t>
      </w:r>
    </w:p>
    <w:p w14:paraId="425CF315" w14:textId="1168A3E1" w:rsidR="00925F8F" w:rsidRDefault="00925F8F" w:rsidP="00DE4A6B">
      <w:pPr>
        <w:rPr>
          <w:rFonts w:ascii="Times New Roman" w:hAnsi="Times New Roman"/>
          <w:szCs w:val="22"/>
        </w:rPr>
      </w:pPr>
      <w:r>
        <w:rPr>
          <w:rFonts w:ascii="Times New Roman" w:hAnsi="Times New Roman"/>
          <w:szCs w:val="22"/>
        </w:rPr>
        <w:lastRenderedPageBreak/>
        <w:t>Mastenec (E553b)</w:t>
      </w:r>
    </w:p>
    <w:p w14:paraId="77570155" w14:textId="1DA10167" w:rsidR="00395560" w:rsidRPr="00221FC6" w:rsidRDefault="004054F0" w:rsidP="00B42AE7">
      <w:pPr>
        <w:rPr>
          <w:rFonts w:ascii="Times New Roman" w:hAnsi="Times New Roman"/>
          <w:szCs w:val="22"/>
        </w:rPr>
      </w:pPr>
      <w:r>
        <w:rPr>
          <w:rFonts w:ascii="Times New Roman" w:hAnsi="Times New Roman"/>
          <w:szCs w:val="22"/>
        </w:rPr>
        <w:t>M</w:t>
      </w:r>
      <w:r w:rsidR="00D301A8" w:rsidRPr="00221FC6">
        <w:rPr>
          <w:rFonts w:ascii="Times New Roman" w:hAnsi="Times New Roman"/>
          <w:szCs w:val="22"/>
        </w:rPr>
        <w:t>akrogol 6000</w:t>
      </w:r>
    </w:p>
    <w:p w14:paraId="5FA1ECF1" w14:textId="7BE28BB1" w:rsidR="00395560" w:rsidRPr="00221FC6" w:rsidRDefault="007A1908" w:rsidP="00B42AE7">
      <w:pPr>
        <w:rPr>
          <w:rFonts w:ascii="Times New Roman" w:hAnsi="Times New Roman"/>
          <w:szCs w:val="22"/>
        </w:rPr>
      </w:pPr>
      <w:r>
        <w:rPr>
          <w:rFonts w:ascii="Times New Roman" w:hAnsi="Times New Roman"/>
          <w:szCs w:val="22"/>
        </w:rPr>
        <w:t>Chinolínová žltá</w:t>
      </w:r>
      <w:r w:rsidR="00D301A8" w:rsidRPr="00221FC6">
        <w:rPr>
          <w:rFonts w:ascii="Times New Roman" w:hAnsi="Times New Roman"/>
          <w:szCs w:val="22"/>
        </w:rPr>
        <w:t xml:space="preserve"> (E104)</w:t>
      </w:r>
    </w:p>
    <w:p w14:paraId="78213BA6" w14:textId="77777777" w:rsidR="001E2040" w:rsidRPr="00221FC6" w:rsidRDefault="001E2040" w:rsidP="00B42AE7">
      <w:pPr>
        <w:rPr>
          <w:rFonts w:ascii="Times New Roman" w:hAnsi="Times New Roman"/>
          <w:szCs w:val="22"/>
        </w:rPr>
      </w:pPr>
    </w:p>
    <w:p w14:paraId="2DFA4CF6" w14:textId="77777777" w:rsidR="003E5CE6" w:rsidRPr="00221FC6" w:rsidRDefault="003E5CE6" w:rsidP="00B42AE7">
      <w:pPr>
        <w:tabs>
          <w:tab w:val="left" w:pos="567"/>
        </w:tabs>
        <w:rPr>
          <w:rFonts w:ascii="Times New Roman" w:hAnsi="Times New Roman"/>
          <w:b/>
          <w:szCs w:val="22"/>
        </w:rPr>
      </w:pPr>
      <w:r w:rsidRPr="00221FC6">
        <w:rPr>
          <w:rFonts w:ascii="Times New Roman" w:hAnsi="Times New Roman"/>
          <w:b/>
          <w:szCs w:val="22"/>
        </w:rPr>
        <w:t>6.2</w:t>
      </w:r>
      <w:r w:rsidRPr="00221FC6">
        <w:rPr>
          <w:rFonts w:ascii="Times New Roman" w:hAnsi="Times New Roman"/>
          <w:b/>
          <w:szCs w:val="22"/>
        </w:rPr>
        <w:tab/>
        <w:t>Inkompatibility</w:t>
      </w:r>
    </w:p>
    <w:p w14:paraId="7667445E" w14:textId="77777777" w:rsidR="003E5CE6" w:rsidRPr="00221FC6" w:rsidRDefault="003E5CE6" w:rsidP="00B42AE7">
      <w:pPr>
        <w:rPr>
          <w:rFonts w:ascii="Times New Roman" w:hAnsi="Times New Roman"/>
          <w:szCs w:val="22"/>
        </w:rPr>
      </w:pPr>
    </w:p>
    <w:p w14:paraId="72B6C388" w14:textId="7798AFFA" w:rsidR="003E5CE6" w:rsidRPr="00221FC6" w:rsidRDefault="003E5CE6" w:rsidP="00B42AE7">
      <w:pPr>
        <w:rPr>
          <w:rFonts w:ascii="Times New Roman" w:hAnsi="Times New Roman"/>
          <w:szCs w:val="22"/>
        </w:rPr>
      </w:pPr>
      <w:r w:rsidRPr="00221FC6">
        <w:rPr>
          <w:rFonts w:ascii="Times New Roman" w:hAnsi="Times New Roman"/>
          <w:i/>
          <w:szCs w:val="22"/>
        </w:rPr>
        <w:t xml:space="preserve">In vitro </w:t>
      </w:r>
      <w:r w:rsidRPr="00221FC6">
        <w:rPr>
          <w:rFonts w:ascii="Times New Roman" w:hAnsi="Times New Roman"/>
          <w:szCs w:val="22"/>
        </w:rPr>
        <w:t>kyselina tioktová reaguje s komplexnými zlúčeninami kovov (napr. s </w:t>
      </w:r>
      <w:r w:rsidR="008004E4" w:rsidRPr="00275628">
        <w:rPr>
          <w:rFonts w:ascii="Times New Roman" w:hAnsi="Times New Roman"/>
          <w:szCs w:val="22"/>
        </w:rPr>
        <w:t>cyklosporínom</w:t>
      </w:r>
      <w:r w:rsidRPr="00275628">
        <w:rPr>
          <w:rFonts w:ascii="Times New Roman" w:hAnsi="Times New Roman"/>
          <w:szCs w:val="22"/>
        </w:rPr>
        <w:t>)</w:t>
      </w:r>
      <w:r w:rsidR="007A1908">
        <w:rPr>
          <w:rFonts w:ascii="Times New Roman" w:hAnsi="Times New Roman"/>
          <w:szCs w:val="22"/>
        </w:rPr>
        <w:t xml:space="preserve"> v kombinácii </w:t>
      </w:r>
      <w:r w:rsidR="007A1908" w:rsidRPr="00221FC6">
        <w:rPr>
          <w:rFonts w:ascii="Times New Roman" w:hAnsi="Times New Roman"/>
          <w:szCs w:val="22"/>
        </w:rPr>
        <w:t>s molekulami cukrov</w:t>
      </w:r>
      <w:r w:rsidR="007A1908">
        <w:rPr>
          <w:rFonts w:ascii="Times New Roman" w:hAnsi="Times New Roman"/>
          <w:szCs w:val="22"/>
        </w:rPr>
        <w:t xml:space="preserve"> </w:t>
      </w:r>
      <w:r w:rsidRPr="00221FC6">
        <w:rPr>
          <w:rFonts w:ascii="Times New Roman" w:hAnsi="Times New Roman"/>
          <w:szCs w:val="22"/>
        </w:rPr>
        <w:t xml:space="preserve">vytvára ťažko rozpustné komplexné zlúčeniny (napr. </w:t>
      </w:r>
      <w:r w:rsidR="00597FF0" w:rsidRPr="00221FC6">
        <w:rPr>
          <w:rFonts w:ascii="Times New Roman" w:hAnsi="Times New Roman"/>
          <w:szCs w:val="22"/>
        </w:rPr>
        <w:t xml:space="preserve">levulózy </w:t>
      </w:r>
      <w:r w:rsidRPr="00221FC6">
        <w:rPr>
          <w:rFonts w:ascii="Times New Roman" w:hAnsi="Times New Roman"/>
          <w:szCs w:val="22"/>
        </w:rPr>
        <w:t>roztok).</w:t>
      </w:r>
    </w:p>
    <w:p w14:paraId="68781C22" w14:textId="77777777" w:rsidR="003E5CE6" w:rsidRPr="00221FC6" w:rsidRDefault="003E5CE6" w:rsidP="00B42AE7">
      <w:pPr>
        <w:rPr>
          <w:rFonts w:ascii="Times New Roman" w:hAnsi="Times New Roman"/>
          <w:szCs w:val="22"/>
        </w:rPr>
      </w:pPr>
    </w:p>
    <w:p w14:paraId="62DC3B90" w14:textId="77777777" w:rsidR="003E5CE6" w:rsidRPr="00221FC6" w:rsidRDefault="003E5CE6" w:rsidP="00B42AE7">
      <w:pPr>
        <w:tabs>
          <w:tab w:val="left" w:pos="567"/>
        </w:tabs>
        <w:rPr>
          <w:rFonts w:ascii="Times New Roman" w:hAnsi="Times New Roman"/>
          <w:b/>
          <w:szCs w:val="22"/>
        </w:rPr>
      </w:pPr>
      <w:r w:rsidRPr="00221FC6">
        <w:rPr>
          <w:rFonts w:ascii="Times New Roman" w:hAnsi="Times New Roman"/>
          <w:b/>
          <w:szCs w:val="22"/>
        </w:rPr>
        <w:t>6.3</w:t>
      </w:r>
      <w:r w:rsidRPr="00221FC6">
        <w:rPr>
          <w:rFonts w:ascii="Times New Roman" w:hAnsi="Times New Roman"/>
          <w:b/>
          <w:szCs w:val="22"/>
        </w:rPr>
        <w:tab/>
        <w:t>Čas použiteľnosti</w:t>
      </w:r>
    </w:p>
    <w:p w14:paraId="35E5DCC7" w14:textId="77777777" w:rsidR="003E5CE6" w:rsidRPr="00221FC6" w:rsidRDefault="003E5CE6" w:rsidP="00B42AE7">
      <w:pPr>
        <w:rPr>
          <w:rFonts w:ascii="Times New Roman" w:hAnsi="Times New Roman"/>
          <w:szCs w:val="22"/>
        </w:rPr>
      </w:pPr>
    </w:p>
    <w:p w14:paraId="4E53937C" w14:textId="491B1B1A" w:rsidR="003E5CE6" w:rsidRPr="00221FC6" w:rsidRDefault="00C65159" w:rsidP="00B42AE7">
      <w:pPr>
        <w:rPr>
          <w:rFonts w:ascii="Times New Roman" w:hAnsi="Times New Roman"/>
          <w:szCs w:val="22"/>
        </w:rPr>
      </w:pPr>
      <w:r>
        <w:rPr>
          <w:rFonts w:ascii="Times New Roman" w:hAnsi="Times New Roman"/>
          <w:szCs w:val="22"/>
        </w:rPr>
        <w:t>2 roky</w:t>
      </w:r>
    </w:p>
    <w:p w14:paraId="774DEA0A" w14:textId="77777777" w:rsidR="003E5CE6" w:rsidRPr="00221FC6" w:rsidRDefault="003E5CE6" w:rsidP="00B42AE7">
      <w:pPr>
        <w:rPr>
          <w:rFonts w:ascii="Times New Roman" w:hAnsi="Times New Roman"/>
          <w:szCs w:val="22"/>
        </w:rPr>
      </w:pPr>
    </w:p>
    <w:p w14:paraId="0318745A" w14:textId="77777777" w:rsidR="003E5CE6" w:rsidRPr="00221FC6" w:rsidRDefault="003E5CE6" w:rsidP="00B42AE7">
      <w:pPr>
        <w:tabs>
          <w:tab w:val="left" w:pos="567"/>
        </w:tabs>
        <w:rPr>
          <w:rFonts w:ascii="Times New Roman" w:hAnsi="Times New Roman"/>
          <w:noProof/>
          <w:szCs w:val="22"/>
        </w:rPr>
      </w:pPr>
      <w:r w:rsidRPr="00221FC6">
        <w:rPr>
          <w:rFonts w:ascii="Times New Roman" w:hAnsi="Times New Roman"/>
          <w:b/>
          <w:noProof/>
          <w:szCs w:val="22"/>
        </w:rPr>
        <w:t>6.4</w:t>
      </w:r>
      <w:r w:rsidRPr="00221FC6">
        <w:rPr>
          <w:rFonts w:ascii="Times New Roman" w:hAnsi="Times New Roman"/>
          <w:b/>
          <w:noProof/>
          <w:szCs w:val="22"/>
        </w:rPr>
        <w:tab/>
        <w:t>Špeciálne upozornenia na uchovávanie</w:t>
      </w:r>
    </w:p>
    <w:p w14:paraId="5C3457C4" w14:textId="77777777" w:rsidR="003E5CE6" w:rsidRPr="00221FC6" w:rsidRDefault="003E5CE6" w:rsidP="00B42AE7">
      <w:pPr>
        <w:rPr>
          <w:rFonts w:ascii="Times New Roman" w:hAnsi="Times New Roman"/>
          <w:szCs w:val="22"/>
        </w:rPr>
      </w:pPr>
    </w:p>
    <w:p w14:paraId="5F17E773" w14:textId="18316F13" w:rsidR="003E5CE6" w:rsidRDefault="003E5CE6" w:rsidP="00B42AE7">
      <w:pPr>
        <w:rPr>
          <w:rFonts w:ascii="Times New Roman" w:hAnsi="Times New Roman"/>
          <w:szCs w:val="22"/>
        </w:rPr>
      </w:pPr>
      <w:r w:rsidRPr="00221FC6">
        <w:rPr>
          <w:rFonts w:ascii="Times New Roman" w:hAnsi="Times New Roman"/>
          <w:szCs w:val="22"/>
        </w:rPr>
        <w:t xml:space="preserve">Uchovávajte pri teplote do </w:t>
      </w:r>
      <w:smartTag w:uri="urn:schemas-microsoft-com:office:smarttags" w:element="metricconverter">
        <w:smartTagPr>
          <w:attr w:name="ProductID" w:val="25 °C"/>
        </w:smartTagPr>
        <w:r w:rsidRPr="00221FC6">
          <w:rPr>
            <w:rFonts w:ascii="Times New Roman" w:hAnsi="Times New Roman"/>
            <w:szCs w:val="22"/>
          </w:rPr>
          <w:t>25 °C</w:t>
        </w:r>
      </w:smartTag>
      <w:r w:rsidRPr="00221FC6">
        <w:rPr>
          <w:rFonts w:ascii="Times New Roman" w:hAnsi="Times New Roman"/>
          <w:szCs w:val="22"/>
        </w:rPr>
        <w:t>.</w:t>
      </w:r>
    </w:p>
    <w:p w14:paraId="3B7EFC9A" w14:textId="2DF6058C" w:rsidR="005019E3" w:rsidRPr="00221FC6" w:rsidRDefault="005019E3" w:rsidP="00B42AE7">
      <w:pPr>
        <w:rPr>
          <w:rFonts w:ascii="Times New Roman" w:hAnsi="Times New Roman"/>
          <w:szCs w:val="22"/>
        </w:rPr>
      </w:pPr>
      <w:r w:rsidRPr="005019E3">
        <w:rPr>
          <w:rFonts w:ascii="Times New Roman" w:hAnsi="Times New Roman"/>
          <w:szCs w:val="22"/>
        </w:rPr>
        <w:t>Uchovávajte v pôvodnom obale na ochranu pred svetlom.</w:t>
      </w:r>
    </w:p>
    <w:p w14:paraId="3317112D" w14:textId="77777777" w:rsidR="003E5CE6" w:rsidRPr="00221FC6" w:rsidRDefault="003E5CE6" w:rsidP="00B42AE7">
      <w:pPr>
        <w:rPr>
          <w:rFonts w:ascii="Times New Roman" w:hAnsi="Times New Roman"/>
          <w:b/>
          <w:szCs w:val="22"/>
        </w:rPr>
      </w:pPr>
    </w:p>
    <w:p w14:paraId="16FAC27E" w14:textId="77777777" w:rsidR="003E5CE6" w:rsidRPr="00221FC6" w:rsidRDefault="003E5CE6" w:rsidP="00B42AE7">
      <w:pPr>
        <w:tabs>
          <w:tab w:val="left" w:pos="567"/>
        </w:tabs>
        <w:rPr>
          <w:rFonts w:ascii="Times New Roman" w:hAnsi="Times New Roman"/>
          <w:noProof/>
          <w:szCs w:val="22"/>
        </w:rPr>
      </w:pPr>
      <w:r w:rsidRPr="00221FC6">
        <w:rPr>
          <w:rFonts w:ascii="Times New Roman" w:hAnsi="Times New Roman"/>
          <w:b/>
          <w:noProof/>
          <w:szCs w:val="22"/>
        </w:rPr>
        <w:t>6.5</w:t>
      </w:r>
      <w:r w:rsidRPr="00221FC6">
        <w:rPr>
          <w:rFonts w:ascii="Times New Roman" w:hAnsi="Times New Roman"/>
          <w:b/>
          <w:noProof/>
          <w:szCs w:val="22"/>
        </w:rPr>
        <w:tab/>
        <w:t>Druh obalu a obsah balenia</w:t>
      </w:r>
    </w:p>
    <w:p w14:paraId="2D0418C4" w14:textId="233315A2" w:rsidR="003E5CE6" w:rsidRDefault="003E5CE6" w:rsidP="00B42AE7">
      <w:pPr>
        <w:rPr>
          <w:rFonts w:ascii="Times New Roman" w:hAnsi="Times New Roman"/>
          <w:iCs/>
          <w:szCs w:val="22"/>
        </w:rPr>
      </w:pPr>
    </w:p>
    <w:p w14:paraId="79D1AFEE" w14:textId="354A2751" w:rsidR="00BF4559" w:rsidRPr="00BF4559" w:rsidRDefault="00BF4559" w:rsidP="00B42AE7">
      <w:pPr>
        <w:rPr>
          <w:rFonts w:ascii="Times New Roman" w:hAnsi="Times New Roman"/>
          <w:iCs/>
          <w:szCs w:val="22"/>
        </w:rPr>
      </w:pPr>
      <w:r w:rsidRPr="00BF4559">
        <w:rPr>
          <w:rFonts w:ascii="Times New Roman" w:hAnsi="Times New Roman"/>
          <w:iCs/>
          <w:szCs w:val="22"/>
        </w:rPr>
        <w:t>Tablety sú balené v nepriehľadných PVC/PVDC/hliníkových blistroch, každý obsahuje 10 tabliet v škatuľke a priloženú písomnú informáciu pre pacienta.</w:t>
      </w:r>
    </w:p>
    <w:p w14:paraId="17C7519B" w14:textId="77777777" w:rsidR="003E5CE6" w:rsidRPr="00221FC6" w:rsidRDefault="003E5CE6" w:rsidP="00B42AE7">
      <w:pPr>
        <w:rPr>
          <w:rFonts w:ascii="Times New Roman" w:hAnsi="Times New Roman"/>
          <w:i/>
          <w:szCs w:val="22"/>
        </w:rPr>
      </w:pPr>
    </w:p>
    <w:p w14:paraId="0D8C5B61" w14:textId="688C69D5" w:rsidR="003E5CE6" w:rsidRPr="00221FC6" w:rsidRDefault="003E5CE6" w:rsidP="00641372">
      <w:pPr>
        <w:rPr>
          <w:rFonts w:ascii="Times New Roman" w:hAnsi="Times New Roman"/>
          <w:szCs w:val="22"/>
        </w:rPr>
      </w:pPr>
      <w:r w:rsidRPr="00641372">
        <w:rPr>
          <w:rFonts w:ascii="Times New Roman" w:hAnsi="Times New Roman"/>
          <w:iCs/>
          <w:szCs w:val="22"/>
        </w:rPr>
        <w:t>Veľkosť balenia:</w:t>
      </w:r>
      <w:r w:rsidR="00641372">
        <w:rPr>
          <w:rFonts w:ascii="Times New Roman" w:hAnsi="Times New Roman"/>
          <w:iCs/>
          <w:szCs w:val="22"/>
        </w:rPr>
        <w:t xml:space="preserve"> </w:t>
      </w:r>
      <w:r w:rsidRPr="00221FC6">
        <w:rPr>
          <w:rFonts w:ascii="Times New Roman" w:hAnsi="Times New Roman"/>
          <w:szCs w:val="22"/>
        </w:rPr>
        <w:t>30, 60</w:t>
      </w:r>
      <w:r w:rsidR="005E1D46">
        <w:rPr>
          <w:rFonts w:ascii="Times New Roman" w:hAnsi="Times New Roman"/>
          <w:szCs w:val="22"/>
        </w:rPr>
        <w:t>, 90</w:t>
      </w:r>
      <w:r w:rsidRPr="00221FC6">
        <w:rPr>
          <w:rFonts w:ascii="Times New Roman" w:hAnsi="Times New Roman"/>
          <w:szCs w:val="22"/>
        </w:rPr>
        <w:t xml:space="preserve"> a 100 filmom obalených tabliet</w:t>
      </w:r>
    </w:p>
    <w:p w14:paraId="5C9A5168" w14:textId="1D7FCE27" w:rsidR="003E5CE6" w:rsidRDefault="003E5CE6" w:rsidP="00B42AE7">
      <w:pPr>
        <w:rPr>
          <w:rFonts w:ascii="Times New Roman" w:hAnsi="Times New Roman"/>
          <w:szCs w:val="22"/>
        </w:rPr>
      </w:pPr>
    </w:p>
    <w:p w14:paraId="4B146FF4" w14:textId="71653515" w:rsidR="00641372" w:rsidRPr="00221FC6" w:rsidRDefault="00641372" w:rsidP="00B42AE7">
      <w:pPr>
        <w:rPr>
          <w:rFonts w:ascii="Times New Roman" w:hAnsi="Times New Roman"/>
          <w:szCs w:val="22"/>
        </w:rPr>
      </w:pPr>
      <w:r w:rsidRPr="00641372">
        <w:rPr>
          <w:rFonts w:ascii="Times New Roman" w:hAnsi="Times New Roman"/>
          <w:szCs w:val="22"/>
        </w:rPr>
        <w:t>Na trh nemusia byť uvedené všetky veľkosti balenia.</w:t>
      </w:r>
    </w:p>
    <w:p w14:paraId="2731F353" w14:textId="77777777" w:rsidR="003E5CE6" w:rsidRPr="00221FC6" w:rsidRDefault="003E5CE6" w:rsidP="00B42AE7">
      <w:pPr>
        <w:rPr>
          <w:rFonts w:ascii="Times New Roman" w:hAnsi="Times New Roman"/>
          <w:szCs w:val="22"/>
        </w:rPr>
      </w:pPr>
    </w:p>
    <w:p w14:paraId="42508A3F" w14:textId="77777777" w:rsidR="003E5CE6" w:rsidRPr="00221FC6" w:rsidRDefault="003E5CE6" w:rsidP="00B42AE7">
      <w:pPr>
        <w:tabs>
          <w:tab w:val="left" w:pos="567"/>
        </w:tabs>
        <w:rPr>
          <w:rFonts w:ascii="Times New Roman" w:hAnsi="Times New Roman"/>
          <w:b/>
          <w:bCs/>
          <w:noProof/>
          <w:szCs w:val="22"/>
        </w:rPr>
      </w:pPr>
      <w:r w:rsidRPr="00221FC6">
        <w:rPr>
          <w:rFonts w:ascii="Times New Roman" w:hAnsi="Times New Roman"/>
          <w:b/>
          <w:noProof/>
          <w:szCs w:val="22"/>
        </w:rPr>
        <w:t>6.6</w:t>
      </w:r>
      <w:r w:rsidRPr="00221FC6">
        <w:rPr>
          <w:rFonts w:ascii="Times New Roman" w:hAnsi="Times New Roman"/>
          <w:b/>
          <w:noProof/>
          <w:szCs w:val="22"/>
        </w:rPr>
        <w:tab/>
      </w:r>
      <w:r w:rsidRPr="00221FC6">
        <w:rPr>
          <w:rFonts w:ascii="Times New Roman" w:hAnsi="Times New Roman"/>
          <w:b/>
          <w:bCs/>
          <w:noProof/>
          <w:szCs w:val="22"/>
        </w:rPr>
        <w:t>Špeciálne opatrenia na likvidáciu</w:t>
      </w:r>
    </w:p>
    <w:p w14:paraId="26D47D96" w14:textId="77777777" w:rsidR="003E5CE6" w:rsidRPr="00221FC6" w:rsidRDefault="003E5CE6" w:rsidP="00B42AE7">
      <w:pPr>
        <w:rPr>
          <w:rFonts w:ascii="Times New Roman" w:hAnsi="Times New Roman"/>
          <w:noProof/>
          <w:szCs w:val="22"/>
        </w:rPr>
      </w:pPr>
    </w:p>
    <w:p w14:paraId="48A528DB" w14:textId="5F453866" w:rsidR="003E5CE6" w:rsidRDefault="0060145E" w:rsidP="00B42AE7">
      <w:pPr>
        <w:rPr>
          <w:rFonts w:ascii="Times New Roman" w:hAnsi="Times New Roman"/>
          <w:noProof/>
          <w:szCs w:val="22"/>
        </w:rPr>
      </w:pPr>
      <w:r w:rsidRPr="0060145E">
        <w:rPr>
          <w:rFonts w:ascii="Times New Roman" w:hAnsi="Times New Roman"/>
          <w:noProof/>
          <w:szCs w:val="22"/>
        </w:rPr>
        <w:t>Všetok nepoužitý liek alebo odpad vzniknutý z lieku sa má zlikvidovať v súlade s národnými požiadavkami.</w:t>
      </w:r>
    </w:p>
    <w:p w14:paraId="7D917EB6" w14:textId="77777777" w:rsidR="0060145E" w:rsidRDefault="0060145E" w:rsidP="00B42AE7">
      <w:pPr>
        <w:rPr>
          <w:rFonts w:ascii="Times New Roman" w:hAnsi="Times New Roman"/>
          <w:szCs w:val="22"/>
        </w:rPr>
      </w:pPr>
    </w:p>
    <w:p w14:paraId="3D9AD02E" w14:textId="77777777" w:rsidR="00275628" w:rsidRPr="00221FC6" w:rsidRDefault="00275628" w:rsidP="00B42AE7">
      <w:pPr>
        <w:rPr>
          <w:rFonts w:ascii="Times New Roman" w:hAnsi="Times New Roman"/>
          <w:szCs w:val="22"/>
        </w:rPr>
      </w:pPr>
    </w:p>
    <w:p w14:paraId="031D3294" w14:textId="77777777" w:rsidR="003E5CE6" w:rsidRPr="00221FC6" w:rsidRDefault="003E5CE6" w:rsidP="00B42AE7">
      <w:pPr>
        <w:numPr>
          <w:ilvl w:val="0"/>
          <w:numId w:val="1"/>
        </w:numPr>
        <w:tabs>
          <w:tab w:val="num" w:pos="567"/>
        </w:tabs>
        <w:ind w:left="0" w:firstLine="0"/>
        <w:rPr>
          <w:rFonts w:ascii="Times New Roman" w:hAnsi="Times New Roman"/>
          <w:b/>
          <w:caps/>
          <w:szCs w:val="22"/>
        </w:rPr>
      </w:pPr>
      <w:r w:rsidRPr="00221FC6">
        <w:rPr>
          <w:rFonts w:ascii="Times New Roman" w:hAnsi="Times New Roman"/>
          <w:b/>
          <w:caps/>
          <w:szCs w:val="22"/>
        </w:rPr>
        <w:t>Držiteľ rozhodnutia o registrácii</w:t>
      </w:r>
    </w:p>
    <w:p w14:paraId="122A0327" w14:textId="77777777" w:rsidR="003E5CE6" w:rsidRPr="00221FC6" w:rsidRDefault="003E5CE6" w:rsidP="00B42AE7">
      <w:pPr>
        <w:tabs>
          <w:tab w:val="left" w:pos="4170"/>
        </w:tabs>
        <w:rPr>
          <w:rFonts w:ascii="Times New Roman" w:hAnsi="Times New Roman"/>
          <w:szCs w:val="22"/>
        </w:rPr>
      </w:pPr>
    </w:p>
    <w:p w14:paraId="7C3271BA" w14:textId="77777777" w:rsidR="001B49F1" w:rsidRPr="001B49F1" w:rsidRDefault="001B49F1" w:rsidP="001B49F1">
      <w:pPr>
        <w:numPr>
          <w:ilvl w:val="12"/>
          <w:numId w:val="0"/>
        </w:numPr>
        <w:rPr>
          <w:rFonts w:ascii="Times New Roman" w:hAnsi="Times New Roman"/>
          <w:szCs w:val="22"/>
        </w:rPr>
      </w:pPr>
      <w:r w:rsidRPr="001B49F1">
        <w:rPr>
          <w:rFonts w:ascii="Times New Roman" w:hAnsi="Times New Roman"/>
          <w:szCs w:val="22"/>
        </w:rPr>
        <w:t>ARDEZ Pharma, spol. s r.o.</w:t>
      </w:r>
    </w:p>
    <w:p w14:paraId="3641E548" w14:textId="77777777" w:rsidR="001B49F1" w:rsidRPr="001B49F1" w:rsidRDefault="001B49F1" w:rsidP="001B49F1">
      <w:pPr>
        <w:numPr>
          <w:ilvl w:val="12"/>
          <w:numId w:val="0"/>
        </w:numPr>
        <w:rPr>
          <w:rFonts w:ascii="Times New Roman" w:hAnsi="Times New Roman"/>
          <w:szCs w:val="22"/>
        </w:rPr>
      </w:pPr>
      <w:r w:rsidRPr="001B49F1">
        <w:rPr>
          <w:rFonts w:ascii="Times New Roman" w:hAnsi="Times New Roman"/>
          <w:szCs w:val="22"/>
        </w:rPr>
        <w:t>V Borovičkách 278</w:t>
      </w:r>
    </w:p>
    <w:p w14:paraId="1905C69D" w14:textId="77777777" w:rsidR="001B49F1" w:rsidRPr="001B49F1" w:rsidRDefault="001B49F1" w:rsidP="001B49F1">
      <w:pPr>
        <w:numPr>
          <w:ilvl w:val="12"/>
          <w:numId w:val="0"/>
        </w:numPr>
        <w:rPr>
          <w:rFonts w:ascii="Times New Roman" w:hAnsi="Times New Roman"/>
          <w:szCs w:val="22"/>
        </w:rPr>
      </w:pPr>
      <w:r w:rsidRPr="001B49F1">
        <w:rPr>
          <w:rFonts w:ascii="Times New Roman" w:hAnsi="Times New Roman"/>
          <w:szCs w:val="22"/>
        </w:rPr>
        <w:t>252 26 Kosoř</w:t>
      </w:r>
    </w:p>
    <w:p w14:paraId="05E08414" w14:textId="75884508" w:rsidR="003E5CE6" w:rsidRDefault="001B49F1" w:rsidP="001B49F1">
      <w:pPr>
        <w:numPr>
          <w:ilvl w:val="12"/>
          <w:numId w:val="0"/>
        </w:numPr>
        <w:rPr>
          <w:rFonts w:ascii="Times New Roman" w:hAnsi="Times New Roman"/>
          <w:szCs w:val="22"/>
        </w:rPr>
      </w:pPr>
      <w:r w:rsidRPr="001B49F1">
        <w:rPr>
          <w:rFonts w:ascii="Times New Roman" w:hAnsi="Times New Roman"/>
          <w:szCs w:val="22"/>
        </w:rPr>
        <w:t>Česká republika</w:t>
      </w:r>
    </w:p>
    <w:p w14:paraId="07CD3B0C" w14:textId="77777777" w:rsidR="001B49F1" w:rsidRDefault="001B49F1" w:rsidP="001B49F1">
      <w:pPr>
        <w:numPr>
          <w:ilvl w:val="12"/>
          <w:numId w:val="0"/>
        </w:numPr>
        <w:rPr>
          <w:rFonts w:ascii="Times New Roman" w:hAnsi="Times New Roman"/>
          <w:szCs w:val="22"/>
        </w:rPr>
      </w:pPr>
    </w:p>
    <w:p w14:paraId="621AEA49" w14:textId="77777777" w:rsidR="00275628" w:rsidRPr="00221FC6" w:rsidRDefault="00275628" w:rsidP="001B49F1">
      <w:pPr>
        <w:numPr>
          <w:ilvl w:val="12"/>
          <w:numId w:val="0"/>
        </w:numPr>
        <w:rPr>
          <w:rFonts w:ascii="Times New Roman" w:hAnsi="Times New Roman"/>
          <w:szCs w:val="22"/>
        </w:rPr>
      </w:pPr>
    </w:p>
    <w:p w14:paraId="1137A3AC" w14:textId="77777777" w:rsidR="003E5CE6" w:rsidRPr="00221FC6" w:rsidRDefault="003E5CE6" w:rsidP="00B42AE7">
      <w:pPr>
        <w:numPr>
          <w:ilvl w:val="0"/>
          <w:numId w:val="1"/>
        </w:numPr>
        <w:tabs>
          <w:tab w:val="num" w:pos="567"/>
        </w:tabs>
        <w:ind w:left="0" w:firstLine="0"/>
        <w:rPr>
          <w:rFonts w:ascii="Times New Roman" w:hAnsi="Times New Roman"/>
          <w:b/>
          <w:caps/>
          <w:szCs w:val="22"/>
        </w:rPr>
      </w:pPr>
      <w:r w:rsidRPr="00221FC6">
        <w:rPr>
          <w:rFonts w:ascii="Times New Roman" w:hAnsi="Times New Roman"/>
          <w:b/>
          <w:caps/>
          <w:szCs w:val="22"/>
        </w:rPr>
        <w:t>Registračné číslo</w:t>
      </w:r>
    </w:p>
    <w:p w14:paraId="1E8EBE00" w14:textId="77777777" w:rsidR="003E5CE6" w:rsidRPr="00221FC6" w:rsidRDefault="003E5CE6" w:rsidP="00B42AE7">
      <w:pPr>
        <w:rPr>
          <w:rFonts w:ascii="Times New Roman" w:hAnsi="Times New Roman"/>
          <w:szCs w:val="22"/>
        </w:rPr>
      </w:pPr>
    </w:p>
    <w:p w14:paraId="75E914FF" w14:textId="13E6AC02" w:rsidR="003E5CE6" w:rsidRDefault="00732CDA" w:rsidP="00B42AE7">
      <w:pPr>
        <w:rPr>
          <w:rFonts w:ascii="Times New Roman" w:hAnsi="Times New Roman"/>
          <w:szCs w:val="22"/>
        </w:rPr>
      </w:pPr>
      <w:r w:rsidRPr="00732CDA">
        <w:rPr>
          <w:rFonts w:ascii="Times New Roman" w:hAnsi="Times New Roman"/>
          <w:szCs w:val="22"/>
        </w:rPr>
        <w:t>87/0002/21-S</w:t>
      </w:r>
    </w:p>
    <w:p w14:paraId="13617D2E" w14:textId="77777777" w:rsidR="00732CDA" w:rsidRPr="00221FC6" w:rsidRDefault="00732CDA" w:rsidP="00B42AE7">
      <w:pPr>
        <w:rPr>
          <w:rFonts w:ascii="Times New Roman" w:hAnsi="Times New Roman"/>
          <w:szCs w:val="22"/>
        </w:rPr>
      </w:pPr>
    </w:p>
    <w:p w14:paraId="09D763B1" w14:textId="77777777" w:rsidR="003E5CE6" w:rsidRPr="00221FC6" w:rsidRDefault="003E5CE6" w:rsidP="00B42AE7">
      <w:pPr>
        <w:rPr>
          <w:rFonts w:ascii="Times New Roman" w:hAnsi="Times New Roman"/>
          <w:szCs w:val="22"/>
        </w:rPr>
      </w:pPr>
    </w:p>
    <w:p w14:paraId="271823E4" w14:textId="77777777" w:rsidR="003E5CE6" w:rsidRPr="00221FC6" w:rsidRDefault="003E5CE6" w:rsidP="00B42AE7">
      <w:pPr>
        <w:numPr>
          <w:ilvl w:val="0"/>
          <w:numId w:val="1"/>
        </w:numPr>
        <w:tabs>
          <w:tab w:val="num" w:pos="567"/>
        </w:tabs>
        <w:ind w:left="0" w:firstLine="0"/>
        <w:rPr>
          <w:rFonts w:ascii="Times New Roman" w:hAnsi="Times New Roman"/>
          <w:caps/>
          <w:szCs w:val="22"/>
        </w:rPr>
      </w:pPr>
      <w:r w:rsidRPr="00221FC6">
        <w:rPr>
          <w:rFonts w:ascii="Times New Roman" w:hAnsi="Times New Roman"/>
          <w:b/>
          <w:caps/>
          <w:szCs w:val="22"/>
        </w:rPr>
        <w:t>Dátum PRVEJ registrácie/predĺženia registrácie</w:t>
      </w:r>
    </w:p>
    <w:p w14:paraId="6425AA35" w14:textId="77777777" w:rsidR="003E5CE6" w:rsidRPr="00221FC6" w:rsidRDefault="003E5CE6" w:rsidP="00B42AE7">
      <w:pPr>
        <w:rPr>
          <w:rFonts w:ascii="Times New Roman" w:hAnsi="Times New Roman"/>
          <w:bCs/>
          <w:szCs w:val="22"/>
        </w:rPr>
      </w:pPr>
    </w:p>
    <w:p w14:paraId="77037EB1" w14:textId="25C0D5FD" w:rsidR="003E5CE6" w:rsidRPr="00221FC6" w:rsidRDefault="00D301A8" w:rsidP="00230067">
      <w:pPr>
        <w:rPr>
          <w:rFonts w:ascii="Times New Roman" w:hAnsi="Times New Roman"/>
          <w:szCs w:val="22"/>
        </w:rPr>
      </w:pPr>
      <w:r w:rsidRPr="00221FC6">
        <w:rPr>
          <w:rFonts w:ascii="Times New Roman" w:hAnsi="Times New Roman"/>
          <w:szCs w:val="22"/>
        </w:rPr>
        <w:t xml:space="preserve">Dátum prvej registrácie: </w:t>
      </w:r>
    </w:p>
    <w:p w14:paraId="5C204D53" w14:textId="77777777" w:rsidR="003E5CE6" w:rsidRDefault="003E5CE6" w:rsidP="00B42AE7">
      <w:pPr>
        <w:rPr>
          <w:rFonts w:ascii="Times New Roman" w:hAnsi="Times New Roman"/>
          <w:szCs w:val="22"/>
        </w:rPr>
      </w:pPr>
    </w:p>
    <w:p w14:paraId="0910BC78" w14:textId="77777777" w:rsidR="00275628" w:rsidRPr="00221FC6" w:rsidRDefault="00275628" w:rsidP="00B42AE7">
      <w:pPr>
        <w:rPr>
          <w:rFonts w:ascii="Times New Roman" w:hAnsi="Times New Roman"/>
          <w:szCs w:val="22"/>
        </w:rPr>
      </w:pPr>
    </w:p>
    <w:p w14:paraId="4E9689F7" w14:textId="7BDD8F28" w:rsidR="00863837" w:rsidRPr="00863837" w:rsidRDefault="003E5CE6" w:rsidP="00863837">
      <w:pPr>
        <w:numPr>
          <w:ilvl w:val="0"/>
          <w:numId w:val="1"/>
        </w:numPr>
        <w:tabs>
          <w:tab w:val="num" w:pos="567"/>
        </w:tabs>
        <w:ind w:left="0" w:firstLine="0"/>
        <w:rPr>
          <w:rFonts w:ascii="Times New Roman" w:hAnsi="Times New Roman"/>
          <w:b/>
          <w:caps/>
          <w:szCs w:val="22"/>
        </w:rPr>
      </w:pPr>
      <w:r w:rsidRPr="00221FC6">
        <w:rPr>
          <w:rFonts w:ascii="Times New Roman" w:hAnsi="Times New Roman"/>
          <w:b/>
          <w:caps/>
          <w:szCs w:val="22"/>
        </w:rPr>
        <w:t>Dátum revízie textu</w:t>
      </w:r>
    </w:p>
    <w:p w14:paraId="59F727B2" w14:textId="77777777" w:rsidR="003E5CE6" w:rsidRDefault="003E5CE6" w:rsidP="00B42AE7">
      <w:pPr>
        <w:rPr>
          <w:rFonts w:ascii="Times New Roman" w:hAnsi="Times New Roman"/>
          <w:szCs w:val="22"/>
        </w:rPr>
      </w:pPr>
    </w:p>
    <w:p w14:paraId="7DC9E511" w14:textId="6F2703E9" w:rsidR="00863837" w:rsidRPr="00221FC6" w:rsidRDefault="008004E4" w:rsidP="00B42AE7">
      <w:pPr>
        <w:rPr>
          <w:rFonts w:ascii="Times New Roman" w:hAnsi="Times New Roman"/>
          <w:szCs w:val="22"/>
        </w:rPr>
      </w:pPr>
      <w:r>
        <w:rPr>
          <w:rFonts w:ascii="Times New Roman" w:hAnsi="Times New Roman"/>
          <w:szCs w:val="22"/>
        </w:rPr>
        <w:t>01</w:t>
      </w:r>
      <w:r w:rsidR="00863837">
        <w:rPr>
          <w:rFonts w:ascii="Times New Roman" w:hAnsi="Times New Roman"/>
          <w:szCs w:val="22"/>
        </w:rPr>
        <w:t>/202</w:t>
      </w:r>
      <w:r>
        <w:rPr>
          <w:rFonts w:ascii="Times New Roman" w:hAnsi="Times New Roman"/>
          <w:szCs w:val="22"/>
        </w:rPr>
        <w:t>1</w:t>
      </w:r>
    </w:p>
    <w:sectPr w:rsidR="00863837" w:rsidRPr="00221FC6" w:rsidSect="0003554A">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37" w:footer="73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FE3E6" w16cex:dateUtc="2021-01-18T09:39:00Z"/>
  <w16cex:commentExtensible w16cex:durableId="23AFE44C" w16cex:dateUtc="2021-01-1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7805A1" w16cid:durableId="23AFDF3B"/>
  <w16cid:commentId w16cid:paraId="10D25C50" w16cid:durableId="23AFE3E6"/>
  <w16cid:commentId w16cid:paraId="69135E00" w16cid:durableId="239ECA6B"/>
  <w16cid:commentId w16cid:paraId="099CBE6D" w16cid:durableId="239DA5E2"/>
  <w16cid:commentId w16cid:paraId="47BFC794" w16cid:durableId="23AFE4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6B06A" w14:textId="77777777" w:rsidR="00D8293F" w:rsidRDefault="00D8293F">
      <w:r>
        <w:separator/>
      </w:r>
    </w:p>
  </w:endnote>
  <w:endnote w:type="continuationSeparator" w:id="0">
    <w:p w14:paraId="1484746A" w14:textId="77777777" w:rsidR="00D8293F" w:rsidRDefault="00D8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C675B" w14:textId="77777777" w:rsidR="008F39B5" w:rsidRDefault="008F39B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BB5FBC0" w14:textId="77777777" w:rsidR="008F39B5" w:rsidRDefault="008F39B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A0B8F" w14:textId="77777777" w:rsidR="008F39B5" w:rsidRPr="00A95328" w:rsidRDefault="008F39B5">
    <w:pPr>
      <w:pStyle w:val="Pta"/>
      <w:framePr w:wrap="around" w:vAnchor="text" w:hAnchor="margin" w:xAlign="center" w:y="1"/>
      <w:rPr>
        <w:rStyle w:val="slostrany"/>
        <w:rFonts w:ascii="Times New Roman" w:hAnsi="Times New Roman"/>
        <w:sz w:val="18"/>
        <w:szCs w:val="18"/>
      </w:rPr>
    </w:pPr>
    <w:r w:rsidRPr="00A95328">
      <w:rPr>
        <w:rStyle w:val="slostrany"/>
        <w:rFonts w:ascii="Times New Roman" w:hAnsi="Times New Roman"/>
        <w:sz w:val="18"/>
        <w:szCs w:val="18"/>
      </w:rPr>
      <w:fldChar w:fldCharType="begin"/>
    </w:r>
    <w:r w:rsidRPr="00A95328">
      <w:rPr>
        <w:rStyle w:val="slostrany"/>
        <w:rFonts w:ascii="Times New Roman" w:hAnsi="Times New Roman"/>
        <w:sz w:val="18"/>
        <w:szCs w:val="18"/>
      </w:rPr>
      <w:instrText xml:space="preserve">PAGE  </w:instrText>
    </w:r>
    <w:r w:rsidRPr="00A95328">
      <w:rPr>
        <w:rStyle w:val="slostrany"/>
        <w:rFonts w:ascii="Times New Roman" w:hAnsi="Times New Roman"/>
        <w:sz w:val="18"/>
        <w:szCs w:val="18"/>
      </w:rPr>
      <w:fldChar w:fldCharType="separate"/>
    </w:r>
    <w:r w:rsidR="00275628">
      <w:rPr>
        <w:rStyle w:val="slostrany"/>
        <w:rFonts w:ascii="Times New Roman" w:hAnsi="Times New Roman"/>
        <w:noProof/>
        <w:sz w:val="18"/>
        <w:szCs w:val="18"/>
      </w:rPr>
      <w:t>6</w:t>
    </w:r>
    <w:r w:rsidRPr="00A95328">
      <w:rPr>
        <w:rStyle w:val="slostrany"/>
        <w:rFonts w:ascii="Times New Roman" w:hAnsi="Times New Roman"/>
        <w:sz w:val="18"/>
        <w:szCs w:val="18"/>
      </w:rPr>
      <w:fldChar w:fldCharType="end"/>
    </w:r>
  </w:p>
  <w:p w14:paraId="627A58B2" w14:textId="77777777" w:rsidR="008F39B5" w:rsidRPr="00A95328" w:rsidRDefault="008F39B5">
    <w:pPr>
      <w:pStyle w:val="Pta"/>
      <w:framePr w:wrap="auto" w:vAnchor="text" w:hAnchor="margin" w:xAlign="right" w:y="1"/>
      <w:jc w:val="center"/>
      <w:rPr>
        <w:rStyle w:val="slostrany"/>
        <w:rFonts w:ascii="Times New Roman" w:hAnsi="Times New Roman"/>
        <w:sz w:val="18"/>
        <w:szCs w:val="18"/>
      </w:rPr>
    </w:pPr>
  </w:p>
  <w:p w14:paraId="0AA98626" w14:textId="77777777" w:rsidR="008F39B5" w:rsidRPr="00A95328" w:rsidRDefault="008F39B5">
    <w:pPr>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A0790" w14:textId="77777777" w:rsidR="00860FE4" w:rsidRDefault="00860FE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A8036" w14:textId="77777777" w:rsidR="00D8293F" w:rsidRDefault="00D8293F">
      <w:r>
        <w:separator/>
      </w:r>
    </w:p>
  </w:footnote>
  <w:footnote w:type="continuationSeparator" w:id="0">
    <w:p w14:paraId="7B0E8661" w14:textId="77777777" w:rsidR="00D8293F" w:rsidRDefault="00D82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1C4FA" w14:textId="77777777" w:rsidR="00860FE4" w:rsidRDefault="00860FE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1BE1F" w14:textId="79DF78BE" w:rsidR="00E202B7" w:rsidRPr="007B6682" w:rsidRDefault="008810D1" w:rsidP="00A74BB1">
    <w:pPr>
      <w:pStyle w:val="Hlavika"/>
      <w:rPr>
        <w:rFonts w:ascii="Times New Roman" w:hAnsi="Times New Roman"/>
        <w:sz w:val="18"/>
        <w:szCs w:val="18"/>
      </w:rPr>
    </w:pPr>
    <w:r w:rsidRPr="007B6682">
      <w:rPr>
        <w:rFonts w:ascii="Times New Roman" w:hAnsi="Times New Roman"/>
        <w:sz w:val="18"/>
        <w:szCs w:val="18"/>
      </w:rPr>
      <w:t xml:space="preserve">Schválený text k rozhodnutiu o </w:t>
    </w:r>
    <w:r w:rsidR="00860FE4">
      <w:rPr>
        <w:rFonts w:ascii="Times New Roman" w:hAnsi="Times New Roman"/>
        <w:sz w:val="18"/>
        <w:szCs w:val="18"/>
      </w:rPr>
      <w:t>registrácii,</w:t>
    </w:r>
    <w:r w:rsidRPr="007B6682">
      <w:rPr>
        <w:rFonts w:ascii="Times New Roman" w:hAnsi="Times New Roman"/>
        <w:sz w:val="18"/>
        <w:szCs w:val="18"/>
      </w:rPr>
      <w:t xml:space="preserve"> ev. č.: </w:t>
    </w:r>
    <w:r w:rsidR="00860FE4">
      <w:rPr>
        <w:rFonts w:ascii="Times New Roman" w:hAnsi="Times New Roman"/>
        <w:sz w:val="18"/>
        <w:szCs w:val="18"/>
      </w:rPr>
      <w:t>2019/04076-REG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0FB2" w14:textId="77777777" w:rsidR="00860FE4" w:rsidRDefault="00860F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D3C7E"/>
    <w:multiLevelType w:val="singleLevel"/>
    <w:tmpl w:val="041B000F"/>
    <w:lvl w:ilvl="0">
      <w:start w:val="1"/>
      <w:numFmt w:val="decimal"/>
      <w:lvlText w:val="%1."/>
      <w:lvlJc w:val="left"/>
      <w:pPr>
        <w:ind w:left="360" w:hanging="360"/>
      </w:pPr>
      <w:rPr>
        <w:rFonts w:hint="default"/>
        <w:b/>
        <w:i w:val="0"/>
        <w:sz w:val="22"/>
        <w:szCs w:val="22"/>
      </w:rPr>
    </w:lvl>
  </w:abstractNum>
  <w:abstractNum w:abstractNumId="1" w15:restartNumberingAfterBreak="0">
    <w:nsid w:val="50786116"/>
    <w:multiLevelType w:val="hybridMultilevel"/>
    <w:tmpl w:val="2CE47530"/>
    <w:lvl w:ilvl="0" w:tplc="D1041C04">
      <w:numFmt w:val="bullet"/>
      <w:lvlText w:val="-"/>
      <w:lvlJc w:val="left"/>
      <w:pPr>
        <w:ind w:left="678" w:hanging="360"/>
      </w:pPr>
      <w:rPr>
        <w:rFonts w:ascii="Times New Roman" w:eastAsia="Times New Roman" w:hAnsi="Times New Roman" w:cs="Times New Roman" w:hint="default"/>
      </w:rPr>
    </w:lvl>
    <w:lvl w:ilvl="1" w:tplc="041B0003" w:tentative="1">
      <w:start w:val="1"/>
      <w:numFmt w:val="bullet"/>
      <w:lvlText w:val="o"/>
      <w:lvlJc w:val="left"/>
      <w:pPr>
        <w:ind w:left="1398" w:hanging="360"/>
      </w:pPr>
      <w:rPr>
        <w:rFonts w:ascii="Courier New" w:hAnsi="Courier New" w:cs="Courier New" w:hint="default"/>
      </w:rPr>
    </w:lvl>
    <w:lvl w:ilvl="2" w:tplc="041B0005" w:tentative="1">
      <w:start w:val="1"/>
      <w:numFmt w:val="bullet"/>
      <w:lvlText w:val=""/>
      <w:lvlJc w:val="left"/>
      <w:pPr>
        <w:ind w:left="2118" w:hanging="360"/>
      </w:pPr>
      <w:rPr>
        <w:rFonts w:ascii="Wingdings" w:hAnsi="Wingdings" w:hint="default"/>
      </w:rPr>
    </w:lvl>
    <w:lvl w:ilvl="3" w:tplc="041B0001" w:tentative="1">
      <w:start w:val="1"/>
      <w:numFmt w:val="bullet"/>
      <w:lvlText w:val=""/>
      <w:lvlJc w:val="left"/>
      <w:pPr>
        <w:ind w:left="2838" w:hanging="360"/>
      </w:pPr>
      <w:rPr>
        <w:rFonts w:ascii="Symbol" w:hAnsi="Symbol" w:hint="default"/>
      </w:rPr>
    </w:lvl>
    <w:lvl w:ilvl="4" w:tplc="041B0003" w:tentative="1">
      <w:start w:val="1"/>
      <w:numFmt w:val="bullet"/>
      <w:lvlText w:val="o"/>
      <w:lvlJc w:val="left"/>
      <w:pPr>
        <w:ind w:left="3558" w:hanging="360"/>
      </w:pPr>
      <w:rPr>
        <w:rFonts w:ascii="Courier New" w:hAnsi="Courier New" w:cs="Courier New" w:hint="default"/>
      </w:rPr>
    </w:lvl>
    <w:lvl w:ilvl="5" w:tplc="041B0005" w:tentative="1">
      <w:start w:val="1"/>
      <w:numFmt w:val="bullet"/>
      <w:lvlText w:val=""/>
      <w:lvlJc w:val="left"/>
      <w:pPr>
        <w:ind w:left="4278" w:hanging="360"/>
      </w:pPr>
      <w:rPr>
        <w:rFonts w:ascii="Wingdings" w:hAnsi="Wingdings" w:hint="default"/>
      </w:rPr>
    </w:lvl>
    <w:lvl w:ilvl="6" w:tplc="041B0001" w:tentative="1">
      <w:start w:val="1"/>
      <w:numFmt w:val="bullet"/>
      <w:lvlText w:val=""/>
      <w:lvlJc w:val="left"/>
      <w:pPr>
        <w:ind w:left="4998" w:hanging="360"/>
      </w:pPr>
      <w:rPr>
        <w:rFonts w:ascii="Symbol" w:hAnsi="Symbol" w:hint="default"/>
      </w:rPr>
    </w:lvl>
    <w:lvl w:ilvl="7" w:tplc="041B0003" w:tentative="1">
      <w:start w:val="1"/>
      <w:numFmt w:val="bullet"/>
      <w:lvlText w:val="o"/>
      <w:lvlJc w:val="left"/>
      <w:pPr>
        <w:ind w:left="5718" w:hanging="360"/>
      </w:pPr>
      <w:rPr>
        <w:rFonts w:ascii="Courier New" w:hAnsi="Courier New" w:cs="Courier New" w:hint="default"/>
      </w:rPr>
    </w:lvl>
    <w:lvl w:ilvl="8" w:tplc="041B0005" w:tentative="1">
      <w:start w:val="1"/>
      <w:numFmt w:val="bullet"/>
      <w:lvlText w:val=""/>
      <w:lvlJc w:val="left"/>
      <w:pPr>
        <w:ind w:left="64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QwNDexsDSxMDc0NzBR0lEKTi0uzszPAykwqQUAZtGOGywAAAA="/>
  </w:docVars>
  <w:rsids>
    <w:rsidRoot w:val="003E5CE6"/>
    <w:rsid w:val="00014396"/>
    <w:rsid w:val="0003554A"/>
    <w:rsid w:val="000409BB"/>
    <w:rsid w:val="000454B2"/>
    <w:rsid w:val="00084457"/>
    <w:rsid w:val="00091218"/>
    <w:rsid w:val="000A0B4F"/>
    <w:rsid w:val="000A51A1"/>
    <w:rsid w:val="000A5B88"/>
    <w:rsid w:val="000C6218"/>
    <w:rsid w:val="000D5294"/>
    <w:rsid w:val="000D5C19"/>
    <w:rsid w:val="000E3FE4"/>
    <w:rsid w:val="000F15E9"/>
    <w:rsid w:val="00103957"/>
    <w:rsid w:val="00114F3C"/>
    <w:rsid w:val="001300F4"/>
    <w:rsid w:val="00135566"/>
    <w:rsid w:val="001628C5"/>
    <w:rsid w:val="0017189D"/>
    <w:rsid w:val="001727E4"/>
    <w:rsid w:val="00173734"/>
    <w:rsid w:val="00183367"/>
    <w:rsid w:val="00183678"/>
    <w:rsid w:val="00185872"/>
    <w:rsid w:val="0019212D"/>
    <w:rsid w:val="00194262"/>
    <w:rsid w:val="001968C5"/>
    <w:rsid w:val="0019787C"/>
    <w:rsid w:val="001A2D68"/>
    <w:rsid w:val="001B49F1"/>
    <w:rsid w:val="001D0586"/>
    <w:rsid w:val="001D66A5"/>
    <w:rsid w:val="001E2040"/>
    <w:rsid w:val="001E655C"/>
    <w:rsid w:val="002000A9"/>
    <w:rsid w:val="00221FC6"/>
    <w:rsid w:val="002262F7"/>
    <w:rsid w:val="00230067"/>
    <w:rsid w:val="00234C92"/>
    <w:rsid w:val="00245B85"/>
    <w:rsid w:val="00256B4E"/>
    <w:rsid w:val="002724D3"/>
    <w:rsid w:val="00275628"/>
    <w:rsid w:val="00295B40"/>
    <w:rsid w:val="00295D05"/>
    <w:rsid w:val="00297ABF"/>
    <w:rsid w:val="002B568A"/>
    <w:rsid w:val="002C64DC"/>
    <w:rsid w:val="002D4EF5"/>
    <w:rsid w:val="002D5F63"/>
    <w:rsid w:val="002D60D2"/>
    <w:rsid w:val="00304CED"/>
    <w:rsid w:val="00317EFF"/>
    <w:rsid w:val="00321484"/>
    <w:rsid w:val="00322FCE"/>
    <w:rsid w:val="00353F9A"/>
    <w:rsid w:val="003732C8"/>
    <w:rsid w:val="00373C1B"/>
    <w:rsid w:val="003744B6"/>
    <w:rsid w:val="00375F08"/>
    <w:rsid w:val="00384792"/>
    <w:rsid w:val="003913C2"/>
    <w:rsid w:val="00395560"/>
    <w:rsid w:val="003B23EA"/>
    <w:rsid w:val="003B5C9A"/>
    <w:rsid w:val="003C4612"/>
    <w:rsid w:val="003D583F"/>
    <w:rsid w:val="003E4A93"/>
    <w:rsid w:val="003E5CE6"/>
    <w:rsid w:val="004054F0"/>
    <w:rsid w:val="00420E1D"/>
    <w:rsid w:val="004254CB"/>
    <w:rsid w:val="00452C64"/>
    <w:rsid w:val="004706C5"/>
    <w:rsid w:val="00477BBF"/>
    <w:rsid w:val="00480409"/>
    <w:rsid w:val="0048113A"/>
    <w:rsid w:val="004B541D"/>
    <w:rsid w:val="004C1CAA"/>
    <w:rsid w:val="004C4CA0"/>
    <w:rsid w:val="004D7BB6"/>
    <w:rsid w:val="004F4226"/>
    <w:rsid w:val="005019E3"/>
    <w:rsid w:val="005063B5"/>
    <w:rsid w:val="00533800"/>
    <w:rsid w:val="005565BC"/>
    <w:rsid w:val="00575375"/>
    <w:rsid w:val="00583AB3"/>
    <w:rsid w:val="005848A4"/>
    <w:rsid w:val="00597FF0"/>
    <w:rsid w:val="005C09A0"/>
    <w:rsid w:val="005D363F"/>
    <w:rsid w:val="005E0797"/>
    <w:rsid w:val="005E0937"/>
    <w:rsid w:val="005E1D46"/>
    <w:rsid w:val="005E2667"/>
    <w:rsid w:val="005E27F7"/>
    <w:rsid w:val="005F0A4F"/>
    <w:rsid w:val="0060145E"/>
    <w:rsid w:val="00601CBA"/>
    <w:rsid w:val="00614121"/>
    <w:rsid w:val="006303BF"/>
    <w:rsid w:val="00641372"/>
    <w:rsid w:val="0064575E"/>
    <w:rsid w:val="006519BB"/>
    <w:rsid w:val="006632EB"/>
    <w:rsid w:val="006643BC"/>
    <w:rsid w:val="00664B18"/>
    <w:rsid w:val="00687B94"/>
    <w:rsid w:val="006C6641"/>
    <w:rsid w:val="006C6DC3"/>
    <w:rsid w:val="006D76FA"/>
    <w:rsid w:val="006E05C7"/>
    <w:rsid w:val="006F1B6C"/>
    <w:rsid w:val="0070003C"/>
    <w:rsid w:val="00703871"/>
    <w:rsid w:val="00714AA2"/>
    <w:rsid w:val="00721507"/>
    <w:rsid w:val="00721E3D"/>
    <w:rsid w:val="007268D2"/>
    <w:rsid w:val="00732CDA"/>
    <w:rsid w:val="00751AEC"/>
    <w:rsid w:val="00767559"/>
    <w:rsid w:val="0077308B"/>
    <w:rsid w:val="007842F6"/>
    <w:rsid w:val="00796683"/>
    <w:rsid w:val="007A1908"/>
    <w:rsid w:val="007B6682"/>
    <w:rsid w:val="007B7A7A"/>
    <w:rsid w:val="007E2E33"/>
    <w:rsid w:val="007E4F89"/>
    <w:rsid w:val="007F777E"/>
    <w:rsid w:val="008004E4"/>
    <w:rsid w:val="00813390"/>
    <w:rsid w:val="0082368F"/>
    <w:rsid w:val="008308F5"/>
    <w:rsid w:val="00840471"/>
    <w:rsid w:val="00843191"/>
    <w:rsid w:val="008433BF"/>
    <w:rsid w:val="0084442A"/>
    <w:rsid w:val="0084506B"/>
    <w:rsid w:val="0085170A"/>
    <w:rsid w:val="00860FE4"/>
    <w:rsid w:val="00863837"/>
    <w:rsid w:val="00865D36"/>
    <w:rsid w:val="00874FA4"/>
    <w:rsid w:val="00877ABF"/>
    <w:rsid w:val="008810D1"/>
    <w:rsid w:val="00883AF7"/>
    <w:rsid w:val="008974A0"/>
    <w:rsid w:val="008A4F40"/>
    <w:rsid w:val="008B4E7D"/>
    <w:rsid w:val="008B7237"/>
    <w:rsid w:val="008C4D25"/>
    <w:rsid w:val="008E5E51"/>
    <w:rsid w:val="008F1D4F"/>
    <w:rsid w:val="008F39B5"/>
    <w:rsid w:val="009059A7"/>
    <w:rsid w:val="00915A56"/>
    <w:rsid w:val="009230D6"/>
    <w:rsid w:val="00925F8F"/>
    <w:rsid w:val="00930E18"/>
    <w:rsid w:val="00935B57"/>
    <w:rsid w:val="00942F54"/>
    <w:rsid w:val="009700B7"/>
    <w:rsid w:val="00974680"/>
    <w:rsid w:val="00993C89"/>
    <w:rsid w:val="009B79BD"/>
    <w:rsid w:val="009C4DB4"/>
    <w:rsid w:val="009E5178"/>
    <w:rsid w:val="009E53DE"/>
    <w:rsid w:val="009F250F"/>
    <w:rsid w:val="009F53CE"/>
    <w:rsid w:val="00A018D3"/>
    <w:rsid w:val="00A07C96"/>
    <w:rsid w:val="00A11229"/>
    <w:rsid w:val="00A12754"/>
    <w:rsid w:val="00A16BC2"/>
    <w:rsid w:val="00A32BC7"/>
    <w:rsid w:val="00A42783"/>
    <w:rsid w:val="00A42B7F"/>
    <w:rsid w:val="00A527DB"/>
    <w:rsid w:val="00A64D33"/>
    <w:rsid w:val="00A74BB1"/>
    <w:rsid w:val="00A95328"/>
    <w:rsid w:val="00AA0CE3"/>
    <w:rsid w:val="00AA3F57"/>
    <w:rsid w:val="00AB2494"/>
    <w:rsid w:val="00AB7A26"/>
    <w:rsid w:val="00AC58B2"/>
    <w:rsid w:val="00AC7BCC"/>
    <w:rsid w:val="00AD549B"/>
    <w:rsid w:val="00AE2E2B"/>
    <w:rsid w:val="00AE7DFB"/>
    <w:rsid w:val="00B00340"/>
    <w:rsid w:val="00B23164"/>
    <w:rsid w:val="00B42AE7"/>
    <w:rsid w:val="00B63E08"/>
    <w:rsid w:val="00B655A8"/>
    <w:rsid w:val="00B94678"/>
    <w:rsid w:val="00BA74B7"/>
    <w:rsid w:val="00BB6A89"/>
    <w:rsid w:val="00BB79AC"/>
    <w:rsid w:val="00BC6E2A"/>
    <w:rsid w:val="00BF0C2A"/>
    <w:rsid w:val="00BF4559"/>
    <w:rsid w:val="00BF6A60"/>
    <w:rsid w:val="00C0056E"/>
    <w:rsid w:val="00C16DB0"/>
    <w:rsid w:val="00C17E8D"/>
    <w:rsid w:val="00C31C7A"/>
    <w:rsid w:val="00C40598"/>
    <w:rsid w:val="00C65159"/>
    <w:rsid w:val="00C76A0E"/>
    <w:rsid w:val="00C87204"/>
    <w:rsid w:val="00C915BD"/>
    <w:rsid w:val="00C94F6D"/>
    <w:rsid w:val="00CD1055"/>
    <w:rsid w:val="00CF7388"/>
    <w:rsid w:val="00CF7E84"/>
    <w:rsid w:val="00D0305F"/>
    <w:rsid w:val="00D03DDB"/>
    <w:rsid w:val="00D12011"/>
    <w:rsid w:val="00D301A8"/>
    <w:rsid w:val="00D40735"/>
    <w:rsid w:val="00D41274"/>
    <w:rsid w:val="00D47279"/>
    <w:rsid w:val="00D8293F"/>
    <w:rsid w:val="00DA29AC"/>
    <w:rsid w:val="00DB0FAE"/>
    <w:rsid w:val="00DB2743"/>
    <w:rsid w:val="00DB7E77"/>
    <w:rsid w:val="00DE4A6B"/>
    <w:rsid w:val="00DE60A7"/>
    <w:rsid w:val="00E202B7"/>
    <w:rsid w:val="00E26580"/>
    <w:rsid w:val="00E35E0F"/>
    <w:rsid w:val="00E40B09"/>
    <w:rsid w:val="00E473DE"/>
    <w:rsid w:val="00E63EBC"/>
    <w:rsid w:val="00E64C53"/>
    <w:rsid w:val="00E70EE1"/>
    <w:rsid w:val="00E73F6D"/>
    <w:rsid w:val="00E77A76"/>
    <w:rsid w:val="00E927A3"/>
    <w:rsid w:val="00E92E38"/>
    <w:rsid w:val="00EB1939"/>
    <w:rsid w:val="00EB75BC"/>
    <w:rsid w:val="00EC1F7B"/>
    <w:rsid w:val="00EC601B"/>
    <w:rsid w:val="00EF1A87"/>
    <w:rsid w:val="00EF591F"/>
    <w:rsid w:val="00EF766B"/>
    <w:rsid w:val="00F237EB"/>
    <w:rsid w:val="00F57DF8"/>
    <w:rsid w:val="00F70EA6"/>
    <w:rsid w:val="00F83223"/>
    <w:rsid w:val="00F874D1"/>
    <w:rsid w:val="00F87557"/>
    <w:rsid w:val="00F90A6B"/>
    <w:rsid w:val="00FB72F9"/>
    <w:rsid w:val="00FC0E51"/>
    <w:rsid w:val="00FC1A49"/>
    <w:rsid w:val="00FF2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3504CA7"/>
  <w15:chartTrackingRefBased/>
  <w15:docId w15:val="{7A4703AE-D39A-44CD-8D2E-71CE0C5F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5CE6"/>
    <w:pPr>
      <w:jc w:val="both"/>
    </w:pPr>
    <w:rPr>
      <w:rFonts w:ascii="Arial" w:hAnsi="Arial"/>
      <w:sz w:val="22"/>
      <w:lang w:val="sk-SK"/>
    </w:rPr>
  </w:style>
  <w:style w:type="paragraph" w:styleId="Nadpis1">
    <w:name w:val="heading 1"/>
    <w:basedOn w:val="Normlny"/>
    <w:next w:val="Normlny"/>
    <w:qFormat/>
    <w:rsid w:val="003E5CE6"/>
    <w:pPr>
      <w:keepNext/>
      <w:spacing w:line="360" w:lineRule="auto"/>
      <w:outlineLvl w:val="0"/>
    </w:pPr>
    <w:rPr>
      <w:b/>
      <w:i/>
      <w:sz w:val="24"/>
    </w:rPr>
  </w:style>
  <w:style w:type="paragraph" w:styleId="Nadpis2">
    <w:name w:val="heading 2"/>
    <w:basedOn w:val="Normlny"/>
    <w:next w:val="Normlny"/>
    <w:qFormat/>
    <w:rsid w:val="003E5CE6"/>
    <w:pPr>
      <w:keepNext/>
      <w:outlineLvl w:val="1"/>
    </w:pPr>
    <w:rPr>
      <w:rFonts w:ascii="Times New Roman" w:hAnsi="Times New Roman"/>
      <w:b/>
      <w:bCs/>
      <w:i/>
      <w:iCs/>
      <w:lang w:val="pl-P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semiHidden/>
    <w:rsid w:val="003E5CE6"/>
    <w:pPr>
      <w:tabs>
        <w:tab w:val="center" w:pos="4536"/>
        <w:tab w:val="right" w:pos="9072"/>
      </w:tabs>
    </w:pPr>
  </w:style>
  <w:style w:type="character" w:styleId="slostrany">
    <w:name w:val="page number"/>
    <w:basedOn w:val="Predvolenpsmoodseku"/>
    <w:semiHidden/>
    <w:rsid w:val="003E5CE6"/>
  </w:style>
  <w:style w:type="paragraph" w:styleId="Nzov">
    <w:name w:val="Title"/>
    <w:basedOn w:val="Normlny"/>
    <w:qFormat/>
    <w:rsid w:val="003E5CE6"/>
    <w:pPr>
      <w:spacing w:before="120"/>
      <w:jc w:val="center"/>
    </w:pPr>
    <w:rPr>
      <w:b/>
      <w:sz w:val="26"/>
      <w:lang w:val="cs-CZ" w:eastAsia="en-US"/>
    </w:rPr>
  </w:style>
  <w:style w:type="paragraph" w:customStyle="1" w:styleId="knZulassung02">
    <w:name w:val="knZulassung02"/>
    <w:basedOn w:val="Normlny"/>
    <w:rsid w:val="003E5CE6"/>
    <w:pPr>
      <w:autoSpaceDE w:val="0"/>
      <w:autoSpaceDN w:val="0"/>
      <w:ind w:left="1843" w:right="284"/>
    </w:pPr>
    <w:rPr>
      <w:rFonts w:ascii="Courier" w:hAnsi="Courier"/>
      <w:sz w:val="24"/>
      <w:szCs w:val="24"/>
      <w:lang w:val="de-DE" w:eastAsia="de-DE"/>
    </w:rPr>
  </w:style>
  <w:style w:type="paragraph" w:customStyle="1" w:styleId="Default">
    <w:name w:val="Default"/>
    <w:rsid w:val="007F777E"/>
    <w:pPr>
      <w:autoSpaceDE w:val="0"/>
      <w:autoSpaceDN w:val="0"/>
      <w:adjustRightInd w:val="0"/>
      <w:jc w:val="both"/>
    </w:pPr>
    <w:rPr>
      <w:rFonts w:ascii="Verdana" w:hAnsi="Verdana" w:cs="Verdana"/>
      <w:color w:val="000000"/>
      <w:sz w:val="24"/>
      <w:szCs w:val="24"/>
      <w:lang w:val="sk-SK" w:eastAsia="sk-SK"/>
    </w:rPr>
  </w:style>
  <w:style w:type="character" w:styleId="Hypertextovprepojenie">
    <w:name w:val="Hyperlink"/>
    <w:rsid w:val="005063B5"/>
    <w:rPr>
      <w:rFonts w:cs="Times New Roman"/>
      <w:color w:val="0000FF"/>
      <w:u w:val="single"/>
    </w:rPr>
  </w:style>
  <w:style w:type="paragraph" w:styleId="Textbubliny">
    <w:name w:val="Balloon Text"/>
    <w:basedOn w:val="Normlny"/>
    <w:link w:val="TextbublinyChar"/>
    <w:rsid w:val="00BC6E2A"/>
    <w:rPr>
      <w:rFonts w:ascii="Segoe UI" w:hAnsi="Segoe UI" w:cs="Segoe UI"/>
      <w:sz w:val="18"/>
      <w:szCs w:val="18"/>
    </w:rPr>
  </w:style>
  <w:style w:type="character" w:customStyle="1" w:styleId="TextbublinyChar">
    <w:name w:val="Text bubliny Char"/>
    <w:link w:val="Textbubliny"/>
    <w:rsid w:val="00BC6E2A"/>
    <w:rPr>
      <w:rFonts w:ascii="Segoe UI" w:hAnsi="Segoe UI" w:cs="Segoe UI"/>
      <w:sz w:val="18"/>
      <w:szCs w:val="18"/>
      <w:lang w:eastAsia="cs-CZ"/>
    </w:rPr>
  </w:style>
  <w:style w:type="character" w:styleId="Odkaznakomentr">
    <w:name w:val="annotation reference"/>
    <w:rsid w:val="00874FA4"/>
    <w:rPr>
      <w:sz w:val="16"/>
      <w:szCs w:val="16"/>
    </w:rPr>
  </w:style>
  <w:style w:type="paragraph" w:styleId="Textkomentra">
    <w:name w:val="annotation text"/>
    <w:basedOn w:val="Normlny"/>
    <w:link w:val="TextkomentraChar"/>
    <w:rsid w:val="00874FA4"/>
    <w:rPr>
      <w:sz w:val="20"/>
    </w:rPr>
  </w:style>
  <w:style w:type="character" w:customStyle="1" w:styleId="TextkomentraChar">
    <w:name w:val="Text komentára Char"/>
    <w:link w:val="Textkomentra"/>
    <w:rsid w:val="00874FA4"/>
    <w:rPr>
      <w:rFonts w:ascii="Arial" w:hAnsi="Arial"/>
      <w:lang w:eastAsia="cs-CZ"/>
    </w:rPr>
  </w:style>
  <w:style w:type="paragraph" w:styleId="Predmetkomentra">
    <w:name w:val="annotation subject"/>
    <w:basedOn w:val="Textkomentra"/>
    <w:next w:val="Textkomentra"/>
    <w:link w:val="PredmetkomentraChar"/>
    <w:rsid w:val="00874FA4"/>
    <w:rPr>
      <w:b/>
      <w:bCs/>
    </w:rPr>
  </w:style>
  <w:style w:type="character" w:customStyle="1" w:styleId="PredmetkomentraChar">
    <w:name w:val="Predmet komentára Char"/>
    <w:link w:val="Predmetkomentra"/>
    <w:rsid w:val="00874FA4"/>
    <w:rPr>
      <w:rFonts w:ascii="Arial" w:hAnsi="Arial"/>
      <w:b/>
      <w:bCs/>
      <w:lang w:eastAsia="cs-CZ"/>
    </w:rPr>
  </w:style>
  <w:style w:type="paragraph" w:styleId="Zkladntext">
    <w:name w:val="Body Text"/>
    <w:basedOn w:val="Normlny"/>
    <w:link w:val="ZkladntextChar"/>
    <w:rsid w:val="00874FA4"/>
    <w:rPr>
      <w:rFonts w:ascii="Times New Roman" w:hAnsi="Times New Roman"/>
      <w:szCs w:val="24"/>
      <w:lang w:val="x-none" w:eastAsia="x-none"/>
    </w:rPr>
  </w:style>
  <w:style w:type="character" w:customStyle="1" w:styleId="ZkladntextChar">
    <w:name w:val="Základný text Char"/>
    <w:link w:val="Zkladntext"/>
    <w:rsid w:val="00874FA4"/>
    <w:rPr>
      <w:sz w:val="22"/>
      <w:szCs w:val="24"/>
      <w:lang w:val="x-none" w:eastAsia="x-none"/>
    </w:rPr>
  </w:style>
  <w:style w:type="paragraph" w:styleId="Revzia">
    <w:name w:val="Revision"/>
    <w:hidden/>
    <w:uiPriority w:val="99"/>
    <w:semiHidden/>
    <w:rsid w:val="00874FA4"/>
    <w:pPr>
      <w:jc w:val="both"/>
    </w:pPr>
    <w:rPr>
      <w:rFonts w:ascii="Arial" w:hAnsi="Arial"/>
      <w:sz w:val="22"/>
      <w:lang w:val="sk-SK"/>
    </w:rPr>
  </w:style>
  <w:style w:type="paragraph" w:styleId="Hlavika">
    <w:name w:val="header"/>
    <w:basedOn w:val="Normlny"/>
    <w:link w:val="HlavikaChar"/>
    <w:rsid w:val="00E202B7"/>
    <w:pPr>
      <w:tabs>
        <w:tab w:val="center" w:pos="4536"/>
        <w:tab w:val="right" w:pos="9072"/>
      </w:tabs>
    </w:pPr>
  </w:style>
  <w:style w:type="character" w:customStyle="1" w:styleId="HlavikaChar">
    <w:name w:val="Hlavička Char"/>
    <w:link w:val="Hlavika"/>
    <w:rsid w:val="00E202B7"/>
    <w:rPr>
      <w:rFonts w:ascii="Arial" w:hAnsi="Arial"/>
      <w:sz w:val="22"/>
      <w:lang w:eastAsia="cs-CZ"/>
    </w:rPr>
  </w:style>
  <w:style w:type="character" w:customStyle="1" w:styleId="tlid-translation">
    <w:name w:val="tlid-translation"/>
    <w:basedOn w:val="Predvolenpsmoodseku"/>
    <w:rsid w:val="009E5178"/>
  </w:style>
  <w:style w:type="paragraph" w:customStyle="1" w:styleId="Normln1">
    <w:name w:val="Normální1"/>
    <w:qFormat/>
    <w:rsid w:val="00C16DB0"/>
    <w:pPr>
      <w:tabs>
        <w:tab w:val="left" w:pos="567"/>
      </w:tabs>
      <w:spacing w:line="260" w:lineRule="exac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7612">
      <w:bodyDiv w:val="1"/>
      <w:marLeft w:val="0"/>
      <w:marRight w:val="0"/>
      <w:marTop w:val="0"/>
      <w:marBottom w:val="0"/>
      <w:divBdr>
        <w:top w:val="none" w:sz="0" w:space="0" w:color="auto"/>
        <w:left w:val="none" w:sz="0" w:space="0" w:color="auto"/>
        <w:bottom w:val="none" w:sz="0" w:space="0" w:color="auto"/>
        <w:right w:val="none" w:sz="0" w:space="0" w:color="auto"/>
      </w:divBdr>
      <w:divsChild>
        <w:div w:id="1921792484">
          <w:marLeft w:val="0"/>
          <w:marRight w:val="0"/>
          <w:marTop w:val="0"/>
          <w:marBottom w:val="0"/>
          <w:divBdr>
            <w:top w:val="none" w:sz="0" w:space="0" w:color="auto"/>
            <w:left w:val="none" w:sz="0" w:space="0" w:color="auto"/>
            <w:bottom w:val="none" w:sz="0" w:space="0" w:color="auto"/>
            <w:right w:val="none" w:sz="0" w:space="0" w:color="auto"/>
          </w:divBdr>
          <w:divsChild>
            <w:div w:id="1645355674">
              <w:marLeft w:val="0"/>
              <w:marRight w:val="0"/>
              <w:marTop w:val="0"/>
              <w:marBottom w:val="0"/>
              <w:divBdr>
                <w:top w:val="none" w:sz="0" w:space="0" w:color="auto"/>
                <w:left w:val="none" w:sz="0" w:space="0" w:color="auto"/>
                <w:bottom w:val="none" w:sz="0" w:space="0" w:color="auto"/>
                <w:right w:val="none" w:sz="0" w:space="0" w:color="auto"/>
              </w:divBdr>
            </w:div>
          </w:divsChild>
        </w:div>
        <w:div w:id="187178900">
          <w:marLeft w:val="0"/>
          <w:marRight w:val="0"/>
          <w:marTop w:val="0"/>
          <w:marBottom w:val="0"/>
          <w:divBdr>
            <w:top w:val="none" w:sz="0" w:space="0" w:color="auto"/>
            <w:left w:val="none" w:sz="0" w:space="0" w:color="auto"/>
            <w:bottom w:val="none" w:sz="0" w:space="0" w:color="auto"/>
            <w:right w:val="none" w:sz="0" w:space="0" w:color="auto"/>
          </w:divBdr>
        </w:div>
      </w:divsChild>
    </w:div>
    <w:div w:id="53149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A904C-1200-42A1-8596-0F5ADC44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1786</Words>
  <Characters>11879</Characters>
  <Application>Microsoft Office Word</Application>
  <DocSecurity>0</DocSecurity>
  <Lines>98</Lines>
  <Paragraphs>27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SUKL</Company>
  <LinksUpToDate>false</LinksUpToDate>
  <CharactersWithSpaces>13638</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stratinska</dc:creator>
  <cp:keywords/>
  <cp:lastModifiedBy>Kristína Ráczová</cp:lastModifiedBy>
  <cp:revision>4</cp:revision>
  <cp:lastPrinted>2018-12-07T08:09:00Z</cp:lastPrinted>
  <dcterms:created xsi:type="dcterms:W3CDTF">2021-01-18T09:44:00Z</dcterms:created>
  <dcterms:modified xsi:type="dcterms:W3CDTF">2021-01-21T07:16:00Z</dcterms:modified>
</cp:coreProperties>
</file>